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73536" w14:textId="77777777" w:rsidR="00724BA6" w:rsidRPr="00C91E5B" w:rsidRDefault="00724BA6" w:rsidP="00724BA6">
      <w:pPr>
        <w:pStyle w:val="NoSpacing"/>
        <w:jc w:val="center"/>
        <w:rPr>
          <w:rFonts w:ascii="Times New Roman" w:hAnsi="Times New Roman"/>
          <w:b/>
          <w:sz w:val="34"/>
          <w:szCs w:val="34"/>
        </w:rPr>
      </w:pPr>
      <w:r w:rsidRPr="00C91E5B">
        <w:rPr>
          <w:rFonts w:ascii="Times New Roman" w:hAnsi="Times New Roman"/>
          <w:b/>
          <w:sz w:val="34"/>
          <w:szCs w:val="34"/>
        </w:rPr>
        <w:t xml:space="preserve">RYANAIR REPORTS Q3 NET PROFIT </w:t>
      </w:r>
      <w:r>
        <w:rPr>
          <w:rFonts w:ascii="Times New Roman" w:hAnsi="Times New Roman"/>
          <w:b/>
          <w:sz w:val="34"/>
          <w:szCs w:val="34"/>
        </w:rPr>
        <w:t xml:space="preserve">OF </w:t>
      </w:r>
      <w:r w:rsidRPr="00C91E5B">
        <w:rPr>
          <w:rFonts w:ascii="Times New Roman" w:hAnsi="Times New Roman"/>
          <w:b/>
          <w:sz w:val="34"/>
          <w:szCs w:val="34"/>
        </w:rPr>
        <w:t>€15M</w:t>
      </w:r>
    </w:p>
    <w:p w14:paraId="38F12B44" w14:textId="77777777" w:rsidR="00724BA6" w:rsidRPr="00C91E5B" w:rsidRDefault="00724BA6" w:rsidP="00724BA6">
      <w:pPr>
        <w:pStyle w:val="NoSpacing"/>
        <w:jc w:val="center"/>
        <w:rPr>
          <w:rFonts w:ascii="Times New Roman" w:hAnsi="Times New Roman"/>
          <w:b/>
          <w:sz w:val="34"/>
          <w:szCs w:val="34"/>
        </w:rPr>
      </w:pPr>
      <w:r w:rsidRPr="00C91E5B">
        <w:rPr>
          <w:rFonts w:ascii="Times New Roman" w:hAnsi="Times New Roman"/>
          <w:b/>
          <w:sz w:val="34"/>
          <w:szCs w:val="34"/>
        </w:rPr>
        <w:t xml:space="preserve">YEAR TO DATE (9 MONTH) PROFITS UP 39% TO </w:t>
      </w:r>
      <w:r>
        <w:rPr>
          <w:rFonts w:ascii="Times New Roman" w:hAnsi="Times New Roman"/>
          <w:b/>
          <w:sz w:val="34"/>
          <w:szCs w:val="34"/>
        </w:rPr>
        <w:t>€</w:t>
      </w:r>
      <w:r w:rsidRPr="00C91E5B">
        <w:rPr>
          <w:rFonts w:ascii="Times New Roman" w:hAnsi="Times New Roman"/>
          <w:b/>
          <w:sz w:val="34"/>
          <w:szCs w:val="34"/>
        </w:rPr>
        <w:t>2.19BN</w:t>
      </w:r>
    </w:p>
    <w:p w14:paraId="17159098" w14:textId="77777777" w:rsidR="00724BA6" w:rsidRDefault="00724BA6" w:rsidP="00724BA6">
      <w:pPr>
        <w:pStyle w:val="NoSpacing"/>
        <w:jc w:val="both"/>
        <w:rPr>
          <w:rFonts w:ascii="Times New Roman" w:hAnsi="Times New Roman"/>
          <w:b/>
          <w:sz w:val="40"/>
          <w:szCs w:val="40"/>
        </w:rPr>
      </w:pPr>
    </w:p>
    <w:p w14:paraId="3158D63C" w14:textId="77777777" w:rsidR="00724BA6" w:rsidRPr="00724BA6" w:rsidRDefault="00724BA6" w:rsidP="00724BA6">
      <w:pPr>
        <w:pStyle w:val="NoSpacing"/>
        <w:jc w:val="both"/>
        <w:rPr>
          <w:rFonts w:ascii="Times New Roman" w:hAnsi="Times New Roman"/>
        </w:rPr>
      </w:pPr>
      <w:r w:rsidRPr="00724BA6">
        <w:rPr>
          <w:rFonts w:ascii="Times New Roman" w:hAnsi="Times New Roman"/>
        </w:rPr>
        <w:t>Ryanair Holdings today (29 Jan.) reported a Q3 PAT of €15m, compared to a bumper prior year Q3 PAT of €211m, as higher fuel costs offset revenue gains.  While traffic and fares were ahead of prior year, close-in Christmas/New Year loads and yields were softer than previously expected as Ryanair lowered prices in response to the sudden (but welcome) removal of flights from OTA Pirate websites in early Dec.  PAT for the 9-months ended 31 Dec. 2023 was up 39% at €2.19bn (PY: €1.58bn).</w:t>
      </w:r>
    </w:p>
    <w:p w14:paraId="381F8C6C" w14:textId="77777777" w:rsidR="00724BA6" w:rsidRPr="00724BA6" w:rsidRDefault="00724BA6" w:rsidP="00724BA6">
      <w:pPr>
        <w:pStyle w:val="NoSpacing"/>
        <w:jc w:val="both"/>
        <w:rPr>
          <w:rFonts w:ascii="Times New Roman" w:hAnsi="Times New Roman"/>
        </w:rPr>
      </w:pPr>
    </w:p>
    <w:p w14:paraId="2D5ACFCC" w14:textId="77777777" w:rsidR="00724BA6" w:rsidRPr="00724BA6" w:rsidRDefault="00724BA6" w:rsidP="00724BA6">
      <w:pPr>
        <w:pStyle w:val="NoSpacing"/>
        <w:jc w:val="both"/>
        <w:rPr>
          <w:rFonts w:ascii="Times New Roman" w:hAnsi="Times New Roman"/>
        </w:rPr>
      </w:pPr>
      <w:r w:rsidRPr="00724BA6">
        <w:rPr>
          <w:rFonts w:ascii="Times New Roman" w:hAnsi="Times New Roman"/>
        </w:rPr>
        <w:t>Q3 highlights:</w:t>
      </w:r>
    </w:p>
    <w:p w14:paraId="0FE2804E" w14:textId="77777777" w:rsidR="00724BA6" w:rsidRPr="00724BA6" w:rsidRDefault="00724BA6" w:rsidP="00724BA6">
      <w:pPr>
        <w:pStyle w:val="NoSpacing"/>
        <w:numPr>
          <w:ilvl w:val="0"/>
          <w:numId w:val="20"/>
        </w:numPr>
        <w:jc w:val="both"/>
        <w:textAlignment w:val="baseline"/>
        <w:rPr>
          <w:rFonts w:ascii="Times New Roman" w:hAnsi="Times New Roman"/>
        </w:rPr>
      </w:pPr>
      <w:r w:rsidRPr="00724BA6">
        <w:rPr>
          <w:rFonts w:ascii="Times New Roman" w:hAnsi="Times New Roman"/>
        </w:rPr>
        <w:t>Traffic grew 7% to 41.4m (LF down 1% to 92%).</w:t>
      </w:r>
    </w:p>
    <w:p w14:paraId="7F60F6D7" w14:textId="77777777" w:rsidR="00724BA6" w:rsidRPr="00724BA6" w:rsidRDefault="00724BA6" w:rsidP="00724BA6">
      <w:pPr>
        <w:pStyle w:val="NoSpacing"/>
        <w:numPr>
          <w:ilvl w:val="0"/>
          <w:numId w:val="20"/>
        </w:numPr>
        <w:jc w:val="both"/>
        <w:textAlignment w:val="baseline"/>
        <w:rPr>
          <w:rFonts w:ascii="Times New Roman" w:hAnsi="Times New Roman"/>
          <w:lang w:val="it-IT"/>
        </w:rPr>
      </w:pPr>
      <w:r w:rsidRPr="00724BA6">
        <w:rPr>
          <w:rFonts w:ascii="Times New Roman" w:hAnsi="Times New Roman"/>
          <w:lang w:val="it-IT"/>
        </w:rPr>
        <w:t xml:space="preserve">Rev. per pax +9% (ave. fare +13% &amp; ancil. rev. +2%). </w:t>
      </w:r>
    </w:p>
    <w:p w14:paraId="45EA9363" w14:textId="77777777" w:rsidR="00724BA6" w:rsidRPr="00724BA6" w:rsidRDefault="00724BA6" w:rsidP="00724BA6">
      <w:pPr>
        <w:pStyle w:val="NoSpacing"/>
        <w:numPr>
          <w:ilvl w:val="0"/>
          <w:numId w:val="20"/>
        </w:numPr>
        <w:jc w:val="both"/>
        <w:textAlignment w:val="baseline"/>
        <w:rPr>
          <w:rFonts w:ascii="Times New Roman" w:hAnsi="Times New Roman"/>
        </w:rPr>
      </w:pPr>
      <w:r w:rsidRPr="00724BA6">
        <w:rPr>
          <w:rFonts w:ascii="Times New Roman" w:hAnsi="Times New Roman"/>
        </w:rPr>
        <w:t>MSCI ESG rating upgraded from ‘BBB’ to ‘A’ in Dec.</w:t>
      </w:r>
    </w:p>
    <w:p w14:paraId="53250B6A" w14:textId="77777777" w:rsidR="00724BA6" w:rsidRPr="00724BA6" w:rsidRDefault="00724BA6" w:rsidP="00724BA6">
      <w:pPr>
        <w:pStyle w:val="NoSpacing"/>
        <w:numPr>
          <w:ilvl w:val="0"/>
          <w:numId w:val="20"/>
        </w:numPr>
        <w:jc w:val="both"/>
        <w:textAlignment w:val="baseline"/>
        <w:rPr>
          <w:rFonts w:ascii="Times New Roman" w:hAnsi="Times New Roman"/>
        </w:rPr>
      </w:pPr>
      <w:r w:rsidRPr="00724BA6">
        <w:rPr>
          <w:rFonts w:ascii="Times New Roman" w:hAnsi="Times New Roman"/>
        </w:rPr>
        <w:t>Fuel bill rose €320m (+35%) to €1.2bn.</w:t>
      </w:r>
    </w:p>
    <w:p w14:paraId="4F33C22A" w14:textId="77777777" w:rsidR="00724BA6" w:rsidRPr="00724BA6" w:rsidRDefault="00724BA6" w:rsidP="00724BA6">
      <w:pPr>
        <w:pStyle w:val="NoSpacing"/>
        <w:numPr>
          <w:ilvl w:val="0"/>
          <w:numId w:val="20"/>
        </w:numPr>
        <w:jc w:val="both"/>
        <w:textAlignment w:val="baseline"/>
        <w:rPr>
          <w:rFonts w:ascii="Times New Roman" w:hAnsi="Times New Roman"/>
        </w:rPr>
      </w:pPr>
      <w:r w:rsidRPr="00724BA6">
        <w:rPr>
          <w:rFonts w:ascii="Times New Roman" w:hAnsi="Times New Roman"/>
        </w:rPr>
        <w:t xml:space="preserve">136x B737 </w:t>
      </w:r>
      <w:r w:rsidRPr="00724BA6">
        <w:rPr>
          <w:rFonts w:ascii="Times New Roman" w:hAnsi="Times New Roman"/>
          <w:i/>
          <w:iCs/>
        </w:rPr>
        <w:t>“Gamechangers”</w:t>
      </w:r>
      <w:r w:rsidRPr="00724BA6">
        <w:rPr>
          <w:rFonts w:ascii="Times New Roman" w:hAnsi="Times New Roman"/>
        </w:rPr>
        <w:t xml:space="preserve"> in total fleet of 574 aircraft at 31 Dec. </w:t>
      </w:r>
    </w:p>
    <w:p w14:paraId="0FACAB3D" w14:textId="77777777" w:rsidR="00724BA6" w:rsidRPr="00724BA6" w:rsidRDefault="00724BA6" w:rsidP="00724BA6">
      <w:pPr>
        <w:pStyle w:val="NoSpacing"/>
        <w:numPr>
          <w:ilvl w:val="0"/>
          <w:numId w:val="20"/>
        </w:numPr>
        <w:jc w:val="both"/>
        <w:textAlignment w:val="baseline"/>
        <w:rPr>
          <w:rFonts w:ascii="Times New Roman" w:hAnsi="Times New Roman"/>
        </w:rPr>
      </w:pPr>
      <w:r w:rsidRPr="00724BA6">
        <w:rPr>
          <w:rFonts w:ascii="Times New Roman" w:hAnsi="Times New Roman"/>
        </w:rPr>
        <w:t>Fuel hedging extended to 65% of FY25 at $79bbl saving €450m.</w:t>
      </w:r>
    </w:p>
    <w:p w14:paraId="6E31FECD" w14:textId="77777777" w:rsidR="00724BA6" w:rsidRPr="00724BA6" w:rsidRDefault="00724BA6" w:rsidP="00724BA6">
      <w:pPr>
        <w:pStyle w:val="NoSpacing"/>
        <w:numPr>
          <w:ilvl w:val="0"/>
          <w:numId w:val="20"/>
        </w:numPr>
        <w:jc w:val="both"/>
        <w:textAlignment w:val="baseline"/>
        <w:rPr>
          <w:rFonts w:ascii="Times New Roman" w:hAnsi="Times New Roman"/>
        </w:rPr>
      </w:pPr>
      <w:r w:rsidRPr="00724BA6">
        <w:rPr>
          <w:rFonts w:ascii="Times New Roman" w:hAnsi="Times New Roman"/>
        </w:rPr>
        <w:t>Interim div. of €0.175 per share announced (payable 28 Feb.).</w:t>
      </w:r>
    </w:p>
    <w:p w14:paraId="0F08EECB" w14:textId="77777777" w:rsidR="00724BA6" w:rsidRPr="00724BA6" w:rsidRDefault="00724BA6" w:rsidP="00724BA6">
      <w:pPr>
        <w:pStyle w:val="NoSpacing"/>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1176"/>
        <w:gridCol w:w="1176"/>
        <w:gridCol w:w="1048"/>
        <w:gridCol w:w="1359"/>
        <w:gridCol w:w="1260"/>
        <w:gridCol w:w="1048"/>
      </w:tblGrid>
      <w:tr w:rsidR="00942502" w:rsidRPr="003609FA" w14:paraId="032490D9" w14:textId="77777777" w:rsidTr="003609FA">
        <w:tc>
          <w:tcPr>
            <w:tcW w:w="1396" w:type="dxa"/>
            <w:tcBorders>
              <w:top w:val="single" w:sz="12" w:space="0" w:color="auto"/>
              <w:left w:val="single" w:sz="12" w:space="0" w:color="auto"/>
              <w:bottom w:val="single" w:sz="12" w:space="0" w:color="auto"/>
              <w:right w:val="single" w:sz="12" w:space="0" w:color="auto"/>
            </w:tcBorders>
            <w:shd w:val="clear" w:color="auto" w:fill="auto"/>
          </w:tcPr>
          <w:p w14:paraId="64BDA002" w14:textId="77777777" w:rsidR="00724BA6" w:rsidRPr="003609FA" w:rsidRDefault="00724BA6" w:rsidP="00623B17">
            <w:pPr>
              <w:pStyle w:val="NoSpacing"/>
              <w:rPr>
                <w:rFonts w:ascii="Times New Roman" w:eastAsia="Times New Roman" w:hAnsi="Times New Roman"/>
                <w:b/>
              </w:rPr>
            </w:pPr>
          </w:p>
        </w:tc>
        <w:tc>
          <w:tcPr>
            <w:tcW w:w="1176" w:type="dxa"/>
            <w:tcBorders>
              <w:top w:val="single" w:sz="12" w:space="0" w:color="auto"/>
              <w:left w:val="single" w:sz="12" w:space="0" w:color="auto"/>
              <w:bottom w:val="single" w:sz="12" w:space="0" w:color="auto"/>
            </w:tcBorders>
            <w:shd w:val="clear" w:color="auto" w:fill="auto"/>
          </w:tcPr>
          <w:p w14:paraId="59B06AC1" w14:textId="77777777" w:rsidR="00724BA6" w:rsidRPr="003609FA" w:rsidRDefault="00724BA6" w:rsidP="003609FA">
            <w:pPr>
              <w:pStyle w:val="NoSpacing"/>
              <w:jc w:val="center"/>
              <w:rPr>
                <w:rFonts w:ascii="Times New Roman" w:eastAsia="Times New Roman" w:hAnsi="Times New Roman"/>
                <w:b/>
              </w:rPr>
            </w:pPr>
            <w:r w:rsidRPr="003609FA">
              <w:rPr>
                <w:rFonts w:ascii="Times New Roman" w:eastAsia="Times New Roman" w:hAnsi="Times New Roman"/>
                <w:b/>
              </w:rPr>
              <w:t>Q3 FY23</w:t>
            </w:r>
          </w:p>
        </w:tc>
        <w:tc>
          <w:tcPr>
            <w:tcW w:w="1176" w:type="dxa"/>
            <w:tcBorders>
              <w:top w:val="single" w:sz="12" w:space="0" w:color="auto"/>
              <w:bottom w:val="single" w:sz="12" w:space="0" w:color="auto"/>
            </w:tcBorders>
            <w:shd w:val="clear" w:color="auto" w:fill="auto"/>
          </w:tcPr>
          <w:p w14:paraId="5FFC5BE2" w14:textId="77777777" w:rsidR="00724BA6" w:rsidRPr="003609FA" w:rsidRDefault="00724BA6" w:rsidP="003609FA">
            <w:pPr>
              <w:pStyle w:val="NoSpacing"/>
              <w:jc w:val="center"/>
              <w:rPr>
                <w:rFonts w:ascii="Times New Roman" w:eastAsia="Times New Roman" w:hAnsi="Times New Roman"/>
                <w:b/>
              </w:rPr>
            </w:pPr>
            <w:r w:rsidRPr="003609FA">
              <w:rPr>
                <w:rFonts w:ascii="Times New Roman" w:eastAsia="Times New Roman" w:hAnsi="Times New Roman"/>
                <w:b/>
              </w:rPr>
              <w:t>Q3 FY24</w:t>
            </w:r>
          </w:p>
        </w:tc>
        <w:tc>
          <w:tcPr>
            <w:tcW w:w="1048" w:type="dxa"/>
            <w:tcBorders>
              <w:top w:val="single" w:sz="12" w:space="0" w:color="auto"/>
              <w:bottom w:val="single" w:sz="12" w:space="0" w:color="auto"/>
              <w:right w:val="single" w:sz="12" w:space="0" w:color="auto"/>
            </w:tcBorders>
            <w:shd w:val="clear" w:color="auto" w:fill="auto"/>
          </w:tcPr>
          <w:p w14:paraId="6F5DCAE9" w14:textId="77777777" w:rsidR="00724BA6" w:rsidRPr="003609FA" w:rsidRDefault="00724BA6" w:rsidP="003609FA">
            <w:pPr>
              <w:pStyle w:val="NoSpacing"/>
              <w:jc w:val="center"/>
              <w:rPr>
                <w:rFonts w:ascii="Times New Roman" w:eastAsia="Times New Roman" w:hAnsi="Times New Roman"/>
                <w:b/>
              </w:rPr>
            </w:pPr>
            <w:r w:rsidRPr="003609FA">
              <w:rPr>
                <w:rFonts w:ascii="Times New Roman" w:eastAsia="Times New Roman" w:hAnsi="Times New Roman"/>
                <w:b/>
              </w:rPr>
              <w:t>Change</w:t>
            </w:r>
          </w:p>
        </w:tc>
        <w:tc>
          <w:tcPr>
            <w:tcW w:w="1359" w:type="dxa"/>
            <w:tcBorders>
              <w:top w:val="single" w:sz="12" w:space="0" w:color="auto"/>
              <w:left w:val="single" w:sz="12" w:space="0" w:color="auto"/>
              <w:bottom w:val="single" w:sz="12" w:space="0" w:color="auto"/>
            </w:tcBorders>
            <w:shd w:val="clear" w:color="auto" w:fill="auto"/>
          </w:tcPr>
          <w:p w14:paraId="7C3E365D" w14:textId="77777777" w:rsidR="00724BA6" w:rsidRPr="003609FA" w:rsidRDefault="00724BA6" w:rsidP="003609FA">
            <w:pPr>
              <w:pStyle w:val="NoSpacing"/>
              <w:jc w:val="center"/>
              <w:rPr>
                <w:rFonts w:ascii="Times New Roman" w:eastAsia="Times New Roman" w:hAnsi="Times New Roman"/>
                <w:b/>
              </w:rPr>
            </w:pPr>
            <w:r w:rsidRPr="003609FA">
              <w:rPr>
                <w:rFonts w:ascii="Times New Roman" w:eastAsia="Times New Roman" w:hAnsi="Times New Roman"/>
                <w:b/>
              </w:rPr>
              <w:t>YTD FY23</w:t>
            </w:r>
          </w:p>
        </w:tc>
        <w:tc>
          <w:tcPr>
            <w:tcW w:w="1260" w:type="dxa"/>
            <w:tcBorders>
              <w:top w:val="single" w:sz="12" w:space="0" w:color="auto"/>
              <w:bottom w:val="single" w:sz="12" w:space="0" w:color="auto"/>
            </w:tcBorders>
            <w:shd w:val="clear" w:color="auto" w:fill="auto"/>
          </w:tcPr>
          <w:p w14:paraId="79B89960" w14:textId="77777777" w:rsidR="00724BA6" w:rsidRPr="003609FA" w:rsidRDefault="00724BA6" w:rsidP="003609FA">
            <w:pPr>
              <w:pStyle w:val="NoSpacing"/>
              <w:jc w:val="center"/>
              <w:rPr>
                <w:rFonts w:ascii="Times New Roman" w:eastAsia="Times New Roman" w:hAnsi="Times New Roman"/>
                <w:b/>
              </w:rPr>
            </w:pPr>
            <w:r w:rsidRPr="003609FA">
              <w:rPr>
                <w:rFonts w:ascii="Times New Roman" w:eastAsia="Times New Roman" w:hAnsi="Times New Roman"/>
                <w:b/>
              </w:rPr>
              <w:t>YTD FY24</w:t>
            </w:r>
          </w:p>
        </w:tc>
        <w:tc>
          <w:tcPr>
            <w:tcW w:w="1048" w:type="dxa"/>
            <w:tcBorders>
              <w:top w:val="single" w:sz="12" w:space="0" w:color="auto"/>
              <w:bottom w:val="single" w:sz="12" w:space="0" w:color="auto"/>
              <w:right w:val="single" w:sz="12" w:space="0" w:color="auto"/>
            </w:tcBorders>
            <w:shd w:val="clear" w:color="auto" w:fill="auto"/>
          </w:tcPr>
          <w:p w14:paraId="39E0E100" w14:textId="77777777" w:rsidR="00724BA6" w:rsidRPr="003609FA" w:rsidRDefault="00724BA6" w:rsidP="003609FA">
            <w:pPr>
              <w:pStyle w:val="NoSpacing"/>
              <w:jc w:val="center"/>
              <w:rPr>
                <w:rFonts w:ascii="Times New Roman" w:eastAsia="Times New Roman" w:hAnsi="Times New Roman"/>
                <w:b/>
              </w:rPr>
            </w:pPr>
            <w:r w:rsidRPr="003609FA">
              <w:rPr>
                <w:rFonts w:ascii="Times New Roman" w:eastAsia="Times New Roman" w:hAnsi="Times New Roman"/>
                <w:b/>
              </w:rPr>
              <w:t>Change</w:t>
            </w:r>
          </w:p>
        </w:tc>
      </w:tr>
      <w:tr w:rsidR="00942502" w:rsidRPr="003609FA" w14:paraId="76AC7616" w14:textId="77777777" w:rsidTr="003609FA">
        <w:tc>
          <w:tcPr>
            <w:tcW w:w="1396" w:type="dxa"/>
            <w:tcBorders>
              <w:top w:val="single" w:sz="12" w:space="0" w:color="auto"/>
              <w:left w:val="single" w:sz="12" w:space="0" w:color="auto"/>
              <w:right w:val="single" w:sz="12" w:space="0" w:color="auto"/>
            </w:tcBorders>
            <w:shd w:val="clear" w:color="auto" w:fill="auto"/>
          </w:tcPr>
          <w:p w14:paraId="2CD59220" w14:textId="77777777" w:rsidR="00724BA6" w:rsidRPr="003609FA" w:rsidRDefault="00724BA6" w:rsidP="003609FA">
            <w:pPr>
              <w:pStyle w:val="NoSpacing"/>
              <w:jc w:val="both"/>
              <w:rPr>
                <w:rFonts w:ascii="Times New Roman" w:eastAsia="Times New Roman" w:hAnsi="Times New Roman"/>
              </w:rPr>
            </w:pPr>
            <w:r w:rsidRPr="003609FA">
              <w:rPr>
                <w:rFonts w:ascii="Times New Roman" w:eastAsia="Times New Roman" w:hAnsi="Times New Roman"/>
              </w:rPr>
              <w:t>Customers</w:t>
            </w:r>
          </w:p>
        </w:tc>
        <w:tc>
          <w:tcPr>
            <w:tcW w:w="1176" w:type="dxa"/>
            <w:tcBorders>
              <w:top w:val="single" w:sz="12" w:space="0" w:color="auto"/>
              <w:left w:val="single" w:sz="12" w:space="0" w:color="auto"/>
            </w:tcBorders>
            <w:shd w:val="clear" w:color="auto" w:fill="auto"/>
          </w:tcPr>
          <w:p w14:paraId="18539F6F"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38.5m</w:t>
            </w:r>
          </w:p>
        </w:tc>
        <w:tc>
          <w:tcPr>
            <w:tcW w:w="1176" w:type="dxa"/>
            <w:tcBorders>
              <w:top w:val="single" w:sz="12" w:space="0" w:color="auto"/>
            </w:tcBorders>
            <w:shd w:val="clear" w:color="auto" w:fill="auto"/>
          </w:tcPr>
          <w:p w14:paraId="5B182C94"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41.4m</w:t>
            </w:r>
          </w:p>
        </w:tc>
        <w:tc>
          <w:tcPr>
            <w:tcW w:w="1048" w:type="dxa"/>
            <w:tcBorders>
              <w:top w:val="single" w:sz="12" w:space="0" w:color="auto"/>
              <w:right w:val="single" w:sz="12" w:space="0" w:color="auto"/>
            </w:tcBorders>
            <w:shd w:val="clear" w:color="auto" w:fill="auto"/>
          </w:tcPr>
          <w:p w14:paraId="49732001"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+7%</w:t>
            </w:r>
          </w:p>
        </w:tc>
        <w:tc>
          <w:tcPr>
            <w:tcW w:w="1359" w:type="dxa"/>
            <w:tcBorders>
              <w:top w:val="single" w:sz="12" w:space="0" w:color="auto"/>
              <w:left w:val="single" w:sz="12" w:space="0" w:color="auto"/>
            </w:tcBorders>
            <w:shd w:val="clear" w:color="auto" w:fill="auto"/>
          </w:tcPr>
          <w:p w14:paraId="609F91F7"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133.6m</w:t>
            </w:r>
          </w:p>
        </w:tc>
        <w:tc>
          <w:tcPr>
            <w:tcW w:w="1260" w:type="dxa"/>
            <w:tcBorders>
              <w:top w:val="single" w:sz="12" w:space="0" w:color="auto"/>
            </w:tcBorders>
            <w:shd w:val="clear" w:color="auto" w:fill="auto"/>
          </w:tcPr>
          <w:p w14:paraId="64AF9522"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146.8m</w:t>
            </w:r>
          </w:p>
        </w:tc>
        <w:tc>
          <w:tcPr>
            <w:tcW w:w="1048" w:type="dxa"/>
            <w:tcBorders>
              <w:top w:val="single" w:sz="12" w:space="0" w:color="auto"/>
              <w:right w:val="single" w:sz="12" w:space="0" w:color="auto"/>
            </w:tcBorders>
            <w:shd w:val="clear" w:color="auto" w:fill="auto"/>
          </w:tcPr>
          <w:p w14:paraId="3EF9227A"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+10%</w:t>
            </w:r>
          </w:p>
        </w:tc>
      </w:tr>
      <w:tr w:rsidR="00942502" w:rsidRPr="003609FA" w14:paraId="00387CBE" w14:textId="77777777" w:rsidTr="003609FA">
        <w:tc>
          <w:tcPr>
            <w:tcW w:w="1396" w:type="dxa"/>
            <w:tcBorders>
              <w:left w:val="single" w:sz="12" w:space="0" w:color="auto"/>
              <w:right w:val="single" w:sz="12" w:space="0" w:color="auto"/>
            </w:tcBorders>
            <w:shd w:val="clear" w:color="auto" w:fill="auto"/>
          </w:tcPr>
          <w:p w14:paraId="513B2D0B" w14:textId="77777777" w:rsidR="00724BA6" w:rsidRPr="003609FA" w:rsidRDefault="00724BA6" w:rsidP="003609FA">
            <w:pPr>
              <w:pStyle w:val="NoSpacing"/>
              <w:jc w:val="both"/>
              <w:rPr>
                <w:rFonts w:ascii="Times New Roman" w:eastAsia="Times New Roman" w:hAnsi="Times New Roman"/>
              </w:rPr>
            </w:pPr>
            <w:r w:rsidRPr="003609FA">
              <w:rPr>
                <w:rFonts w:ascii="Times New Roman" w:eastAsia="Times New Roman" w:hAnsi="Times New Roman"/>
              </w:rPr>
              <w:t>Load Factor</w:t>
            </w:r>
          </w:p>
        </w:tc>
        <w:tc>
          <w:tcPr>
            <w:tcW w:w="1176" w:type="dxa"/>
            <w:tcBorders>
              <w:left w:val="single" w:sz="12" w:space="0" w:color="auto"/>
            </w:tcBorders>
            <w:shd w:val="clear" w:color="auto" w:fill="auto"/>
          </w:tcPr>
          <w:p w14:paraId="663BCCFF"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93%</w:t>
            </w:r>
          </w:p>
        </w:tc>
        <w:tc>
          <w:tcPr>
            <w:tcW w:w="1176" w:type="dxa"/>
            <w:shd w:val="clear" w:color="auto" w:fill="auto"/>
          </w:tcPr>
          <w:p w14:paraId="1F342FDA"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92%</w:t>
            </w:r>
          </w:p>
        </w:tc>
        <w:tc>
          <w:tcPr>
            <w:tcW w:w="1048" w:type="dxa"/>
            <w:tcBorders>
              <w:right w:val="single" w:sz="12" w:space="0" w:color="auto"/>
            </w:tcBorders>
            <w:shd w:val="clear" w:color="auto" w:fill="auto"/>
          </w:tcPr>
          <w:p w14:paraId="301C702C"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-1pt</w:t>
            </w:r>
          </w:p>
        </w:tc>
        <w:tc>
          <w:tcPr>
            <w:tcW w:w="1359" w:type="dxa"/>
            <w:tcBorders>
              <w:left w:val="single" w:sz="12" w:space="0" w:color="auto"/>
            </w:tcBorders>
            <w:shd w:val="clear" w:color="auto" w:fill="auto"/>
          </w:tcPr>
          <w:p w14:paraId="4E0827BE"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94%</w:t>
            </w:r>
          </w:p>
        </w:tc>
        <w:tc>
          <w:tcPr>
            <w:tcW w:w="1260" w:type="dxa"/>
            <w:shd w:val="clear" w:color="auto" w:fill="auto"/>
          </w:tcPr>
          <w:p w14:paraId="29E9831C"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94%</w:t>
            </w:r>
          </w:p>
        </w:tc>
        <w:tc>
          <w:tcPr>
            <w:tcW w:w="1048" w:type="dxa"/>
            <w:tcBorders>
              <w:right w:val="single" w:sz="12" w:space="0" w:color="auto"/>
            </w:tcBorders>
            <w:shd w:val="clear" w:color="auto" w:fill="auto"/>
          </w:tcPr>
          <w:p w14:paraId="7E578FE7"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w:t>
            </w:r>
          </w:p>
        </w:tc>
      </w:tr>
      <w:tr w:rsidR="00942502" w:rsidRPr="003609FA" w14:paraId="257387FD" w14:textId="77777777" w:rsidTr="003609FA">
        <w:tc>
          <w:tcPr>
            <w:tcW w:w="1396" w:type="dxa"/>
            <w:tcBorders>
              <w:left w:val="single" w:sz="12" w:space="0" w:color="auto"/>
              <w:right w:val="single" w:sz="12" w:space="0" w:color="auto"/>
            </w:tcBorders>
            <w:shd w:val="clear" w:color="auto" w:fill="auto"/>
          </w:tcPr>
          <w:p w14:paraId="12164730" w14:textId="77777777" w:rsidR="00724BA6" w:rsidRPr="003609FA" w:rsidRDefault="00724BA6" w:rsidP="003609FA">
            <w:pPr>
              <w:pStyle w:val="NoSpacing"/>
              <w:jc w:val="both"/>
              <w:rPr>
                <w:rFonts w:ascii="Times New Roman" w:eastAsia="Times New Roman" w:hAnsi="Times New Roman"/>
              </w:rPr>
            </w:pPr>
            <w:r w:rsidRPr="003609FA">
              <w:rPr>
                <w:rFonts w:ascii="Times New Roman" w:eastAsia="Times New Roman" w:hAnsi="Times New Roman"/>
              </w:rPr>
              <w:t>Revenue</w:t>
            </w:r>
          </w:p>
        </w:tc>
        <w:tc>
          <w:tcPr>
            <w:tcW w:w="1176" w:type="dxa"/>
            <w:tcBorders>
              <w:left w:val="single" w:sz="12" w:space="0" w:color="auto"/>
            </w:tcBorders>
            <w:shd w:val="clear" w:color="auto" w:fill="auto"/>
          </w:tcPr>
          <w:p w14:paraId="7BB5BED2"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€2.31bn</w:t>
            </w:r>
          </w:p>
        </w:tc>
        <w:tc>
          <w:tcPr>
            <w:tcW w:w="1176" w:type="dxa"/>
            <w:shd w:val="clear" w:color="auto" w:fill="auto"/>
          </w:tcPr>
          <w:p w14:paraId="06668A51"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€2.70bn</w:t>
            </w:r>
          </w:p>
        </w:tc>
        <w:tc>
          <w:tcPr>
            <w:tcW w:w="1048" w:type="dxa"/>
            <w:tcBorders>
              <w:right w:val="single" w:sz="12" w:space="0" w:color="auto"/>
            </w:tcBorders>
            <w:shd w:val="clear" w:color="auto" w:fill="auto"/>
          </w:tcPr>
          <w:p w14:paraId="26D4ED11"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+17%</w:t>
            </w:r>
          </w:p>
        </w:tc>
        <w:tc>
          <w:tcPr>
            <w:tcW w:w="1359" w:type="dxa"/>
            <w:tcBorders>
              <w:left w:val="single" w:sz="12" w:space="0" w:color="auto"/>
            </w:tcBorders>
            <w:shd w:val="clear" w:color="auto" w:fill="auto"/>
          </w:tcPr>
          <w:p w14:paraId="51975C06"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€8.93bn</w:t>
            </w:r>
          </w:p>
        </w:tc>
        <w:tc>
          <w:tcPr>
            <w:tcW w:w="1260" w:type="dxa"/>
            <w:shd w:val="clear" w:color="auto" w:fill="auto"/>
          </w:tcPr>
          <w:p w14:paraId="36B22A85"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€11.27bn</w:t>
            </w:r>
          </w:p>
        </w:tc>
        <w:tc>
          <w:tcPr>
            <w:tcW w:w="1048" w:type="dxa"/>
            <w:tcBorders>
              <w:right w:val="single" w:sz="12" w:space="0" w:color="auto"/>
            </w:tcBorders>
            <w:shd w:val="clear" w:color="auto" w:fill="auto"/>
          </w:tcPr>
          <w:p w14:paraId="6C161013"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+26%</w:t>
            </w:r>
          </w:p>
        </w:tc>
      </w:tr>
      <w:tr w:rsidR="00942502" w:rsidRPr="003609FA" w14:paraId="6325A80E" w14:textId="77777777" w:rsidTr="003609FA">
        <w:tc>
          <w:tcPr>
            <w:tcW w:w="1396" w:type="dxa"/>
            <w:tcBorders>
              <w:left w:val="single" w:sz="12" w:space="0" w:color="auto"/>
              <w:right w:val="single" w:sz="12" w:space="0" w:color="auto"/>
            </w:tcBorders>
            <w:shd w:val="clear" w:color="auto" w:fill="auto"/>
          </w:tcPr>
          <w:p w14:paraId="5C34BBB7" w14:textId="77777777" w:rsidR="00724BA6" w:rsidRPr="003609FA" w:rsidRDefault="00724BA6" w:rsidP="003609FA">
            <w:pPr>
              <w:pStyle w:val="NoSpacing"/>
              <w:jc w:val="both"/>
              <w:rPr>
                <w:rFonts w:ascii="Times New Roman" w:eastAsia="Times New Roman" w:hAnsi="Times New Roman"/>
              </w:rPr>
            </w:pPr>
            <w:r w:rsidRPr="003609FA">
              <w:rPr>
                <w:rFonts w:ascii="Times New Roman" w:eastAsia="Times New Roman" w:hAnsi="Times New Roman"/>
              </w:rPr>
              <w:t>Op. Costs</w:t>
            </w:r>
          </w:p>
        </w:tc>
        <w:tc>
          <w:tcPr>
            <w:tcW w:w="1176" w:type="dxa"/>
            <w:tcBorders>
              <w:left w:val="single" w:sz="12" w:space="0" w:color="auto"/>
            </w:tcBorders>
            <w:shd w:val="clear" w:color="auto" w:fill="auto"/>
          </w:tcPr>
          <w:p w14:paraId="6E124E45"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€2.15bn</w:t>
            </w:r>
            <w:r w:rsidRPr="003609FA">
              <w:rPr>
                <w:rFonts w:ascii="Times New Roman" w:eastAsia="Times New Roman" w:hAnsi="Times New Roman"/>
                <w:vertAlign w:val="superscript"/>
              </w:rPr>
              <w:t>1</w:t>
            </w:r>
          </w:p>
        </w:tc>
        <w:tc>
          <w:tcPr>
            <w:tcW w:w="1176" w:type="dxa"/>
            <w:shd w:val="clear" w:color="auto" w:fill="auto"/>
          </w:tcPr>
          <w:p w14:paraId="4F519165"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€2.72bn</w:t>
            </w:r>
          </w:p>
        </w:tc>
        <w:tc>
          <w:tcPr>
            <w:tcW w:w="1048" w:type="dxa"/>
            <w:tcBorders>
              <w:right w:val="single" w:sz="12" w:space="0" w:color="auto"/>
            </w:tcBorders>
            <w:shd w:val="clear" w:color="auto" w:fill="auto"/>
          </w:tcPr>
          <w:p w14:paraId="0743B1ED"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+26%</w:t>
            </w:r>
          </w:p>
        </w:tc>
        <w:tc>
          <w:tcPr>
            <w:tcW w:w="1359" w:type="dxa"/>
            <w:tcBorders>
              <w:left w:val="single" w:sz="12" w:space="0" w:color="auto"/>
            </w:tcBorders>
            <w:shd w:val="clear" w:color="auto" w:fill="auto"/>
          </w:tcPr>
          <w:p w14:paraId="4B0D8998"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€7.13bn</w:t>
            </w:r>
            <w:r w:rsidRPr="003609FA">
              <w:rPr>
                <w:rFonts w:ascii="Times New Roman" w:eastAsia="Times New Roman" w:hAnsi="Times New Roman"/>
                <w:vertAlign w:val="superscript"/>
              </w:rPr>
              <w:t>2</w:t>
            </w:r>
          </w:p>
        </w:tc>
        <w:tc>
          <w:tcPr>
            <w:tcW w:w="1260" w:type="dxa"/>
            <w:shd w:val="clear" w:color="auto" w:fill="auto"/>
          </w:tcPr>
          <w:p w14:paraId="61646468"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€8.88bn</w:t>
            </w:r>
          </w:p>
        </w:tc>
        <w:tc>
          <w:tcPr>
            <w:tcW w:w="1048" w:type="dxa"/>
            <w:tcBorders>
              <w:right w:val="single" w:sz="12" w:space="0" w:color="auto"/>
            </w:tcBorders>
            <w:shd w:val="clear" w:color="auto" w:fill="auto"/>
          </w:tcPr>
          <w:p w14:paraId="636CE1F7"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+25%</w:t>
            </w:r>
          </w:p>
        </w:tc>
      </w:tr>
      <w:tr w:rsidR="00942502" w:rsidRPr="003609FA" w14:paraId="0F2FBDDB" w14:textId="77777777" w:rsidTr="003609FA">
        <w:tc>
          <w:tcPr>
            <w:tcW w:w="1396" w:type="dxa"/>
            <w:tcBorders>
              <w:left w:val="single" w:sz="12" w:space="0" w:color="auto"/>
              <w:bottom w:val="single" w:sz="12" w:space="0" w:color="auto"/>
              <w:right w:val="single" w:sz="12" w:space="0" w:color="auto"/>
            </w:tcBorders>
            <w:shd w:val="clear" w:color="auto" w:fill="auto"/>
          </w:tcPr>
          <w:p w14:paraId="36AD0D6F" w14:textId="77777777" w:rsidR="00724BA6" w:rsidRPr="003609FA" w:rsidRDefault="00724BA6" w:rsidP="003609FA">
            <w:pPr>
              <w:pStyle w:val="NoSpacing"/>
              <w:jc w:val="both"/>
              <w:rPr>
                <w:rFonts w:ascii="Times New Roman" w:eastAsia="Times New Roman" w:hAnsi="Times New Roman"/>
              </w:rPr>
            </w:pPr>
            <w:r w:rsidRPr="003609FA">
              <w:rPr>
                <w:rFonts w:ascii="Times New Roman" w:eastAsia="Times New Roman" w:hAnsi="Times New Roman"/>
              </w:rPr>
              <w:t>PAT</w:t>
            </w:r>
          </w:p>
        </w:tc>
        <w:tc>
          <w:tcPr>
            <w:tcW w:w="1176" w:type="dxa"/>
            <w:tcBorders>
              <w:left w:val="single" w:sz="12" w:space="0" w:color="auto"/>
              <w:bottom w:val="single" w:sz="12" w:space="0" w:color="auto"/>
            </w:tcBorders>
            <w:shd w:val="clear" w:color="auto" w:fill="auto"/>
          </w:tcPr>
          <w:p w14:paraId="27E927D4"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€211m</w:t>
            </w:r>
            <w:r w:rsidRPr="003609FA">
              <w:rPr>
                <w:rFonts w:ascii="Times New Roman" w:eastAsia="Times New Roman" w:hAnsi="Times New Roman"/>
                <w:vertAlign w:val="superscript"/>
              </w:rPr>
              <w:t>1</w:t>
            </w:r>
          </w:p>
        </w:tc>
        <w:tc>
          <w:tcPr>
            <w:tcW w:w="1176" w:type="dxa"/>
            <w:tcBorders>
              <w:bottom w:val="single" w:sz="12" w:space="0" w:color="auto"/>
            </w:tcBorders>
            <w:shd w:val="clear" w:color="auto" w:fill="auto"/>
          </w:tcPr>
          <w:p w14:paraId="36A9B4F3"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€15m</w:t>
            </w:r>
          </w:p>
        </w:tc>
        <w:tc>
          <w:tcPr>
            <w:tcW w:w="1048" w:type="dxa"/>
            <w:tcBorders>
              <w:bottom w:val="single" w:sz="12" w:space="0" w:color="auto"/>
              <w:right w:val="single" w:sz="12" w:space="0" w:color="auto"/>
            </w:tcBorders>
            <w:shd w:val="clear" w:color="auto" w:fill="auto"/>
          </w:tcPr>
          <w:p w14:paraId="278FAC50"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-93%</w:t>
            </w:r>
          </w:p>
        </w:tc>
        <w:tc>
          <w:tcPr>
            <w:tcW w:w="1359" w:type="dxa"/>
            <w:tcBorders>
              <w:left w:val="single" w:sz="12" w:space="0" w:color="auto"/>
              <w:bottom w:val="single" w:sz="12" w:space="0" w:color="auto"/>
            </w:tcBorders>
            <w:shd w:val="clear" w:color="auto" w:fill="auto"/>
          </w:tcPr>
          <w:p w14:paraId="4DD25154"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€1.58bn</w:t>
            </w:r>
            <w:r w:rsidRPr="003609FA">
              <w:rPr>
                <w:rFonts w:ascii="Times New Roman" w:eastAsia="Times New Roman" w:hAnsi="Times New Roman"/>
                <w:vertAlign w:val="superscript"/>
              </w:rPr>
              <w:t>2</w:t>
            </w:r>
          </w:p>
        </w:tc>
        <w:tc>
          <w:tcPr>
            <w:tcW w:w="1260" w:type="dxa"/>
            <w:tcBorders>
              <w:bottom w:val="single" w:sz="12" w:space="0" w:color="auto"/>
            </w:tcBorders>
            <w:shd w:val="clear" w:color="auto" w:fill="auto"/>
          </w:tcPr>
          <w:p w14:paraId="1886DC4F"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€2.19bn</w:t>
            </w:r>
          </w:p>
        </w:tc>
        <w:tc>
          <w:tcPr>
            <w:tcW w:w="1048" w:type="dxa"/>
            <w:tcBorders>
              <w:bottom w:val="single" w:sz="12" w:space="0" w:color="auto"/>
              <w:right w:val="single" w:sz="12" w:space="0" w:color="auto"/>
            </w:tcBorders>
            <w:shd w:val="clear" w:color="auto" w:fill="auto"/>
          </w:tcPr>
          <w:p w14:paraId="08BE7F8B" w14:textId="77777777" w:rsidR="00724BA6" w:rsidRPr="003609FA" w:rsidRDefault="00724BA6" w:rsidP="003609FA">
            <w:pPr>
              <w:pStyle w:val="NoSpacing"/>
              <w:jc w:val="center"/>
              <w:rPr>
                <w:rFonts w:ascii="Times New Roman" w:eastAsia="Times New Roman" w:hAnsi="Times New Roman"/>
              </w:rPr>
            </w:pPr>
            <w:r w:rsidRPr="003609FA">
              <w:rPr>
                <w:rFonts w:ascii="Times New Roman" w:eastAsia="Times New Roman" w:hAnsi="Times New Roman"/>
              </w:rPr>
              <w:t>+39%</w:t>
            </w:r>
          </w:p>
        </w:tc>
      </w:tr>
    </w:tbl>
    <w:p w14:paraId="3593438A" w14:textId="77777777" w:rsidR="00724BA6" w:rsidRDefault="00724BA6" w:rsidP="00724BA6">
      <w:pPr>
        <w:pStyle w:val="NoSpacing"/>
        <w:jc w:val="both"/>
        <w:rPr>
          <w:rFonts w:ascii="Times New Roman" w:hAnsi="Times New Roman"/>
          <w:sz w:val="16"/>
          <w:szCs w:val="16"/>
        </w:rPr>
      </w:pPr>
    </w:p>
    <w:p w14:paraId="6D92DBD3" w14:textId="77777777" w:rsidR="00724BA6" w:rsidRDefault="00724BA6" w:rsidP="00724BA6">
      <w:pPr>
        <w:pStyle w:val="NoSpacing"/>
        <w:jc w:val="both"/>
        <w:rPr>
          <w:rFonts w:ascii="Times New Roman" w:hAnsi="Times New Roman"/>
          <w:sz w:val="16"/>
          <w:szCs w:val="16"/>
        </w:rPr>
      </w:pPr>
    </w:p>
    <w:p w14:paraId="36080D90" w14:textId="77777777" w:rsidR="00724BA6" w:rsidRPr="00724BA6" w:rsidRDefault="00724BA6" w:rsidP="00724BA6">
      <w:pPr>
        <w:pStyle w:val="NoSpacing"/>
        <w:jc w:val="both"/>
        <w:rPr>
          <w:rFonts w:ascii="Times New Roman" w:hAnsi="Times New Roman"/>
          <w:b/>
          <w:i/>
        </w:rPr>
      </w:pPr>
      <w:r w:rsidRPr="00724BA6">
        <w:rPr>
          <w:rFonts w:ascii="Times New Roman" w:hAnsi="Times New Roman"/>
          <w:b/>
          <w:i/>
        </w:rPr>
        <w:t>Ryanair’s Michael O’Leary, said:</w:t>
      </w:r>
    </w:p>
    <w:p w14:paraId="6DFD13F8" w14:textId="77777777" w:rsidR="00724BA6" w:rsidRPr="00724BA6" w:rsidRDefault="00724BA6" w:rsidP="00724BA6">
      <w:pPr>
        <w:pStyle w:val="NoSpacing"/>
        <w:jc w:val="both"/>
        <w:rPr>
          <w:rFonts w:ascii="Times New Roman" w:hAnsi="Times New Roman"/>
        </w:rPr>
      </w:pPr>
    </w:p>
    <w:p w14:paraId="20F3F5F3" w14:textId="77777777" w:rsidR="00724BA6" w:rsidRPr="00724BA6" w:rsidRDefault="00724BA6" w:rsidP="00724BA6">
      <w:pPr>
        <w:pStyle w:val="NoSpacing"/>
        <w:jc w:val="both"/>
        <w:rPr>
          <w:rFonts w:ascii="Times New Roman" w:hAnsi="Times New Roman"/>
          <w:b/>
          <w:u w:val="single"/>
        </w:rPr>
      </w:pPr>
      <w:r w:rsidRPr="00724BA6">
        <w:rPr>
          <w:rFonts w:ascii="Times New Roman" w:hAnsi="Times New Roman"/>
          <w:b/>
          <w:u w:val="single"/>
        </w:rPr>
        <w:t>ENVIRONMENT:</w:t>
      </w:r>
    </w:p>
    <w:p w14:paraId="4A2F31A2" w14:textId="77777777" w:rsidR="00724BA6" w:rsidRPr="00724BA6" w:rsidRDefault="00724BA6" w:rsidP="00724BA6">
      <w:pPr>
        <w:pStyle w:val="NoSpacing"/>
        <w:jc w:val="both"/>
        <w:rPr>
          <w:rFonts w:ascii="Times New Roman" w:hAnsi="Times New Roman"/>
        </w:rPr>
      </w:pPr>
      <w:r w:rsidRPr="00724BA6">
        <w:rPr>
          <w:rFonts w:ascii="Times New Roman" w:hAnsi="Times New Roman"/>
        </w:rPr>
        <w:t>“In Dec., MSCI upgraded Ryanair’s ESG rating to an industry leading ‘A’ (from ‘BBB’) and we remain ranked Europe’s No.1 airline for ESG by Sustainalytics.  Our new aircraft technology and increasing use of SAF has positioned Ryanair as one of the EU’s most environmentally efficient major airlines.  In Q3 we took delivery of 12, new B737-8200 “</w:t>
      </w:r>
      <w:r w:rsidRPr="00724BA6">
        <w:rPr>
          <w:rFonts w:ascii="Times New Roman" w:hAnsi="Times New Roman"/>
          <w:i/>
          <w:iCs/>
        </w:rPr>
        <w:t>Gamechangers</w:t>
      </w:r>
      <w:r w:rsidRPr="00724BA6">
        <w:rPr>
          <w:rFonts w:ascii="Times New Roman" w:hAnsi="Times New Roman"/>
        </w:rPr>
        <w:t xml:space="preserve">” (4% more seats, 16% less fuel &amp; CO2).  We continue to retro-fit  winglets on our B737NG fleet (target 409 by 2026), reducing fuel burn by 1.5% and cutting noise emissions by 6%.  We recently expanded our SAF partnerships with ENI to supply Ryanair’s Italian bases, and we remain on track to achieve our Group’s ambitious 2030 goal of powering 12.5% of Ryanair flights with SAF (10% supply now secured).  </w:t>
      </w:r>
    </w:p>
    <w:p w14:paraId="0F900333" w14:textId="77777777" w:rsidR="00724BA6" w:rsidRPr="00724BA6" w:rsidRDefault="00724BA6" w:rsidP="00724BA6">
      <w:pPr>
        <w:pStyle w:val="NoSpacing"/>
        <w:jc w:val="both"/>
        <w:rPr>
          <w:rFonts w:ascii="Times New Roman" w:hAnsi="Times New Roman"/>
        </w:rPr>
      </w:pPr>
    </w:p>
    <w:p w14:paraId="22D76BDC" w14:textId="77777777" w:rsidR="00724BA6" w:rsidRPr="00724BA6" w:rsidRDefault="00724BA6" w:rsidP="00724BA6">
      <w:pPr>
        <w:pStyle w:val="NoSpacing"/>
        <w:jc w:val="both"/>
        <w:rPr>
          <w:rFonts w:ascii="Times New Roman" w:hAnsi="Times New Roman"/>
        </w:rPr>
      </w:pPr>
      <w:r w:rsidRPr="00724BA6">
        <w:rPr>
          <w:rFonts w:ascii="Times New Roman" w:hAnsi="Times New Roman"/>
        </w:rPr>
        <w:t xml:space="preserve">In 2023 Europe suffered 67 days of ATC strikes (13 times more than in 2022), forcing airlines to cancel thousands of flights to/from Germany, Spain, Italy and the UK while France in particular uses minimum service laws to protect French local/domestic flights.  We continue to call for urgent reform of Europe’s inefficient ATC system which would deliver the most significant environmental improvement in EU air travel.  Sadly, there has been no action from the EU Commission.  We again call on President Ursula von der Leyen to defend the single market for air travel by protecting 100% of overflights during national ATC strikes, as is already the case in Greece, Italy and Spain. </w:t>
      </w:r>
    </w:p>
    <w:p w14:paraId="3D519078" w14:textId="77777777" w:rsidR="00724BA6" w:rsidRPr="00724BA6" w:rsidRDefault="00724BA6" w:rsidP="00724BA6">
      <w:pPr>
        <w:pStyle w:val="NoSpacing"/>
        <w:jc w:val="both"/>
        <w:rPr>
          <w:rFonts w:ascii="Times New Roman" w:hAnsi="Times New Roman"/>
          <w:b/>
          <w:bCs/>
          <w:u w:val="single"/>
        </w:rPr>
      </w:pPr>
    </w:p>
    <w:p w14:paraId="7D20123F" w14:textId="77777777" w:rsidR="00724BA6" w:rsidRPr="00724BA6" w:rsidRDefault="00724BA6" w:rsidP="00724BA6">
      <w:pPr>
        <w:jc w:val="both"/>
        <w:rPr>
          <w:rFonts w:eastAsia="Calibri"/>
          <w:b/>
          <w:bCs/>
          <w:iCs/>
          <w:sz w:val="22"/>
          <w:szCs w:val="22"/>
          <w:u w:val="single"/>
          <w:lang w:val="en-GB"/>
        </w:rPr>
      </w:pPr>
      <w:bookmarkStart w:id="0" w:name="_Hlk92645076"/>
      <w:r w:rsidRPr="00724BA6">
        <w:rPr>
          <w:rFonts w:eastAsia="Calibri"/>
          <w:b/>
          <w:bCs/>
          <w:iCs/>
          <w:sz w:val="22"/>
          <w:szCs w:val="22"/>
          <w:u w:val="single"/>
          <w:lang w:val="en-GB"/>
        </w:rPr>
        <w:t>BOARD UPDATES:</w:t>
      </w:r>
    </w:p>
    <w:p w14:paraId="5269061A" w14:textId="77777777" w:rsidR="00724BA6" w:rsidRPr="00724BA6" w:rsidRDefault="00724BA6" w:rsidP="00724BA6">
      <w:pPr>
        <w:jc w:val="both"/>
        <w:rPr>
          <w:rFonts w:eastAsia="Calibri"/>
          <w:iCs/>
          <w:sz w:val="22"/>
          <w:szCs w:val="22"/>
          <w:lang w:val="en-GB"/>
        </w:rPr>
      </w:pPr>
      <w:r w:rsidRPr="00724BA6">
        <w:rPr>
          <w:rFonts w:eastAsia="Calibri"/>
          <w:iCs/>
          <w:sz w:val="22"/>
          <w:szCs w:val="22"/>
          <w:lang w:val="en-GB"/>
        </w:rPr>
        <w:t xml:space="preserve">The Board recently announced that Ms. Roberta Neri (an Italian Citizen) has agreed to join the Board of Ryanair Holdings plc as a non-exec director from 1 Feb.  Roberta is a former CEO of Enav (the Italian air navigation service provider) and has considerable aviation and renewables industry experience.  </w:t>
      </w:r>
    </w:p>
    <w:p w14:paraId="221C002B" w14:textId="77777777" w:rsidR="00724BA6" w:rsidRPr="00724BA6" w:rsidRDefault="00724BA6" w:rsidP="00724BA6">
      <w:pPr>
        <w:jc w:val="both"/>
        <w:rPr>
          <w:rFonts w:eastAsia="Calibri"/>
          <w:iCs/>
          <w:sz w:val="22"/>
          <w:szCs w:val="22"/>
          <w:lang w:val="en-GB"/>
        </w:rPr>
      </w:pPr>
    </w:p>
    <w:p w14:paraId="273F3A9A" w14:textId="77777777" w:rsidR="00724BA6" w:rsidRPr="00724BA6" w:rsidRDefault="00724BA6" w:rsidP="00724BA6">
      <w:pPr>
        <w:jc w:val="both"/>
        <w:rPr>
          <w:rFonts w:eastAsia="Calibri"/>
          <w:iCs/>
          <w:sz w:val="22"/>
          <w:szCs w:val="22"/>
          <w:lang w:val="en-GB"/>
        </w:rPr>
      </w:pPr>
      <w:r w:rsidRPr="00724BA6">
        <w:rPr>
          <w:rFonts w:eastAsia="Calibri"/>
          <w:iCs/>
          <w:sz w:val="22"/>
          <w:szCs w:val="22"/>
          <w:lang w:val="en-GB"/>
        </w:rPr>
        <w:t xml:space="preserve">Both Louise Phelan (SID) and Michael Cawley have confirmed that they do not wish to seek re-election at the 2024 AGM (in Sept.) and will step down from the Board at that time.  We thank them sincerely for their long service.  Róisín Brennan, who has significant PLC Board experience (over 5 years on Ryanair’s Board), has been appointed senior independent director (SID) effective 1 Apr. </w:t>
      </w:r>
    </w:p>
    <w:p w14:paraId="3FB7FCA3" w14:textId="77777777" w:rsidR="00724BA6" w:rsidRPr="008E2D63" w:rsidRDefault="00724BA6" w:rsidP="00724BA6">
      <w:pPr>
        <w:jc w:val="both"/>
        <w:rPr>
          <w:rFonts w:eastAsia="Calibri"/>
          <w:iCs/>
          <w:lang w:val="en-GB"/>
        </w:rPr>
      </w:pPr>
      <w:r>
        <w:rPr>
          <w:rFonts w:eastAsia="Calibri"/>
          <w:iCs/>
          <w:lang w:val="en-GB"/>
        </w:rPr>
        <w:t xml:space="preserve"> </w:t>
      </w:r>
      <w:bookmarkEnd w:id="0"/>
    </w:p>
    <w:p w14:paraId="1063D920" w14:textId="77777777" w:rsidR="00724BA6" w:rsidRDefault="00724BA6" w:rsidP="00724BA6">
      <w:pPr>
        <w:pStyle w:val="NoSpacing"/>
        <w:jc w:val="both"/>
        <w:rPr>
          <w:rFonts w:ascii="Times New Roman" w:hAnsi="Times New Roman"/>
          <w:b/>
          <w:bCs/>
          <w:u w:val="single"/>
        </w:rPr>
      </w:pPr>
      <w:r>
        <w:rPr>
          <w:rFonts w:ascii="Times New Roman" w:hAnsi="Times New Roman"/>
          <w:b/>
          <w:bCs/>
          <w:u w:val="single"/>
        </w:rPr>
        <w:br w:type="page"/>
      </w:r>
    </w:p>
    <w:p w14:paraId="618D6748" w14:textId="77777777" w:rsidR="00724BA6" w:rsidRDefault="00724BA6" w:rsidP="00724BA6">
      <w:pPr>
        <w:pStyle w:val="NoSpacing"/>
        <w:jc w:val="both"/>
        <w:rPr>
          <w:rFonts w:ascii="Times New Roman" w:hAnsi="Times New Roman"/>
          <w:b/>
          <w:bCs/>
          <w:u w:val="single"/>
        </w:rPr>
      </w:pPr>
      <w:r>
        <w:rPr>
          <w:rFonts w:ascii="Times New Roman" w:hAnsi="Times New Roman"/>
          <w:b/>
          <w:bCs/>
          <w:u w:val="single"/>
        </w:rPr>
        <w:t>GROWTH &amp; FLEET:</w:t>
      </w:r>
    </w:p>
    <w:p w14:paraId="08C01A03" w14:textId="77777777" w:rsidR="00724BA6" w:rsidRDefault="00724BA6" w:rsidP="00724BA6">
      <w:pPr>
        <w:pStyle w:val="NoSpacing"/>
        <w:jc w:val="both"/>
        <w:rPr>
          <w:rFonts w:ascii="Times New Roman" w:hAnsi="Times New Roman"/>
        </w:rPr>
      </w:pPr>
      <w:r>
        <w:rPr>
          <w:rFonts w:ascii="Times New Roman" w:hAnsi="Times New Roman"/>
        </w:rPr>
        <w:t xml:space="preserve">At the end of Q3, Ryanair had taken delivery of 136 B737 Gamechangers.  We expect to have up to 174 of these aircraft in our fleet by late June for peak S.24 (+50 from S.23), which would be 7 short of our contracted deliveries.  There remains a risk that some of these deliveries could slip further.  We’ve a bumper S.24 schedule on sale with 169 new routes (total 2,600 routes), incl. our first 11 domestic routes in Morocco.  While travel demand remains high, we expect S.24 EU short haul capacity to be behind S.23 as competitors ground A320 aircraft in Europe due to the P&amp;W engine issues (and expect these disruptions will run into 2026).  We therefore encourage customers to book early on </w:t>
      </w:r>
      <w:hyperlink r:id="rId11" w:history="1">
        <w:r w:rsidRPr="00AE4671">
          <w:rPr>
            <w:rStyle w:val="Hyperlink"/>
            <w:rFonts w:ascii="Times New Roman" w:hAnsi="Times New Roman"/>
          </w:rPr>
          <w:t>www.ryanair.com</w:t>
        </w:r>
      </w:hyperlink>
      <w:r>
        <w:rPr>
          <w:rFonts w:ascii="Times New Roman" w:hAnsi="Times New Roman"/>
        </w:rPr>
        <w:t xml:space="preserve"> to secure the lowest fares for S.24 before they sell out.</w:t>
      </w:r>
    </w:p>
    <w:p w14:paraId="4CB2AB4C" w14:textId="77777777" w:rsidR="00724BA6" w:rsidRDefault="00724BA6" w:rsidP="00724BA6">
      <w:pPr>
        <w:pStyle w:val="NoSpacing"/>
        <w:jc w:val="both"/>
        <w:rPr>
          <w:rFonts w:ascii="Times New Roman" w:hAnsi="Times New Roman"/>
        </w:rPr>
      </w:pPr>
    </w:p>
    <w:p w14:paraId="7D626403" w14:textId="77777777" w:rsidR="00724BA6" w:rsidRDefault="00724BA6" w:rsidP="00724BA6">
      <w:pPr>
        <w:pStyle w:val="NoSpacing"/>
        <w:jc w:val="both"/>
        <w:rPr>
          <w:rFonts w:ascii="Times New Roman" w:hAnsi="Times New Roman"/>
        </w:rPr>
      </w:pPr>
      <w:r>
        <w:rPr>
          <w:rFonts w:ascii="Times New Roman" w:hAnsi="Times New Roman"/>
        </w:rPr>
        <w:t>We continue to work closely with Boeing to minimise delivery delays and improve quality control in both Wichita and Seattle.  While the recent MAX-9 grounding was a disappointing setback, we don’t expect it to affect the MAX-8 fleet or the MAX-10 certification.  We visited Seattle in Jan. and met with Boeing senior management.  Boeing are increasing their QA resources in Wichita and Seattle.  We have run extra checks on our recent B737 deliveries and have noted improvements in quality with fewer delivery defects.  However, Boeing have more work to do to improve quality, reduce delivery delays, and we fully support the initiatives that Dave Calhoun (CEO) and Brian West (CFO) are taking to improve Boeing’s performance and production.</w:t>
      </w:r>
    </w:p>
    <w:p w14:paraId="42A3CC63" w14:textId="77777777" w:rsidR="00724BA6" w:rsidRDefault="00724BA6" w:rsidP="00724BA6">
      <w:pPr>
        <w:pStyle w:val="NoSpacing"/>
        <w:jc w:val="both"/>
        <w:rPr>
          <w:rFonts w:ascii="Times New Roman" w:hAnsi="Times New Roman"/>
        </w:rPr>
      </w:pPr>
    </w:p>
    <w:p w14:paraId="20E4D133" w14:textId="77777777" w:rsidR="00724BA6" w:rsidRDefault="00724BA6" w:rsidP="00724BA6">
      <w:pPr>
        <w:pStyle w:val="NoSpacing"/>
        <w:jc w:val="both"/>
        <w:rPr>
          <w:rFonts w:ascii="Times New Roman" w:hAnsi="Times New Roman"/>
        </w:rPr>
      </w:pPr>
      <w:r>
        <w:rPr>
          <w:rFonts w:ascii="Times New Roman" w:hAnsi="Times New Roman"/>
        </w:rPr>
        <w:t xml:space="preserve">We have reached agreement with SAP Concur to integrate their on-line travel tool with Ryanair’s website.  Corporate customers who book directly with Ryanair via Concur can now benefit from significant efficiencies (incl. automated expense &amp; invoice management) in their booking and admin. process.  This, coupled with our low fares and high reliability improves our offering to business travellers.  We also welcome the recent agreements with Love Holidays and Kiwi (OTAs), which will see their customers book flights directly on the Ryanair.com website, but without inflating Ryanair prices for seats or ancillary products, thereby greatly improving the customer service offering available to both Love Holidays and Kiwi customers.  </w:t>
      </w:r>
    </w:p>
    <w:p w14:paraId="053A6633" w14:textId="77777777" w:rsidR="00724BA6" w:rsidRDefault="00724BA6" w:rsidP="00724BA6">
      <w:pPr>
        <w:pStyle w:val="NoSpacing"/>
        <w:jc w:val="both"/>
        <w:rPr>
          <w:rFonts w:ascii="Times New Roman" w:hAnsi="Times New Roman"/>
        </w:rPr>
      </w:pPr>
    </w:p>
    <w:p w14:paraId="2C6F6FBF" w14:textId="77777777" w:rsidR="00724BA6" w:rsidRPr="00426A65" w:rsidRDefault="00724BA6" w:rsidP="00724BA6">
      <w:pPr>
        <w:pStyle w:val="NoSpacing"/>
        <w:jc w:val="both"/>
        <w:rPr>
          <w:rFonts w:ascii="Times New Roman" w:hAnsi="Times New Roman"/>
          <w:bCs/>
        </w:rPr>
      </w:pPr>
      <w:r>
        <w:rPr>
          <w:rFonts w:ascii="Times New Roman" w:hAnsi="Times New Roman"/>
        </w:rPr>
        <w:t>We expect Europe’s a</w:t>
      </w:r>
      <w:r>
        <w:rPr>
          <w:rFonts w:ascii="Times New Roman" w:hAnsi="Times New Roman"/>
          <w:bCs/>
        </w:rPr>
        <w:t xml:space="preserve">irlines will continue to consolidate over the next 3 years, with the takeover of ITA (Italy) and Air Europa (Spain), as well as the sale of TAP (Portugal) and SAS (Scandinavia) already underway.  This, in addition to A320 fleet groundings due to the P&amp;W engine issues and the large backlog of OEM aircraft deliveries is likely to constrain short haul capacity in Europe for the next 3 years.  These capacity constraints, combined with our significant cost advantage (incl. FY25 fuel savings), strong balance sheet, low-cost aircraft orders and industry leading resilience, will (we believe) underpin a decade of profitable growth opportunities for Ryanair as we expand our traffic to 300m pax p.a. by FY34.     </w:t>
      </w:r>
    </w:p>
    <w:p w14:paraId="4A1EB539" w14:textId="77777777" w:rsidR="00724BA6" w:rsidRDefault="00724BA6" w:rsidP="00724BA6">
      <w:pPr>
        <w:pStyle w:val="NoSpacing"/>
        <w:jc w:val="both"/>
        <w:rPr>
          <w:rFonts w:ascii="Times New Roman" w:hAnsi="Times New Roman"/>
          <w:b/>
          <w:u w:val="single"/>
        </w:rPr>
      </w:pPr>
    </w:p>
    <w:p w14:paraId="171B2673" w14:textId="77777777" w:rsidR="00724BA6" w:rsidRPr="008A75EC" w:rsidRDefault="00724BA6" w:rsidP="00724BA6">
      <w:pPr>
        <w:pStyle w:val="NoSpacing"/>
        <w:jc w:val="both"/>
        <w:rPr>
          <w:rFonts w:ascii="Times New Roman" w:hAnsi="Times New Roman"/>
          <w:b/>
          <w:u w:val="single"/>
        </w:rPr>
      </w:pPr>
      <w:r>
        <w:rPr>
          <w:rFonts w:ascii="Times New Roman" w:hAnsi="Times New Roman"/>
          <w:b/>
          <w:u w:val="single"/>
        </w:rPr>
        <w:t xml:space="preserve">Q3 FY24 </w:t>
      </w:r>
      <w:r w:rsidRPr="008A75EC">
        <w:rPr>
          <w:rFonts w:ascii="Times New Roman" w:hAnsi="Times New Roman"/>
          <w:b/>
          <w:u w:val="single"/>
        </w:rPr>
        <w:t>BUSINESS REVIEW:</w:t>
      </w:r>
    </w:p>
    <w:p w14:paraId="079EBBFC" w14:textId="77777777" w:rsidR="00724BA6" w:rsidRDefault="00724BA6" w:rsidP="00724BA6">
      <w:pPr>
        <w:pStyle w:val="NoSpacing"/>
        <w:jc w:val="both"/>
        <w:rPr>
          <w:rFonts w:ascii="Times New Roman" w:hAnsi="Times New Roman"/>
          <w:b/>
        </w:rPr>
      </w:pPr>
    </w:p>
    <w:p w14:paraId="6F9E5A7B" w14:textId="77777777" w:rsidR="00724BA6" w:rsidRPr="009A5D85" w:rsidRDefault="00724BA6" w:rsidP="00724BA6">
      <w:pPr>
        <w:pStyle w:val="NoSpacing"/>
        <w:jc w:val="both"/>
        <w:rPr>
          <w:rFonts w:ascii="Times New Roman" w:hAnsi="Times New Roman"/>
          <w:bCs/>
          <w:i/>
          <w:iCs/>
          <w:u w:val="single"/>
        </w:rPr>
      </w:pPr>
      <w:r w:rsidRPr="009A5D85">
        <w:rPr>
          <w:rFonts w:ascii="Times New Roman" w:hAnsi="Times New Roman"/>
          <w:bCs/>
          <w:i/>
          <w:iCs/>
          <w:u w:val="single"/>
        </w:rPr>
        <w:t>Revenue &amp; Costs</w:t>
      </w:r>
    </w:p>
    <w:p w14:paraId="290219C5" w14:textId="77777777" w:rsidR="00724BA6" w:rsidRDefault="00724BA6" w:rsidP="00724BA6">
      <w:pPr>
        <w:pStyle w:val="NoSpacing"/>
        <w:jc w:val="both"/>
        <w:rPr>
          <w:rFonts w:ascii="Times New Roman" w:hAnsi="Times New Roman"/>
        </w:rPr>
      </w:pPr>
      <w:r>
        <w:rPr>
          <w:rFonts w:ascii="Times New Roman" w:hAnsi="Times New Roman"/>
        </w:rPr>
        <w:t>Q3</w:t>
      </w:r>
      <w:r w:rsidRPr="00B42841">
        <w:rPr>
          <w:rFonts w:ascii="Times New Roman" w:hAnsi="Times New Roman"/>
        </w:rPr>
        <w:t xml:space="preserve"> </w:t>
      </w:r>
      <w:r>
        <w:rPr>
          <w:rFonts w:ascii="Times New Roman" w:hAnsi="Times New Roman"/>
        </w:rPr>
        <w:t>s</w:t>
      </w:r>
      <w:r w:rsidRPr="00B42841">
        <w:rPr>
          <w:rFonts w:ascii="Times New Roman" w:hAnsi="Times New Roman"/>
        </w:rPr>
        <w:t>chedule</w:t>
      </w:r>
      <w:r>
        <w:rPr>
          <w:rFonts w:ascii="Times New Roman" w:hAnsi="Times New Roman"/>
        </w:rPr>
        <w:t>d</w:t>
      </w:r>
      <w:r w:rsidRPr="00B42841">
        <w:rPr>
          <w:rFonts w:ascii="Times New Roman" w:hAnsi="Times New Roman"/>
        </w:rPr>
        <w:t xml:space="preserve"> revenue</w:t>
      </w:r>
      <w:r>
        <w:rPr>
          <w:rFonts w:ascii="Times New Roman" w:hAnsi="Times New Roman"/>
        </w:rPr>
        <w:t>s</w:t>
      </w:r>
      <w:r w:rsidRPr="00B42841">
        <w:rPr>
          <w:rFonts w:ascii="Times New Roman" w:hAnsi="Times New Roman"/>
        </w:rPr>
        <w:t xml:space="preserve"> increased </w:t>
      </w:r>
      <w:r>
        <w:rPr>
          <w:rFonts w:ascii="Times New Roman" w:hAnsi="Times New Roman"/>
        </w:rPr>
        <w:t>21</w:t>
      </w:r>
      <w:r w:rsidRPr="00B42841">
        <w:rPr>
          <w:rFonts w:ascii="Times New Roman" w:hAnsi="Times New Roman"/>
        </w:rPr>
        <w:t>% to €</w:t>
      </w:r>
      <w:r>
        <w:rPr>
          <w:rFonts w:ascii="Times New Roman" w:hAnsi="Times New Roman"/>
        </w:rPr>
        <w:t>1.75bn.  Traffic grew 7% to 41.4m while ave. fares rose 13% to over €42, thanks to a strong Oct. mid-term and peak Christmas/New Year travel (albeit that close-in loads and fares were softer than originally expected due to the sudden removal of Ryanair flights from many OTA Pirate websites in early Dec.).  Ancillary revenue increased 10% to €0.95bn (c.€23 per passenger).  Total Q3 revenue rose 17% to €2.7bn.  Operating costs increased 26% to €2.7bn, primarily due to a 35% increase in fuel costs, higher staff costs (reflecting pay restoration, crew, engineering &amp; handler pay increases and higher crewing ratios as we improve ops. resilience) and the earlier timing of maintenance.  The widening cost gap between Ryanair and all our EU competitors (which is further enhanced by Ryanair’s low-cost financing and net interest income) remains a growing competitive advantage.</w:t>
      </w:r>
    </w:p>
    <w:p w14:paraId="50A3626C" w14:textId="77777777" w:rsidR="00724BA6" w:rsidRPr="00724BA6" w:rsidRDefault="00724BA6" w:rsidP="00724BA6">
      <w:pPr>
        <w:jc w:val="both"/>
        <w:rPr>
          <w:sz w:val="22"/>
          <w:szCs w:val="22"/>
        </w:rPr>
      </w:pPr>
    </w:p>
    <w:p w14:paraId="2703AA7E" w14:textId="77777777" w:rsidR="00724BA6" w:rsidRDefault="00724BA6" w:rsidP="00724BA6">
      <w:pPr>
        <w:pStyle w:val="NoSpacing"/>
        <w:jc w:val="both"/>
        <w:rPr>
          <w:rFonts w:ascii="Times New Roman" w:hAnsi="Times New Roman"/>
        </w:rPr>
      </w:pPr>
      <w:r>
        <w:rPr>
          <w:rFonts w:ascii="Times New Roman" w:hAnsi="Times New Roman"/>
        </w:rPr>
        <w:t>Our Q4 fuel is almost 94% hedged at approx. $89bbl (a mix of forwards and caps) and FY25 hedging has increased to 65% at approx. $79bbl.  Almost 90% of Q4 €/$ opex is hedged at 1.09 and over 70% of FY25 is hedged at 1.11.  This strong hedge position protects us from current fuel price volatility and delivers approx. €450m savings on fuel already hedged for FY25.</w:t>
      </w:r>
    </w:p>
    <w:p w14:paraId="52B074C5" w14:textId="77777777" w:rsidR="00724BA6" w:rsidRDefault="00724BA6" w:rsidP="00724BA6">
      <w:pPr>
        <w:pStyle w:val="NoSpacing"/>
        <w:jc w:val="both"/>
        <w:rPr>
          <w:rFonts w:ascii="Times New Roman" w:hAnsi="Times New Roman"/>
        </w:rPr>
      </w:pPr>
    </w:p>
    <w:p w14:paraId="567C90F7" w14:textId="77777777" w:rsidR="00724BA6" w:rsidRPr="002658BC" w:rsidRDefault="00724BA6" w:rsidP="00724BA6">
      <w:pPr>
        <w:pStyle w:val="NoSpacing"/>
        <w:jc w:val="both"/>
        <w:rPr>
          <w:rFonts w:ascii="Times New Roman" w:hAnsi="Times New Roman"/>
          <w:bCs/>
          <w:i/>
          <w:iCs/>
          <w:u w:val="single"/>
        </w:rPr>
      </w:pPr>
      <w:r w:rsidRPr="002658BC">
        <w:rPr>
          <w:rFonts w:ascii="Times New Roman" w:hAnsi="Times New Roman"/>
          <w:bCs/>
          <w:i/>
          <w:iCs/>
          <w:u w:val="single"/>
        </w:rPr>
        <w:t>Balance Sheet &amp; Liquidity</w:t>
      </w:r>
    </w:p>
    <w:p w14:paraId="03D2470D" w14:textId="77777777" w:rsidR="00724BA6" w:rsidRDefault="00724BA6" w:rsidP="00724BA6">
      <w:pPr>
        <w:pStyle w:val="NoSpacing"/>
        <w:jc w:val="both"/>
        <w:rPr>
          <w:rFonts w:ascii="Times New Roman" w:hAnsi="Times New Roman"/>
        </w:rPr>
      </w:pPr>
      <w:r>
        <w:rPr>
          <w:rFonts w:ascii="Times New Roman" w:hAnsi="Times New Roman"/>
        </w:rPr>
        <w:t xml:space="preserve">Ryanair’s balance sheet is </w:t>
      </w:r>
      <w:r w:rsidRPr="003F42A2">
        <w:rPr>
          <w:rFonts w:ascii="Times New Roman" w:hAnsi="Times New Roman"/>
        </w:rPr>
        <w:t xml:space="preserve">one of the </w:t>
      </w:r>
      <w:r>
        <w:rPr>
          <w:rFonts w:ascii="Times New Roman" w:hAnsi="Times New Roman"/>
        </w:rPr>
        <w:t xml:space="preserve">strongest in the industry with a BBB+ credit rating (both S&amp;P and Fitch) and €2.9bn gross cash at quarter end, despite €1.9bn capex and €1.1bn debt repayments.  Net cash was €0.15bn at 31 Dec., boosted somewhat by the delay of aircraft deliveries into Q4.  All of our owned B737 fleet (546 aircraft) are unencumbered, which widens our cost advantage over competitor airlines, many of whom are exposed to high interest rates and rising aircraft lease costs.  In Nov. the Board announced the Group’s new Dividend Policy, under which an interim dividend of €0.175 per share will be paid on 28 Feb.   </w:t>
      </w:r>
    </w:p>
    <w:p w14:paraId="34FC5FBE" w14:textId="77777777" w:rsidR="00724BA6" w:rsidRDefault="00724BA6" w:rsidP="00724BA6">
      <w:pPr>
        <w:pStyle w:val="NoSpacing"/>
        <w:jc w:val="both"/>
        <w:rPr>
          <w:rFonts w:ascii="Times New Roman" w:hAnsi="Times New Roman"/>
          <w:b/>
          <w:u w:val="single"/>
        </w:rPr>
      </w:pPr>
    </w:p>
    <w:p w14:paraId="50F1C155" w14:textId="77777777" w:rsidR="00724BA6" w:rsidRDefault="00724BA6" w:rsidP="00724BA6">
      <w:pPr>
        <w:pStyle w:val="NoSpacing"/>
        <w:jc w:val="both"/>
        <w:rPr>
          <w:rFonts w:ascii="Times New Roman" w:hAnsi="Times New Roman"/>
          <w:b/>
          <w:u w:val="single"/>
        </w:rPr>
      </w:pPr>
      <w:r>
        <w:rPr>
          <w:rFonts w:ascii="Times New Roman" w:hAnsi="Times New Roman"/>
          <w:b/>
          <w:u w:val="single"/>
        </w:rPr>
        <w:br w:type="page"/>
      </w:r>
    </w:p>
    <w:p w14:paraId="6592B464" w14:textId="77777777" w:rsidR="00724BA6" w:rsidRPr="00D8383F" w:rsidRDefault="00724BA6" w:rsidP="00724BA6">
      <w:pPr>
        <w:pStyle w:val="NoSpacing"/>
        <w:jc w:val="both"/>
        <w:rPr>
          <w:rFonts w:ascii="Times New Roman" w:hAnsi="Times New Roman"/>
          <w:b/>
          <w:u w:val="single"/>
        </w:rPr>
      </w:pPr>
      <w:r>
        <w:rPr>
          <w:rFonts w:ascii="Times New Roman" w:hAnsi="Times New Roman"/>
          <w:b/>
          <w:u w:val="single"/>
        </w:rPr>
        <w:t>OUTLOOK:</w:t>
      </w:r>
    </w:p>
    <w:p w14:paraId="481F4A5A" w14:textId="77777777" w:rsidR="00724BA6" w:rsidRDefault="00724BA6" w:rsidP="00724BA6">
      <w:pPr>
        <w:pStyle w:val="NoSpacing"/>
        <w:jc w:val="both"/>
        <w:rPr>
          <w:rFonts w:ascii="Times New Roman" w:hAnsi="Times New Roman"/>
        </w:rPr>
      </w:pPr>
      <w:r>
        <w:rPr>
          <w:rFonts w:ascii="Times New Roman" w:hAnsi="Times New Roman"/>
        </w:rPr>
        <w:t>We continue to target approx. 183.5m FY24 traffic (+9%), despite slightly lower Q3 load factors and Boeing delivery delays.  As a result of these lower load factors and higher productivity pay (recently agreed with various pilot unions incl. Belgium, Italy &amp; the UK) to improve operational resilience, we now expect FY24 ex-fuel unit costs to rise by c.€2.50, which still widens the cost gap between Ryanair and our main European competitor airlines.  Q4, which is traditionally our weakest quarter, will also be impacted by the partial unwind of free ETS carbon credits (from 1 Jan.).  While we will benefit from the first half of Easter traffic falling in late Mar., this is unlikely to fully offset the weaker than previously expected load factors and yields in late Q3 and early Q4.  We are therefore narrowing our FY24 PAT guidance to a range of between €1.85bn to €1.95bn (previously €1.85bn to €2.05bn).  This guidance and the full year result remains heavily dependent upon avoiding unforeseen adverse events in Q4 (such as the Ukraine war, the Israel-Hamas conflict and further Boeing delivery delays).”</w:t>
      </w:r>
    </w:p>
    <w:p w14:paraId="7374395B" w14:textId="77777777" w:rsidR="00724BA6" w:rsidRDefault="00724BA6" w:rsidP="00724BA6">
      <w:pPr>
        <w:pStyle w:val="NoSpacing"/>
        <w:jc w:val="both"/>
        <w:rPr>
          <w:rFonts w:ascii="Times New Roman" w:hAnsi="Times New Roman"/>
        </w:rPr>
      </w:pPr>
    </w:p>
    <w:p w14:paraId="4CC95005" w14:textId="77777777" w:rsidR="00724BA6" w:rsidRDefault="00724BA6" w:rsidP="00724BA6">
      <w:pPr>
        <w:pStyle w:val="NoSpacing"/>
        <w:jc w:val="both"/>
        <w:rPr>
          <w:rFonts w:ascii="Times New Roman" w:hAnsi="Times New Roman"/>
          <w:b/>
        </w:rPr>
      </w:pPr>
      <w:r w:rsidRPr="003F42A2">
        <w:rPr>
          <w:rFonts w:ascii="Times New Roman" w:hAnsi="Times New Roman"/>
          <w:b/>
        </w:rPr>
        <w:t>ENDS</w:t>
      </w:r>
    </w:p>
    <w:p w14:paraId="620FA250" w14:textId="77777777" w:rsidR="00724BA6" w:rsidRDefault="00724BA6" w:rsidP="00724BA6">
      <w:pPr>
        <w:pStyle w:val="NoSpacing"/>
        <w:jc w:val="both"/>
        <w:rPr>
          <w:rFonts w:ascii="Times New Roman" w:hAnsi="Times New Roman"/>
          <w:b/>
        </w:rPr>
      </w:pPr>
    </w:p>
    <w:tbl>
      <w:tblPr>
        <w:tblW w:w="0" w:type="auto"/>
        <w:tblLook w:val="04A0" w:firstRow="1" w:lastRow="0" w:firstColumn="1" w:lastColumn="0" w:noHBand="0" w:noVBand="1"/>
      </w:tblPr>
      <w:tblGrid>
        <w:gridCol w:w="3101"/>
        <w:gridCol w:w="3100"/>
        <w:gridCol w:w="3100"/>
      </w:tblGrid>
      <w:tr w:rsidR="00942502" w:rsidRPr="003F42A2" w14:paraId="2FCE6FB2" w14:textId="77777777" w:rsidTr="003609FA">
        <w:trPr>
          <w:trHeight w:val="840"/>
        </w:trPr>
        <w:tc>
          <w:tcPr>
            <w:tcW w:w="3101" w:type="dxa"/>
            <w:shd w:val="clear" w:color="auto" w:fill="auto"/>
          </w:tcPr>
          <w:p w14:paraId="0CD2B061" w14:textId="77777777" w:rsidR="00724BA6" w:rsidRPr="003609FA" w:rsidRDefault="00724BA6" w:rsidP="003609FA">
            <w:pPr>
              <w:pStyle w:val="NoSpacing"/>
              <w:jc w:val="both"/>
              <w:rPr>
                <w:rFonts w:ascii="Times New Roman" w:eastAsia="Times New Roman" w:hAnsi="Times New Roman"/>
              </w:rPr>
            </w:pPr>
            <w:r w:rsidRPr="003609FA">
              <w:rPr>
                <w:rFonts w:ascii="Times New Roman" w:eastAsia="Times New Roman" w:hAnsi="Times New Roman"/>
              </w:rPr>
              <w:t>For further information</w:t>
            </w:r>
          </w:p>
          <w:p w14:paraId="09C54080" w14:textId="77777777" w:rsidR="00724BA6" w:rsidRPr="003609FA" w:rsidRDefault="00724BA6" w:rsidP="003609FA">
            <w:pPr>
              <w:pStyle w:val="NoSpacing"/>
              <w:jc w:val="both"/>
              <w:rPr>
                <w:rFonts w:ascii="Times New Roman" w:eastAsia="Times New Roman" w:hAnsi="Times New Roman"/>
              </w:rPr>
            </w:pPr>
            <w:r w:rsidRPr="003609FA">
              <w:rPr>
                <w:rFonts w:ascii="Times New Roman" w:eastAsia="Times New Roman" w:hAnsi="Times New Roman"/>
              </w:rPr>
              <w:t>please contact:</w:t>
            </w:r>
          </w:p>
          <w:p w14:paraId="6F481802" w14:textId="4AA17A54" w:rsidR="00724BA6" w:rsidRPr="003609FA" w:rsidRDefault="00593E68" w:rsidP="003609FA">
            <w:pPr>
              <w:pStyle w:val="NoSpacing"/>
              <w:jc w:val="both"/>
              <w:rPr>
                <w:rFonts w:ascii="Times New Roman" w:eastAsia="Times New Roman" w:hAnsi="Times New Roman"/>
              </w:rPr>
            </w:pPr>
            <w:r w:rsidRPr="003609FA">
              <w:rPr>
                <w:rFonts w:ascii="Times New Roman" w:eastAsia="Times New Roman" w:hAnsi="Times New Roman"/>
                <w:noProof/>
              </w:rPr>
              <mc:AlternateContent>
                <mc:Choice Requires="wps">
                  <w:drawing>
                    <wp:anchor distT="0" distB="0" distL="114300" distR="114300" simplePos="0" relativeHeight="251657728" behindDoc="0" locked="0" layoutInCell="1" allowOverlap="1" wp14:anchorId="75C63A37" wp14:editId="5FE761D8">
                      <wp:simplePos x="0" y="0"/>
                      <wp:positionH relativeFrom="margin">
                        <wp:posOffset>-38100</wp:posOffset>
                      </wp:positionH>
                      <wp:positionV relativeFrom="paragraph">
                        <wp:posOffset>255905</wp:posOffset>
                      </wp:positionV>
                      <wp:extent cx="6899910" cy="1028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910" cy="1028700"/>
                              </a:xfrm>
                              <a:prstGeom prst="rect">
                                <a:avLst/>
                              </a:prstGeom>
                              <a:solidFill>
                                <a:srgbClr val="FFFFFF"/>
                              </a:solidFill>
                              <a:ln w="9528">
                                <a:solidFill>
                                  <a:srgbClr val="000000"/>
                                </a:solidFill>
                                <a:miter lim="800000"/>
                                <a:headEnd/>
                                <a:tailEnd/>
                              </a:ln>
                            </wps:spPr>
                            <wps:txbx>
                              <w:txbxContent>
                                <w:p w14:paraId="0D13FC31" w14:textId="77777777" w:rsidR="00724BA6" w:rsidRPr="005E21CA" w:rsidRDefault="00724BA6" w:rsidP="00724BA6">
                                  <w:pPr>
                                    <w:jc w:val="both"/>
                                    <w:rPr>
                                      <w:i/>
                                      <w:iCs/>
                                      <w:sz w:val="20"/>
                                      <w:szCs w:val="20"/>
                                    </w:rPr>
                                  </w:pPr>
                                  <w:r w:rsidRPr="005E21CA">
                                    <w:rPr>
                                      <w:i/>
                                      <w:iCs/>
                                      <w:sz w:val="20"/>
                                      <w:szCs w:val="20"/>
                                    </w:rPr>
                                    <w:t>Ryanair Holdings plc, Europe’s largest airline group, is the parent company of Buzz, Lauda, Malta Air, Ryanair &amp; Ryanair UK. Carrying up to 183.5m guests p.a. on over 3,</w:t>
                                  </w:r>
                                  <w:r>
                                    <w:rPr>
                                      <w:i/>
                                      <w:iCs/>
                                      <w:sz w:val="20"/>
                                      <w:szCs w:val="20"/>
                                    </w:rPr>
                                    <w:t>6</w:t>
                                  </w:r>
                                  <w:r w:rsidRPr="005E21CA">
                                    <w:rPr>
                                      <w:i/>
                                      <w:iCs/>
                                      <w:sz w:val="20"/>
                                      <w:szCs w:val="20"/>
                                    </w:rPr>
                                    <w:t>00 daily flights from 9</w:t>
                                  </w:r>
                                  <w:r>
                                    <w:rPr>
                                      <w:i/>
                                      <w:iCs/>
                                      <w:sz w:val="20"/>
                                      <w:szCs w:val="20"/>
                                    </w:rPr>
                                    <w:t>4</w:t>
                                  </w:r>
                                  <w:r w:rsidRPr="005E21CA">
                                    <w:rPr>
                                      <w:i/>
                                      <w:iCs/>
                                      <w:sz w:val="20"/>
                                      <w:szCs w:val="20"/>
                                    </w:rPr>
                                    <w:t xml:space="preserve"> bases, the Group connects </w:t>
                                  </w:r>
                                  <w:r>
                                    <w:rPr>
                                      <w:i/>
                                      <w:iCs/>
                                      <w:sz w:val="20"/>
                                      <w:szCs w:val="20"/>
                                    </w:rPr>
                                    <w:t>almost 235</w:t>
                                  </w:r>
                                  <w:r w:rsidRPr="005E21CA">
                                    <w:rPr>
                                      <w:i/>
                                      <w:iCs/>
                                      <w:sz w:val="20"/>
                                      <w:szCs w:val="20"/>
                                    </w:rPr>
                                    <w:t xml:space="preserve"> airports in 3</w:t>
                                  </w:r>
                                  <w:r>
                                    <w:rPr>
                                      <w:i/>
                                      <w:iCs/>
                                      <w:sz w:val="20"/>
                                      <w:szCs w:val="20"/>
                                    </w:rPr>
                                    <w:t>7</w:t>
                                  </w:r>
                                  <w:r w:rsidRPr="005E21CA">
                                    <w:rPr>
                                      <w:i/>
                                      <w:iCs/>
                                      <w:sz w:val="20"/>
                                      <w:szCs w:val="20"/>
                                    </w:rPr>
                                    <w:t xml:space="preserve"> countries on a fleet of 5</w:t>
                                  </w:r>
                                  <w:r>
                                    <w:rPr>
                                      <w:i/>
                                      <w:iCs/>
                                      <w:sz w:val="20"/>
                                      <w:szCs w:val="20"/>
                                    </w:rPr>
                                    <w:t>74</w:t>
                                  </w:r>
                                  <w:r w:rsidRPr="005E21CA">
                                    <w:rPr>
                                      <w:i/>
                                      <w:iCs/>
                                      <w:sz w:val="20"/>
                                      <w:szCs w:val="20"/>
                                    </w:rPr>
                                    <w:t xml:space="preserve"> aircraft, with </w:t>
                                  </w:r>
                                  <w:r>
                                    <w:rPr>
                                      <w:i/>
                                      <w:iCs/>
                                      <w:sz w:val="20"/>
                                      <w:szCs w:val="20"/>
                                    </w:rPr>
                                    <w:t>c.374</w:t>
                                  </w:r>
                                  <w:r w:rsidRPr="005E21CA">
                                    <w:rPr>
                                      <w:i/>
                                      <w:iCs/>
                                      <w:sz w:val="20"/>
                                      <w:szCs w:val="20"/>
                                    </w:rPr>
                                    <w:t xml:space="preserve"> Boeing 737s on order, which will enable the Ryanair Group to grow traffic to 300m p.a. by FY34. Ryanair has a team of over 2</w:t>
                                  </w:r>
                                  <w:r>
                                    <w:rPr>
                                      <w:i/>
                                      <w:iCs/>
                                      <w:sz w:val="20"/>
                                      <w:szCs w:val="20"/>
                                    </w:rPr>
                                    <w:t>5</w:t>
                                  </w:r>
                                  <w:r w:rsidRPr="005E21CA">
                                    <w:rPr>
                                      <w:i/>
                                      <w:iCs/>
                                      <w:sz w:val="20"/>
                                      <w:szCs w:val="20"/>
                                    </w:rPr>
                                    <w:t>,000 highly skilled aviation professionals delivering Europe’s No.1 operational performance, and an industry leading 38-year safety record. Ryanair is one of the most efficient major EU airlines.  With a young fleet and high load factors, Ryanair’s CO2 per pax/km is just 65 grams.</w:t>
                                  </w:r>
                                </w:p>
                                <w:p w14:paraId="52BE8C09" w14:textId="77777777" w:rsidR="00724BA6" w:rsidRPr="00AA0B5C" w:rsidRDefault="00724BA6" w:rsidP="00724BA6">
                                  <w:pPr>
                                    <w:jc w:val="both"/>
                                    <w:rPr>
                                      <w:i/>
                                      <w:iCs/>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5C63A37" id="_x0000_t202" coordsize="21600,21600" o:spt="202" path="m,l,21600r21600,l21600,xe">
                      <v:stroke joinstyle="miter"/>
                      <v:path gradientshapeok="t" o:connecttype="rect"/>
                    </v:shapetype>
                    <v:shape id="Text Box 1" o:spid="_x0000_s1026" type="#_x0000_t202" style="position:absolute;left:0;text-align:left;margin-left:-3pt;margin-top:20.15pt;width:543.3pt;height:8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" strokeweight=".26467mm">
                      <v:textbox>
                        <w:txbxContent>
                          <w:p w14:paraId="0D13FC31" w14:textId="77777777" w:rsidR="00724BA6" w:rsidRPr="005E21CA" w:rsidRDefault="00724BA6" w:rsidP="00724BA6">
                            <w:pPr>
                              <w:jc w:val="both"/>
                              <w:rPr>
                                <w:i/>
                                <w:iCs/>
                                <w:sz w:val="20"/>
                                <w:szCs w:val="20"/>
                              </w:rPr>
                            </w:pPr>
                            <w:r w:rsidRPr="005E21CA">
                              <w:rPr>
                                <w:i/>
                                <w:iCs/>
                                <w:sz w:val="20"/>
                                <w:szCs w:val="20"/>
                              </w:rPr>
                              <w:t>Ryanair Holdings plc, Europe’s largest airline group, is the parent company of Buzz, Lauda, Malta Air, Ryanair &amp; Ryanair UK. Carrying up to 183.5m guests p.a. on over 3,</w:t>
                            </w:r>
                            <w:r>
                              <w:rPr>
                                <w:i/>
                                <w:iCs/>
                                <w:sz w:val="20"/>
                                <w:szCs w:val="20"/>
                              </w:rPr>
                              <w:t>6</w:t>
                            </w:r>
                            <w:r w:rsidRPr="005E21CA">
                              <w:rPr>
                                <w:i/>
                                <w:iCs/>
                                <w:sz w:val="20"/>
                                <w:szCs w:val="20"/>
                              </w:rPr>
                              <w:t>00 daily flights from 9</w:t>
                            </w:r>
                            <w:r>
                              <w:rPr>
                                <w:i/>
                                <w:iCs/>
                                <w:sz w:val="20"/>
                                <w:szCs w:val="20"/>
                              </w:rPr>
                              <w:t>4</w:t>
                            </w:r>
                            <w:r w:rsidRPr="005E21CA">
                              <w:rPr>
                                <w:i/>
                                <w:iCs/>
                                <w:sz w:val="20"/>
                                <w:szCs w:val="20"/>
                              </w:rPr>
                              <w:t xml:space="preserve"> bases, the Group connects </w:t>
                            </w:r>
                            <w:r>
                              <w:rPr>
                                <w:i/>
                                <w:iCs/>
                                <w:sz w:val="20"/>
                                <w:szCs w:val="20"/>
                              </w:rPr>
                              <w:t>almost 235</w:t>
                            </w:r>
                            <w:r w:rsidRPr="005E21CA">
                              <w:rPr>
                                <w:i/>
                                <w:iCs/>
                                <w:sz w:val="20"/>
                                <w:szCs w:val="20"/>
                              </w:rPr>
                              <w:t xml:space="preserve"> airports in 3</w:t>
                            </w:r>
                            <w:r>
                              <w:rPr>
                                <w:i/>
                                <w:iCs/>
                                <w:sz w:val="20"/>
                                <w:szCs w:val="20"/>
                              </w:rPr>
                              <w:t>7</w:t>
                            </w:r>
                            <w:r w:rsidRPr="005E21CA">
                              <w:rPr>
                                <w:i/>
                                <w:iCs/>
                                <w:sz w:val="20"/>
                                <w:szCs w:val="20"/>
                              </w:rPr>
                              <w:t xml:space="preserve"> countries on a fleet of 5</w:t>
                            </w:r>
                            <w:r>
                              <w:rPr>
                                <w:i/>
                                <w:iCs/>
                                <w:sz w:val="20"/>
                                <w:szCs w:val="20"/>
                              </w:rPr>
                              <w:t>74</w:t>
                            </w:r>
                            <w:r w:rsidRPr="005E21CA">
                              <w:rPr>
                                <w:i/>
                                <w:iCs/>
                                <w:sz w:val="20"/>
                                <w:szCs w:val="20"/>
                              </w:rPr>
                              <w:t xml:space="preserve"> aircraft, with </w:t>
                            </w:r>
                            <w:r>
                              <w:rPr>
                                <w:i/>
                                <w:iCs/>
                                <w:sz w:val="20"/>
                                <w:szCs w:val="20"/>
                              </w:rPr>
                              <w:t>c.374</w:t>
                            </w:r>
                            <w:r w:rsidRPr="005E21CA">
                              <w:rPr>
                                <w:i/>
                                <w:iCs/>
                                <w:sz w:val="20"/>
                                <w:szCs w:val="20"/>
                              </w:rPr>
                              <w:t xml:space="preserve"> Boeing 737s on order, which will enable the Ryanair Group to grow traffic to 300m p.a. by FY34. Ryanair has a team of over 2</w:t>
                            </w:r>
                            <w:r>
                              <w:rPr>
                                <w:i/>
                                <w:iCs/>
                                <w:sz w:val="20"/>
                                <w:szCs w:val="20"/>
                              </w:rPr>
                              <w:t>5</w:t>
                            </w:r>
                            <w:r w:rsidRPr="005E21CA">
                              <w:rPr>
                                <w:i/>
                                <w:iCs/>
                                <w:sz w:val="20"/>
                                <w:szCs w:val="20"/>
                              </w:rPr>
                              <w:t>,000 highly skilled aviation professionals delivering Europe’s No.1 operational performance, and an industry leading 38-year safety record. Ryanair is one of the most efficient major EU airlines.  With a young fleet and high load factors, Ryanair’s CO2 per pax/km is just 65 grams.</w:t>
                            </w:r>
                          </w:p>
                          <w:p w14:paraId="52BE8C09" w14:textId="77777777" w:rsidR="00724BA6" w:rsidRPr="00AA0B5C" w:rsidRDefault="00724BA6" w:rsidP="00724BA6">
                            <w:pPr>
                              <w:jc w:val="both"/>
                              <w:rPr>
                                <w:i/>
                                <w:iCs/>
                                <w:sz w:val="20"/>
                                <w:szCs w:val="20"/>
                              </w:rPr>
                            </w:pPr>
                          </w:p>
                        </w:txbxContent>
                      </v:textbox>
                      <w10:wrap anchorx="margin"/>
                    </v:shape>
                  </w:pict>
                </mc:Fallback>
              </mc:AlternateContent>
            </w:r>
            <w:hyperlink r:id="rId12" w:history="1">
              <w:r w:rsidR="00724BA6" w:rsidRPr="003609FA">
                <w:rPr>
                  <w:rStyle w:val="Hyperlink"/>
                  <w:rFonts w:ascii="Times New Roman" w:eastAsia="Times New Roman" w:hAnsi="Times New Roman"/>
                </w:rPr>
                <w:t>www.ryanair.com</w:t>
              </w:r>
            </w:hyperlink>
            <w:r w:rsidR="00724BA6" w:rsidRPr="003609FA">
              <w:rPr>
                <w:rFonts w:ascii="Times New Roman" w:eastAsia="Times New Roman" w:hAnsi="Times New Roman"/>
              </w:rPr>
              <w:t xml:space="preserve"> </w:t>
            </w:r>
          </w:p>
        </w:tc>
        <w:tc>
          <w:tcPr>
            <w:tcW w:w="3100" w:type="dxa"/>
            <w:shd w:val="clear" w:color="auto" w:fill="auto"/>
          </w:tcPr>
          <w:p w14:paraId="3BCDF6B1" w14:textId="77777777" w:rsidR="00724BA6" w:rsidRPr="003609FA" w:rsidRDefault="00724BA6" w:rsidP="003609FA">
            <w:pPr>
              <w:pStyle w:val="NoSpacing"/>
              <w:jc w:val="both"/>
              <w:rPr>
                <w:rFonts w:ascii="Times New Roman" w:eastAsia="Times New Roman" w:hAnsi="Times New Roman"/>
              </w:rPr>
            </w:pPr>
            <w:r w:rsidRPr="003609FA">
              <w:rPr>
                <w:rFonts w:ascii="Times New Roman" w:eastAsia="Times New Roman" w:hAnsi="Times New Roman"/>
              </w:rPr>
              <w:t>Neil Sorahan</w:t>
            </w:r>
          </w:p>
          <w:p w14:paraId="677DC8C7" w14:textId="77777777" w:rsidR="00724BA6" w:rsidRPr="003609FA" w:rsidRDefault="00724BA6" w:rsidP="003609FA">
            <w:pPr>
              <w:pStyle w:val="NoSpacing"/>
              <w:jc w:val="both"/>
              <w:rPr>
                <w:rFonts w:ascii="Times New Roman" w:eastAsia="Times New Roman" w:hAnsi="Times New Roman"/>
              </w:rPr>
            </w:pPr>
            <w:r w:rsidRPr="003609FA">
              <w:rPr>
                <w:rFonts w:ascii="Times New Roman" w:eastAsia="Times New Roman" w:hAnsi="Times New Roman"/>
              </w:rPr>
              <w:t>Ryanair Holdings plc</w:t>
            </w:r>
          </w:p>
          <w:p w14:paraId="5F8C6A62" w14:textId="77777777" w:rsidR="00724BA6" w:rsidRPr="003609FA" w:rsidRDefault="00724BA6" w:rsidP="003609FA">
            <w:pPr>
              <w:pStyle w:val="NoSpacing"/>
              <w:jc w:val="both"/>
              <w:rPr>
                <w:rFonts w:ascii="Times New Roman" w:eastAsia="Times New Roman" w:hAnsi="Times New Roman"/>
                <w:b/>
              </w:rPr>
            </w:pPr>
            <w:r w:rsidRPr="003609FA">
              <w:rPr>
                <w:rFonts w:ascii="Times New Roman" w:eastAsia="Times New Roman" w:hAnsi="Times New Roman"/>
                <w:b/>
              </w:rPr>
              <w:t>Tel: +353-1-9451212</w:t>
            </w:r>
          </w:p>
        </w:tc>
        <w:tc>
          <w:tcPr>
            <w:tcW w:w="3100" w:type="dxa"/>
            <w:shd w:val="clear" w:color="auto" w:fill="auto"/>
          </w:tcPr>
          <w:p w14:paraId="28DA279E" w14:textId="77777777" w:rsidR="00724BA6" w:rsidRPr="003609FA" w:rsidRDefault="00724BA6" w:rsidP="003609FA">
            <w:pPr>
              <w:pStyle w:val="NoSpacing"/>
              <w:jc w:val="both"/>
              <w:rPr>
                <w:rFonts w:ascii="Times New Roman" w:eastAsia="Times New Roman" w:hAnsi="Times New Roman"/>
              </w:rPr>
            </w:pPr>
            <w:r w:rsidRPr="003609FA">
              <w:rPr>
                <w:rFonts w:ascii="Times New Roman" w:eastAsia="Times New Roman" w:hAnsi="Times New Roman"/>
              </w:rPr>
              <w:t>Paul Clifford</w:t>
            </w:r>
          </w:p>
          <w:p w14:paraId="542E8F18" w14:textId="77777777" w:rsidR="00724BA6" w:rsidRPr="003609FA" w:rsidRDefault="00724BA6" w:rsidP="003609FA">
            <w:pPr>
              <w:pStyle w:val="NoSpacing"/>
              <w:jc w:val="both"/>
              <w:rPr>
                <w:rFonts w:ascii="Times New Roman" w:eastAsia="Times New Roman" w:hAnsi="Times New Roman"/>
              </w:rPr>
            </w:pPr>
            <w:r w:rsidRPr="003609FA">
              <w:rPr>
                <w:rFonts w:ascii="Times New Roman" w:eastAsia="Times New Roman" w:hAnsi="Times New Roman"/>
              </w:rPr>
              <w:t>Drury</w:t>
            </w:r>
          </w:p>
          <w:p w14:paraId="19347C7D" w14:textId="77777777" w:rsidR="00724BA6" w:rsidRPr="003609FA" w:rsidRDefault="00724BA6" w:rsidP="003609FA">
            <w:pPr>
              <w:pStyle w:val="NoSpacing"/>
              <w:jc w:val="both"/>
              <w:rPr>
                <w:rFonts w:ascii="Times New Roman" w:eastAsia="Times New Roman" w:hAnsi="Times New Roman"/>
                <w:b/>
              </w:rPr>
            </w:pPr>
            <w:r w:rsidRPr="003609FA">
              <w:rPr>
                <w:rFonts w:ascii="Times New Roman" w:eastAsia="Times New Roman" w:hAnsi="Times New Roman"/>
                <w:b/>
              </w:rPr>
              <w:t>Tel: +353-1-260-5000</w:t>
            </w:r>
          </w:p>
          <w:p w14:paraId="0D98890D" w14:textId="77777777" w:rsidR="00724BA6" w:rsidRPr="003609FA" w:rsidRDefault="00724BA6" w:rsidP="003609FA">
            <w:pPr>
              <w:pStyle w:val="NoSpacing"/>
              <w:jc w:val="both"/>
              <w:rPr>
                <w:rFonts w:ascii="Times New Roman" w:eastAsia="Times New Roman" w:hAnsi="Times New Roman"/>
                <w:b/>
              </w:rPr>
            </w:pPr>
          </w:p>
        </w:tc>
      </w:tr>
    </w:tbl>
    <w:p w14:paraId="1D9FCD71" w14:textId="77777777" w:rsidR="00724BA6" w:rsidRDefault="00724BA6" w:rsidP="00724BA6">
      <w:pPr>
        <w:pStyle w:val="NoSpacing"/>
        <w:jc w:val="both"/>
        <w:rPr>
          <w:rFonts w:ascii="Times New Roman" w:eastAsia="Times New Roman" w:hAnsi="Times New Roman"/>
          <w:b/>
          <w:bCs/>
          <w:i/>
          <w:sz w:val="16"/>
          <w:szCs w:val="16"/>
        </w:rPr>
      </w:pPr>
    </w:p>
    <w:p w14:paraId="1699305C" w14:textId="77777777" w:rsidR="00724BA6" w:rsidRDefault="00724BA6" w:rsidP="00724BA6">
      <w:pPr>
        <w:pStyle w:val="NoSpacing"/>
        <w:jc w:val="both"/>
        <w:rPr>
          <w:rFonts w:ascii="Times New Roman" w:eastAsia="Times New Roman" w:hAnsi="Times New Roman"/>
          <w:b/>
          <w:bCs/>
          <w:i/>
          <w:sz w:val="16"/>
          <w:szCs w:val="16"/>
        </w:rPr>
      </w:pPr>
    </w:p>
    <w:p w14:paraId="0DE0F7C4" w14:textId="77777777" w:rsidR="00724BA6" w:rsidRDefault="00724BA6" w:rsidP="00724BA6">
      <w:pPr>
        <w:pStyle w:val="NoSpacing"/>
        <w:jc w:val="both"/>
        <w:rPr>
          <w:rFonts w:ascii="Times New Roman" w:eastAsia="Times New Roman" w:hAnsi="Times New Roman"/>
          <w:b/>
          <w:bCs/>
          <w:i/>
          <w:sz w:val="16"/>
          <w:szCs w:val="16"/>
        </w:rPr>
      </w:pPr>
    </w:p>
    <w:p w14:paraId="0A8DD27A" w14:textId="77777777" w:rsidR="00724BA6" w:rsidRDefault="00724BA6" w:rsidP="00724BA6">
      <w:pPr>
        <w:pStyle w:val="NoSpacing"/>
        <w:jc w:val="both"/>
        <w:rPr>
          <w:rFonts w:ascii="Times New Roman" w:eastAsia="Times New Roman" w:hAnsi="Times New Roman"/>
          <w:b/>
          <w:bCs/>
          <w:i/>
          <w:sz w:val="16"/>
          <w:szCs w:val="16"/>
        </w:rPr>
      </w:pPr>
    </w:p>
    <w:p w14:paraId="7DD0559A" w14:textId="77777777" w:rsidR="00724BA6" w:rsidRDefault="00724BA6" w:rsidP="00724BA6">
      <w:pPr>
        <w:pStyle w:val="NoSpacing"/>
        <w:jc w:val="both"/>
        <w:rPr>
          <w:rFonts w:ascii="Times New Roman" w:eastAsia="Times New Roman" w:hAnsi="Times New Roman"/>
          <w:b/>
          <w:bCs/>
          <w:i/>
          <w:sz w:val="16"/>
          <w:szCs w:val="16"/>
        </w:rPr>
      </w:pPr>
    </w:p>
    <w:p w14:paraId="3C70F97E" w14:textId="77777777" w:rsidR="00724BA6" w:rsidRDefault="00724BA6" w:rsidP="00724BA6">
      <w:pPr>
        <w:pStyle w:val="NoSpacing"/>
        <w:jc w:val="both"/>
        <w:rPr>
          <w:rFonts w:ascii="Times New Roman" w:eastAsia="Times New Roman" w:hAnsi="Times New Roman"/>
          <w:b/>
          <w:bCs/>
          <w:i/>
          <w:sz w:val="16"/>
          <w:szCs w:val="16"/>
        </w:rPr>
      </w:pPr>
    </w:p>
    <w:p w14:paraId="55203D0D" w14:textId="77777777" w:rsidR="00724BA6" w:rsidRDefault="00724BA6" w:rsidP="00724BA6">
      <w:pPr>
        <w:pStyle w:val="NoSpacing"/>
        <w:jc w:val="both"/>
        <w:rPr>
          <w:rFonts w:ascii="Times New Roman" w:eastAsia="Times New Roman" w:hAnsi="Times New Roman"/>
          <w:b/>
          <w:bCs/>
          <w:i/>
          <w:sz w:val="16"/>
          <w:szCs w:val="16"/>
        </w:rPr>
      </w:pPr>
    </w:p>
    <w:p w14:paraId="50D2F33D" w14:textId="77777777" w:rsidR="00724BA6" w:rsidRDefault="00724BA6" w:rsidP="00724BA6">
      <w:pPr>
        <w:pStyle w:val="NoSpacing"/>
        <w:jc w:val="both"/>
        <w:rPr>
          <w:rFonts w:ascii="Times New Roman" w:eastAsia="Times New Roman" w:hAnsi="Times New Roman"/>
          <w:b/>
          <w:bCs/>
          <w:i/>
          <w:sz w:val="16"/>
          <w:szCs w:val="16"/>
        </w:rPr>
      </w:pPr>
    </w:p>
    <w:p w14:paraId="47CA4AFE" w14:textId="77777777" w:rsidR="00724BA6" w:rsidRDefault="00724BA6" w:rsidP="00724BA6">
      <w:pPr>
        <w:pStyle w:val="NoSpacing"/>
        <w:jc w:val="both"/>
        <w:rPr>
          <w:rFonts w:ascii="Times New Roman" w:eastAsia="Times New Roman" w:hAnsi="Times New Roman"/>
          <w:b/>
          <w:bCs/>
          <w:i/>
          <w:sz w:val="16"/>
          <w:szCs w:val="16"/>
        </w:rPr>
      </w:pPr>
    </w:p>
    <w:p w14:paraId="36ABD854" w14:textId="77777777" w:rsidR="00724BA6" w:rsidRPr="005E21CA" w:rsidRDefault="00724BA6" w:rsidP="00724BA6">
      <w:pPr>
        <w:pStyle w:val="NoSpacing"/>
        <w:jc w:val="both"/>
        <w:rPr>
          <w:rFonts w:ascii="Times New Roman" w:hAnsi="Times New Roman"/>
          <w:b/>
          <w:bCs/>
          <w:i/>
          <w:sz w:val="16"/>
          <w:szCs w:val="16"/>
          <w:u w:val="single"/>
        </w:rPr>
      </w:pPr>
      <w:r w:rsidRPr="005E21CA">
        <w:rPr>
          <w:rFonts w:ascii="Times New Roman" w:hAnsi="Times New Roman"/>
          <w:b/>
          <w:bCs/>
          <w:i/>
          <w:sz w:val="16"/>
          <w:szCs w:val="16"/>
          <w:u w:val="single"/>
        </w:rPr>
        <w:t>Notes:</w:t>
      </w:r>
    </w:p>
    <w:p w14:paraId="7996D120" w14:textId="77777777" w:rsidR="00724BA6" w:rsidRDefault="00724BA6" w:rsidP="00724BA6">
      <w:pPr>
        <w:pStyle w:val="NoSpacing"/>
        <w:numPr>
          <w:ilvl w:val="0"/>
          <w:numId w:val="21"/>
        </w:numPr>
        <w:jc w:val="both"/>
        <w:textAlignment w:val="baseline"/>
        <w:rPr>
          <w:rFonts w:ascii="Times New Roman" w:hAnsi="Times New Roman"/>
          <w:i/>
          <w:sz w:val="16"/>
          <w:szCs w:val="16"/>
        </w:rPr>
      </w:pPr>
      <w:r w:rsidRPr="005E21CA">
        <w:rPr>
          <w:rFonts w:ascii="Times New Roman" w:hAnsi="Times New Roman"/>
          <w:i/>
          <w:sz w:val="16"/>
          <w:szCs w:val="16"/>
        </w:rPr>
        <w:t>Non-IFRS financial measure, excl. €</w:t>
      </w:r>
      <w:r>
        <w:rPr>
          <w:rFonts w:ascii="Times New Roman" w:hAnsi="Times New Roman"/>
          <w:i/>
          <w:sz w:val="16"/>
          <w:szCs w:val="16"/>
        </w:rPr>
        <w:t>9</w:t>
      </w:r>
      <w:r w:rsidRPr="005E21CA">
        <w:rPr>
          <w:rFonts w:ascii="Times New Roman" w:hAnsi="Times New Roman"/>
          <w:i/>
          <w:sz w:val="16"/>
          <w:szCs w:val="16"/>
        </w:rPr>
        <w:t xml:space="preserve">m except. </w:t>
      </w:r>
      <w:r>
        <w:rPr>
          <w:rFonts w:ascii="Times New Roman" w:hAnsi="Times New Roman"/>
          <w:i/>
          <w:sz w:val="16"/>
          <w:szCs w:val="16"/>
        </w:rPr>
        <w:t>u</w:t>
      </w:r>
      <w:r w:rsidRPr="005E21CA">
        <w:rPr>
          <w:rFonts w:ascii="Times New Roman" w:hAnsi="Times New Roman"/>
          <w:i/>
          <w:sz w:val="16"/>
          <w:szCs w:val="16"/>
        </w:rPr>
        <w:t>nrealised mark-to-market loss (timing unwind) on jet fuel caps.</w:t>
      </w:r>
    </w:p>
    <w:p w14:paraId="29E1A4D3" w14:textId="77777777" w:rsidR="00724BA6" w:rsidRPr="005E21CA" w:rsidRDefault="00724BA6" w:rsidP="00724BA6">
      <w:pPr>
        <w:pStyle w:val="NoSpacing"/>
        <w:numPr>
          <w:ilvl w:val="0"/>
          <w:numId w:val="21"/>
        </w:numPr>
        <w:jc w:val="both"/>
        <w:textAlignment w:val="baseline"/>
        <w:rPr>
          <w:rFonts w:ascii="Times New Roman" w:hAnsi="Times New Roman"/>
          <w:i/>
          <w:sz w:val="16"/>
          <w:szCs w:val="16"/>
        </w:rPr>
      </w:pPr>
      <w:r>
        <w:rPr>
          <w:rFonts w:ascii="Times New Roman" w:hAnsi="Times New Roman"/>
          <w:i/>
          <w:sz w:val="16"/>
          <w:szCs w:val="16"/>
        </w:rPr>
        <w:t>Non-IFRS financial measure, excl. €116m except. unrealised mark-to-market loss (timing unwind) on jet fuel caps.</w:t>
      </w:r>
    </w:p>
    <w:p w14:paraId="507CF137" w14:textId="77777777" w:rsidR="00724BA6" w:rsidRDefault="00724BA6" w:rsidP="00724BA6">
      <w:pPr>
        <w:pStyle w:val="NoSpacing"/>
        <w:ind w:left="720"/>
        <w:rPr>
          <w:rFonts w:ascii="Times New Roman" w:hAnsi="Times New Roman"/>
          <w:i/>
        </w:rPr>
      </w:pPr>
    </w:p>
    <w:p w14:paraId="643EBE85" w14:textId="77777777" w:rsidR="005E6691" w:rsidRDefault="005E6691" w:rsidP="005E6691">
      <w:pPr>
        <w:pStyle w:val="NoSpacing"/>
        <w:jc w:val="both"/>
        <w:rPr>
          <w:rFonts w:ascii="Times New Roman" w:eastAsia="Times New Roman" w:hAnsi="Times New Roman"/>
          <w:b/>
          <w:bCs/>
          <w:i/>
          <w:sz w:val="16"/>
          <w:szCs w:val="16"/>
        </w:rPr>
      </w:pPr>
      <w:r w:rsidRPr="003F42A2">
        <w:rPr>
          <w:rFonts w:ascii="Times New Roman" w:eastAsia="Times New Roman" w:hAnsi="Times New Roman"/>
          <w:b/>
          <w:bCs/>
          <w:i/>
          <w:sz w:val="16"/>
          <w:szCs w:val="16"/>
        </w:rPr>
        <w:t xml:space="preserve">Certain of the information included in this release is forward looking and is subject to important risks and uncertainties that could cause actual results to differ materially.  It is not reasonably possible to itemise all of the many factors and specific events that could affect the outlook and results of an airline operating in the European economy.  Among the factors that are subject to change and could significantly impact Ryanair’s expected results are the airline pricing environment, fuel costs, competition from new and existing carriers, market prices for the replacement of aircraft, costs associated with environmental, safety and security measures, actions of the Irish, U.K., European Union (“EU”) and other governments and their respective regulatory agencies, </w:t>
      </w:r>
      <w:r>
        <w:rPr>
          <w:rFonts w:ascii="Times New Roman" w:eastAsia="Times New Roman" w:hAnsi="Times New Roman"/>
          <w:b/>
          <w:bCs/>
          <w:i/>
          <w:sz w:val="16"/>
          <w:szCs w:val="16"/>
        </w:rPr>
        <w:t>post-</w:t>
      </w:r>
      <w:r w:rsidRPr="003F42A2">
        <w:rPr>
          <w:rFonts w:ascii="Times New Roman" w:eastAsia="Times New Roman" w:hAnsi="Times New Roman"/>
          <w:b/>
          <w:bCs/>
          <w:i/>
          <w:sz w:val="16"/>
          <w:szCs w:val="16"/>
        </w:rPr>
        <w:t>Brexit</w:t>
      </w:r>
      <w:r>
        <w:rPr>
          <w:rFonts w:ascii="Times New Roman" w:eastAsia="Times New Roman" w:hAnsi="Times New Roman"/>
          <w:b/>
          <w:bCs/>
          <w:i/>
          <w:sz w:val="16"/>
          <w:szCs w:val="16"/>
        </w:rPr>
        <w:t xml:space="preserve"> uncertainties</w:t>
      </w:r>
      <w:r w:rsidRPr="003F42A2">
        <w:rPr>
          <w:rFonts w:ascii="Times New Roman" w:eastAsia="Times New Roman" w:hAnsi="Times New Roman"/>
          <w:b/>
          <w:bCs/>
          <w:i/>
          <w:sz w:val="16"/>
          <w:szCs w:val="16"/>
        </w:rPr>
        <w:t>, weather related disruptions, ATC strikes and staffing related disruptions, delays in the delivery of contracted aircraft, fluctuations in currency exchange rates and interest rates, airport access and charges, labour relations, the economic environment of the airline industry, the general economic environment in Ireland, the U</w:t>
      </w:r>
      <w:r>
        <w:rPr>
          <w:rFonts w:ascii="Times New Roman" w:eastAsia="Times New Roman" w:hAnsi="Times New Roman"/>
          <w:b/>
          <w:bCs/>
          <w:i/>
          <w:sz w:val="16"/>
          <w:szCs w:val="16"/>
        </w:rPr>
        <w:t>.</w:t>
      </w:r>
      <w:r w:rsidRPr="003F42A2">
        <w:rPr>
          <w:rFonts w:ascii="Times New Roman" w:eastAsia="Times New Roman" w:hAnsi="Times New Roman"/>
          <w:b/>
          <w:bCs/>
          <w:i/>
          <w:sz w:val="16"/>
          <w:szCs w:val="16"/>
        </w:rPr>
        <w:t>K</w:t>
      </w:r>
      <w:r>
        <w:rPr>
          <w:rFonts w:ascii="Times New Roman" w:eastAsia="Times New Roman" w:hAnsi="Times New Roman"/>
          <w:b/>
          <w:bCs/>
          <w:i/>
          <w:sz w:val="16"/>
          <w:szCs w:val="16"/>
        </w:rPr>
        <w:t>.</w:t>
      </w:r>
      <w:r w:rsidRPr="003F42A2">
        <w:rPr>
          <w:rFonts w:ascii="Times New Roman" w:eastAsia="Times New Roman" w:hAnsi="Times New Roman"/>
          <w:b/>
          <w:bCs/>
          <w:i/>
          <w:sz w:val="16"/>
          <w:szCs w:val="16"/>
        </w:rPr>
        <w:t xml:space="preserve"> and Continental Europe, the general willingness of passengers to travel and other economics, social and political factors</w:t>
      </w:r>
      <w:r>
        <w:rPr>
          <w:rFonts w:ascii="Times New Roman" w:eastAsia="Times New Roman" w:hAnsi="Times New Roman"/>
          <w:b/>
          <w:bCs/>
          <w:i/>
          <w:sz w:val="16"/>
          <w:szCs w:val="16"/>
        </w:rPr>
        <w:t>, global pandemics</w:t>
      </w:r>
      <w:r w:rsidRPr="003F42A2">
        <w:rPr>
          <w:rFonts w:ascii="Times New Roman" w:eastAsia="Times New Roman" w:hAnsi="Times New Roman"/>
          <w:b/>
          <w:bCs/>
          <w:i/>
          <w:sz w:val="16"/>
          <w:szCs w:val="16"/>
        </w:rPr>
        <w:t xml:space="preserve"> </w:t>
      </w:r>
      <w:r>
        <w:rPr>
          <w:rFonts w:ascii="Times New Roman" w:eastAsia="Times New Roman" w:hAnsi="Times New Roman"/>
          <w:b/>
          <w:bCs/>
          <w:i/>
          <w:sz w:val="16"/>
          <w:szCs w:val="16"/>
        </w:rPr>
        <w:t xml:space="preserve">such as Covid-19 </w:t>
      </w:r>
      <w:r w:rsidRPr="003F42A2">
        <w:rPr>
          <w:rFonts w:ascii="Times New Roman" w:eastAsia="Times New Roman" w:hAnsi="Times New Roman"/>
          <w:b/>
          <w:bCs/>
          <w:i/>
          <w:sz w:val="16"/>
          <w:szCs w:val="16"/>
        </w:rPr>
        <w:t>and unforeseen security events.</w:t>
      </w:r>
    </w:p>
    <w:p w14:paraId="561FD19A" w14:textId="77777777" w:rsidR="005E6691" w:rsidRDefault="005E6691" w:rsidP="005E6691">
      <w:pPr>
        <w:pStyle w:val="NoSpacing"/>
        <w:jc w:val="both"/>
        <w:rPr>
          <w:rFonts w:ascii="Times New Roman" w:eastAsia="Times New Roman" w:hAnsi="Times New Roman"/>
          <w:b/>
          <w:bCs/>
          <w:i/>
          <w:sz w:val="16"/>
          <w:szCs w:val="16"/>
        </w:rPr>
      </w:pPr>
    </w:p>
    <w:p w14:paraId="1DB8E042" w14:textId="77777777" w:rsidR="00724BA6" w:rsidRDefault="005E6691" w:rsidP="00724BA6">
      <w:pPr>
        <w:pStyle w:val="NoSpacing"/>
        <w:jc w:val="both"/>
        <w:rPr>
          <w:rFonts w:ascii="Times New Roman" w:eastAsia="Times New Roman" w:hAnsi="Times New Roman"/>
          <w:b/>
          <w:bCs/>
          <w:i/>
          <w:u w:val="single"/>
        </w:rPr>
      </w:pPr>
      <w:r>
        <w:rPr>
          <w:rFonts w:ascii="Times New Roman" w:eastAsia="Times New Roman" w:hAnsi="Times New Roman"/>
          <w:b/>
          <w:bCs/>
          <w:i/>
          <w:u w:val="single"/>
        </w:rPr>
        <w:br w:type="page"/>
      </w:r>
      <w:r w:rsidR="00724BA6">
        <w:rPr>
          <w:rFonts w:ascii="Times New Roman" w:eastAsia="Times New Roman" w:hAnsi="Times New Roman"/>
          <w:b/>
          <w:bCs/>
          <w:i/>
          <w:u w:val="single"/>
        </w:rPr>
        <w:lastRenderedPageBreak/>
        <w:t>Notes to Editor</w:t>
      </w:r>
    </w:p>
    <w:p w14:paraId="587FF940" w14:textId="77777777" w:rsidR="00724BA6" w:rsidRDefault="00724BA6" w:rsidP="00724BA6">
      <w:pPr>
        <w:pStyle w:val="NoSpacing"/>
        <w:jc w:val="both"/>
        <w:rPr>
          <w:rFonts w:ascii="Times New Roman" w:eastAsia="Times New Roman" w:hAnsi="Times New Roman"/>
          <w:b/>
          <w:bCs/>
          <w:i/>
          <w:u w:val="single"/>
        </w:rPr>
      </w:pPr>
    </w:p>
    <w:p w14:paraId="4089EBB5" w14:textId="77777777" w:rsidR="00724BA6" w:rsidRPr="00724BA6" w:rsidRDefault="00724BA6" w:rsidP="00724BA6">
      <w:pPr>
        <w:rPr>
          <w:sz w:val="22"/>
          <w:szCs w:val="22"/>
          <w:lang w:val="en-GB"/>
        </w:rPr>
      </w:pPr>
      <w:r w:rsidRPr="00724BA6">
        <w:rPr>
          <w:b/>
          <w:bCs/>
          <w:sz w:val="22"/>
          <w:szCs w:val="22"/>
          <w:u w:val="single"/>
          <w:lang w:val="en-GB"/>
        </w:rPr>
        <w:t>OTA UPDATE</w:t>
      </w:r>
      <w:r w:rsidRPr="00724BA6">
        <w:rPr>
          <w:sz w:val="22"/>
          <w:szCs w:val="22"/>
          <w:lang w:val="en-GB"/>
        </w:rPr>
        <w:t>:</w:t>
      </w:r>
    </w:p>
    <w:p w14:paraId="06246855" w14:textId="77777777" w:rsidR="00724BA6" w:rsidRPr="00724BA6" w:rsidRDefault="00724BA6" w:rsidP="00724BA6">
      <w:pPr>
        <w:jc w:val="both"/>
        <w:rPr>
          <w:sz w:val="22"/>
          <w:szCs w:val="22"/>
          <w:lang w:val="en-GB"/>
        </w:rPr>
      </w:pPr>
      <w:r w:rsidRPr="00724BA6">
        <w:rPr>
          <w:sz w:val="22"/>
          <w:szCs w:val="22"/>
          <w:lang w:val="en-GB"/>
        </w:rPr>
        <w:t xml:space="preserve">Ryanair has for many years made its low fares and ancillary services freely available to honest/transparent price comparison websites like Google Flights. These partners do not inflate Ryanair’s prices and the customer “clicks through” to the Ryanair.com website to make their bookings and secure Ryanair’s low prices. </w:t>
      </w:r>
    </w:p>
    <w:p w14:paraId="3DC335BC" w14:textId="77777777" w:rsidR="00724BA6" w:rsidRPr="00724BA6" w:rsidRDefault="00724BA6" w:rsidP="00724BA6">
      <w:pPr>
        <w:jc w:val="both"/>
        <w:rPr>
          <w:sz w:val="22"/>
          <w:szCs w:val="22"/>
          <w:lang w:val="en-GB"/>
        </w:rPr>
      </w:pPr>
    </w:p>
    <w:p w14:paraId="04F13143" w14:textId="77777777" w:rsidR="00724BA6" w:rsidRPr="00724BA6" w:rsidRDefault="00724BA6" w:rsidP="00724BA6">
      <w:pPr>
        <w:jc w:val="both"/>
        <w:rPr>
          <w:sz w:val="22"/>
          <w:szCs w:val="22"/>
          <w:lang w:val="en-GB"/>
        </w:rPr>
      </w:pPr>
      <w:r w:rsidRPr="00724BA6">
        <w:rPr>
          <w:sz w:val="22"/>
          <w:szCs w:val="22"/>
          <w:lang w:val="en-GB"/>
        </w:rPr>
        <w:t xml:space="preserve">We have also, for many years, fought a running battle with a number of unscrupulous OTA Pirates who use screenscraping bots to digitally pirate our flight info., prices and ancillary services, then repackage this unlawfully obtained info. via their websites to consumers whom they overcharge and scam with hidden mark-ups on air fares and ancillary services, and also with invented fees for non-existent services (such as “flexible” or “refundable” fares). These Pirates damage Ryanair’s brand by overcharging consumers and harm consumers by inflating Ryanair’s prices. They then make bookings using virtual credit cards mass-produced in off-shore locations in order to hack the Ryanair website’s technical defences, which obstructs Ryanair from making refunds to customers. They also prevent Ryanair from contacting customers directly by using fake email addresses. </w:t>
      </w:r>
    </w:p>
    <w:p w14:paraId="33FB8127" w14:textId="77777777" w:rsidR="00724BA6" w:rsidRPr="00724BA6" w:rsidRDefault="00724BA6" w:rsidP="00724BA6">
      <w:pPr>
        <w:jc w:val="both"/>
        <w:rPr>
          <w:sz w:val="22"/>
          <w:szCs w:val="22"/>
          <w:lang w:val="en-GB"/>
        </w:rPr>
      </w:pPr>
    </w:p>
    <w:p w14:paraId="52967648" w14:textId="77777777" w:rsidR="00724BA6" w:rsidRPr="00724BA6" w:rsidRDefault="00724BA6" w:rsidP="00724BA6">
      <w:pPr>
        <w:jc w:val="both"/>
        <w:rPr>
          <w:sz w:val="22"/>
          <w:szCs w:val="22"/>
          <w:lang w:val="en-GB"/>
        </w:rPr>
      </w:pPr>
      <w:r w:rsidRPr="00724BA6">
        <w:rPr>
          <w:sz w:val="22"/>
          <w:szCs w:val="22"/>
          <w:lang w:val="en-GB"/>
        </w:rPr>
        <w:t>In early Dec., many of these OTA Pirates removed Ryanair flights from sale on their websites. While damaging to our bookings and fares in the very short term, we welcomed this development as it brought a welcome respite to consumers from the overcharging practices of these OTAs.</w:t>
      </w:r>
    </w:p>
    <w:p w14:paraId="71447C13" w14:textId="77777777" w:rsidR="00724BA6" w:rsidRPr="00724BA6" w:rsidRDefault="00724BA6" w:rsidP="00724BA6">
      <w:pPr>
        <w:jc w:val="both"/>
        <w:rPr>
          <w:sz w:val="22"/>
          <w:szCs w:val="22"/>
          <w:lang w:val="en-GB"/>
        </w:rPr>
      </w:pPr>
    </w:p>
    <w:p w14:paraId="6B58CF86" w14:textId="77777777" w:rsidR="00724BA6" w:rsidRPr="00724BA6" w:rsidRDefault="00724BA6" w:rsidP="00724BA6">
      <w:pPr>
        <w:jc w:val="both"/>
        <w:rPr>
          <w:sz w:val="22"/>
          <w:szCs w:val="22"/>
          <w:lang w:val="en-GB"/>
        </w:rPr>
      </w:pPr>
      <w:r w:rsidRPr="00724BA6">
        <w:rPr>
          <w:sz w:val="22"/>
          <w:szCs w:val="22"/>
          <w:lang w:val="en-GB"/>
        </w:rPr>
        <w:t>In mid Dec., we received approaches from some of the bigger OTAs seeking to “partner” directly with Ryanair on similar terms to the transparent price comparison websites. We are very happy to have reached agreement with our first 2 approved OTA partners – Loveholidays.com and Kiwi.com. Both of these OTAs will now receive a direct feed from the Ryanair.com website thereby eliminating unlicenced screenscraping or digital piracy. They will be able to offer their customers real Ryanair fares and ancillary services, and they agree to not add any mark-ups to our fares or any ancillary service fees, which guarantees their customers the best Ryanair prices. All bookings will be completed directly on Ryanair.com using customers’ real contact details so that Ryanair can send each customer email notifications related to their flights, including important security info., and in the rare case of cancellations, ensure that customer get their full refunds.</w:t>
      </w:r>
    </w:p>
    <w:p w14:paraId="491E33CD" w14:textId="77777777" w:rsidR="00724BA6" w:rsidRPr="00A9062C" w:rsidRDefault="00724BA6" w:rsidP="00724BA6">
      <w:pPr>
        <w:jc w:val="both"/>
        <w:rPr>
          <w:lang w:val="en-GB"/>
        </w:rPr>
      </w:pPr>
    </w:p>
    <w:p w14:paraId="26B61D82" w14:textId="77777777" w:rsidR="00724BA6" w:rsidRPr="00724BA6" w:rsidRDefault="00724BA6" w:rsidP="00724BA6">
      <w:pPr>
        <w:jc w:val="both"/>
        <w:rPr>
          <w:sz w:val="22"/>
          <w:szCs w:val="22"/>
          <w:lang w:val="en-GB"/>
        </w:rPr>
      </w:pPr>
      <w:r w:rsidRPr="00724BA6">
        <w:rPr>
          <w:sz w:val="22"/>
          <w:szCs w:val="22"/>
          <w:lang w:val="en-GB"/>
        </w:rPr>
        <w:t xml:space="preserve">These approved OTA partnerships can end OTA Piracy, protect consumers from overcharges and ensure that Ryanair’s real air fares and ancillary services are always sold to passengers in all markets, which preserves Ryanair’s low fare brand and our price advantage over all other airlines in Europe. We will continue to work closely with like-minded OTA partners such as Loveholidays and Kiwi to provide real value for consumers even while we continue to pursue all remaining OTA Pirates like On the Beach, Lastminute.com, eDreams, Opodo and Booking.com, until we end their digital piracy and their overcharging and scamming of unsuspecting consumers. </w:t>
      </w:r>
    </w:p>
    <w:p w14:paraId="3396DC7E" w14:textId="77777777" w:rsidR="00724BA6" w:rsidRPr="0071179C" w:rsidRDefault="00724BA6" w:rsidP="00724BA6">
      <w:pPr>
        <w:pStyle w:val="NoSpacing"/>
        <w:jc w:val="both"/>
        <w:rPr>
          <w:rFonts w:ascii="Times New Roman" w:eastAsia="Times New Roman" w:hAnsi="Times New Roman"/>
          <w:b/>
          <w:bCs/>
          <w:i/>
          <w:u w:val="single"/>
        </w:rPr>
      </w:pPr>
    </w:p>
    <w:p w14:paraId="3D95A690" w14:textId="77777777" w:rsidR="003609FA" w:rsidRDefault="003609FA" w:rsidP="00D92BEA">
      <w:pPr>
        <w:pStyle w:val="NoSpacing"/>
        <w:jc w:val="both"/>
        <w:rPr>
          <w:rFonts w:ascii="Times New Roman" w:eastAsia="Times New Roman" w:hAnsi="Times New Roman"/>
          <w:b/>
          <w:bCs/>
          <w:i/>
          <w:sz w:val="16"/>
          <w:szCs w:val="16"/>
        </w:rPr>
        <w:sectPr w:rsidR="003609FA" w:rsidSect="00DB7576">
          <w:footerReference w:type="default" r:id="rId13"/>
          <w:pgSz w:w="11906" w:h="16838" w:code="9"/>
          <w:pgMar w:top="426" w:right="566" w:bottom="1440" w:left="567" w:header="142" w:footer="709" w:gutter="0"/>
          <w:pgNumType w:start="1"/>
          <w:cols w:space="708"/>
          <w:docGrid w:linePitch="360"/>
        </w:sectPr>
      </w:pPr>
    </w:p>
    <w:p w14:paraId="3123C585" w14:textId="77777777" w:rsidR="00FD6E41" w:rsidRPr="00835E4A" w:rsidRDefault="00FD6E41" w:rsidP="00D92BEA">
      <w:pPr>
        <w:pStyle w:val="NoSpacing"/>
        <w:jc w:val="both"/>
        <w:rPr>
          <w:rFonts w:cs="Calibri"/>
          <w:b/>
          <w:bCs/>
          <w:color w:val="000000"/>
        </w:rPr>
      </w:pPr>
      <w:r w:rsidRPr="00835E4A">
        <w:rPr>
          <w:rFonts w:cs="Calibri"/>
          <w:b/>
          <w:bCs/>
          <w:color w:val="000000"/>
        </w:rPr>
        <w:lastRenderedPageBreak/>
        <w:t xml:space="preserve">Ryanair Holdings plc and Subsidiaries  </w:t>
      </w:r>
    </w:p>
    <w:p w14:paraId="445D45AD" w14:textId="77777777" w:rsidR="00FD6E41" w:rsidRPr="0026148D" w:rsidRDefault="00FD6E41" w:rsidP="00FD6E41">
      <w:pPr>
        <w:autoSpaceDE w:val="0"/>
        <w:autoSpaceDN w:val="0"/>
        <w:adjustRightInd w:val="0"/>
        <w:ind w:right="4"/>
        <w:rPr>
          <w:rFonts w:ascii="Calibri" w:hAnsi="Calibri" w:cs="Calibri"/>
          <w:b/>
          <w:bCs/>
          <w:i/>
          <w:iCs/>
          <w:color w:val="000000"/>
        </w:rPr>
      </w:pPr>
      <w:r w:rsidRPr="0026148D">
        <w:rPr>
          <w:rFonts w:ascii="Calibri" w:hAnsi="Calibri" w:cs="Calibri"/>
          <w:b/>
          <w:bCs/>
          <w:i/>
          <w:iCs/>
          <w:color w:val="000000"/>
        </w:rPr>
        <w:t xml:space="preserve">Condensed Consolidated Interim Balance Sheet as at </w:t>
      </w:r>
      <w:r w:rsidR="0033489D">
        <w:rPr>
          <w:rFonts w:ascii="Calibri" w:hAnsi="Calibri" w:cs="Calibri"/>
          <w:b/>
          <w:bCs/>
          <w:i/>
          <w:iCs/>
          <w:color w:val="000000"/>
        </w:rPr>
        <w:t>Dec</w:t>
      </w:r>
      <w:r w:rsidRPr="0026148D">
        <w:rPr>
          <w:rFonts w:ascii="Calibri" w:hAnsi="Calibri" w:cs="Calibri"/>
          <w:b/>
          <w:bCs/>
          <w:i/>
          <w:iCs/>
          <w:color w:val="000000"/>
        </w:rPr>
        <w:t>ember 3</w:t>
      </w:r>
      <w:r w:rsidR="00057CA1">
        <w:rPr>
          <w:rFonts w:ascii="Calibri" w:hAnsi="Calibri" w:cs="Calibri"/>
          <w:b/>
          <w:bCs/>
          <w:i/>
          <w:iCs/>
          <w:color w:val="000000"/>
        </w:rPr>
        <w:t>1</w:t>
      </w:r>
      <w:r w:rsidRPr="0026148D">
        <w:rPr>
          <w:rFonts w:ascii="Calibri" w:hAnsi="Calibri" w:cs="Calibri"/>
          <w:b/>
          <w:bCs/>
          <w:i/>
          <w:iCs/>
          <w:color w:val="000000"/>
        </w:rPr>
        <w:t>, 2023 (unaudited)</w:t>
      </w:r>
      <w:r w:rsidR="00001ABF">
        <w:rPr>
          <w:rFonts w:ascii="Calibri" w:hAnsi="Calibri" w:cs="Calibri"/>
          <w:b/>
          <w:bCs/>
          <w:i/>
          <w:iCs/>
          <w:color w:val="000000"/>
        </w:rPr>
        <w:t xml:space="preserve"> </w:t>
      </w:r>
    </w:p>
    <w:p w14:paraId="4946C6D4" w14:textId="77777777" w:rsidR="00FD6E41" w:rsidRPr="00345F84" w:rsidRDefault="00FD6E41" w:rsidP="00FD6E41">
      <w:pPr>
        <w:autoSpaceDE w:val="0"/>
        <w:autoSpaceDN w:val="0"/>
        <w:adjustRightInd w:val="0"/>
        <w:ind w:right="4"/>
        <w:rPr>
          <w:rFonts w:ascii="Calibri" w:hAnsi="Calibri" w:cs="Calibri"/>
          <w:b/>
          <w:bCs/>
          <w:i/>
          <w:iCs/>
          <w:color w:val="000000"/>
          <w:sz w:val="22"/>
          <w:szCs w:val="22"/>
        </w:rPr>
      </w:pPr>
    </w:p>
    <w:tbl>
      <w:tblPr>
        <w:tblW w:w="11091" w:type="dxa"/>
        <w:tblInd w:w="-318" w:type="dxa"/>
        <w:tblLayout w:type="fixed"/>
        <w:tblLook w:val="04A0" w:firstRow="1" w:lastRow="0" w:firstColumn="1" w:lastColumn="0" w:noHBand="0" w:noVBand="1"/>
      </w:tblPr>
      <w:tblGrid>
        <w:gridCol w:w="261"/>
        <w:gridCol w:w="5414"/>
        <w:gridCol w:w="3148"/>
        <w:gridCol w:w="1134"/>
        <w:gridCol w:w="1134"/>
      </w:tblGrid>
      <w:tr w:rsidR="00FD6E41" w:rsidRPr="00135F6B" w14:paraId="043035C2" w14:textId="77777777" w:rsidTr="005E03B5">
        <w:trPr>
          <w:trHeight w:val="249"/>
        </w:trPr>
        <w:tc>
          <w:tcPr>
            <w:tcW w:w="261" w:type="dxa"/>
            <w:shd w:val="clear" w:color="auto" w:fill="FFFFFF"/>
            <w:noWrap/>
            <w:vAlign w:val="bottom"/>
            <w:hideMark/>
          </w:tcPr>
          <w:p w14:paraId="3B4689B5" w14:textId="77777777" w:rsidR="00FD6E41" w:rsidRPr="00345F84" w:rsidRDefault="00FD6E41" w:rsidP="001C5897">
            <w:pPr>
              <w:rPr>
                <w:sz w:val="20"/>
                <w:szCs w:val="20"/>
                <w:lang w:eastAsia="en-IE"/>
              </w:rPr>
            </w:pPr>
          </w:p>
        </w:tc>
        <w:tc>
          <w:tcPr>
            <w:tcW w:w="5414" w:type="dxa"/>
            <w:shd w:val="clear" w:color="auto" w:fill="FFFFFF"/>
            <w:vAlign w:val="center"/>
            <w:hideMark/>
          </w:tcPr>
          <w:p w14:paraId="1C1DC4AA" w14:textId="77777777" w:rsidR="00FD6E41" w:rsidRPr="001F1BE1" w:rsidRDefault="00FD6E41" w:rsidP="00FD6E41">
            <w:pPr>
              <w:ind w:left="60"/>
              <w:rPr>
                <w:rFonts w:ascii="Calibri" w:hAnsi="Calibri" w:cs="Calibri"/>
                <w:b/>
                <w:bCs/>
                <w:i/>
                <w:iCs/>
                <w:sz w:val="21"/>
                <w:szCs w:val="21"/>
                <w:lang w:eastAsia="en-IE"/>
              </w:rPr>
            </w:pPr>
            <w:r w:rsidRPr="001F1BE1">
              <w:rPr>
                <w:rFonts w:ascii="Calibri" w:hAnsi="Calibri" w:cs="Calibri"/>
                <w:b/>
                <w:bCs/>
                <w:i/>
                <w:iCs/>
                <w:sz w:val="21"/>
                <w:szCs w:val="21"/>
                <w:lang w:eastAsia="en-IE"/>
              </w:rPr>
              <w:t> </w:t>
            </w:r>
          </w:p>
        </w:tc>
        <w:tc>
          <w:tcPr>
            <w:tcW w:w="3148" w:type="dxa"/>
            <w:shd w:val="clear" w:color="auto" w:fill="FFFFFF"/>
            <w:vAlign w:val="center"/>
            <w:hideMark/>
          </w:tcPr>
          <w:p w14:paraId="3D0E746A" w14:textId="77777777" w:rsidR="00FD6E41" w:rsidRPr="001F1BE1" w:rsidRDefault="00FD6E41" w:rsidP="001C5897">
            <w:pPr>
              <w:jc w:val="right"/>
              <w:rPr>
                <w:rFonts w:ascii="Calibri" w:hAnsi="Calibri" w:cs="Calibri"/>
                <w:b/>
                <w:bCs/>
                <w:color w:val="000000"/>
                <w:sz w:val="21"/>
                <w:szCs w:val="21"/>
                <w:lang w:eastAsia="en-IE"/>
              </w:rPr>
            </w:pPr>
            <w:r w:rsidRPr="001F1BE1">
              <w:rPr>
                <w:rFonts w:ascii="Calibri" w:hAnsi="Calibri" w:cs="Calibri"/>
                <w:b/>
                <w:bCs/>
                <w:color w:val="000000"/>
                <w:sz w:val="21"/>
                <w:szCs w:val="21"/>
                <w:lang w:eastAsia="en-IE"/>
              </w:rPr>
              <w:t> </w:t>
            </w:r>
          </w:p>
        </w:tc>
        <w:tc>
          <w:tcPr>
            <w:tcW w:w="1134" w:type="dxa"/>
            <w:shd w:val="clear" w:color="auto" w:fill="FFFF00"/>
            <w:noWrap/>
            <w:vAlign w:val="center"/>
            <w:hideMark/>
          </w:tcPr>
          <w:p w14:paraId="6E94EB5C" w14:textId="77777777" w:rsidR="00FD6E41" w:rsidRPr="001F1BE1" w:rsidRDefault="00FD6E41" w:rsidP="00F72676">
            <w:pPr>
              <w:ind w:left="-45" w:right="27" w:hanging="60"/>
              <w:jc w:val="right"/>
              <w:rPr>
                <w:rFonts w:ascii="Calibri" w:hAnsi="Calibri" w:cs="Calibri"/>
                <w:b/>
                <w:bCs/>
                <w:color w:val="000000"/>
                <w:sz w:val="21"/>
                <w:szCs w:val="21"/>
                <w:lang w:eastAsia="en-IE"/>
              </w:rPr>
            </w:pPr>
            <w:r w:rsidRPr="001F1BE1">
              <w:rPr>
                <w:rFonts w:ascii="Calibri" w:hAnsi="Calibri" w:cs="Calibri"/>
                <w:b/>
                <w:bCs/>
                <w:color w:val="000000"/>
                <w:sz w:val="21"/>
                <w:szCs w:val="21"/>
                <w:lang w:eastAsia="en-IE"/>
              </w:rPr>
              <w:t xml:space="preserve">At </w:t>
            </w:r>
            <w:r w:rsidR="0033489D">
              <w:rPr>
                <w:rFonts w:ascii="Calibri" w:hAnsi="Calibri" w:cs="Calibri"/>
                <w:b/>
                <w:bCs/>
                <w:color w:val="000000"/>
                <w:sz w:val="21"/>
                <w:szCs w:val="21"/>
                <w:lang w:eastAsia="en-IE"/>
              </w:rPr>
              <w:t>Dec</w:t>
            </w:r>
            <w:r w:rsidR="00F72676">
              <w:rPr>
                <w:rFonts w:ascii="Calibri" w:hAnsi="Calibri" w:cs="Calibri"/>
                <w:b/>
                <w:bCs/>
                <w:color w:val="000000"/>
                <w:sz w:val="21"/>
                <w:szCs w:val="21"/>
                <w:lang w:eastAsia="en-IE"/>
              </w:rPr>
              <w:t xml:space="preserve"> </w:t>
            </w:r>
            <w:r>
              <w:rPr>
                <w:rFonts w:ascii="Calibri" w:hAnsi="Calibri" w:cs="Calibri"/>
                <w:b/>
                <w:bCs/>
                <w:color w:val="000000"/>
                <w:sz w:val="21"/>
                <w:szCs w:val="21"/>
                <w:lang w:eastAsia="en-IE"/>
              </w:rPr>
              <w:t>3</w:t>
            </w:r>
            <w:r w:rsidR="0033489D">
              <w:rPr>
                <w:rFonts w:ascii="Calibri" w:hAnsi="Calibri" w:cs="Calibri"/>
                <w:b/>
                <w:bCs/>
                <w:color w:val="000000"/>
                <w:sz w:val="21"/>
                <w:szCs w:val="21"/>
                <w:lang w:eastAsia="en-IE"/>
              </w:rPr>
              <w:t>1</w:t>
            </w:r>
            <w:r w:rsidRPr="001F1BE1">
              <w:rPr>
                <w:rFonts w:ascii="Calibri" w:hAnsi="Calibri" w:cs="Calibri"/>
                <w:b/>
                <w:bCs/>
                <w:color w:val="000000"/>
                <w:sz w:val="21"/>
                <w:szCs w:val="21"/>
                <w:lang w:eastAsia="en-IE"/>
              </w:rPr>
              <w:t>,</w:t>
            </w:r>
          </w:p>
        </w:tc>
        <w:tc>
          <w:tcPr>
            <w:tcW w:w="1134" w:type="dxa"/>
            <w:shd w:val="clear" w:color="auto" w:fill="FFFFFF"/>
            <w:noWrap/>
            <w:vAlign w:val="center"/>
            <w:hideMark/>
          </w:tcPr>
          <w:p w14:paraId="621614FE"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At Mar 31,</w:t>
            </w:r>
          </w:p>
        </w:tc>
      </w:tr>
      <w:tr w:rsidR="00FD6E41" w:rsidRPr="00135F6B" w14:paraId="5554A8D5" w14:textId="77777777" w:rsidTr="005E03B5">
        <w:trPr>
          <w:trHeight w:val="249"/>
        </w:trPr>
        <w:tc>
          <w:tcPr>
            <w:tcW w:w="261" w:type="dxa"/>
            <w:shd w:val="clear" w:color="auto" w:fill="FFFFFF"/>
            <w:noWrap/>
            <w:vAlign w:val="bottom"/>
            <w:hideMark/>
          </w:tcPr>
          <w:p w14:paraId="488B1304"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1A655B7E" w14:textId="77777777" w:rsidR="00FD6E41" w:rsidRPr="001F1BE1" w:rsidRDefault="00FD6E41" w:rsidP="00FD6E41">
            <w:pPr>
              <w:ind w:left="60"/>
              <w:rPr>
                <w:rFonts w:ascii="Calibri" w:hAnsi="Calibri" w:cs="Calibri"/>
                <w:b/>
                <w:bCs/>
                <w:i/>
                <w:iCs/>
                <w:sz w:val="21"/>
                <w:szCs w:val="21"/>
                <w:lang w:eastAsia="en-IE"/>
              </w:rPr>
            </w:pPr>
            <w:r w:rsidRPr="001F1BE1">
              <w:rPr>
                <w:rFonts w:ascii="Calibri" w:hAnsi="Calibri" w:cs="Calibri"/>
                <w:b/>
                <w:bCs/>
                <w:i/>
                <w:iCs/>
                <w:sz w:val="21"/>
                <w:szCs w:val="21"/>
                <w:lang w:eastAsia="en-IE"/>
              </w:rPr>
              <w:t> </w:t>
            </w:r>
          </w:p>
        </w:tc>
        <w:tc>
          <w:tcPr>
            <w:tcW w:w="3148" w:type="dxa"/>
            <w:shd w:val="clear" w:color="auto" w:fill="FFFFFF"/>
            <w:vAlign w:val="center"/>
            <w:hideMark/>
          </w:tcPr>
          <w:p w14:paraId="3D73BED9" w14:textId="77777777" w:rsidR="00FD6E41" w:rsidRPr="001F1BE1" w:rsidRDefault="00FD6E41" w:rsidP="001C5897">
            <w:pPr>
              <w:jc w:val="right"/>
              <w:rPr>
                <w:rFonts w:ascii="Calibri" w:hAnsi="Calibri" w:cs="Calibri"/>
                <w:b/>
                <w:bCs/>
                <w:color w:val="000000"/>
                <w:sz w:val="21"/>
                <w:szCs w:val="21"/>
                <w:lang w:eastAsia="en-IE"/>
              </w:rPr>
            </w:pPr>
            <w:r w:rsidRPr="001F1BE1">
              <w:rPr>
                <w:rFonts w:ascii="Calibri" w:hAnsi="Calibri" w:cs="Calibri"/>
                <w:b/>
                <w:bCs/>
                <w:color w:val="000000"/>
                <w:sz w:val="21"/>
                <w:szCs w:val="21"/>
                <w:lang w:eastAsia="en-IE"/>
              </w:rPr>
              <w:t> </w:t>
            </w:r>
          </w:p>
        </w:tc>
        <w:tc>
          <w:tcPr>
            <w:tcW w:w="1134" w:type="dxa"/>
            <w:shd w:val="clear" w:color="auto" w:fill="FFFF00"/>
            <w:noWrap/>
            <w:vAlign w:val="center"/>
            <w:hideMark/>
          </w:tcPr>
          <w:p w14:paraId="1C6D6F03" w14:textId="77777777" w:rsidR="00FD6E41" w:rsidRPr="001F1BE1" w:rsidRDefault="00FD6E41" w:rsidP="00F72676">
            <w:pPr>
              <w:ind w:left="-45" w:right="27" w:firstLine="45"/>
              <w:jc w:val="right"/>
              <w:rPr>
                <w:rFonts w:ascii="Calibri" w:hAnsi="Calibri" w:cs="Calibri"/>
                <w:b/>
                <w:bCs/>
                <w:color w:val="000000"/>
                <w:sz w:val="21"/>
                <w:szCs w:val="21"/>
                <w:lang w:eastAsia="en-IE"/>
              </w:rPr>
            </w:pPr>
            <w:r w:rsidRPr="001F1BE1">
              <w:rPr>
                <w:rFonts w:ascii="Calibri" w:hAnsi="Calibri" w:cs="Calibri"/>
                <w:b/>
                <w:bCs/>
                <w:color w:val="000000"/>
                <w:sz w:val="21"/>
                <w:szCs w:val="21"/>
                <w:lang w:eastAsia="en-IE"/>
              </w:rPr>
              <w:t>2023</w:t>
            </w:r>
          </w:p>
        </w:tc>
        <w:tc>
          <w:tcPr>
            <w:tcW w:w="1134" w:type="dxa"/>
            <w:shd w:val="clear" w:color="auto" w:fill="FFFFFF"/>
            <w:noWrap/>
            <w:vAlign w:val="center"/>
            <w:hideMark/>
          </w:tcPr>
          <w:p w14:paraId="2D489A50"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2023</w:t>
            </w:r>
          </w:p>
        </w:tc>
      </w:tr>
      <w:tr w:rsidR="00FD6E41" w:rsidRPr="00135F6B" w14:paraId="11A814B3" w14:textId="77777777" w:rsidTr="005E03B5">
        <w:trPr>
          <w:trHeight w:val="249"/>
        </w:trPr>
        <w:tc>
          <w:tcPr>
            <w:tcW w:w="261" w:type="dxa"/>
            <w:shd w:val="clear" w:color="auto" w:fill="FFFFFF"/>
            <w:noWrap/>
            <w:vAlign w:val="bottom"/>
            <w:hideMark/>
          </w:tcPr>
          <w:p w14:paraId="2BDDCEF1"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7758CC0A" w14:textId="77777777" w:rsidR="00FD6E41" w:rsidRPr="001F1BE1" w:rsidRDefault="00FD6E41" w:rsidP="00FD6E41">
            <w:pPr>
              <w:ind w:left="60"/>
              <w:rPr>
                <w:rFonts w:ascii="Calibri" w:hAnsi="Calibri" w:cs="Calibri"/>
                <w:b/>
                <w:bCs/>
                <w:sz w:val="21"/>
                <w:szCs w:val="21"/>
                <w:lang w:eastAsia="en-IE"/>
              </w:rPr>
            </w:pPr>
            <w:r w:rsidRPr="001F1BE1">
              <w:rPr>
                <w:rFonts w:ascii="Calibri" w:hAnsi="Calibri" w:cs="Calibri"/>
                <w:b/>
                <w:bCs/>
                <w:sz w:val="21"/>
                <w:szCs w:val="21"/>
                <w:lang w:eastAsia="en-IE"/>
              </w:rPr>
              <w:t> </w:t>
            </w:r>
          </w:p>
        </w:tc>
        <w:tc>
          <w:tcPr>
            <w:tcW w:w="3148" w:type="dxa"/>
            <w:shd w:val="clear" w:color="auto" w:fill="FFFFFF"/>
            <w:vAlign w:val="center"/>
            <w:hideMark/>
          </w:tcPr>
          <w:p w14:paraId="24988954" w14:textId="77777777" w:rsidR="00FD6E41" w:rsidRPr="00103D56" w:rsidRDefault="00FD6E41" w:rsidP="001C5897">
            <w:pPr>
              <w:jc w:val="right"/>
              <w:rPr>
                <w:rFonts w:ascii="Calibri" w:hAnsi="Calibri" w:cs="Calibri"/>
                <w:b/>
                <w:bCs/>
                <w:color w:val="000000"/>
                <w:sz w:val="22"/>
                <w:szCs w:val="22"/>
                <w:u w:val="single"/>
                <w:lang w:eastAsia="en-IE"/>
              </w:rPr>
            </w:pPr>
            <w:r w:rsidRPr="00103D56">
              <w:rPr>
                <w:rFonts w:ascii="Calibri" w:hAnsi="Calibri" w:cs="Calibri"/>
                <w:b/>
                <w:bCs/>
                <w:color w:val="000000"/>
                <w:sz w:val="22"/>
                <w:szCs w:val="22"/>
                <w:u w:val="single"/>
                <w:lang w:eastAsia="en-IE"/>
              </w:rPr>
              <w:t>Note</w:t>
            </w:r>
          </w:p>
        </w:tc>
        <w:tc>
          <w:tcPr>
            <w:tcW w:w="1134" w:type="dxa"/>
            <w:shd w:val="clear" w:color="auto" w:fill="FFFF00"/>
            <w:vAlign w:val="center"/>
            <w:hideMark/>
          </w:tcPr>
          <w:p w14:paraId="0AD9325C" w14:textId="77777777" w:rsidR="00FD6E41" w:rsidRPr="001F1BE1" w:rsidRDefault="00FD6E41" w:rsidP="00F72676">
            <w:pPr>
              <w:ind w:left="-45" w:right="27" w:firstLine="45"/>
              <w:jc w:val="right"/>
              <w:rPr>
                <w:rFonts w:ascii="Calibri" w:hAnsi="Calibri" w:cs="Calibri"/>
                <w:b/>
                <w:bCs/>
                <w:color w:val="000000"/>
                <w:sz w:val="21"/>
                <w:szCs w:val="21"/>
                <w:u w:val="single"/>
                <w:lang w:eastAsia="en-IE"/>
              </w:rPr>
            </w:pPr>
            <w:r w:rsidRPr="001F1BE1">
              <w:rPr>
                <w:rFonts w:ascii="Calibri" w:hAnsi="Calibri" w:cs="Calibri"/>
                <w:b/>
                <w:bCs/>
                <w:color w:val="000000"/>
                <w:sz w:val="21"/>
                <w:szCs w:val="21"/>
                <w:u w:val="single"/>
                <w:lang w:eastAsia="en-IE"/>
              </w:rPr>
              <w:t>€M</w:t>
            </w:r>
          </w:p>
        </w:tc>
        <w:tc>
          <w:tcPr>
            <w:tcW w:w="1134" w:type="dxa"/>
            <w:shd w:val="clear" w:color="auto" w:fill="FFFFFF"/>
            <w:vAlign w:val="center"/>
            <w:hideMark/>
          </w:tcPr>
          <w:p w14:paraId="496DBAE7" w14:textId="77777777" w:rsidR="00FD6E41" w:rsidRPr="00103D56" w:rsidRDefault="00FD6E41" w:rsidP="00F72676">
            <w:pPr>
              <w:ind w:right="33" w:hanging="111"/>
              <w:jc w:val="right"/>
              <w:rPr>
                <w:rFonts w:ascii="Calibri" w:hAnsi="Calibri" w:cs="Calibri"/>
                <w:color w:val="000000"/>
                <w:sz w:val="22"/>
                <w:szCs w:val="22"/>
                <w:u w:val="single"/>
                <w:lang w:eastAsia="en-IE"/>
              </w:rPr>
            </w:pPr>
            <w:r w:rsidRPr="00103D56">
              <w:rPr>
                <w:rFonts w:ascii="Calibri" w:hAnsi="Calibri" w:cs="Calibri"/>
                <w:color w:val="000000"/>
                <w:sz w:val="22"/>
                <w:szCs w:val="22"/>
                <w:u w:val="single"/>
                <w:lang w:eastAsia="en-IE"/>
              </w:rPr>
              <w:t>€M</w:t>
            </w:r>
          </w:p>
        </w:tc>
      </w:tr>
      <w:tr w:rsidR="00FD6E41" w:rsidRPr="00135F6B" w14:paraId="4C1B42AF" w14:textId="77777777" w:rsidTr="005E03B5">
        <w:trPr>
          <w:trHeight w:val="249"/>
        </w:trPr>
        <w:tc>
          <w:tcPr>
            <w:tcW w:w="261" w:type="dxa"/>
            <w:shd w:val="clear" w:color="auto" w:fill="FFFFFF"/>
            <w:noWrap/>
            <w:vAlign w:val="bottom"/>
            <w:hideMark/>
          </w:tcPr>
          <w:p w14:paraId="782ED644" w14:textId="77777777" w:rsidR="00FD6E41" w:rsidRPr="00135F6B" w:rsidRDefault="00FD6E41" w:rsidP="001C5897">
            <w:pPr>
              <w:rPr>
                <w:rFonts w:ascii="Calibri" w:hAnsi="Calibri" w:cs="Calibri"/>
                <w:color w:val="000000"/>
                <w:sz w:val="20"/>
                <w:szCs w:val="20"/>
                <w:u w:val="single"/>
                <w:lang w:eastAsia="en-IE"/>
              </w:rPr>
            </w:pPr>
          </w:p>
        </w:tc>
        <w:tc>
          <w:tcPr>
            <w:tcW w:w="5414" w:type="dxa"/>
            <w:shd w:val="clear" w:color="auto" w:fill="FFFFFF"/>
            <w:vAlign w:val="center"/>
            <w:hideMark/>
          </w:tcPr>
          <w:p w14:paraId="37DED43B"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Non-current assets</w:t>
            </w:r>
          </w:p>
        </w:tc>
        <w:tc>
          <w:tcPr>
            <w:tcW w:w="3148" w:type="dxa"/>
            <w:shd w:val="clear" w:color="auto" w:fill="FFFFFF"/>
            <w:vAlign w:val="center"/>
            <w:hideMark/>
          </w:tcPr>
          <w:p w14:paraId="7A80BA11" w14:textId="77777777" w:rsidR="00FD6E41" w:rsidRPr="00103D56" w:rsidRDefault="00FD6E41" w:rsidP="001C5897">
            <w:pPr>
              <w:rPr>
                <w:rFonts w:ascii="Calibri" w:hAnsi="Calibri" w:cs="Calibri"/>
                <w:b/>
                <w:bCs/>
                <w:sz w:val="22"/>
                <w:szCs w:val="22"/>
                <w:lang w:eastAsia="en-IE"/>
              </w:rPr>
            </w:pPr>
          </w:p>
        </w:tc>
        <w:tc>
          <w:tcPr>
            <w:tcW w:w="1134" w:type="dxa"/>
            <w:shd w:val="clear" w:color="auto" w:fill="FFFF00"/>
            <w:vAlign w:val="bottom"/>
            <w:hideMark/>
          </w:tcPr>
          <w:p w14:paraId="376F07D3" w14:textId="77777777" w:rsidR="00FD6E41" w:rsidRPr="001F1BE1" w:rsidRDefault="00FD6E41" w:rsidP="00F72676">
            <w:pPr>
              <w:ind w:left="-45" w:right="27" w:firstLine="45"/>
              <w:jc w:val="right"/>
              <w:rPr>
                <w:rFonts w:ascii="Calibri" w:hAnsi="Calibri" w:cs="Calibri"/>
                <w:b/>
                <w:bCs/>
                <w:color w:val="000000"/>
                <w:sz w:val="21"/>
                <w:szCs w:val="21"/>
                <w:lang w:eastAsia="en-IE"/>
              </w:rPr>
            </w:pPr>
          </w:p>
        </w:tc>
        <w:tc>
          <w:tcPr>
            <w:tcW w:w="1134" w:type="dxa"/>
            <w:shd w:val="clear" w:color="auto" w:fill="FFFFFF"/>
            <w:vAlign w:val="center"/>
            <w:hideMark/>
          </w:tcPr>
          <w:p w14:paraId="398C07FD" w14:textId="77777777" w:rsidR="00FD6E41" w:rsidRPr="00103D56" w:rsidRDefault="00FD6E41" w:rsidP="00F72676">
            <w:pPr>
              <w:ind w:right="33" w:hanging="111"/>
              <w:rPr>
                <w:rFonts w:ascii="Calibri" w:eastAsia="Calibri" w:hAnsi="Calibri" w:cs="Calibri"/>
                <w:sz w:val="22"/>
                <w:szCs w:val="22"/>
                <w:lang w:eastAsia="en-IE"/>
              </w:rPr>
            </w:pPr>
          </w:p>
        </w:tc>
      </w:tr>
      <w:tr w:rsidR="00FD6E41" w:rsidRPr="00135F6B" w14:paraId="4C329FDE" w14:textId="77777777" w:rsidTr="005E03B5">
        <w:trPr>
          <w:trHeight w:val="249"/>
        </w:trPr>
        <w:tc>
          <w:tcPr>
            <w:tcW w:w="261" w:type="dxa"/>
            <w:shd w:val="clear" w:color="auto" w:fill="FFFFFF"/>
            <w:noWrap/>
            <w:vAlign w:val="bottom"/>
            <w:hideMark/>
          </w:tcPr>
          <w:p w14:paraId="4CDA223E"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6760893A"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Property, plant and equipment</w:t>
            </w:r>
          </w:p>
        </w:tc>
        <w:tc>
          <w:tcPr>
            <w:tcW w:w="3148" w:type="dxa"/>
            <w:shd w:val="clear" w:color="auto" w:fill="FFFFFF"/>
            <w:vAlign w:val="center"/>
            <w:hideMark/>
          </w:tcPr>
          <w:p w14:paraId="7D7D54B4" w14:textId="77777777" w:rsidR="00FD6E41" w:rsidRPr="00103D56" w:rsidRDefault="00FD6E41" w:rsidP="001C5897">
            <w:pPr>
              <w:jc w:val="right"/>
              <w:rPr>
                <w:rFonts w:ascii="Calibri" w:hAnsi="Calibri" w:cs="Calibri"/>
                <w:b/>
                <w:bCs/>
                <w:color w:val="000000"/>
                <w:sz w:val="22"/>
                <w:szCs w:val="22"/>
                <w:lang w:eastAsia="en-IE"/>
              </w:rPr>
            </w:pPr>
          </w:p>
        </w:tc>
        <w:tc>
          <w:tcPr>
            <w:tcW w:w="1134" w:type="dxa"/>
            <w:shd w:val="clear" w:color="auto" w:fill="FFFF00"/>
          </w:tcPr>
          <w:p w14:paraId="4C27670A" w14:textId="77777777" w:rsidR="00FD6E41" w:rsidRPr="00103D56" w:rsidRDefault="00CE3B2F" w:rsidP="00F72676">
            <w:pPr>
              <w:ind w:left="-45" w:right="27" w:firstLine="45"/>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10,620.1</w:t>
            </w:r>
          </w:p>
        </w:tc>
        <w:tc>
          <w:tcPr>
            <w:tcW w:w="1134" w:type="dxa"/>
            <w:shd w:val="clear" w:color="auto" w:fill="FFFFFF"/>
            <w:vAlign w:val="center"/>
          </w:tcPr>
          <w:p w14:paraId="1EA8C8F8"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9,908.9</w:t>
            </w:r>
          </w:p>
        </w:tc>
      </w:tr>
      <w:tr w:rsidR="00FD6E41" w:rsidRPr="00135F6B" w14:paraId="279629CB" w14:textId="77777777" w:rsidTr="005E03B5">
        <w:trPr>
          <w:trHeight w:val="249"/>
        </w:trPr>
        <w:tc>
          <w:tcPr>
            <w:tcW w:w="261" w:type="dxa"/>
            <w:shd w:val="clear" w:color="auto" w:fill="FFFFFF"/>
            <w:noWrap/>
            <w:vAlign w:val="bottom"/>
            <w:hideMark/>
          </w:tcPr>
          <w:p w14:paraId="4D2BF651"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2A956622"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Right-of-use asset</w:t>
            </w:r>
          </w:p>
        </w:tc>
        <w:tc>
          <w:tcPr>
            <w:tcW w:w="3148" w:type="dxa"/>
            <w:shd w:val="clear" w:color="auto" w:fill="FFFFFF"/>
            <w:vAlign w:val="center"/>
            <w:hideMark/>
          </w:tcPr>
          <w:p w14:paraId="407BDE9F" w14:textId="77777777" w:rsidR="00FD6E41" w:rsidRPr="00103D56" w:rsidRDefault="00FD6E41" w:rsidP="001C5897">
            <w:pPr>
              <w:jc w:val="right"/>
              <w:rPr>
                <w:rFonts w:ascii="Calibri" w:hAnsi="Calibri" w:cs="Calibri"/>
                <w:sz w:val="22"/>
                <w:szCs w:val="22"/>
                <w:lang w:eastAsia="en-IE"/>
              </w:rPr>
            </w:pPr>
          </w:p>
        </w:tc>
        <w:tc>
          <w:tcPr>
            <w:tcW w:w="1134" w:type="dxa"/>
            <w:shd w:val="clear" w:color="auto" w:fill="FFFF00"/>
          </w:tcPr>
          <w:p w14:paraId="6B186369" w14:textId="77777777" w:rsidR="00FD6E41" w:rsidRPr="00103D56" w:rsidRDefault="00CE3B2F" w:rsidP="00F72676">
            <w:pPr>
              <w:ind w:left="-45" w:right="27" w:firstLine="45"/>
              <w:jc w:val="right"/>
              <w:rPr>
                <w:rFonts w:ascii="Calibri" w:eastAsia="Calibri" w:hAnsi="Calibri" w:cs="Calibri"/>
                <w:b/>
                <w:sz w:val="22"/>
                <w:szCs w:val="22"/>
                <w:lang w:eastAsia="en-IE"/>
              </w:rPr>
            </w:pPr>
            <w:r>
              <w:rPr>
                <w:rFonts w:ascii="Calibri" w:eastAsia="Calibri" w:hAnsi="Calibri" w:cs="Calibri"/>
                <w:b/>
                <w:sz w:val="22"/>
                <w:szCs w:val="22"/>
                <w:lang w:eastAsia="en-IE"/>
              </w:rPr>
              <w:t>176.9</w:t>
            </w:r>
          </w:p>
        </w:tc>
        <w:tc>
          <w:tcPr>
            <w:tcW w:w="1134" w:type="dxa"/>
            <w:shd w:val="clear" w:color="auto" w:fill="FFFFFF"/>
            <w:vAlign w:val="center"/>
          </w:tcPr>
          <w:p w14:paraId="21AA9155"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209.1</w:t>
            </w:r>
          </w:p>
        </w:tc>
      </w:tr>
      <w:tr w:rsidR="00FD6E41" w:rsidRPr="00135F6B" w14:paraId="71A1236C" w14:textId="77777777" w:rsidTr="005E03B5">
        <w:trPr>
          <w:trHeight w:val="249"/>
        </w:trPr>
        <w:tc>
          <w:tcPr>
            <w:tcW w:w="261" w:type="dxa"/>
            <w:shd w:val="clear" w:color="auto" w:fill="FFFFFF"/>
            <w:noWrap/>
            <w:vAlign w:val="bottom"/>
            <w:hideMark/>
          </w:tcPr>
          <w:p w14:paraId="46CE2843"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6DEB722C"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 xml:space="preserve">Intangible assets </w:t>
            </w:r>
          </w:p>
        </w:tc>
        <w:tc>
          <w:tcPr>
            <w:tcW w:w="3148" w:type="dxa"/>
            <w:shd w:val="clear" w:color="auto" w:fill="FFFFFF"/>
            <w:vAlign w:val="center"/>
            <w:hideMark/>
          </w:tcPr>
          <w:p w14:paraId="7C87E809"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04DD8A66" w14:textId="77777777" w:rsidR="00FD6E41" w:rsidRPr="00103D56" w:rsidRDefault="00CE3B2F" w:rsidP="00F72676">
            <w:pPr>
              <w:ind w:left="-45" w:right="27" w:firstLine="45"/>
              <w:jc w:val="right"/>
              <w:rPr>
                <w:rFonts w:ascii="Calibri" w:eastAsia="Calibri" w:hAnsi="Calibri" w:cs="Calibri"/>
                <w:b/>
                <w:sz w:val="22"/>
                <w:szCs w:val="22"/>
                <w:lang w:eastAsia="en-IE"/>
              </w:rPr>
            </w:pPr>
            <w:r>
              <w:rPr>
                <w:rFonts w:ascii="Calibri" w:eastAsia="Calibri" w:hAnsi="Calibri" w:cs="Calibri"/>
                <w:b/>
                <w:sz w:val="22"/>
                <w:szCs w:val="22"/>
                <w:lang w:eastAsia="en-IE"/>
              </w:rPr>
              <w:t>146.4</w:t>
            </w:r>
          </w:p>
        </w:tc>
        <w:tc>
          <w:tcPr>
            <w:tcW w:w="1134" w:type="dxa"/>
            <w:shd w:val="clear" w:color="auto" w:fill="FFFFFF"/>
            <w:vAlign w:val="center"/>
          </w:tcPr>
          <w:p w14:paraId="42131889"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146.4</w:t>
            </w:r>
          </w:p>
        </w:tc>
      </w:tr>
      <w:tr w:rsidR="00FD6E41" w:rsidRPr="00135F6B" w14:paraId="49A87415" w14:textId="77777777" w:rsidTr="005E03B5">
        <w:trPr>
          <w:trHeight w:val="249"/>
        </w:trPr>
        <w:tc>
          <w:tcPr>
            <w:tcW w:w="261" w:type="dxa"/>
            <w:shd w:val="clear" w:color="auto" w:fill="FFFFFF"/>
            <w:noWrap/>
            <w:vAlign w:val="bottom"/>
            <w:hideMark/>
          </w:tcPr>
          <w:p w14:paraId="4DD8D667"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12A6041D"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Derivative financial instruments</w:t>
            </w:r>
          </w:p>
        </w:tc>
        <w:tc>
          <w:tcPr>
            <w:tcW w:w="3148" w:type="dxa"/>
            <w:shd w:val="clear" w:color="auto" w:fill="FFFFFF"/>
            <w:vAlign w:val="center"/>
            <w:hideMark/>
          </w:tcPr>
          <w:p w14:paraId="05F88615" w14:textId="77777777" w:rsidR="00FD6E41" w:rsidRPr="00103D56" w:rsidRDefault="00FD6E41" w:rsidP="001C5897">
            <w:pPr>
              <w:jc w:val="right"/>
              <w:rPr>
                <w:rFonts w:ascii="Calibri" w:hAnsi="Calibri" w:cs="Calibri"/>
                <w:b/>
                <w:bCs/>
                <w:color w:val="000000"/>
                <w:sz w:val="22"/>
                <w:szCs w:val="22"/>
                <w:lang w:eastAsia="en-IE"/>
              </w:rPr>
            </w:pPr>
            <w:r w:rsidRPr="00103D56">
              <w:rPr>
                <w:rFonts w:ascii="Calibri" w:hAnsi="Calibri" w:cs="Calibri"/>
                <w:b/>
                <w:bCs/>
                <w:color w:val="000000"/>
                <w:sz w:val="22"/>
                <w:szCs w:val="22"/>
                <w:lang w:eastAsia="en-IE"/>
              </w:rPr>
              <w:t>10</w:t>
            </w:r>
          </w:p>
        </w:tc>
        <w:tc>
          <w:tcPr>
            <w:tcW w:w="1134" w:type="dxa"/>
            <w:shd w:val="clear" w:color="auto" w:fill="FFFF00"/>
          </w:tcPr>
          <w:p w14:paraId="2A3C9A4A" w14:textId="77777777" w:rsidR="00FD6E41" w:rsidRPr="00103D56" w:rsidRDefault="00CE3B2F" w:rsidP="00F72676">
            <w:pPr>
              <w:ind w:left="-45" w:right="27" w:firstLine="45"/>
              <w:jc w:val="right"/>
              <w:rPr>
                <w:rFonts w:ascii="Calibri" w:hAnsi="Calibri" w:cs="Calibri"/>
                <w:b/>
                <w:bCs/>
                <w:color w:val="000000"/>
                <w:sz w:val="22"/>
                <w:szCs w:val="22"/>
                <w:lang w:eastAsia="en-IE"/>
              </w:rPr>
            </w:pPr>
            <w:r>
              <w:rPr>
                <w:rFonts w:ascii="Calibri" w:hAnsi="Calibri" w:cs="Calibri"/>
                <w:b/>
                <w:bCs/>
                <w:color w:val="000000"/>
                <w:sz w:val="22"/>
                <w:szCs w:val="22"/>
                <w:lang w:eastAsia="en-IE"/>
              </w:rPr>
              <w:t>3.4</w:t>
            </w:r>
          </w:p>
        </w:tc>
        <w:tc>
          <w:tcPr>
            <w:tcW w:w="1134" w:type="dxa"/>
            <w:shd w:val="clear" w:color="auto" w:fill="FFFFFF"/>
            <w:vAlign w:val="center"/>
          </w:tcPr>
          <w:p w14:paraId="71F7C75F"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54.6</w:t>
            </w:r>
          </w:p>
        </w:tc>
      </w:tr>
      <w:tr w:rsidR="00FD6E41" w:rsidRPr="00135F6B" w14:paraId="72CF534B" w14:textId="77777777" w:rsidTr="005E03B5">
        <w:trPr>
          <w:trHeight w:val="249"/>
        </w:trPr>
        <w:tc>
          <w:tcPr>
            <w:tcW w:w="261" w:type="dxa"/>
            <w:shd w:val="clear" w:color="auto" w:fill="FFFFFF"/>
            <w:noWrap/>
            <w:vAlign w:val="bottom"/>
            <w:hideMark/>
          </w:tcPr>
          <w:p w14:paraId="5E7A2B1C"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0FD4B714"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Deferred tax</w:t>
            </w:r>
          </w:p>
        </w:tc>
        <w:tc>
          <w:tcPr>
            <w:tcW w:w="3148" w:type="dxa"/>
            <w:shd w:val="clear" w:color="auto" w:fill="FFFFFF"/>
            <w:vAlign w:val="center"/>
            <w:hideMark/>
          </w:tcPr>
          <w:p w14:paraId="6E802EF0" w14:textId="77777777" w:rsidR="00FD6E41" w:rsidRPr="00103D56" w:rsidRDefault="00FD6E41" w:rsidP="001C5897">
            <w:pPr>
              <w:rPr>
                <w:rFonts w:ascii="Calibri" w:hAnsi="Calibri" w:cs="Calibri"/>
                <w:sz w:val="22"/>
                <w:szCs w:val="22"/>
                <w:lang w:eastAsia="en-IE"/>
              </w:rPr>
            </w:pPr>
          </w:p>
        </w:tc>
        <w:tc>
          <w:tcPr>
            <w:tcW w:w="1134" w:type="dxa"/>
            <w:tcBorders>
              <w:left w:val="nil"/>
              <w:right w:val="nil"/>
            </w:tcBorders>
            <w:shd w:val="clear" w:color="auto" w:fill="FFFF00"/>
          </w:tcPr>
          <w:p w14:paraId="4695A1A0" w14:textId="77777777" w:rsidR="00FD6E41" w:rsidRPr="00103D56" w:rsidRDefault="00CE3B2F" w:rsidP="00F72676">
            <w:pPr>
              <w:ind w:left="-45" w:right="27" w:firstLine="45"/>
              <w:jc w:val="right"/>
              <w:rPr>
                <w:rFonts w:ascii="Calibri" w:eastAsia="Calibri" w:hAnsi="Calibri" w:cs="Calibri"/>
                <w:b/>
                <w:sz w:val="22"/>
                <w:szCs w:val="22"/>
                <w:lang w:eastAsia="en-IE"/>
              </w:rPr>
            </w:pPr>
            <w:r w:rsidRPr="00AF77E1">
              <w:rPr>
                <w:rFonts w:ascii="Calibri" w:eastAsia="Calibri" w:hAnsi="Calibri" w:cs="Calibri"/>
                <w:b/>
                <w:sz w:val="22"/>
                <w:szCs w:val="22"/>
                <w:lang w:eastAsia="en-IE"/>
              </w:rPr>
              <w:t>5.</w:t>
            </w:r>
            <w:r w:rsidR="00250FAA">
              <w:rPr>
                <w:rFonts w:ascii="Calibri" w:eastAsia="Calibri" w:hAnsi="Calibri" w:cs="Calibri"/>
                <w:b/>
                <w:sz w:val="22"/>
                <w:szCs w:val="22"/>
                <w:lang w:eastAsia="en-IE"/>
              </w:rPr>
              <w:t>9</w:t>
            </w:r>
          </w:p>
        </w:tc>
        <w:tc>
          <w:tcPr>
            <w:tcW w:w="1134" w:type="dxa"/>
            <w:tcBorders>
              <w:top w:val="nil"/>
              <w:left w:val="nil"/>
              <w:right w:val="nil"/>
            </w:tcBorders>
            <w:shd w:val="clear" w:color="auto" w:fill="FFFFFF"/>
            <w:vAlign w:val="center"/>
          </w:tcPr>
          <w:p w14:paraId="75665B73"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6.6</w:t>
            </w:r>
          </w:p>
        </w:tc>
      </w:tr>
      <w:tr w:rsidR="00FD6E41" w:rsidRPr="00135F6B" w14:paraId="3CD0F916" w14:textId="77777777" w:rsidTr="005E03B5">
        <w:trPr>
          <w:trHeight w:val="249"/>
        </w:trPr>
        <w:tc>
          <w:tcPr>
            <w:tcW w:w="261" w:type="dxa"/>
            <w:shd w:val="clear" w:color="auto" w:fill="FFFFFF"/>
            <w:noWrap/>
            <w:vAlign w:val="bottom"/>
          </w:tcPr>
          <w:p w14:paraId="16BB62A7"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tcPr>
          <w:p w14:paraId="2DC464A1"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Other assets</w:t>
            </w:r>
          </w:p>
        </w:tc>
        <w:tc>
          <w:tcPr>
            <w:tcW w:w="3148" w:type="dxa"/>
            <w:shd w:val="clear" w:color="auto" w:fill="FFFFFF"/>
            <w:vAlign w:val="center"/>
          </w:tcPr>
          <w:p w14:paraId="625544A9" w14:textId="77777777" w:rsidR="00FD6E41" w:rsidRPr="00103D56" w:rsidRDefault="00FD6E41" w:rsidP="001C5897">
            <w:pPr>
              <w:rPr>
                <w:rFonts w:ascii="Calibri" w:hAnsi="Calibri" w:cs="Calibri"/>
                <w:sz w:val="22"/>
                <w:szCs w:val="22"/>
                <w:lang w:eastAsia="en-IE"/>
              </w:rPr>
            </w:pPr>
          </w:p>
        </w:tc>
        <w:tc>
          <w:tcPr>
            <w:tcW w:w="1134" w:type="dxa"/>
            <w:tcBorders>
              <w:left w:val="nil"/>
              <w:bottom w:val="single" w:sz="8" w:space="0" w:color="auto"/>
              <w:right w:val="nil"/>
            </w:tcBorders>
            <w:shd w:val="clear" w:color="auto" w:fill="FFFF00"/>
          </w:tcPr>
          <w:p w14:paraId="7C37EEDE" w14:textId="77777777" w:rsidR="00FD6E41" w:rsidRPr="00103D56" w:rsidRDefault="00CE3B2F" w:rsidP="00F72676">
            <w:pPr>
              <w:ind w:left="-45" w:right="27" w:firstLine="45"/>
              <w:jc w:val="right"/>
              <w:rPr>
                <w:rFonts w:ascii="Calibri" w:eastAsia="Calibri" w:hAnsi="Calibri" w:cs="Calibri"/>
                <w:b/>
                <w:sz w:val="22"/>
                <w:szCs w:val="22"/>
                <w:lang w:eastAsia="en-IE"/>
              </w:rPr>
            </w:pPr>
            <w:r>
              <w:rPr>
                <w:rFonts w:ascii="Calibri" w:eastAsia="Calibri" w:hAnsi="Calibri" w:cs="Calibri"/>
                <w:b/>
                <w:sz w:val="22"/>
                <w:szCs w:val="22"/>
                <w:lang w:eastAsia="en-IE"/>
              </w:rPr>
              <w:t>199.0</w:t>
            </w:r>
          </w:p>
        </w:tc>
        <w:tc>
          <w:tcPr>
            <w:tcW w:w="1134" w:type="dxa"/>
            <w:tcBorders>
              <w:left w:val="nil"/>
              <w:bottom w:val="single" w:sz="8" w:space="0" w:color="auto"/>
              <w:right w:val="nil"/>
            </w:tcBorders>
            <w:shd w:val="clear" w:color="auto" w:fill="FFFFFF"/>
            <w:vAlign w:val="center"/>
          </w:tcPr>
          <w:p w14:paraId="08D3B4EF" w14:textId="77777777" w:rsidR="00FD6E41" w:rsidRPr="00103D56" w:rsidRDefault="00FD6E41" w:rsidP="00F72676">
            <w:pPr>
              <w:ind w:right="33" w:hanging="111"/>
              <w:jc w:val="right"/>
              <w:rPr>
                <w:rFonts w:ascii="Calibri" w:eastAsia="Calibri" w:hAnsi="Calibri" w:cs="Calibri"/>
                <w:sz w:val="22"/>
                <w:szCs w:val="22"/>
                <w:lang w:eastAsia="en-IE"/>
              </w:rPr>
            </w:pPr>
            <w:r w:rsidRPr="00103D56">
              <w:rPr>
                <w:rFonts w:ascii="Calibri" w:eastAsia="Calibri" w:hAnsi="Calibri" w:cs="Calibri"/>
                <w:sz w:val="22"/>
                <w:szCs w:val="22"/>
                <w:lang w:eastAsia="en-IE"/>
              </w:rPr>
              <w:t>168.9</w:t>
            </w:r>
          </w:p>
        </w:tc>
      </w:tr>
      <w:tr w:rsidR="00FD6E41" w:rsidRPr="00135F6B" w14:paraId="17216A5E" w14:textId="77777777" w:rsidTr="005E03B5">
        <w:trPr>
          <w:trHeight w:val="249"/>
        </w:trPr>
        <w:tc>
          <w:tcPr>
            <w:tcW w:w="261" w:type="dxa"/>
            <w:shd w:val="clear" w:color="auto" w:fill="FFFFFF"/>
            <w:noWrap/>
            <w:vAlign w:val="bottom"/>
            <w:hideMark/>
          </w:tcPr>
          <w:p w14:paraId="37F086AD"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216B71D7"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Total non-current assets</w:t>
            </w:r>
          </w:p>
        </w:tc>
        <w:tc>
          <w:tcPr>
            <w:tcW w:w="3148" w:type="dxa"/>
            <w:shd w:val="clear" w:color="auto" w:fill="FFFFFF"/>
            <w:vAlign w:val="center"/>
            <w:hideMark/>
          </w:tcPr>
          <w:p w14:paraId="31FB1A86" w14:textId="77777777" w:rsidR="00FD6E41" w:rsidRPr="00103D56" w:rsidRDefault="00FD6E41" w:rsidP="001C5897">
            <w:pPr>
              <w:rPr>
                <w:rFonts w:ascii="Calibri" w:hAnsi="Calibri" w:cs="Calibri"/>
                <w:b/>
                <w:bCs/>
                <w:sz w:val="22"/>
                <w:szCs w:val="22"/>
                <w:lang w:eastAsia="en-IE"/>
              </w:rPr>
            </w:pPr>
          </w:p>
        </w:tc>
        <w:tc>
          <w:tcPr>
            <w:tcW w:w="1134" w:type="dxa"/>
            <w:tcBorders>
              <w:top w:val="nil"/>
              <w:left w:val="nil"/>
              <w:bottom w:val="single" w:sz="8" w:space="0" w:color="auto"/>
              <w:right w:val="nil"/>
            </w:tcBorders>
            <w:shd w:val="clear" w:color="auto" w:fill="FFFF00"/>
          </w:tcPr>
          <w:p w14:paraId="09356338" w14:textId="77777777" w:rsidR="00FD6E41" w:rsidRPr="00103D56" w:rsidRDefault="00CE3B2F" w:rsidP="00F72676">
            <w:pPr>
              <w:ind w:left="-45" w:right="27" w:firstLine="45"/>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11,151.</w:t>
            </w:r>
            <w:r w:rsidR="00250FAA">
              <w:rPr>
                <w:rFonts w:ascii="Calibri" w:hAnsi="Calibri" w:cs="Calibri"/>
                <w:b/>
                <w:bCs/>
                <w:color w:val="000000"/>
                <w:sz w:val="22"/>
                <w:szCs w:val="22"/>
                <w:lang w:eastAsia="en-IE"/>
              </w:rPr>
              <w:t>7</w:t>
            </w:r>
          </w:p>
        </w:tc>
        <w:tc>
          <w:tcPr>
            <w:tcW w:w="1134" w:type="dxa"/>
            <w:tcBorders>
              <w:top w:val="nil"/>
              <w:left w:val="nil"/>
              <w:bottom w:val="single" w:sz="8" w:space="0" w:color="auto"/>
              <w:right w:val="nil"/>
            </w:tcBorders>
            <w:shd w:val="clear" w:color="auto" w:fill="FFFFFF"/>
            <w:vAlign w:val="center"/>
          </w:tcPr>
          <w:p w14:paraId="602C1B55"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10,494.5</w:t>
            </w:r>
          </w:p>
        </w:tc>
      </w:tr>
      <w:tr w:rsidR="00FD6E41" w:rsidRPr="00135F6B" w14:paraId="5BA650FE" w14:textId="77777777" w:rsidTr="005E03B5">
        <w:trPr>
          <w:trHeight w:val="249"/>
        </w:trPr>
        <w:tc>
          <w:tcPr>
            <w:tcW w:w="261" w:type="dxa"/>
            <w:shd w:val="clear" w:color="auto" w:fill="FFFFFF"/>
            <w:noWrap/>
            <w:vAlign w:val="bottom"/>
            <w:hideMark/>
          </w:tcPr>
          <w:p w14:paraId="77FA4D7F"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587BE790" w14:textId="77777777" w:rsidR="00FD6E41" w:rsidRPr="00103D56" w:rsidRDefault="00FD6E41" w:rsidP="00FD6E41">
            <w:pPr>
              <w:ind w:left="60"/>
              <w:jc w:val="right"/>
              <w:rPr>
                <w:rFonts w:ascii="Calibri" w:hAnsi="Calibri" w:cs="Calibri"/>
                <w:b/>
                <w:bCs/>
                <w:sz w:val="22"/>
                <w:szCs w:val="22"/>
                <w:lang w:eastAsia="en-IE"/>
              </w:rPr>
            </w:pPr>
            <w:r w:rsidRPr="00103D56">
              <w:rPr>
                <w:rFonts w:ascii="Calibri" w:hAnsi="Calibri" w:cs="Calibri"/>
                <w:b/>
                <w:bCs/>
                <w:sz w:val="22"/>
                <w:szCs w:val="22"/>
                <w:lang w:eastAsia="en-IE"/>
              </w:rPr>
              <w:t> </w:t>
            </w:r>
          </w:p>
        </w:tc>
        <w:tc>
          <w:tcPr>
            <w:tcW w:w="3148" w:type="dxa"/>
            <w:shd w:val="clear" w:color="auto" w:fill="FFFFFF"/>
            <w:vAlign w:val="center"/>
            <w:hideMark/>
          </w:tcPr>
          <w:p w14:paraId="246F64D8" w14:textId="77777777" w:rsidR="00FD6E41" w:rsidRPr="00103D56" w:rsidRDefault="00FD6E41" w:rsidP="001C5897">
            <w:pPr>
              <w:rPr>
                <w:rFonts w:ascii="Calibri" w:hAnsi="Calibri" w:cs="Calibri"/>
                <w:b/>
                <w:bCs/>
                <w:sz w:val="22"/>
                <w:szCs w:val="22"/>
                <w:lang w:eastAsia="en-IE"/>
              </w:rPr>
            </w:pPr>
          </w:p>
        </w:tc>
        <w:tc>
          <w:tcPr>
            <w:tcW w:w="1134" w:type="dxa"/>
            <w:tcBorders>
              <w:top w:val="single" w:sz="8" w:space="0" w:color="auto"/>
            </w:tcBorders>
            <w:shd w:val="clear" w:color="auto" w:fill="FFFF00"/>
          </w:tcPr>
          <w:p w14:paraId="607C6AAA" w14:textId="77777777" w:rsidR="00FD6E41" w:rsidRPr="00103D56" w:rsidRDefault="00FD6E41" w:rsidP="00F72676">
            <w:pPr>
              <w:ind w:left="-45" w:right="27" w:firstLine="45"/>
              <w:jc w:val="right"/>
              <w:rPr>
                <w:rFonts w:ascii="Calibri" w:eastAsia="Calibri" w:hAnsi="Calibri" w:cs="Calibri"/>
                <w:b/>
                <w:bCs/>
                <w:sz w:val="22"/>
                <w:szCs w:val="22"/>
                <w:u w:val="single"/>
                <w:lang w:eastAsia="en-IE"/>
              </w:rPr>
            </w:pPr>
          </w:p>
        </w:tc>
        <w:tc>
          <w:tcPr>
            <w:tcW w:w="1134" w:type="dxa"/>
            <w:shd w:val="clear" w:color="auto" w:fill="FFFFFF"/>
            <w:vAlign w:val="center"/>
          </w:tcPr>
          <w:p w14:paraId="2014DE71" w14:textId="77777777" w:rsidR="00FD6E41" w:rsidRPr="00103D56" w:rsidRDefault="00FD6E41" w:rsidP="00F72676">
            <w:pPr>
              <w:ind w:right="33" w:hanging="111"/>
              <w:rPr>
                <w:rFonts w:ascii="Calibri" w:eastAsia="Calibri" w:hAnsi="Calibri" w:cs="Calibri"/>
                <w:sz w:val="22"/>
                <w:szCs w:val="22"/>
                <w:lang w:eastAsia="en-IE"/>
              </w:rPr>
            </w:pPr>
          </w:p>
        </w:tc>
      </w:tr>
      <w:tr w:rsidR="00FD6E41" w:rsidRPr="00135F6B" w14:paraId="3E9008C6" w14:textId="77777777" w:rsidTr="005E03B5">
        <w:trPr>
          <w:trHeight w:val="249"/>
        </w:trPr>
        <w:tc>
          <w:tcPr>
            <w:tcW w:w="261" w:type="dxa"/>
            <w:shd w:val="clear" w:color="auto" w:fill="FFFFFF"/>
            <w:noWrap/>
            <w:vAlign w:val="bottom"/>
            <w:hideMark/>
          </w:tcPr>
          <w:p w14:paraId="167E061B"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7BBCE783"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Current assets</w:t>
            </w:r>
          </w:p>
        </w:tc>
        <w:tc>
          <w:tcPr>
            <w:tcW w:w="3148" w:type="dxa"/>
            <w:shd w:val="clear" w:color="auto" w:fill="FFFFFF"/>
            <w:vAlign w:val="center"/>
            <w:hideMark/>
          </w:tcPr>
          <w:p w14:paraId="190A8527" w14:textId="77777777" w:rsidR="00FD6E41" w:rsidRPr="00103D56" w:rsidRDefault="00FD6E41" w:rsidP="001C5897">
            <w:pPr>
              <w:rPr>
                <w:rFonts w:ascii="Calibri" w:hAnsi="Calibri" w:cs="Calibri"/>
                <w:b/>
                <w:bCs/>
                <w:sz w:val="22"/>
                <w:szCs w:val="22"/>
                <w:lang w:eastAsia="en-IE"/>
              </w:rPr>
            </w:pPr>
          </w:p>
        </w:tc>
        <w:tc>
          <w:tcPr>
            <w:tcW w:w="1134" w:type="dxa"/>
            <w:shd w:val="clear" w:color="auto" w:fill="FFFF00"/>
          </w:tcPr>
          <w:p w14:paraId="43A2E6AF" w14:textId="77777777" w:rsidR="00FD6E41" w:rsidRPr="00103D56" w:rsidRDefault="00FD6E41" w:rsidP="00F72676">
            <w:pPr>
              <w:ind w:left="-45" w:right="27" w:firstLine="45"/>
              <w:rPr>
                <w:rFonts w:ascii="Calibri" w:eastAsia="Calibri" w:hAnsi="Calibri" w:cs="Calibri"/>
                <w:b/>
                <w:bCs/>
                <w:sz w:val="22"/>
                <w:szCs w:val="22"/>
                <w:u w:val="single"/>
                <w:lang w:eastAsia="en-IE"/>
              </w:rPr>
            </w:pPr>
          </w:p>
        </w:tc>
        <w:tc>
          <w:tcPr>
            <w:tcW w:w="1134" w:type="dxa"/>
            <w:shd w:val="clear" w:color="auto" w:fill="FFFFFF"/>
            <w:vAlign w:val="center"/>
          </w:tcPr>
          <w:p w14:paraId="5B78A648" w14:textId="77777777" w:rsidR="00FD6E41" w:rsidRPr="00103D56" w:rsidRDefault="00FD6E41" w:rsidP="00F72676">
            <w:pPr>
              <w:ind w:right="33" w:hanging="111"/>
              <w:rPr>
                <w:rFonts w:ascii="Calibri" w:eastAsia="Calibri" w:hAnsi="Calibri" w:cs="Calibri"/>
                <w:sz w:val="22"/>
                <w:szCs w:val="22"/>
                <w:lang w:eastAsia="en-IE"/>
              </w:rPr>
            </w:pPr>
          </w:p>
        </w:tc>
      </w:tr>
      <w:tr w:rsidR="00FD6E41" w:rsidRPr="00135F6B" w14:paraId="52A0091A" w14:textId="77777777" w:rsidTr="005E03B5">
        <w:trPr>
          <w:trHeight w:val="249"/>
        </w:trPr>
        <w:tc>
          <w:tcPr>
            <w:tcW w:w="261" w:type="dxa"/>
            <w:shd w:val="clear" w:color="auto" w:fill="FFFFFF"/>
            <w:noWrap/>
            <w:vAlign w:val="bottom"/>
            <w:hideMark/>
          </w:tcPr>
          <w:p w14:paraId="36AD6DFF"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36618FDA"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Inventories</w:t>
            </w:r>
          </w:p>
        </w:tc>
        <w:tc>
          <w:tcPr>
            <w:tcW w:w="3148" w:type="dxa"/>
            <w:shd w:val="clear" w:color="auto" w:fill="FFFFFF"/>
            <w:vAlign w:val="center"/>
            <w:hideMark/>
          </w:tcPr>
          <w:p w14:paraId="57D86B38"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2496390F" w14:textId="77777777" w:rsidR="00FD6E41" w:rsidRPr="00103D56" w:rsidRDefault="00CE3B2F" w:rsidP="00F72676">
            <w:pPr>
              <w:ind w:left="-45" w:right="27" w:firstLine="45"/>
              <w:jc w:val="right"/>
              <w:rPr>
                <w:rFonts w:ascii="Calibri" w:eastAsia="Calibri" w:hAnsi="Calibri" w:cs="Calibri"/>
                <w:b/>
                <w:sz w:val="22"/>
                <w:szCs w:val="22"/>
                <w:lang w:eastAsia="en-IE"/>
              </w:rPr>
            </w:pPr>
            <w:r>
              <w:rPr>
                <w:rFonts w:ascii="Calibri" w:eastAsia="Calibri" w:hAnsi="Calibri" w:cs="Calibri"/>
                <w:b/>
                <w:sz w:val="22"/>
                <w:szCs w:val="22"/>
                <w:lang w:eastAsia="en-IE"/>
              </w:rPr>
              <w:t>6.2</w:t>
            </w:r>
          </w:p>
        </w:tc>
        <w:tc>
          <w:tcPr>
            <w:tcW w:w="1134" w:type="dxa"/>
            <w:shd w:val="clear" w:color="auto" w:fill="FFFFFF"/>
            <w:vAlign w:val="center"/>
          </w:tcPr>
          <w:p w14:paraId="3217B5A3"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6.0</w:t>
            </w:r>
          </w:p>
        </w:tc>
      </w:tr>
      <w:tr w:rsidR="00FD6E41" w:rsidRPr="00135F6B" w14:paraId="566A93A5" w14:textId="77777777" w:rsidTr="005E03B5">
        <w:trPr>
          <w:trHeight w:val="249"/>
        </w:trPr>
        <w:tc>
          <w:tcPr>
            <w:tcW w:w="261" w:type="dxa"/>
            <w:shd w:val="clear" w:color="auto" w:fill="FFFFFF"/>
            <w:noWrap/>
            <w:vAlign w:val="bottom"/>
            <w:hideMark/>
          </w:tcPr>
          <w:p w14:paraId="608A10F2"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2BB90056"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Other assets</w:t>
            </w:r>
          </w:p>
        </w:tc>
        <w:tc>
          <w:tcPr>
            <w:tcW w:w="3148" w:type="dxa"/>
            <w:shd w:val="clear" w:color="auto" w:fill="FFFFFF"/>
            <w:vAlign w:val="center"/>
            <w:hideMark/>
          </w:tcPr>
          <w:p w14:paraId="734EB6B6"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2DC44B4B" w14:textId="77777777" w:rsidR="00FD6E41" w:rsidRPr="00103D56" w:rsidRDefault="00CE3B2F" w:rsidP="00F72676">
            <w:pPr>
              <w:ind w:left="-45" w:right="27" w:firstLine="45"/>
              <w:jc w:val="right"/>
              <w:rPr>
                <w:rFonts w:ascii="Calibri" w:eastAsia="Calibri" w:hAnsi="Calibri" w:cs="Calibri"/>
                <w:b/>
                <w:sz w:val="22"/>
                <w:szCs w:val="22"/>
                <w:lang w:eastAsia="en-IE"/>
              </w:rPr>
            </w:pPr>
            <w:r w:rsidRPr="00C7181A">
              <w:rPr>
                <w:rFonts w:ascii="Calibri" w:eastAsia="Calibri" w:hAnsi="Calibri" w:cs="Calibri"/>
                <w:b/>
                <w:sz w:val="22"/>
                <w:szCs w:val="22"/>
                <w:lang w:eastAsia="en-IE"/>
              </w:rPr>
              <w:t>1,1</w:t>
            </w:r>
            <w:r w:rsidR="003A428B">
              <w:rPr>
                <w:rFonts w:ascii="Calibri" w:eastAsia="Calibri" w:hAnsi="Calibri" w:cs="Calibri"/>
                <w:b/>
                <w:sz w:val="22"/>
                <w:szCs w:val="22"/>
                <w:lang w:eastAsia="en-IE"/>
              </w:rPr>
              <w:t>52</w:t>
            </w:r>
            <w:r w:rsidRPr="00C7181A">
              <w:rPr>
                <w:rFonts w:ascii="Calibri" w:eastAsia="Calibri" w:hAnsi="Calibri" w:cs="Calibri"/>
                <w:b/>
                <w:sz w:val="22"/>
                <w:szCs w:val="22"/>
                <w:lang w:eastAsia="en-IE"/>
              </w:rPr>
              <w:t>.</w:t>
            </w:r>
            <w:r w:rsidR="003A428B">
              <w:rPr>
                <w:rFonts w:ascii="Calibri" w:eastAsia="Calibri" w:hAnsi="Calibri" w:cs="Calibri"/>
                <w:b/>
                <w:sz w:val="22"/>
                <w:szCs w:val="22"/>
                <w:lang w:eastAsia="en-IE"/>
              </w:rPr>
              <w:t>9</w:t>
            </w:r>
          </w:p>
        </w:tc>
        <w:tc>
          <w:tcPr>
            <w:tcW w:w="1134" w:type="dxa"/>
            <w:shd w:val="clear" w:color="auto" w:fill="FFFFFF"/>
            <w:vAlign w:val="center"/>
          </w:tcPr>
          <w:p w14:paraId="5E895ABB"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878.6</w:t>
            </w:r>
          </w:p>
        </w:tc>
      </w:tr>
      <w:tr w:rsidR="00FD6E41" w:rsidRPr="00135F6B" w14:paraId="3B90E872" w14:textId="77777777" w:rsidTr="005E03B5">
        <w:trPr>
          <w:trHeight w:val="249"/>
        </w:trPr>
        <w:tc>
          <w:tcPr>
            <w:tcW w:w="261" w:type="dxa"/>
            <w:shd w:val="clear" w:color="auto" w:fill="FFFFFF"/>
            <w:noWrap/>
            <w:vAlign w:val="bottom"/>
            <w:hideMark/>
          </w:tcPr>
          <w:p w14:paraId="51AF075E"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42BA869A"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Trade receivables</w:t>
            </w:r>
          </w:p>
        </w:tc>
        <w:tc>
          <w:tcPr>
            <w:tcW w:w="3148" w:type="dxa"/>
            <w:shd w:val="clear" w:color="auto" w:fill="FFFFFF"/>
            <w:hideMark/>
          </w:tcPr>
          <w:p w14:paraId="08CA998A" w14:textId="77777777" w:rsidR="00FD6E41" w:rsidRPr="00103D56" w:rsidRDefault="00FD6E41" w:rsidP="001C5897">
            <w:pPr>
              <w:jc w:val="right"/>
              <w:rPr>
                <w:rFonts w:ascii="Calibri" w:hAnsi="Calibri" w:cs="Calibri"/>
                <w:sz w:val="22"/>
                <w:szCs w:val="22"/>
                <w:lang w:eastAsia="en-IE"/>
              </w:rPr>
            </w:pPr>
            <w:r w:rsidRPr="00103D56">
              <w:rPr>
                <w:rFonts w:ascii="Calibri" w:hAnsi="Calibri" w:cs="Calibri"/>
                <w:b/>
                <w:bCs/>
                <w:color w:val="000000"/>
                <w:sz w:val="22"/>
                <w:szCs w:val="22"/>
                <w:lang w:eastAsia="en-IE"/>
              </w:rPr>
              <w:t>10</w:t>
            </w:r>
          </w:p>
        </w:tc>
        <w:tc>
          <w:tcPr>
            <w:tcW w:w="1134" w:type="dxa"/>
            <w:shd w:val="clear" w:color="auto" w:fill="FFFF00"/>
          </w:tcPr>
          <w:p w14:paraId="5F710392" w14:textId="77777777" w:rsidR="00FD6E41" w:rsidRPr="00103D56" w:rsidRDefault="00CE3B2F" w:rsidP="00F72676">
            <w:pPr>
              <w:ind w:left="-45" w:right="27" w:firstLine="45"/>
              <w:jc w:val="right"/>
              <w:rPr>
                <w:rFonts w:ascii="Calibri" w:eastAsia="Calibri" w:hAnsi="Calibri" w:cs="Calibri"/>
                <w:b/>
                <w:sz w:val="22"/>
                <w:szCs w:val="22"/>
                <w:lang w:eastAsia="en-IE"/>
              </w:rPr>
            </w:pPr>
            <w:r>
              <w:rPr>
                <w:rFonts w:ascii="Calibri" w:eastAsia="Calibri" w:hAnsi="Calibri" w:cs="Calibri"/>
                <w:b/>
                <w:sz w:val="22"/>
                <w:szCs w:val="22"/>
                <w:lang w:eastAsia="en-IE"/>
              </w:rPr>
              <w:t>76.5</w:t>
            </w:r>
          </w:p>
        </w:tc>
        <w:tc>
          <w:tcPr>
            <w:tcW w:w="1134" w:type="dxa"/>
            <w:shd w:val="clear" w:color="auto" w:fill="FFFFFF"/>
            <w:vAlign w:val="center"/>
          </w:tcPr>
          <w:p w14:paraId="0DA2D9F9"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59.7</w:t>
            </w:r>
          </w:p>
        </w:tc>
      </w:tr>
      <w:tr w:rsidR="00FD6E41" w:rsidRPr="00135F6B" w14:paraId="5B2CC78F" w14:textId="77777777" w:rsidTr="005E03B5">
        <w:trPr>
          <w:trHeight w:val="249"/>
        </w:trPr>
        <w:tc>
          <w:tcPr>
            <w:tcW w:w="261" w:type="dxa"/>
            <w:shd w:val="clear" w:color="auto" w:fill="FFFFFF"/>
            <w:noWrap/>
            <w:vAlign w:val="bottom"/>
            <w:hideMark/>
          </w:tcPr>
          <w:p w14:paraId="41321FBA"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3AF7F2E5"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Derivative financial instruments</w:t>
            </w:r>
          </w:p>
        </w:tc>
        <w:tc>
          <w:tcPr>
            <w:tcW w:w="3148" w:type="dxa"/>
            <w:shd w:val="clear" w:color="auto" w:fill="FFFFFF"/>
            <w:hideMark/>
          </w:tcPr>
          <w:p w14:paraId="552E0A3D" w14:textId="77777777" w:rsidR="00FD6E41" w:rsidRPr="00103D56" w:rsidRDefault="00FD6E41" w:rsidP="001C5897">
            <w:pPr>
              <w:jc w:val="right"/>
              <w:rPr>
                <w:rFonts w:ascii="Calibri" w:hAnsi="Calibri" w:cs="Calibri"/>
                <w:b/>
                <w:bCs/>
                <w:color w:val="000000"/>
                <w:sz w:val="22"/>
                <w:szCs w:val="22"/>
                <w:lang w:eastAsia="en-IE"/>
              </w:rPr>
            </w:pPr>
            <w:r w:rsidRPr="00103D56">
              <w:rPr>
                <w:rFonts w:ascii="Calibri" w:hAnsi="Calibri" w:cs="Calibri"/>
                <w:b/>
                <w:bCs/>
                <w:color w:val="000000"/>
                <w:sz w:val="22"/>
                <w:szCs w:val="22"/>
                <w:lang w:eastAsia="en-IE"/>
              </w:rPr>
              <w:t>10</w:t>
            </w:r>
          </w:p>
        </w:tc>
        <w:tc>
          <w:tcPr>
            <w:tcW w:w="1134" w:type="dxa"/>
            <w:tcBorders>
              <w:left w:val="nil"/>
              <w:bottom w:val="single" w:sz="12" w:space="0" w:color="auto"/>
              <w:right w:val="nil"/>
            </w:tcBorders>
            <w:shd w:val="clear" w:color="auto" w:fill="FFFF00"/>
          </w:tcPr>
          <w:p w14:paraId="624BB833" w14:textId="77777777" w:rsidR="00FD6E41" w:rsidRPr="00103D56" w:rsidRDefault="00CE3B2F" w:rsidP="00F72676">
            <w:pPr>
              <w:ind w:left="-45" w:right="27" w:firstLine="45"/>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149.5</w:t>
            </w:r>
          </w:p>
        </w:tc>
        <w:tc>
          <w:tcPr>
            <w:tcW w:w="1134" w:type="dxa"/>
            <w:tcBorders>
              <w:top w:val="nil"/>
              <w:left w:val="nil"/>
              <w:bottom w:val="single" w:sz="12" w:space="0" w:color="auto"/>
              <w:right w:val="nil"/>
            </w:tcBorders>
            <w:shd w:val="clear" w:color="auto" w:fill="FFFFFF"/>
            <w:vAlign w:val="center"/>
          </w:tcPr>
          <w:p w14:paraId="0DE667E7"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292.1</w:t>
            </w:r>
          </w:p>
        </w:tc>
      </w:tr>
      <w:tr w:rsidR="00F72676" w:rsidRPr="00135F6B" w14:paraId="6BD0551F" w14:textId="77777777" w:rsidTr="005E03B5">
        <w:trPr>
          <w:trHeight w:val="249"/>
        </w:trPr>
        <w:tc>
          <w:tcPr>
            <w:tcW w:w="261" w:type="dxa"/>
            <w:shd w:val="clear" w:color="auto" w:fill="FFFFFF"/>
            <w:noWrap/>
            <w:vAlign w:val="bottom"/>
            <w:hideMark/>
          </w:tcPr>
          <w:p w14:paraId="5FF08D18"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2A61AAE3"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Restricted cash</w:t>
            </w:r>
          </w:p>
        </w:tc>
        <w:tc>
          <w:tcPr>
            <w:tcW w:w="3148" w:type="dxa"/>
            <w:tcBorders>
              <w:top w:val="nil"/>
              <w:left w:val="nil"/>
              <w:bottom w:val="nil"/>
              <w:right w:val="single" w:sz="12" w:space="0" w:color="auto"/>
            </w:tcBorders>
            <w:shd w:val="clear" w:color="auto" w:fill="FFFFFF"/>
            <w:hideMark/>
          </w:tcPr>
          <w:p w14:paraId="7FE57FC8" w14:textId="77777777" w:rsidR="00FD6E41" w:rsidRPr="00103D56" w:rsidRDefault="00FD6E41" w:rsidP="001C5897">
            <w:pPr>
              <w:jc w:val="right"/>
              <w:rPr>
                <w:rFonts w:ascii="Calibri" w:hAnsi="Calibri" w:cs="Calibri"/>
                <w:sz w:val="22"/>
                <w:szCs w:val="22"/>
                <w:lang w:eastAsia="en-IE"/>
              </w:rPr>
            </w:pPr>
            <w:r w:rsidRPr="00103D56">
              <w:rPr>
                <w:rFonts w:ascii="Calibri" w:hAnsi="Calibri" w:cs="Calibri"/>
                <w:b/>
                <w:bCs/>
                <w:color w:val="000000"/>
                <w:sz w:val="22"/>
                <w:szCs w:val="22"/>
                <w:lang w:eastAsia="en-IE"/>
              </w:rPr>
              <w:t>10</w:t>
            </w:r>
          </w:p>
        </w:tc>
        <w:tc>
          <w:tcPr>
            <w:tcW w:w="1134" w:type="dxa"/>
            <w:tcBorders>
              <w:top w:val="single" w:sz="12" w:space="0" w:color="auto"/>
              <w:left w:val="single" w:sz="12" w:space="0" w:color="auto"/>
            </w:tcBorders>
            <w:shd w:val="clear" w:color="auto" w:fill="FFFF00"/>
          </w:tcPr>
          <w:p w14:paraId="22641A23" w14:textId="77777777" w:rsidR="00FD6E41" w:rsidRPr="00103D56" w:rsidRDefault="00CE3B2F" w:rsidP="00F72676">
            <w:pPr>
              <w:ind w:left="-45" w:right="27" w:firstLine="45"/>
              <w:jc w:val="right"/>
              <w:rPr>
                <w:rFonts w:ascii="Calibri" w:eastAsia="Calibri" w:hAnsi="Calibri" w:cs="Calibri"/>
                <w:b/>
                <w:sz w:val="22"/>
                <w:szCs w:val="22"/>
                <w:lang w:eastAsia="en-IE"/>
              </w:rPr>
            </w:pPr>
            <w:r>
              <w:rPr>
                <w:rFonts w:ascii="Calibri" w:eastAsia="Calibri" w:hAnsi="Calibri" w:cs="Calibri"/>
                <w:b/>
                <w:sz w:val="22"/>
                <w:szCs w:val="22"/>
                <w:lang w:eastAsia="en-IE"/>
              </w:rPr>
              <w:t>20.8</w:t>
            </w:r>
          </w:p>
        </w:tc>
        <w:tc>
          <w:tcPr>
            <w:tcW w:w="1134" w:type="dxa"/>
            <w:tcBorders>
              <w:top w:val="single" w:sz="12" w:space="0" w:color="auto"/>
              <w:left w:val="nil"/>
              <w:bottom w:val="nil"/>
              <w:right w:val="single" w:sz="12" w:space="0" w:color="auto"/>
            </w:tcBorders>
            <w:shd w:val="clear" w:color="auto" w:fill="FFFFFF"/>
            <w:vAlign w:val="center"/>
          </w:tcPr>
          <w:p w14:paraId="754B7B91"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19.5</w:t>
            </w:r>
          </w:p>
        </w:tc>
      </w:tr>
      <w:tr w:rsidR="00F72676" w:rsidRPr="00135F6B" w14:paraId="1D9F7566" w14:textId="77777777" w:rsidTr="005E03B5">
        <w:trPr>
          <w:trHeight w:val="249"/>
        </w:trPr>
        <w:tc>
          <w:tcPr>
            <w:tcW w:w="261" w:type="dxa"/>
            <w:shd w:val="clear" w:color="auto" w:fill="FFFFFF"/>
            <w:noWrap/>
            <w:vAlign w:val="bottom"/>
            <w:hideMark/>
          </w:tcPr>
          <w:p w14:paraId="325E7262"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6C56F7A2"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Financial assets: cash &gt; 3 months</w:t>
            </w:r>
          </w:p>
        </w:tc>
        <w:tc>
          <w:tcPr>
            <w:tcW w:w="3148" w:type="dxa"/>
            <w:tcBorders>
              <w:top w:val="nil"/>
              <w:left w:val="nil"/>
              <w:bottom w:val="nil"/>
              <w:right w:val="single" w:sz="12" w:space="0" w:color="auto"/>
            </w:tcBorders>
            <w:shd w:val="clear" w:color="auto" w:fill="FFFFFF"/>
            <w:hideMark/>
          </w:tcPr>
          <w:p w14:paraId="5F67007B" w14:textId="77777777" w:rsidR="00FD6E41" w:rsidRPr="00103D56" w:rsidRDefault="00FD6E41" w:rsidP="001C5897">
            <w:pPr>
              <w:jc w:val="right"/>
              <w:rPr>
                <w:rFonts w:ascii="Calibri" w:hAnsi="Calibri" w:cs="Calibri"/>
                <w:sz w:val="22"/>
                <w:szCs w:val="22"/>
                <w:lang w:eastAsia="en-IE"/>
              </w:rPr>
            </w:pPr>
            <w:r w:rsidRPr="00103D56">
              <w:rPr>
                <w:rFonts w:ascii="Calibri" w:hAnsi="Calibri" w:cs="Calibri"/>
                <w:b/>
                <w:bCs/>
                <w:color w:val="000000"/>
                <w:sz w:val="22"/>
                <w:szCs w:val="22"/>
                <w:lang w:eastAsia="en-IE"/>
              </w:rPr>
              <w:t>10</w:t>
            </w:r>
          </w:p>
        </w:tc>
        <w:tc>
          <w:tcPr>
            <w:tcW w:w="1134" w:type="dxa"/>
            <w:tcBorders>
              <w:left w:val="single" w:sz="12" w:space="0" w:color="auto"/>
            </w:tcBorders>
            <w:shd w:val="clear" w:color="auto" w:fill="FFFF00"/>
          </w:tcPr>
          <w:p w14:paraId="0D8A47A0" w14:textId="77777777" w:rsidR="00FD6E41" w:rsidRPr="00103D56" w:rsidRDefault="00CE3B2F" w:rsidP="00F72676">
            <w:pPr>
              <w:ind w:left="-45" w:right="27" w:firstLine="45"/>
              <w:jc w:val="right"/>
              <w:rPr>
                <w:rFonts w:ascii="Calibri" w:eastAsia="Calibri" w:hAnsi="Calibri" w:cs="Calibri"/>
                <w:b/>
                <w:sz w:val="22"/>
                <w:szCs w:val="22"/>
                <w:lang w:eastAsia="en-IE"/>
              </w:rPr>
            </w:pPr>
            <w:r>
              <w:rPr>
                <w:rFonts w:ascii="Calibri" w:eastAsia="Calibri" w:hAnsi="Calibri" w:cs="Calibri"/>
                <w:b/>
                <w:sz w:val="22"/>
                <w:szCs w:val="22"/>
                <w:lang w:eastAsia="en-IE"/>
              </w:rPr>
              <w:t>379.5</w:t>
            </w:r>
          </w:p>
        </w:tc>
        <w:tc>
          <w:tcPr>
            <w:tcW w:w="1134" w:type="dxa"/>
            <w:tcBorders>
              <w:top w:val="nil"/>
              <w:left w:val="nil"/>
              <w:bottom w:val="nil"/>
              <w:right w:val="single" w:sz="12" w:space="0" w:color="auto"/>
            </w:tcBorders>
            <w:shd w:val="clear" w:color="auto" w:fill="FFFFFF"/>
            <w:vAlign w:val="center"/>
          </w:tcPr>
          <w:p w14:paraId="0CEA8FE8"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1,056.2</w:t>
            </w:r>
          </w:p>
        </w:tc>
      </w:tr>
      <w:tr w:rsidR="00F72676" w:rsidRPr="00135F6B" w14:paraId="6B6EAB1F" w14:textId="77777777" w:rsidTr="005E03B5">
        <w:trPr>
          <w:trHeight w:val="249"/>
        </w:trPr>
        <w:tc>
          <w:tcPr>
            <w:tcW w:w="261" w:type="dxa"/>
            <w:shd w:val="clear" w:color="auto" w:fill="FFFFFF"/>
            <w:noWrap/>
            <w:vAlign w:val="bottom"/>
            <w:hideMark/>
          </w:tcPr>
          <w:p w14:paraId="096793CA"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659D55AB"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Cash and cash equivalents</w:t>
            </w:r>
          </w:p>
        </w:tc>
        <w:tc>
          <w:tcPr>
            <w:tcW w:w="3148" w:type="dxa"/>
            <w:tcBorders>
              <w:top w:val="nil"/>
              <w:left w:val="nil"/>
              <w:bottom w:val="nil"/>
              <w:right w:val="single" w:sz="12" w:space="0" w:color="auto"/>
            </w:tcBorders>
            <w:shd w:val="clear" w:color="auto" w:fill="FFFFFF"/>
            <w:hideMark/>
          </w:tcPr>
          <w:p w14:paraId="5FEC5E2E" w14:textId="77777777" w:rsidR="00FD6E41" w:rsidRPr="00103D56" w:rsidRDefault="00FD6E41" w:rsidP="001C5897">
            <w:pPr>
              <w:jc w:val="right"/>
              <w:rPr>
                <w:rFonts w:ascii="Calibri" w:hAnsi="Calibri" w:cs="Calibri"/>
                <w:sz w:val="22"/>
                <w:szCs w:val="22"/>
                <w:lang w:eastAsia="en-IE"/>
              </w:rPr>
            </w:pPr>
            <w:r w:rsidRPr="00103D56">
              <w:rPr>
                <w:rFonts w:ascii="Calibri" w:hAnsi="Calibri" w:cs="Calibri"/>
                <w:b/>
                <w:bCs/>
                <w:color w:val="000000"/>
                <w:sz w:val="22"/>
                <w:szCs w:val="22"/>
                <w:lang w:eastAsia="en-IE"/>
              </w:rPr>
              <w:t>10</w:t>
            </w:r>
          </w:p>
        </w:tc>
        <w:tc>
          <w:tcPr>
            <w:tcW w:w="1134" w:type="dxa"/>
            <w:tcBorders>
              <w:left w:val="single" w:sz="12" w:space="0" w:color="auto"/>
              <w:bottom w:val="single" w:sz="12" w:space="0" w:color="auto"/>
              <w:right w:val="nil"/>
            </w:tcBorders>
            <w:shd w:val="clear" w:color="auto" w:fill="FFFF00"/>
          </w:tcPr>
          <w:p w14:paraId="09E5FB7B" w14:textId="77777777" w:rsidR="00FD6E41" w:rsidRPr="00103D56" w:rsidRDefault="00CE3B2F" w:rsidP="00F72676">
            <w:pPr>
              <w:ind w:left="-45" w:right="27" w:firstLine="45"/>
              <w:jc w:val="right"/>
              <w:rPr>
                <w:rFonts w:ascii="Calibri" w:eastAsia="Calibri" w:hAnsi="Calibri" w:cs="Calibri"/>
                <w:b/>
                <w:sz w:val="22"/>
                <w:szCs w:val="22"/>
                <w:lang w:eastAsia="en-IE"/>
              </w:rPr>
            </w:pPr>
            <w:r>
              <w:rPr>
                <w:rFonts w:ascii="Calibri" w:eastAsia="Calibri" w:hAnsi="Calibri" w:cs="Calibri"/>
                <w:b/>
                <w:sz w:val="22"/>
                <w:szCs w:val="22"/>
                <w:lang w:eastAsia="en-IE"/>
              </w:rPr>
              <w:t>2,518.6</w:t>
            </w:r>
          </w:p>
        </w:tc>
        <w:tc>
          <w:tcPr>
            <w:tcW w:w="1134" w:type="dxa"/>
            <w:tcBorders>
              <w:top w:val="nil"/>
              <w:left w:val="nil"/>
              <w:bottom w:val="single" w:sz="12" w:space="0" w:color="auto"/>
              <w:right w:val="single" w:sz="12" w:space="0" w:color="auto"/>
            </w:tcBorders>
            <w:shd w:val="clear" w:color="auto" w:fill="FFFFFF"/>
            <w:vAlign w:val="center"/>
            <w:hideMark/>
          </w:tcPr>
          <w:p w14:paraId="56ED5F52"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eastAsia="Calibri" w:hAnsi="Calibri" w:cs="Calibri"/>
                <w:sz w:val="22"/>
                <w:szCs w:val="22"/>
                <w:lang w:eastAsia="en-IE"/>
              </w:rPr>
              <w:t>3,599.3</w:t>
            </w:r>
          </w:p>
        </w:tc>
      </w:tr>
      <w:tr w:rsidR="00FD6E41" w:rsidRPr="00135F6B" w14:paraId="54C7D5F9" w14:textId="77777777" w:rsidTr="005E03B5">
        <w:trPr>
          <w:trHeight w:val="249"/>
        </w:trPr>
        <w:tc>
          <w:tcPr>
            <w:tcW w:w="261" w:type="dxa"/>
            <w:shd w:val="clear" w:color="auto" w:fill="FFFFFF"/>
            <w:noWrap/>
            <w:vAlign w:val="bottom"/>
            <w:hideMark/>
          </w:tcPr>
          <w:p w14:paraId="0FA7B867"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305A0FE0"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Total current assets</w:t>
            </w:r>
          </w:p>
        </w:tc>
        <w:tc>
          <w:tcPr>
            <w:tcW w:w="3148" w:type="dxa"/>
            <w:shd w:val="clear" w:color="auto" w:fill="FFFFFF"/>
            <w:vAlign w:val="center"/>
            <w:hideMark/>
          </w:tcPr>
          <w:p w14:paraId="0A1FD0A8" w14:textId="77777777" w:rsidR="00FD6E41" w:rsidRPr="00103D56" w:rsidRDefault="00FD6E41" w:rsidP="001C5897">
            <w:pPr>
              <w:rPr>
                <w:rFonts w:ascii="Calibri" w:hAnsi="Calibri" w:cs="Calibri"/>
                <w:b/>
                <w:bCs/>
                <w:sz w:val="22"/>
                <w:szCs w:val="22"/>
                <w:lang w:eastAsia="en-IE"/>
              </w:rPr>
            </w:pPr>
          </w:p>
        </w:tc>
        <w:tc>
          <w:tcPr>
            <w:tcW w:w="1134" w:type="dxa"/>
            <w:tcBorders>
              <w:top w:val="single" w:sz="12" w:space="0" w:color="auto"/>
              <w:left w:val="nil"/>
              <w:bottom w:val="single" w:sz="8" w:space="0" w:color="auto"/>
              <w:right w:val="nil"/>
            </w:tcBorders>
            <w:shd w:val="clear" w:color="auto" w:fill="FFFF00"/>
          </w:tcPr>
          <w:p w14:paraId="01946D10" w14:textId="77777777" w:rsidR="00FD6E41" w:rsidRPr="00FB0280" w:rsidRDefault="00CE3B2F" w:rsidP="00F72676">
            <w:pPr>
              <w:ind w:left="-45" w:right="27" w:firstLine="45"/>
              <w:jc w:val="right"/>
              <w:rPr>
                <w:rFonts w:ascii="Calibri" w:hAnsi="Calibri" w:cs="Calibri"/>
                <w:b/>
                <w:bCs/>
                <w:color w:val="000000"/>
                <w:sz w:val="22"/>
                <w:szCs w:val="22"/>
                <w:highlight w:val="green"/>
                <w:lang w:eastAsia="en-IE"/>
              </w:rPr>
            </w:pPr>
            <w:r w:rsidRPr="00C7181A">
              <w:rPr>
                <w:rFonts w:ascii="Calibri" w:hAnsi="Calibri" w:cs="Calibri"/>
                <w:b/>
                <w:bCs/>
                <w:color w:val="000000"/>
                <w:sz w:val="22"/>
                <w:szCs w:val="22"/>
                <w:lang w:eastAsia="en-IE"/>
              </w:rPr>
              <w:t>4,</w:t>
            </w:r>
            <w:r w:rsidR="003A428B">
              <w:rPr>
                <w:rFonts w:ascii="Calibri" w:hAnsi="Calibri" w:cs="Calibri"/>
                <w:b/>
                <w:bCs/>
                <w:color w:val="000000"/>
                <w:sz w:val="22"/>
                <w:szCs w:val="22"/>
                <w:lang w:eastAsia="en-IE"/>
              </w:rPr>
              <w:t>304</w:t>
            </w:r>
            <w:r w:rsidR="009D19A3" w:rsidRPr="00C7181A">
              <w:rPr>
                <w:rFonts w:ascii="Calibri" w:hAnsi="Calibri" w:cs="Calibri"/>
                <w:b/>
                <w:bCs/>
                <w:color w:val="000000"/>
                <w:sz w:val="22"/>
                <w:szCs w:val="22"/>
                <w:lang w:eastAsia="en-IE"/>
              </w:rPr>
              <w:t>.</w:t>
            </w:r>
            <w:r w:rsidR="003A428B">
              <w:rPr>
                <w:rFonts w:ascii="Calibri" w:hAnsi="Calibri" w:cs="Calibri"/>
                <w:b/>
                <w:bCs/>
                <w:color w:val="000000"/>
                <w:sz w:val="22"/>
                <w:szCs w:val="22"/>
                <w:lang w:eastAsia="en-IE"/>
              </w:rPr>
              <w:t>0</w:t>
            </w:r>
          </w:p>
        </w:tc>
        <w:tc>
          <w:tcPr>
            <w:tcW w:w="1134" w:type="dxa"/>
            <w:tcBorders>
              <w:top w:val="single" w:sz="12" w:space="0" w:color="auto"/>
              <w:left w:val="nil"/>
              <w:bottom w:val="single" w:sz="8" w:space="0" w:color="auto"/>
              <w:right w:val="nil"/>
            </w:tcBorders>
            <w:shd w:val="clear" w:color="auto" w:fill="FFFFFF"/>
            <w:vAlign w:val="center"/>
            <w:hideMark/>
          </w:tcPr>
          <w:p w14:paraId="3628C2D9"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5,911.4</w:t>
            </w:r>
          </w:p>
        </w:tc>
      </w:tr>
      <w:tr w:rsidR="00FD6E41" w:rsidRPr="00135F6B" w14:paraId="5938520F" w14:textId="77777777" w:rsidTr="005E03B5">
        <w:trPr>
          <w:trHeight w:val="249"/>
        </w:trPr>
        <w:tc>
          <w:tcPr>
            <w:tcW w:w="261" w:type="dxa"/>
            <w:shd w:val="clear" w:color="auto" w:fill="FFFFFF"/>
            <w:noWrap/>
            <w:vAlign w:val="bottom"/>
            <w:hideMark/>
          </w:tcPr>
          <w:p w14:paraId="1168A047"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75D99011" w14:textId="77777777" w:rsidR="00FD6E41" w:rsidRPr="00103D56" w:rsidRDefault="00FD6E41" w:rsidP="00FD6E41">
            <w:pPr>
              <w:ind w:left="60"/>
              <w:jc w:val="right"/>
              <w:rPr>
                <w:rFonts w:ascii="Calibri" w:hAnsi="Calibri" w:cs="Calibri"/>
                <w:sz w:val="22"/>
                <w:szCs w:val="22"/>
                <w:lang w:eastAsia="en-IE"/>
              </w:rPr>
            </w:pPr>
            <w:r w:rsidRPr="00103D56">
              <w:rPr>
                <w:rFonts w:ascii="Calibri" w:hAnsi="Calibri" w:cs="Calibri"/>
                <w:sz w:val="22"/>
                <w:szCs w:val="22"/>
                <w:lang w:eastAsia="en-IE"/>
              </w:rPr>
              <w:t> </w:t>
            </w:r>
          </w:p>
        </w:tc>
        <w:tc>
          <w:tcPr>
            <w:tcW w:w="3148" w:type="dxa"/>
            <w:shd w:val="clear" w:color="auto" w:fill="FFFFFF"/>
            <w:vAlign w:val="center"/>
            <w:hideMark/>
          </w:tcPr>
          <w:p w14:paraId="3678D8EF" w14:textId="77777777" w:rsidR="00FD6E41" w:rsidRPr="00103D56" w:rsidRDefault="00FD6E41" w:rsidP="001C5897">
            <w:pPr>
              <w:rPr>
                <w:rFonts w:ascii="Calibri" w:hAnsi="Calibri" w:cs="Calibri"/>
                <w:sz w:val="22"/>
                <w:szCs w:val="22"/>
                <w:lang w:eastAsia="en-IE"/>
              </w:rPr>
            </w:pPr>
          </w:p>
        </w:tc>
        <w:tc>
          <w:tcPr>
            <w:tcW w:w="1134" w:type="dxa"/>
            <w:tcBorders>
              <w:top w:val="single" w:sz="8" w:space="0" w:color="auto"/>
            </w:tcBorders>
            <w:shd w:val="clear" w:color="auto" w:fill="FFFF00"/>
            <w:vAlign w:val="center"/>
          </w:tcPr>
          <w:p w14:paraId="55270CEF" w14:textId="77777777" w:rsidR="00FD6E41" w:rsidRPr="00FB0280" w:rsidRDefault="00FD6E41" w:rsidP="00F72676">
            <w:pPr>
              <w:ind w:left="-45" w:right="27" w:firstLine="45"/>
              <w:jc w:val="right"/>
              <w:rPr>
                <w:rFonts w:ascii="Calibri" w:eastAsia="Calibri" w:hAnsi="Calibri" w:cs="Calibri"/>
                <w:b/>
                <w:sz w:val="22"/>
                <w:szCs w:val="22"/>
                <w:highlight w:val="green"/>
                <w:lang w:eastAsia="en-IE"/>
              </w:rPr>
            </w:pPr>
          </w:p>
        </w:tc>
        <w:tc>
          <w:tcPr>
            <w:tcW w:w="1134" w:type="dxa"/>
            <w:shd w:val="clear" w:color="auto" w:fill="FFFFFF"/>
            <w:vAlign w:val="bottom"/>
            <w:hideMark/>
          </w:tcPr>
          <w:p w14:paraId="56280AEF" w14:textId="77777777" w:rsidR="00FD6E41" w:rsidRPr="00103D56" w:rsidRDefault="00FD6E41" w:rsidP="00F72676">
            <w:pPr>
              <w:ind w:right="33" w:hanging="111"/>
              <w:rPr>
                <w:rFonts w:ascii="Calibri" w:eastAsia="Calibri" w:hAnsi="Calibri" w:cs="Calibri"/>
                <w:sz w:val="22"/>
                <w:szCs w:val="22"/>
                <w:lang w:eastAsia="en-IE"/>
              </w:rPr>
            </w:pPr>
          </w:p>
        </w:tc>
      </w:tr>
      <w:tr w:rsidR="00FD6E41" w:rsidRPr="00135F6B" w14:paraId="0AC4AFF9" w14:textId="77777777" w:rsidTr="005E03B5">
        <w:trPr>
          <w:trHeight w:val="249"/>
        </w:trPr>
        <w:tc>
          <w:tcPr>
            <w:tcW w:w="261" w:type="dxa"/>
            <w:shd w:val="clear" w:color="auto" w:fill="FFFFFF"/>
            <w:noWrap/>
            <w:vAlign w:val="bottom"/>
            <w:hideMark/>
          </w:tcPr>
          <w:p w14:paraId="60B0DE1E"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7C46087A"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Total assets</w:t>
            </w:r>
          </w:p>
        </w:tc>
        <w:tc>
          <w:tcPr>
            <w:tcW w:w="3148" w:type="dxa"/>
            <w:shd w:val="clear" w:color="auto" w:fill="FFFFFF"/>
            <w:vAlign w:val="center"/>
            <w:hideMark/>
          </w:tcPr>
          <w:p w14:paraId="25C01986" w14:textId="77777777" w:rsidR="00FD6E41" w:rsidRPr="00103D56" w:rsidRDefault="00FD6E41" w:rsidP="001C5897">
            <w:pPr>
              <w:rPr>
                <w:rFonts w:ascii="Calibri" w:hAnsi="Calibri" w:cs="Calibri"/>
                <w:b/>
                <w:bCs/>
                <w:sz w:val="22"/>
                <w:szCs w:val="22"/>
                <w:lang w:eastAsia="en-IE"/>
              </w:rPr>
            </w:pPr>
          </w:p>
        </w:tc>
        <w:tc>
          <w:tcPr>
            <w:tcW w:w="1134" w:type="dxa"/>
            <w:tcBorders>
              <w:left w:val="nil"/>
              <w:bottom w:val="single" w:sz="12" w:space="0" w:color="auto"/>
              <w:right w:val="nil"/>
            </w:tcBorders>
            <w:shd w:val="clear" w:color="auto" w:fill="FFFF00"/>
          </w:tcPr>
          <w:p w14:paraId="559FDE0E" w14:textId="77777777" w:rsidR="00FD6E41" w:rsidRPr="00AF77E1" w:rsidRDefault="00CE3B2F" w:rsidP="00F72676">
            <w:pPr>
              <w:ind w:left="-45" w:right="27" w:firstLine="45"/>
              <w:jc w:val="right"/>
              <w:rPr>
                <w:rFonts w:ascii="Calibri" w:hAnsi="Calibri" w:cs="Calibri"/>
                <w:b/>
                <w:bCs/>
                <w:color w:val="000000"/>
                <w:sz w:val="22"/>
                <w:szCs w:val="22"/>
                <w:lang w:eastAsia="en-IE"/>
              </w:rPr>
            </w:pPr>
            <w:r w:rsidRPr="00AF77E1">
              <w:rPr>
                <w:rFonts w:ascii="Calibri" w:hAnsi="Calibri" w:cs="Calibri"/>
                <w:b/>
                <w:bCs/>
                <w:color w:val="000000"/>
                <w:sz w:val="22"/>
                <w:szCs w:val="22"/>
                <w:lang w:eastAsia="en-IE"/>
              </w:rPr>
              <w:t>15,4</w:t>
            </w:r>
            <w:r w:rsidR="003A428B">
              <w:rPr>
                <w:rFonts w:ascii="Calibri" w:hAnsi="Calibri" w:cs="Calibri"/>
                <w:b/>
                <w:bCs/>
                <w:color w:val="000000"/>
                <w:sz w:val="22"/>
                <w:szCs w:val="22"/>
                <w:lang w:eastAsia="en-IE"/>
              </w:rPr>
              <w:t>55.7</w:t>
            </w:r>
          </w:p>
        </w:tc>
        <w:tc>
          <w:tcPr>
            <w:tcW w:w="1134" w:type="dxa"/>
            <w:tcBorders>
              <w:top w:val="nil"/>
              <w:left w:val="nil"/>
              <w:bottom w:val="single" w:sz="12" w:space="0" w:color="auto"/>
              <w:right w:val="nil"/>
            </w:tcBorders>
            <w:shd w:val="clear" w:color="auto" w:fill="FFFFFF"/>
            <w:vAlign w:val="center"/>
            <w:hideMark/>
          </w:tcPr>
          <w:p w14:paraId="711697A6" w14:textId="77777777" w:rsidR="00FD6E41" w:rsidRPr="00103D56" w:rsidRDefault="00FD6E41" w:rsidP="00F72676">
            <w:pPr>
              <w:ind w:right="33" w:hanging="111"/>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16,405.9</w:t>
            </w:r>
          </w:p>
        </w:tc>
      </w:tr>
      <w:tr w:rsidR="00FD6E41" w:rsidRPr="00135F6B" w14:paraId="51D7A323" w14:textId="77777777" w:rsidTr="005E03B5">
        <w:trPr>
          <w:trHeight w:val="249"/>
        </w:trPr>
        <w:tc>
          <w:tcPr>
            <w:tcW w:w="261" w:type="dxa"/>
            <w:shd w:val="clear" w:color="auto" w:fill="FFFFFF"/>
            <w:noWrap/>
            <w:vAlign w:val="bottom"/>
            <w:hideMark/>
          </w:tcPr>
          <w:p w14:paraId="369F8FE4"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225FECA8" w14:textId="77777777" w:rsidR="00FD6E41" w:rsidRPr="00103D56" w:rsidRDefault="00FD6E41" w:rsidP="00FD6E41">
            <w:pPr>
              <w:ind w:left="60"/>
              <w:jc w:val="right"/>
              <w:rPr>
                <w:rFonts w:ascii="Calibri" w:hAnsi="Calibri" w:cs="Calibri"/>
                <w:sz w:val="22"/>
                <w:szCs w:val="22"/>
                <w:lang w:eastAsia="en-IE"/>
              </w:rPr>
            </w:pPr>
            <w:r w:rsidRPr="00103D56">
              <w:rPr>
                <w:rFonts w:ascii="Calibri" w:hAnsi="Calibri" w:cs="Calibri"/>
                <w:sz w:val="22"/>
                <w:szCs w:val="22"/>
                <w:lang w:eastAsia="en-IE"/>
              </w:rPr>
              <w:t> </w:t>
            </w:r>
          </w:p>
        </w:tc>
        <w:tc>
          <w:tcPr>
            <w:tcW w:w="3148" w:type="dxa"/>
            <w:shd w:val="clear" w:color="auto" w:fill="FFFFFF"/>
            <w:vAlign w:val="center"/>
            <w:hideMark/>
          </w:tcPr>
          <w:p w14:paraId="55069FCE" w14:textId="77777777" w:rsidR="00FD6E41" w:rsidRPr="00103D56" w:rsidRDefault="00FD6E41" w:rsidP="001C5897">
            <w:pPr>
              <w:rPr>
                <w:rFonts w:ascii="Calibri" w:hAnsi="Calibri" w:cs="Calibri"/>
                <w:sz w:val="22"/>
                <w:szCs w:val="22"/>
                <w:lang w:eastAsia="en-IE"/>
              </w:rPr>
            </w:pPr>
          </w:p>
        </w:tc>
        <w:tc>
          <w:tcPr>
            <w:tcW w:w="1134" w:type="dxa"/>
            <w:tcBorders>
              <w:top w:val="single" w:sz="12" w:space="0" w:color="auto"/>
            </w:tcBorders>
            <w:shd w:val="clear" w:color="auto" w:fill="FFFF00"/>
            <w:vAlign w:val="bottom"/>
            <w:hideMark/>
          </w:tcPr>
          <w:p w14:paraId="7A2D7334" w14:textId="77777777" w:rsidR="00FD6E41" w:rsidRPr="00103D56" w:rsidRDefault="00FD6E41" w:rsidP="00F72676">
            <w:pPr>
              <w:ind w:left="-45" w:right="27" w:firstLine="45"/>
              <w:jc w:val="right"/>
              <w:rPr>
                <w:rFonts w:ascii="Calibri" w:eastAsia="Calibri" w:hAnsi="Calibri" w:cs="Calibri"/>
                <w:b/>
                <w:sz w:val="22"/>
                <w:szCs w:val="22"/>
                <w:lang w:eastAsia="en-IE"/>
              </w:rPr>
            </w:pPr>
          </w:p>
        </w:tc>
        <w:tc>
          <w:tcPr>
            <w:tcW w:w="1134" w:type="dxa"/>
            <w:tcBorders>
              <w:top w:val="single" w:sz="12" w:space="0" w:color="auto"/>
            </w:tcBorders>
            <w:shd w:val="clear" w:color="auto" w:fill="FFFFFF"/>
            <w:vAlign w:val="center"/>
            <w:hideMark/>
          </w:tcPr>
          <w:p w14:paraId="3CA99C22" w14:textId="77777777" w:rsidR="00FD6E41" w:rsidRPr="00FD297D" w:rsidRDefault="00FD6E41" w:rsidP="00F72676">
            <w:pPr>
              <w:ind w:right="33"/>
              <w:rPr>
                <w:rFonts w:ascii="Calibri" w:eastAsia="Calibri" w:hAnsi="Calibri" w:cs="Calibri"/>
                <w:sz w:val="22"/>
                <w:szCs w:val="22"/>
                <w:lang w:eastAsia="en-IE"/>
              </w:rPr>
            </w:pPr>
          </w:p>
        </w:tc>
      </w:tr>
      <w:tr w:rsidR="00FD6E41" w:rsidRPr="00135F6B" w14:paraId="513AB518" w14:textId="77777777" w:rsidTr="005E03B5">
        <w:trPr>
          <w:trHeight w:val="249"/>
        </w:trPr>
        <w:tc>
          <w:tcPr>
            <w:tcW w:w="261" w:type="dxa"/>
            <w:shd w:val="clear" w:color="auto" w:fill="FFFFFF"/>
            <w:noWrap/>
            <w:vAlign w:val="bottom"/>
            <w:hideMark/>
          </w:tcPr>
          <w:p w14:paraId="589A46F0"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31A03B22"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Current liabilities</w:t>
            </w:r>
          </w:p>
        </w:tc>
        <w:tc>
          <w:tcPr>
            <w:tcW w:w="3148" w:type="dxa"/>
            <w:shd w:val="clear" w:color="auto" w:fill="FFFFFF"/>
            <w:vAlign w:val="center"/>
            <w:hideMark/>
          </w:tcPr>
          <w:p w14:paraId="6B0947F0" w14:textId="77777777" w:rsidR="00FD6E41" w:rsidRPr="00103D56" w:rsidRDefault="00FD6E41" w:rsidP="001C5897">
            <w:pPr>
              <w:rPr>
                <w:rFonts w:ascii="Calibri" w:hAnsi="Calibri" w:cs="Calibri"/>
                <w:b/>
                <w:bCs/>
                <w:sz w:val="22"/>
                <w:szCs w:val="22"/>
                <w:lang w:eastAsia="en-IE"/>
              </w:rPr>
            </w:pPr>
          </w:p>
        </w:tc>
        <w:tc>
          <w:tcPr>
            <w:tcW w:w="1134" w:type="dxa"/>
            <w:shd w:val="clear" w:color="auto" w:fill="FFFF00"/>
            <w:hideMark/>
          </w:tcPr>
          <w:p w14:paraId="5E19B20E" w14:textId="77777777" w:rsidR="00FD6E41" w:rsidRPr="00103D56" w:rsidRDefault="00FD6E41" w:rsidP="00F72676">
            <w:pPr>
              <w:ind w:left="-45" w:right="27" w:firstLine="45"/>
              <w:jc w:val="right"/>
              <w:rPr>
                <w:rFonts w:ascii="Calibri" w:eastAsia="Calibri" w:hAnsi="Calibri" w:cs="Calibri"/>
                <w:b/>
                <w:sz w:val="22"/>
                <w:szCs w:val="22"/>
                <w:lang w:eastAsia="en-IE"/>
              </w:rPr>
            </w:pPr>
          </w:p>
        </w:tc>
        <w:tc>
          <w:tcPr>
            <w:tcW w:w="1134" w:type="dxa"/>
            <w:shd w:val="clear" w:color="auto" w:fill="FFFFFF"/>
            <w:vAlign w:val="center"/>
            <w:hideMark/>
          </w:tcPr>
          <w:p w14:paraId="1AD0A445" w14:textId="77777777" w:rsidR="00FD6E41" w:rsidRPr="00FD297D" w:rsidRDefault="00FD6E41" w:rsidP="00F72676">
            <w:pPr>
              <w:ind w:right="33"/>
              <w:rPr>
                <w:rFonts w:ascii="Calibri" w:eastAsia="Calibri" w:hAnsi="Calibri" w:cs="Calibri"/>
                <w:sz w:val="22"/>
                <w:szCs w:val="22"/>
                <w:lang w:eastAsia="en-IE"/>
              </w:rPr>
            </w:pPr>
          </w:p>
        </w:tc>
      </w:tr>
      <w:tr w:rsidR="00FD6E41" w:rsidRPr="00135F6B" w14:paraId="14FA6264" w14:textId="77777777" w:rsidTr="005E03B5">
        <w:trPr>
          <w:trHeight w:val="249"/>
        </w:trPr>
        <w:tc>
          <w:tcPr>
            <w:tcW w:w="261" w:type="dxa"/>
            <w:shd w:val="clear" w:color="auto" w:fill="FFFFFF"/>
            <w:noWrap/>
            <w:vAlign w:val="bottom"/>
            <w:hideMark/>
          </w:tcPr>
          <w:p w14:paraId="5442453D"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0D67281B"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Provisions</w:t>
            </w:r>
          </w:p>
        </w:tc>
        <w:tc>
          <w:tcPr>
            <w:tcW w:w="3148" w:type="dxa"/>
            <w:shd w:val="clear" w:color="auto" w:fill="FFFFFF"/>
            <w:vAlign w:val="center"/>
            <w:hideMark/>
          </w:tcPr>
          <w:p w14:paraId="497A3959"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70F6E53E" w14:textId="77777777" w:rsidR="00FD6E41" w:rsidRPr="00103D56" w:rsidRDefault="00CE3B2F" w:rsidP="00F72676">
            <w:pPr>
              <w:ind w:left="-45" w:right="27" w:firstLine="45"/>
              <w:jc w:val="right"/>
              <w:rPr>
                <w:rFonts w:ascii="Calibri" w:eastAsia="Calibri" w:hAnsi="Calibri" w:cs="Calibri"/>
                <w:b/>
                <w:sz w:val="22"/>
                <w:szCs w:val="22"/>
                <w:lang w:eastAsia="en-IE"/>
              </w:rPr>
            </w:pPr>
            <w:r>
              <w:rPr>
                <w:rFonts w:ascii="Calibri" w:eastAsia="Calibri" w:hAnsi="Calibri" w:cs="Calibri"/>
                <w:b/>
                <w:sz w:val="22"/>
                <w:szCs w:val="22"/>
                <w:lang w:eastAsia="en-IE"/>
              </w:rPr>
              <w:t>29.1</w:t>
            </w:r>
          </w:p>
        </w:tc>
        <w:tc>
          <w:tcPr>
            <w:tcW w:w="1134" w:type="dxa"/>
            <w:shd w:val="clear" w:color="auto" w:fill="FFFFFF"/>
            <w:vAlign w:val="center"/>
            <w:hideMark/>
          </w:tcPr>
          <w:p w14:paraId="4AC57A87"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19.8</w:t>
            </w:r>
          </w:p>
        </w:tc>
      </w:tr>
      <w:tr w:rsidR="00FD6E41" w:rsidRPr="00135F6B" w14:paraId="60293714" w14:textId="77777777" w:rsidTr="005E03B5">
        <w:trPr>
          <w:trHeight w:val="249"/>
        </w:trPr>
        <w:tc>
          <w:tcPr>
            <w:tcW w:w="261" w:type="dxa"/>
            <w:shd w:val="clear" w:color="auto" w:fill="FFFFFF"/>
            <w:noWrap/>
            <w:vAlign w:val="bottom"/>
            <w:hideMark/>
          </w:tcPr>
          <w:p w14:paraId="649D4588"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00815CE2"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Trade payables</w:t>
            </w:r>
          </w:p>
        </w:tc>
        <w:tc>
          <w:tcPr>
            <w:tcW w:w="3148" w:type="dxa"/>
            <w:shd w:val="clear" w:color="auto" w:fill="FFFFFF"/>
            <w:vAlign w:val="center"/>
            <w:hideMark/>
          </w:tcPr>
          <w:p w14:paraId="7DD501D8" w14:textId="77777777" w:rsidR="00FD6E41" w:rsidRPr="00103D56" w:rsidRDefault="00FD6E41" w:rsidP="001C5897">
            <w:pPr>
              <w:jc w:val="right"/>
              <w:rPr>
                <w:rFonts w:ascii="Calibri" w:hAnsi="Calibri" w:cs="Calibri"/>
                <w:b/>
                <w:bCs/>
                <w:color w:val="000000"/>
                <w:sz w:val="22"/>
                <w:szCs w:val="22"/>
                <w:lang w:eastAsia="en-IE"/>
              </w:rPr>
            </w:pPr>
            <w:r w:rsidRPr="00103D56">
              <w:rPr>
                <w:rFonts w:ascii="Calibri" w:hAnsi="Calibri" w:cs="Calibri"/>
                <w:b/>
                <w:bCs/>
                <w:color w:val="000000"/>
                <w:sz w:val="22"/>
                <w:szCs w:val="22"/>
                <w:lang w:eastAsia="en-IE"/>
              </w:rPr>
              <w:t>10</w:t>
            </w:r>
          </w:p>
        </w:tc>
        <w:tc>
          <w:tcPr>
            <w:tcW w:w="1134" w:type="dxa"/>
            <w:shd w:val="clear" w:color="auto" w:fill="FFFF00"/>
          </w:tcPr>
          <w:p w14:paraId="6FB4C111" w14:textId="77777777" w:rsidR="00FD6E41" w:rsidRPr="00103D56" w:rsidRDefault="00CE3B2F" w:rsidP="00F72676">
            <w:pPr>
              <w:ind w:left="-45" w:right="27" w:firstLine="45"/>
              <w:jc w:val="right"/>
              <w:rPr>
                <w:rFonts w:ascii="Calibri" w:hAnsi="Calibri" w:cs="Calibri"/>
                <w:b/>
                <w:bCs/>
                <w:color w:val="000000"/>
                <w:sz w:val="22"/>
                <w:szCs w:val="22"/>
                <w:lang w:eastAsia="en-IE"/>
              </w:rPr>
            </w:pPr>
            <w:r>
              <w:rPr>
                <w:rFonts w:ascii="Calibri" w:hAnsi="Calibri" w:cs="Calibri"/>
                <w:b/>
                <w:bCs/>
                <w:color w:val="000000"/>
                <w:sz w:val="22"/>
                <w:szCs w:val="22"/>
                <w:lang w:eastAsia="en-IE"/>
              </w:rPr>
              <w:t>808.3</w:t>
            </w:r>
          </w:p>
        </w:tc>
        <w:tc>
          <w:tcPr>
            <w:tcW w:w="1134" w:type="dxa"/>
            <w:shd w:val="clear" w:color="auto" w:fill="FFFFFF"/>
            <w:vAlign w:val="center"/>
            <w:hideMark/>
          </w:tcPr>
          <w:p w14:paraId="045F8976"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1,065.5</w:t>
            </w:r>
          </w:p>
        </w:tc>
      </w:tr>
      <w:tr w:rsidR="00FD6E41" w:rsidRPr="00135F6B" w14:paraId="078D0047" w14:textId="77777777" w:rsidTr="005E03B5">
        <w:trPr>
          <w:trHeight w:val="249"/>
        </w:trPr>
        <w:tc>
          <w:tcPr>
            <w:tcW w:w="261" w:type="dxa"/>
            <w:shd w:val="clear" w:color="auto" w:fill="FFFFFF"/>
            <w:noWrap/>
            <w:vAlign w:val="bottom"/>
            <w:hideMark/>
          </w:tcPr>
          <w:p w14:paraId="2832D17C"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409B4602"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Accrued expenses and other liabilities</w:t>
            </w:r>
          </w:p>
        </w:tc>
        <w:tc>
          <w:tcPr>
            <w:tcW w:w="3148" w:type="dxa"/>
            <w:shd w:val="clear" w:color="auto" w:fill="FFFFFF"/>
            <w:vAlign w:val="center"/>
            <w:hideMark/>
          </w:tcPr>
          <w:p w14:paraId="1FD98AE7"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77B28107" w14:textId="77777777" w:rsidR="00FD6E41" w:rsidRPr="00103D56" w:rsidRDefault="00CE3B2F" w:rsidP="00F72676">
            <w:pPr>
              <w:ind w:left="-45" w:right="27" w:firstLine="45"/>
              <w:jc w:val="right"/>
              <w:rPr>
                <w:rFonts w:ascii="Calibri" w:eastAsia="Calibri" w:hAnsi="Calibri" w:cs="Calibri"/>
                <w:b/>
                <w:sz w:val="22"/>
                <w:szCs w:val="22"/>
                <w:lang w:eastAsia="en-IE"/>
              </w:rPr>
            </w:pPr>
            <w:r w:rsidRPr="00C7181A">
              <w:rPr>
                <w:rFonts w:ascii="Calibri" w:eastAsia="Calibri" w:hAnsi="Calibri" w:cs="Calibri"/>
                <w:b/>
                <w:sz w:val="22"/>
                <w:szCs w:val="22"/>
                <w:lang w:eastAsia="en-IE"/>
              </w:rPr>
              <w:t>3,</w:t>
            </w:r>
            <w:r w:rsidR="00633FF4">
              <w:rPr>
                <w:rFonts w:ascii="Calibri" w:eastAsia="Calibri" w:hAnsi="Calibri" w:cs="Calibri"/>
                <w:b/>
                <w:sz w:val="22"/>
                <w:szCs w:val="22"/>
                <w:lang w:eastAsia="en-IE"/>
              </w:rPr>
              <w:t>106.7</w:t>
            </w:r>
          </w:p>
        </w:tc>
        <w:tc>
          <w:tcPr>
            <w:tcW w:w="1134" w:type="dxa"/>
            <w:shd w:val="clear" w:color="auto" w:fill="FFFFFF"/>
            <w:vAlign w:val="center"/>
            <w:hideMark/>
          </w:tcPr>
          <w:p w14:paraId="160CE3D4"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4,783.5</w:t>
            </w:r>
          </w:p>
        </w:tc>
      </w:tr>
      <w:tr w:rsidR="00FD6E41" w:rsidRPr="00135F6B" w14:paraId="71CAEE25" w14:textId="77777777" w:rsidTr="005E03B5">
        <w:trPr>
          <w:trHeight w:val="249"/>
        </w:trPr>
        <w:tc>
          <w:tcPr>
            <w:tcW w:w="261" w:type="dxa"/>
            <w:shd w:val="clear" w:color="auto" w:fill="FFFFFF"/>
            <w:noWrap/>
            <w:vAlign w:val="bottom"/>
            <w:hideMark/>
          </w:tcPr>
          <w:p w14:paraId="4750697A"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72EB444F"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Current lease liability</w:t>
            </w:r>
          </w:p>
        </w:tc>
        <w:tc>
          <w:tcPr>
            <w:tcW w:w="3148" w:type="dxa"/>
            <w:shd w:val="clear" w:color="auto" w:fill="FFFFFF"/>
            <w:vAlign w:val="center"/>
            <w:hideMark/>
          </w:tcPr>
          <w:p w14:paraId="46A8867B"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4A3BF938" w14:textId="77777777" w:rsidR="00FD6E41" w:rsidRPr="00103D56" w:rsidRDefault="00CE3B2F" w:rsidP="00F72676">
            <w:pPr>
              <w:ind w:left="-45" w:right="27" w:firstLine="45"/>
              <w:jc w:val="right"/>
              <w:rPr>
                <w:rFonts w:ascii="Calibri" w:eastAsia="Calibri" w:hAnsi="Calibri" w:cs="Calibri"/>
                <w:b/>
                <w:sz w:val="22"/>
                <w:szCs w:val="22"/>
                <w:lang w:eastAsia="en-IE"/>
              </w:rPr>
            </w:pPr>
            <w:r>
              <w:rPr>
                <w:rFonts w:ascii="Calibri" w:eastAsia="Calibri" w:hAnsi="Calibri" w:cs="Calibri"/>
                <w:b/>
                <w:sz w:val="22"/>
                <w:szCs w:val="22"/>
                <w:lang w:eastAsia="en-IE"/>
              </w:rPr>
              <w:t>40.1</w:t>
            </w:r>
          </w:p>
        </w:tc>
        <w:tc>
          <w:tcPr>
            <w:tcW w:w="1134" w:type="dxa"/>
            <w:shd w:val="clear" w:color="auto" w:fill="FFFFFF"/>
            <w:vAlign w:val="center"/>
            <w:hideMark/>
          </w:tcPr>
          <w:p w14:paraId="79D4BFB1"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43.2</w:t>
            </w:r>
          </w:p>
        </w:tc>
      </w:tr>
      <w:tr w:rsidR="00FD6E41" w:rsidRPr="00135F6B" w14:paraId="606F49B1" w14:textId="77777777" w:rsidTr="005E03B5">
        <w:trPr>
          <w:trHeight w:val="249"/>
        </w:trPr>
        <w:tc>
          <w:tcPr>
            <w:tcW w:w="261" w:type="dxa"/>
            <w:shd w:val="clear" w:color="auto" w:fill="FFFFFF"/>
            <w:noWrap/>
            <w:vAlign w:val="bottom"/>
            <w:hideMark/>
          </w:tcPr>
          <w:p w14:paraId="111F0398"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6DD9A553"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Current maturities of debt</w:t>
            </w:r>
          </w:p>
        </w:tc>
        <w:tc>
          <w:tcPr>
            <w:tcW w:w="3148" w:type="dxa"/>
            <w:shd w:val="clear" w:color="auto" w:fill="FFFFFF"/>
            <w:vAlign w:val="center"/>
            <w:hideMark/>
          </w:tcPr>
          <w:p w14:paraId="51A84974" w14:textId="77777777" w:rsidR="00FD6E41" w:rsidRPr="00103D56" w:rsidRDefault="00FD6E41" w:rsidP="001C5897">
            <w:pPr>
              <w:jc w:val="right"/>
              <w:rPr>
                <w:rFonts w:ascii="Calibri" w:hAnsi="Calibri" w:cs="Calibri"/>
                <w:sz w:val="22"/>
                <w:szCs w:val="22"/>
                <w:lang w:eastAsia="en-IE"/>
              </w:rPr>
            </w:pPr>
            <w:r w:rsidRPr="00103D56">
              <w:rPr>
                <w:rFonts w:ascii="Calibri" w:hAnsi="Calibri" w:cs="Calibri"/>
                <w:b/>
                <w:bCs/>
                <w:color w:val="000000"/>
                <w:sz w:val="22"/>
                <w:szCs w:val="22"/>
                <w:lang w:eastAsia="en-IE"/>
              </w:rPr>
              <w:t>10</w:t>
            </w:r>
          </w:p>
        </w:tc>
        <w:tc>
          <w:tcPr>
            <w:tcW w:w="1134" w:type="dxa"/>
            <w:shd w:val="clear" w:color="auto" w:fill="FFFF00"/>
          </w:tcPr>
          <w:p w14:paraId="4016BAFC" w14:textId="77777777" w:rsidR="00FD6E41" w:rsidRPr="00103D56" w:rsidRDefault="00CE3B2F" w:rsidP="00F72676">
            <w:pPr>
              <w:ind w:left="-45" w:right="27" w:firstLine="45"/>
              <w:jc w:val="right"/>
              <w:rPr>
                <w:rFonts w:ascii="Calibri" w:eastAsia="Calibri" w:hAnsi="Calibri" w:cs="Calibri"/>
                <w:b/>
                <w:sz w:val="22"/>
                <w:szCs w:val="22"/>
                <w:lang w:eastAsia="en-IE"/>
              </w:rPr>
            </w:pPr>
            <w:r>
              <w:rPr>
                <w:rFonts w:ascii="Calibri" w:eastAsia="Calibri" w:hAnsi="Calibri" w:cs="Calibri"/>
                <w:b/>
                <w:sz w:val="22"/>
                <w:szCs w:val="22"/>
                <w:lang w:eastAsia="en-IE"/>
              </w:rPr>
              <w:t>69.9</w:t>
            </w:r>
          </w:p>
        </w:tc>
        <w:tc>
          <w:tcPr>
            <w:tcW w:w="1134" w:type="dxa"/>
            <w:shd w:val="clear" w:color="auto" w:fill="FFFFFF"/>
            <w:vAlign w:val="center"/>
            <w:hideMark/>
          </w:tcPr>
          <w:p w14:paraId="43103934"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1,056.7</w:t>
            </w:r>
          </w:p>
        </w:tc>
      </w:tr>
      <w:tr w:rsidR="00FD6E41" w:rsidRPr="00135F6B" w14:paraId="4E691A74" w14:textId="77777777" w:rsidTr="005E03B5">
        <w:trPr>
          <w:trHeight w:val="249"/>
        </w:trPr>
        <w:tc>
          <w:tcPr>
            <w:tcW w:w="261" w:type="dxa"/>
            <w:shd w:val="clear" w:color="auto" w:fill="FFFFFF"/>
            <w:noWrap/>
            <w:vAlign w:val="bottom"/>
            <w:hideMark/>
          </w:tcPr>
          <w:p w14:paraId="286B0848"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2D298B19"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Derivative financial instruments</w:t>
            </w:r>
          </w:p>
        </w:tc>
        <w:tc>
          <w:tcPr>
            <w:tcW w:w="3148" w:type="dxa"/>
            <w:shd w:val="clear" w:color="auto" w:fill="FFFFFF"/>
            <w:vAlign w:val="center"/>
            <w:hideMark/>
          </w:tcPr>
          <w:p w14:paraId="2DCA08DD" w14:textId="77777777" w:rsidR="00FD6E41" w:rsidRPr="00103D56" w:rsidRDefault="00FD6E41" w:rsidP="001C5897">
            <w:pPr>
              <w:jc w:val="right"/>
              <w:rPr>
                <w:rFonts w:ascii="Calibri" w:hAnsi="Calibri" w:cs="Calibri"/>
                <w:b/>
                <w:bCs/>
                <w:color w:val="000000"/>
                <w:sz w:val="22"/>
                <w:szCs w:val="22"/>
                <w:lang w:eastAsia="en-IE"/>
              </w:rPr>
            </w:pPr>
            <w:r w:rsidRPr="00103D56">
              <w:rPr>
                <w:rFonts w:ascii="Calibri" w:hAnsi="Calibri" w:cs="Calibri"/>
                <w:b/>
                <w:bCs/>
                <w:color w:val="000000"/>
                <w:sz w:val="22"/>
                <w:szCs w:val="22"/>
                <w:lang w:eastAsia="en-IE"/>
              </w:rPr>
              <w:t>10</w:t>
            </w:r>
          </w:p>
        </w:tc>
        <w:tc>
          <w:tcPr>
            <w:tcW w:w="1134" w:type="dxa"/>
            <w:shd w:val="clear" w:color="auto" w:fill="FFFF00"/>
          </w:tcPr>
          <w:p w14:paraId="3AC2C467" w14:textId="77777777" w:rsidR="00FD6E41" w:rsidRPr="00103D56" w:rsidRDefault="00CE3B2F" w:rsidP="00F72676">
            <w:pPr>
              <w:ind w:left="-45" w:right="27" w:firstLine="45"/>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167.8</w:t>
            </w:r>
          </w:p>
        </w:tc>
        <w:tc>
          <w:tcPr>
            <w:tcW w:w="1134" w:type="dxa"/>
            <w:shd w:val="clear" w:color="auto" w:fill="FFFFFF"/>
            <w:vAlign w:val="center"/>
            <w:hideMark/>
          </w:tcPr>
          <w:p w14:paraId="5CF56D25"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386.6</w:t>
            </w:r>
          </w:p>
        </w:tc>
      </w:tr>
      <w:tr w:rsidR="00FD6E41" w:rsidRPr="00135F6B" w14:paraId="6649D376" w14:textId="77777777" w:rsidTr="005E03B5">
        <w:trPr>
          <w:trHeight w:val="249"/>
        </w:trPr>
        <w:tc>
          <w:tcPr>
            <w:tcW w:w="261" w:type="dxa"/>
            <w:shd w:val="clear" w:color="auto" w:fill="FFFFFF"/>
            <w:noWrap/>
            <w:vAlign w:val="bottom"/>
            <w:hideMark/>
          </w:tcPr>
          <w:p w14:paraId="3128B134" w14:textId="77777777" w:rsidR="00FD6E41" w:rsidRPr="00E94038"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0122E24C"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Current tax</w:t>
            </w:r>
          </w:p>
        </w:tc>
        <w:tc>
          <w:tcPr>
            <w:tcW w:w="3148" w:type="dxa"/>
            <w:shd w:val="clear" w:color="auto" w:fill="FFFFFF"/>
            <w:vAlign w:val="center"/>
            <w:hideMark/>
          </w:tcPr>
          <w:p w14:paraId="32503F3F"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4B973239" w14:textId="77777777" w:rsidR="00FD6E41" w:rsidRPr="00AF77E1" w:rsidRDefault="00250FAA" w:rsidP="00F72676">
            <w:pPr>
              <w:ind w:left="-45" w:right="27" w:firstLine="45"/>
              <w:jc w:val="right"/>
              <w:rPr>
                <w:rFonts w:ascii="Calibri" w:eastAsia="Calibri" w:hAnsi="Calibri" w:cs="Calibri"/>
                <w:b/>
                <w:sz w:val="22"/>
                <w:szCs w:val="22"/>
                <w:lang w:eastAsia="en-IE"/>
              </w:rPr>
            </w:pPr>
            <w:r>
              <w:rPr>
                <w:rFonts w:ascii="Calibri" w:eastAsia="Calibri" w:hAnsi="Calibri" w:cs="Calibri"/>
                <w:b/>
                <w:sz w:val="22"/>
                <w:szCs w:val="22"/>
                <w:lang w:eastAsia="en-IE"/>
              </w:rPr>
              <w:t>63.7</w:t>
            </w:r>
          </w:p>
        </w:tc>
        <w:tc>
          <w:tcPr>
            <w:tcW w:w="1134" w:type="dxa"/>
            <w:shd w:val="clear" w:color="auto" w:fill="FFFFFF"/>
            <w:vAlign w:val="center"/>
            <w:hideMark/>
          </w:tcPr>
          <w:p w14:paraId="026E8DFD"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66.3</w:t>
            </w:r>
          </w:p>
        </w:tc>
      </w:tr>
      <w:tr w:rsidR="00FD6E41" w:rsidRPr="00135F6B" w14:paraId="1F61682C" w14:textId="77777777" w:rsidTr="005E03B5">
        <w:trPr>
          <w:trHeight w:val="249"/>
        </w:trPr>
        <w:tc>
          <w:tcPr>
            <w:tcW w:w="261" w:type="dxa"/>
            <w:shd w:val="clear" w:color="auto" w:fill="FFFFFF"/>
            <w:noWrap/>
            <w:vAlign w:val="bottom"/>
            <w:hideMark/>
          </w:tcPr>
          <w:p w14:paraId="39424AAF"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3F37ECDF"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Total current liabilities</w:t>
            </w:r>
          </w:p>
        </w:tc>
        <w:tc>
          <w:tcPr>
            <w:tcW w:w="3148" w:type="dxa"/>
            <w:shd w:val="clear" w:color="auto" w:fill="FFFFFF"/>
            <w:vAlign w:val="center"/>
            <w:hideMark/>
          </w:tcPr>
          <w:p w14:paraId="5F8703EC" w14:textId="77777777" w:rsidR="00FD6E41" w:rsidRPr="00103D56" w:rsidRDefault="00FD6E41" w:rsidP="001C5897">
            <w:pPr>
              <w:rPr>
                <w:rFonts w:ascii="Calibri" w:hAnsi="Calibri" w:cs="Calibri"/>
                <w:b/>
                <w:bCs/>
                <w:sz w:val="22"/>
                <w:szCs w:val="22"/>
                <w:lang w:eastAsia="en-IE"/>
              </w:rPr>
            </w:pPr>
          </w:p>
        </w:tc>
        <w:tc>
          <w:tcPr>
            <w:tcW w:w="1134" w:type="dxa"/>
            <w:tcBorders>
              <w:top w:val="single" w:sz="8" w:space="0" w:color="auto"/>
              <w:left w:val="nil"/>
              <w:bottom w:val="single" w:sz="8" w:space="0" w:color="auto"/>
              <w:right w:val="nil"/>
            </w:tcBorders>
            <w:shd w:val="clear" w:color="auto" w:fill="FFFF00"/>
          </w:tcPr>
          <w:p w14:paraId="59AE5790" w14:textId="77777777" w:rsidR="00FD6E41" w:rsidRPr="00AF77E1" w:rsidRDefault="00CE3B2F" w:rsidP="00F72676">
            <w:pPr>
              <w:ind w:left="-45" w:right="27" w:firstLine="45"/>
              <w:jc w:val="right"/>
              <w:rPr>
                <w:rFonts w:ascii="Calibri" w:hAnsi="Calibri" w:cs="Calibri"/>
                <w:b/>
                <w:bCs/>
                <w:color w:val="000000"/>
                <w:sz w:val="22"/>
                <w:szCs w:val="22"/>
                <w:lang w:eastAsia="en-IE"/>
              </w:rPr>
            </w:pPr>
            <w:r w:rsidRPr="00AF77E1">
              <w:rPr>
                <w:rFonts w:ascii="Calibri" w:hAnsi="Calibri" w:cs="Calibri"/>
                <w:b/>
                <w:bCs/>
                <w:color w:val="000000"/>
                <w:sz w:val="22"/>
                <w:szCs w:val="22"/>
                <w:lang w:eastAsia="en-IE"/>
              </w:rPr>
              <w:t>4,2</w:t>
            </w:r>
            <w:r w:rsidR="00633FF4">
              <w:rPr>
                <w:rFonts w:ascii="Calibri" w:hAnsi="Calibri" w:cs="Calibri"/>
                <w:b/>
                <w:bCs/>
                <w:color w:val="000000"/>
                <w:sz w:val="22"/>
                <w:szCs w:val="22"/>
                <w:lang w:eastAsia="en-IE"/>
              </w:rPr>
              <w:t>85</w:t>
            </w:r>
            <w:r w:rsidR="00250FAA">
              <w:rPr>
                <w:rFonts w:ascii="Calibri" w:hAnsi="Calibri" w:cs="Calibri"/>
                <w:b/>
                <w:bCs/>
                <w:color w:val="000000"/>
                <w:sz w:val="22"/>
                <w:szCs w:val="22"/>
                <w:lang w:eastAsia="en-IE"/>
              </w:rPr>
              <w:t>.</w:t>
            </w:r>
            <w:r w:rsidR="00633FF4">
              <w:rPr>
                <w:rFonts w:ascii="Calibri" w:hAnsi="Calibri" w:cs="Calibri"/>
                <w:b/>
                <w:bCs/>
                <w:color w:val="000000"/>
                <w:sz w:val="22"/>
                <w:szCs w:val="22"/>
                <w:lang w:eastAsia="en-IE"/>
              </w:rPr>
              <w:t>6</w:t>
            </w:r>
          </w:p>
        </w:tc>
        <w:tc>
          <w:tcPr>
            <w:tcW w:w="1134" w:type="dxa"/>
            <w:tcBorders>
              <w:top w:val="single" w:sz="8" w:space="0" w:color="auto"/>
              <w:left w:val="nil"/>
              <w:bottom w:val="single" w:sz="8" w:space="0" w:color="auto"/>
              <w:right w:val="nil"/>
            </w:tcBorders>
            <w:shd w:val="clear" w:color="auto" w:fill="FFFFFF"/>
            <w:vAlign w:val="center"/>
            <w:hideMark/>
          </w:tcPr>
          <w:p w14:paraId="10621F8F"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7,421.6</w:t>
            </w:r>
          </w:p>
        </w:tc>
      </w:tr>
      <w:tr w:rsidR="00FD6E41" w:rsidRPr="00135F6B" w14:paraId="622FA8B4" w14:textId="77777777" w:rsidTr="005E03B5">
        <w:trPr>
          <w:trHeight w:val="249"/>
        </w:trPr>
        <w:tc>
          <w:tcPr>
            <w:tcW w:w="261" w:type="dxa"/>
            <w:shd w:val="clear" w:color="auto" w:fill="FFFFFF"/>
            <w:noWrap/>
            <w:vAlign w:val="bottom"/>
            <w:hideMark/>
          </w:tcPr>
          <w:p w14:paraId="76E634CD"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78848DFC"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 </w:t>
            </w:r>
          </w:p>
        </w:tc>
        <w:tc>
          <w:tcPr>
            <w:tcW w:w="3148" w:type="dxa"/>
            <w:shd w:val="clear" w:color="auto" w:fill="FFFFFF"/>
            <w:vAlign w:val="center"/>
            <w:hideMark/>
          </w:tcPr>
          <w:p w14:paraId="104803F2" w14:textId="77777777" w:rsidR="00FD6E41" w:rsidRPr="00103D56" w:rsidRDefault="00FD6E41" w:rsidP="001C5897">
            <w:pPr>
              <w:rPr>
                <w:rFonts w:ascii="Calibri" w:hAnsi="Calibri" w:cs="Calibri"/>
                <w:b/>
                <w:bCs/>
                <w:sz w:val="22"/>
                <w:szCs w:val="22"/>
                <w:lang w:eastAsia="en-IE"/>
              </w:rPr>
            </w:pPr>
          </w:p>
        </w:tc>
        <w:tc>
          <w:tcPr>
            <w:tcW w:w="1134" w:type="dxa"/>
            <w:shd w:val="clear" w:color="auto" w:fill="FFFF00"/>
          </w:tcPr>
          <w:p w14:paraId="35CC1715" w14:textId="77777777" w:rsidR="00FD6E41" w:rsidRPr="00AF77E1" w:rsidRDefault="00FD6E41" w:rsidP="00F72676">
            <w:pPr>
              <w:ind w:left="-45" w:right="27" w:firstLine="45"/>
              <w:jc w:val="right"/>
              <w:rPr>
                <w:rFonts w:ascii="Calibri" w:eastAsia="Calibri" w:hAnsi="Calibri" w:cs="Calibri"/>
                <w:b/>
                <w:sz w:val="22"/>
                <w:szCs w:val="22"/>
                <w:lang w:eastAsia="en-IE"/>
              </w:rPr>
            </w:pPr>
          </w:p>
        </w:tc>
        <w:tc>
          <w:tcPr>
            <w:tcW w:w="1134" w:type="dxa"/>
            <w:shd w:val="clear" w:color="auto" w:fill="FFFFFF"/>
            <w:vAlign w:val="center"/>
            <w:hideMark/>
          </w:tcPr>
          <w:p w14:paraId="719E54FF" w14:textId="77777777" w:rsidR="00FD6E41" w:rsidRPr="00103D56" w:rsidRDefault="00FD6E41" w:rsidP="00F72676">
            <w:pPr>
              <w:ind w:right="33"/>
              <w:rPr>
                <w:rFonts w:ascii="Calibri" w:eastAsia="Calibri" w:hAnsi="Calibri" w:cs="Calibri"/>
                <w:sz w:val="22"/>
                <w:szCs w:val="22"/>
                <w:lang w:eastAsia="en-IE"/>
              </w:rPr>
            </w:pPr>
          </w:p>
        </w:tc>
      </w:tr>
      <w:tr w:rsidR="00FD6E41" w:rsidRPr="00135F6B" w14:paraId="5ECC5482" w14:textId="77777777" w:rsidTr="005E03B5">
        <w:trPr>
          <w:trHeight w:val="249"/>
        </w:trPr>
        <w:tc>
          <w:tcPr>
            <w:tcW w:w="261" w:type="dxa"/>
            <w:shd w:val="clear" w:color="auto" w:fill="FFFFFF"/>
            <w:noWrap/>
            <w:vAlign w:val="bottom"/>
            <w:hideMark/>
          </w:tcPr>
          <w:p w14:paraId="5967FB26"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051AC104"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Non-current liabilities</w:t>
            </w:r>
          </w:p>
        </w:tc>
        <w:tc>
          <w:tcPr>
            <w:tcW w:w="3148" w:type="dxa"/>
            <w:shd w:val="clear" w:color="auto" w:fill="FFFFFF"/>
            <w:vAlign w:val="center"/>
            <w:hideMark/>
          </w:tcPr>
          <w:p w14:paraId="6E6B729E" w14:textId="77777777" w:rsidR="00FD6E41" w:rsidRPr="00103D56" w:rsidRDefault="00FD6E41" w:rsidP="001C5897">
            <w:pPr>
              <w:rPr>
                <w:rFonts w:ascii="Calibri" w:hAnsi="Calibri" w:cs="Calibri"/>
                <w:b/>
                <w:bCs/>
                <w:sz w:val="22"/>
                <w:szCs w:val="22"/>
                <w:lang w:eastAsia="en-IE"/>
              </w:rPr>
            </w:pPr>
          </w:p>
        </w:tc>
        <w:tc>
          <w:tcPr>
            <w:tcW w:w="1134" w:type="dxa"/>
            <w:shd w:val="clear" w:color="auto" w:fill="FFFF00"/>
          </w:tcPr>
          <w:p w14:paraId="2B191222" w14:textId="77777777" w:rsidR="00FD6E41" w:rsidRPr="00AF77E1" w:rsidRDefault="00FD6E41" w:rsidP="00F72676">
            <w:pPr>
              <w:ind w:left="-45" w:right="27" w:firstLine="45"/>
              <w:jc w:val="right"/>
              <w:rPr>
                <w:rFonts w:ascii="Calibri" w:eastAsia="Calibri" w:hAnsi="Calibri" w:cs="Calibri"/>
                <w:b/>
                <w:sz w:val="22"/>
                <w:szCs w:val="22"/>
                <w:lang w:eastAsia="en-IE"/>
              </w:rPr>
            </w:pPr>
          </w:p>
        </w:tc>
        <w:tc>
          <w:tcPr>
            <w:tcW w:w="1134" w:type="dxa"/>
            <w:shd w:val="clear" w:color="auto" w:fill="FFFFFF"/>
            <w:vAlign w:val="center"/>
            <w:hideMark/>
          </w:tcPr>
          <w:p w14:paraId="7BD96A34" w14:textId="77777777" w:rsidR="00FD6E41" w:rsidRPr="00103D56" w:rsidRDefault="00FD6E41" w:rsidP="00F72676">
            <w:pPr>
              <w:ind w:right="33"/>
              <w:rPr>
                <w:rFonts w:ascii="Calibri" w:eastAsia="Calibri" w:hAnsi="Calibri" w:cs="Calibri"/>
                <w:sz w:val="22"/>
                <w:szCs w:val="22"/>
                <w:lang w:eastAsia="en-IE"/>
              </w:rPr>
            </w:pPr>
          </w:p>
        </w:tc>
      </w:tr>
      <w:tr w:rsidR="00FD6E41" w:rsidRPr="00135F6B" w14:paraId="43B4E4B2" w14:textId="77777777" w:rsidTr="005E03B5">
        <w:trPr>
          <w:trHeight w:val="249"/>
        </w:trPr>
        <w:tc>
          <w:tcPr>
            <w:tcW w:w="261" w:type="dxa"/>
            <w:shd w:val="clear" w:color="auto" w:fill="FFFFFF"/>
            <w:noWrap/>
            <w:vAlign w:val="bottom"/>
            <w:hideMark/>
          </w:tcPr>
          <w:p w14:paraId="5FD2F6BC"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3B507FA3"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Provisions</w:t>
            </w:r>
          </w:p>
        </w:tc>
        <w:tc>
          <w:tcPr>
            <w:tcW w:w="3148" w:type="dxa"/>
            <w:shd w:val="clear" w:color="auto" w:fill="FFFFFF"/>
            <w:vAlign w:val="center"/>
            <w:hideMark/>
          </w:tcPr>
          <w:p w14:paraId="1A3D54ED"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3DEFD13A" w14:textId="77777777" w:rsidR="00FD6E41" w:rsidRPr="00AF77E1" w:rsidRDefault="00CE3B2F" w:rsidP="00F72676">
            <w:pPr>
              <w:ind w:left="-45" w:right="27" w:firstLine="45"/>
              <w:jc w:val="right"/>
              <w:rPr>
                <w:rFonts w:ascii="Calibri" w:eastAsia="Calibri" w:hAnsi="Calibri" w:cs="Calibri"/>
                <w:b/>
                <w:sz w:val="22"/>
                <w:szCs w:val="22"/>
                <w:lang w:eastAsia="en-IE"/>
              </w:rPr>
            </w:pPr>
            <w:r w:rsidRPr="00AF77E1">
              <w:rPr>
                <w:rFonts w:ascii="Calibri" w:eastAsia="Calibri" w:hAnsi="Calibri" w:cs="Calibri"/>
                <w:b/>
                <w:sz w:val="22"/>
                <w:szCs w:val="22"/>
                <w:lang w:eastAsia="en-IE"/>
              </w:rPr>
              <w:t>181.6</w:t>
            </w:r>
          </w:p>
        </w:tc>
        <w:tc>
          <w:tcPr>
            <w:tcW w:w="1134" w:type="dxa"/>
            <w:shd w:val="clear" w:color="auto" w:fill="FFFFFF"/>
            <w:vAlign w:val="center"/>
            <w:hideMark/>
          </w:tcPr>
          <w:p w14:paraId="343A82B3"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154.5</w:t>
            </w:r>
          </w:p>
        </w:tc>
      </w:tr>
      <w:tr w:rsidR="00FD6E41" w:rsidRPr="00135F6B" w14:paraId="2C0E2F73" w14:textId="77777777" w:rsidTr="005E03B5">
        <w:trPr>
          <w:trHeight w:val="249"/>
        </w:trPr>
        <w:tc>
          <w:tcPr>
            <w:tcW w:w="261" w:type="dxa"/>
            <w:shd w:val="clear" w:color="auto" w:fill="FFFFFF"/>
            <w:noWrap/>
            <w:vAlign w:val="bottom"/>
            <w:hideMark/>
          </w:tcPr>
          <w:p w14:paraId="0DB64813"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24F7B85A"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 xml:space="preserve">Derivative financial instruments </w:t>
            </w:r>
          </w:p>
        </w:tc>
        <w:tc>
          <w:tcPr>
            <w:tcW w:w="3148" w:type="dxa"/>
            <w:shd w:val="clear" w:color="auto" w:fill="FFFFFF"/>
            <w:vAlign w:val="center"/>
            <w:hideMark/>
          </w:tcPr>
          <w:p w14:paraId="4E68180E" w14:textId="77777777" w:rsidR="00FD6E41" w:rsidRPr="00103D56" w:rsidRDefault="00FD6E41" w:rsidP="001C5897">
            <w:pPr>
              <w:jc w:val="right"/>
              <w:rPr>
                <w:rFonts w:ascii="Calibri" w:hAnsi="Calibri" w:cs="Calibri"/>
                <w:b/>
                <w:bCs/>
                <w:color w:val="000000"/>
                <w:sz w:val="22"/>
                <w:szCs w:val="22"/>
                <w:lang w:eastAsia="en-IE"/>
              </w:rPr>
            </w:pPr>
            <w:r w:rsidRPr="00103D56">
              <w:rPr>
                <w:rFonts w:ascii="Calibri" w:hAnsi="Calibri" w:cs="Calibri"/>
                <w:b/>
                <w:bCs/>
                <w:color w:val="000000"/>
                <w:sz w:val="22"/>
                <w:szCs w:val="22"/>
                <w:lang w:eastAsia="en-IE"/>
              </w:rPr>
              <w:t>10</w:t>
            </w:r>
          </w:p>
        </w:tc>
        <w:tc>
          <w:tcPr>
            <w:tcW w:w="1134" w:type="dxa"/>
            <w:shd w:val="clear" w:color="auto" w:fill="FFFF00"/>
          </w:tcPr>
          <w:p w14:paraId="0A6FB63E" w14:textId="77777777" w:rsidR="00FD6E41" w:rsidRPr="00AF77E1" w:rsidRDefault="00CE3B2F" w:rsidP="00F72676">
            <w:pPr>
              <w:ind w:left="-45" w:right="27" w:firstLine="45"/>
              <w:jc w:val="right"/>
              <w:rPr>
                <w:rFonts w:ascii="Calibri" w:hAnsi="Calibri" w:cs="Calibri"/>
                <w:b/>
                <w:bCs/>
                <w:color w:val="000000"/>
                <w:sz w:val="22"/>
                <w:szCs w:val="22"/>
                <w:lang w:eastAsia="en-IE"/>
              </w:rPr>
            </w:pPr>
            <w:r w:rsidRPr="00AF77E1">
              <w:rPr>
                <w:rFonts w:ascii="Calibri" w:hAnsi="Calibri" w:cs="Calibri"/>
                <w:b/>
                <w:bCs/>
                <w:color w:val="000000"/>
                <w:sz w:val="22"/>
                <w:szCs w:val="22"/>
                <w:lang w:eastAsia="en-IE"/>
              </w:rPr>
              <w:t>48.8</w:t>
            </w:r>
          </w:p>
        </w:tc>
        <w:tc>
          <w:tcPr>
            <w:tcW w:w="1134" w:type="dxa"/>
            <w:shd w:val="clear" w:color="auto" w:fill="FFFFFF"/>
            <w:vAlign w:val="center"/>
            <w:hideMark/>
          </w:tcPr>
          <w:p w14:paraId="7AAF243D"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11.2</w:t>
            </w:r>
          </w:p>
        </w:tc>
      </w:tr>
      <w:tr w:rsidR="00FD6E41" w:rsidRPr="00135F6B" w14:paraId="34ADC6F3" w14:textId="77777777" w:rsidTr="005E03B5">
        <w:trPr>
          <w:trHeight w:val="249"/>
        </w:trPr>
        <w:tc>
          <w:tcPr>
            <w:tcW w:w="261" w:type="dxa"/>
            <w:shd w:val="clear" w:color="auto" w:fill="FFFFFF"/>
            <w:noWrap/>
            <w:vAlign w:val="bottom"/>
            <w:hideMark/>
          </w:tcPr>
          <w:p w14:paraId="373F08D9" w14:textId="77777777" w:rsidR="00FD6E41" w:rsidRPr="00B06BAB" w:rsidRDefault="00FD6E41" w:rsidP="001C5897">
            <w:pPr>
              <w:rPr>
                <w:rFonts w:ascii="Calibri" w:hAnsi="Calibri" w:cs="Calibri"/>
                <w:color w:val="000000"/>
                <w:sz w:val="20"/>
                <w:szCs w:val="20"/>
                <w:highlight w:val="yellow"/>
                <w:lang w:eastAsia="en-IE"/>
              </w:rPr>
            </w:pPr>
          </w:p>
        </w:tc>
        <w:tc>
          <w:tcPr>
            <w:tcW w:w="5414" w:type="dxa"/>
            <w:shd w:val="clear" w:color="auto" w:fill="FFFFFF"/>
            <w:vAlign w:val="center"/>
            <w:hideMark/>
          </w:tcPr>
          <w:p w14:paraId="08433DE8"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Deferred tax</w:t>
            </w:r>
          </w:p>
        </w:tc>
        <w:tc>
          <w:tcPr>
            <w:tcW w:w="3148" w:type="dxa"/>
            <w:shd w:val="clear" w:color="auto" w:fill="FFFFFF"/>
            <w:vAlign w:val="center"/>
            <w:hideMark/>
          </w:tcPr>
          <w:p w14:paraId="16AAB54A"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2DF9A0B7" w14:textId="77777777" w:rsidR="00FD6E41" w:rsidRPr="00AF77E1" w:rsidRDefault="00CE3B2F" w:rsidP="00F72676">
            <w:pPr>
              <w:ind w:left="-45" w:right="27" w:firstLine="45"/>
              <w:jc w:val="right"/>
              <w:rPr>
                <w:rFonts w:ascii="Calibri" w:eastAsia="Calibri" w:hAnsi="Calibri" w:cs="Calibri"/>
                <w:b/>
                <w:sz w:val="22"/>
                <w:szCs w:val="22"/>
                <w:lang w:eastAsia="en-IE"/>
              </w:rPr>
            </w:pPr>
            <w:r w:rsidRPr="00AF77E1">
              <w:rPr>
                <w:rFonts w:ascii="Calibri" w:eastAsia="Calibri" w:hAnsi="Calibri" w:cs="Calibri"/>
                <w:b/>
                <w:sz w:val="22"/>
                <w:szCs w:val="22"/>
                <w:lang w:eastAsia="en-IE"/>
              </w:rPr>
              <w:t>4</w:t>
            </w:r>
            <w:r w:rsidR="00250FAA">
              <w:rPr>
                <w:rFonts w:ascii="Calibri" w:eastAsia="Calibri" w:hAnsi="Calibri" w:cs="Calibri"/>
                <w:b/>
                <w:sz w:val="22"/>
                <w:szCs w:val="22"/>
                <w:lang w:eastAsia="en-IE"/>
              </w:rPr>
              <w:t>05</w:t>
            </w:r>
            <w:r w:rsidRPr="00AF77E1">
              <w:rPr>
                <w:rFonts w:ascii="Calibri" w:eastAsia="Calibri" w:hAnsi="Calibri" w:cs="Calibri"/>
                <w:b/>
                <w:sz w:val="22"/>
                <w:szCs w:val="22"/>
                <w:lang w:eastAsia="en-IE"/>
              </w:rPr>
              <w:t>.</w:t>
            </w:r>
            <w:r w:rsidR="00250FAA">
              <w:rPr>
                <w:rFonts w:ascii="Calibri" w:eastAsia="Calibri" w:hAnsi="Calibri" w:cs="Calibri"/>
                <w:b/>
                <w:sz w:val="22"/>
                <w:szCs w:val="22"/>
                <w:lang w:eastAsia="en-IE"/>
              </w:rPr>
              <w:t>4</w:t>
            </w:r>
          </w:p>
        </w:tc>
        <w:tc>
          <w:tcPr>
            <w:tcW w:w="1134" w:type="dxa"/>
            <w:shd w:val="clear" w:color="auto" w:fill="FFFFFF"/>
            <w:vAlign w:val="center"/>
            <w:hideMark/>
          </w:tcPr>
          <w:p w14:paraId="5C97553C"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159.3</w:t>
            </w:r>
          </w:p>
        </w:tc>
      </w:tr>
      <w:tr w:rsidR="00FD6E41" w:rsidRPr="00135F6B" w14:paraId="1BF8DDAB" w14:textId="77777777" w:rsidTr="005E03B5">
        <w:trPr>
          <w:trHeight w:val="249"/>
        </w:trPr>
        <w:tc>
          <w:tcPr>
            <w:tcW w:w="261" w:type="dxa"/>
            <w:shd w:val="clear" w:color="auto" w:fill="FFFFFF"/>
            <w:noWrap/>
            <w:vAlign w:val="bottom"/>
            <w:hideMark/>
          </w:tcPr>
          <w:p w14:paraId="09B61E30"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2AB0DCF9"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Non-current lease liability</w:t>
            </w:r>
          </w:p>
        </w:tc>
        <w:tc>
          <w:tcPr>
            <w:tcW w:w="3148" w:type="dxa"/>
            <w:shd w:val="clear" w:color="auto" w:fill="FFFFFF"/>
            <w:vAlign w:val="center"/>
            <w:hideMark/>
          </w:tcPr>
          <w:p w14:paraId="5E1A0583" w14:textId="77777777" w:rsidR="00FD6E41" w:rsidRPr="00103D56" w:rsidRDefault="00FD6E41" w:rsidP="001C5897">
            <w:pPr>
              <w:rPr>
                <w:rFonts w:ascii="Calibri" w:hAnsi="Calibri" w:cs="Calibri"/>
                <w:sz w:val="22"/>
                <w:szCs w:val="22"/>
                <w:lang w:eastAsia="en-IE"/>
              </w:rPr>
            </w:pPr>
          </w:p>
        </w:tc>
        <w:tc>
          <w:tcPr>
            <w:tcW w:w="1134" w:type="dxa"/>
            <w:shd w:val="clear" w:color="auto" w:fill="FFFF00"/>
          </w:tcPr>
          <w:p w14:paraId="27525041" w14:textId="77777777" w:rsidR="00FD6E41" w:rsidRPr="00AF77E1" w:rsidRDefault="00CE3B2F" w:rsidP="00F72676">
            <w:pPr>
              <w:ind w:left="-45" w:right="27" w:firstLine="45"/>
              <w:jc w:val="right"/>
              <w:rPr>
                <w:rFonts w:ascii="Calibri" w:eastAsia="Calibri" w:hAnsi="Calibri" w:cs="Calibri"/>
                <w:b/>
                <w:sz w:val="22"/>
                <w:szCs w:val="22"/>
                <w:lang w:eastAsia="en-IE"/>
              </w:rPr>
            </w:pPr>
            <w:r w:rsidRPr="00AF77E1">
              <w:rPr>
                <w:rFonts w:ascii="Calibri" w:eastAsia="Calibri" w:hAnsi="Calibri" w:cs="Calibri"/>
                <w:b/>
                <w:sz w:val="22"/>
                <w:szCs w:val="22"/>
                <w:lang w:eastAsia="en-IE"/>
              </w:rPr>
              <w:t>130.8</w:t>
            </w:r>
          </w:p>
        </w:tc>
        <w:tc>
          <w:tcPr>
            <w:tcW w:w="1134" w:type="dxa"/>
            <w:shd w:val="clear" w:color="auto" w:fill="FFFFFF"/>
            <w:vAlign w:val="center"/>
            <w:hideMark/>
          </w:tcPr>
          <w:p w14:paraId="1BDD830A"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163.1</w:t>
            </w:r>
          </w:p>
        </w:tc>
      </w:tr>
      <w:tr w:rsidR="00FD6E41" w:rsidRPr="00135F6B" w14:paraId="5809844C" w14:textId="77777777" w:rsidTr="005E03B5">
        <w:trPr>
          <w:trHeight w:val="249"/>
        </w:trPr>
        <w:tc>
          <w:tcPr>
            <w:tcW w:w="261" w:type="dxa"/>
            <w:shd w:val="clear" w:color="auto" w:fill="FFFFFF"/>
            <w:noWrap/>
            <w:vAlign w:val="bottom"/>
            <w:hideMark/>
          </w:tcPr>
          <w:p w14:paraId="355CA417"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3E0FDE52"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Non-current maturities of debt</w:t>
            </w:r>
          </w:p>
        </w:tc>
        <w:tc>
          <w:tcPr>
            <w:tcW w:w="3148" w:type="dxa"/>
            <w:shd w:val="clear" w:color="auto" w:fill="FFFFFF"/>
            <w:vAlign w:val="center"/>
            <w:hideMark/>
          </w:tcPr>
          <w:p w14:paraId="01D0D313" w14:textId="77777777" w:rsidR="00FD6E41" w:rsidRPr="00103D56" w:rsidRDefault="00FD6E41" w:rsidP="001C5897">
            <w:pPr>
              <w:jc w:val="right"/>
              <w:rPr>
                <w:rFonts w:ascii="Calibri" w:hAnsi="Calibri" w:cs="Calibri"/>
                <w:b/>
                <w:bCs/>
                <w:sz w:val="22"/>
                <w:szCs w:val="22"/>
                <w:lang w:eastAsia="en-IE"/>
              </w:rPr>
            </w:pPr>
            <w:r w:rsidRPr="00103D56">
              <w:rPr>
                <w:rFonts w:ascii="Calibri" w:hAnsi="Calibri" w:cs="Calibri"/>
                <w:b/>
                <w:bCs/>
                <w:color w:val="000000"/>
                <w:sz w:val="22"/>
                <w:szCs w:val="22"/>
                <w:lang w:eastAsia="en-IE"/>
              </w:rPr>
              <w:t>10</w:t>
            </w:r>
          </w:p>
        </w:tc>
        <w:tc>
          <w:tcPr>
            <w:tcW w:w="1134" w:type="dxa"/>
            <w:tcBorders>
              <w:top w:val="nil"/>
              <w:left w:val="nil"/>
              <w:bottom w:val="single" w:sz="8" w:space="0" w:color="auto"/>
              <w:right w:val="nil"/>
            </w:tcBorders>
            <w:shd w:val="clear" w:color="auto" w:fill="FFFF00"/>
          </w:tcPr>
          <w:p w14:paraId="433E26DD" w14:textId="77777777" w:rsidR="00FD6E41" w:rsidRPr="00AF77E1" w:rsidRDefault="00CE3B2F" w:rsidP="00F72676">
            <w:pPr>
              <w:ind w:left="-45" w:right="27" w:firstLine="45"/>
              <w:jc w:val="right"/>
              <w:rPr>
                <w:rFonts w:ascii="Calibri" w:eastAsia="Calibri" w:hAnsi="Calibri" w:cs="Calibri"/>
                <w:b/>
                <w:sz w:val="22"/>
                <w:szCs w:val="22"/>
                <w:lang w:eastAsia="en-IE"/>
              </w:rPr>
            </w:pPr>
            <w:r w:rsidRPr="00AF77E1">
              <w:rPr>
                <w:rFonts w:ascii="Calibri" w:eastAsia="Calibri" w:hAnsi="Calibri" w:cs="Calibri"/>
                <w:b/>
                <w:sz w:val="22"/>
                <w:szCs w:val="22"/>
                <w:lang w:eastAsia="en-IE"/>
              </w:rPr>
              <w:t>2,532.0</w:t>
            </w:r>
          </w:p>
        </w:tc>
        <w:tc>
          <w:tcPr>
            <w:tcW w:w="1134" w:type="dxa"/>
            <w:tcBorders>
              <w:top w:val="nil"/>
              <w:left w:val="nil"/>
              <w:bottom w:val="single" w:sz="8" w:space="0" w:color="auto"/>
              <w:right w:val="nil"/>
            </w:tcBorders>
            <w:shd w:val="clear" w:color="auto" w:fill="FFFFFF"/>
            <w:vAlign w:val="center"/>
            <w:hideMark/>
          </w:tcPr>
          <w:p w14:paraId="4265D783"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2,853.2</w:t>
            </w:r>
          </w:p>
        </w:tc>
      </w:tr>
      <w:tr w:rsidR="00FD6E41" w:rsidRPr="00135F6B" w14:paraId="3953DE9E" w14:textId="77777777" w:rsidTr="005E03B5">
        <w:trPr>
          <w:trHeight w:val="249"/>
        </w:trPr>
        <w:tc>
          <w:tcPr>
            <w:tcW w:w="261" w:type="dxa"/>
            <w:shd w:val="clear" w:color="auto" w:fill="FFFFFF"/>
            <w:noWrap/>
            <w:vAlign w:val="bottom"/>
            <w:hideMark/>
          </w:tcPr>
          <w:p w14:paraId="00252AEF"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2CECC5B4"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Total non-current liabilities</w:t>
            </w:r>
          </w:p>
        </w:tc>
        <w:tc>
          <w:tcPr>
            <w:tcW w:w="3148" w:type="dxa"/>
            <w:shd w:val="clear" w:color="auto" w:fill="FFFFFF"/>
            <w:vAlign w:val="center"/>
            <w:hideMark/>
          </w:tcPr>
          <w:p w14:paraId="12694AAF" w14:textId="77777777" w:rsidR="00FD6E41" w:rsidRPr="001F1BE1" w:rsidRDefault="00FD6E41" w:rsidP="001C5897">
            <w:pPr>
              <w:rPr>
                <w:rFonts w:ascii="Calibri" w:hAnsi="Calibri" w:cs="Calibri"/>
                <w:b/>
                <w:bCs/>
                <w:sz w:val="21"/>
                <w:szCs w:val="21"/>
                <w:lang w:eastAsia="en-IE"/>
              </w:rPr>
            </w:pPr>
          </w:p>
        </w:tc>
        <w:tc>
          <w:tcPr>
            <w:tcW w:w="1134" w:type="dxa"/>
            <w:tcBorders>
              <w:top w:val="nil"/>
              <w:left w:val="nil"/>
              <w:bottom w:val="single" w:sz="8" w:space="0" w:color="auto"/>
              <w:right w:val="nil"/>
            </w:tcBorders>
            <w:shd w:val="clear" w:color="auto" w:fill="FFFF00"/>
          </w:tcPr>
          <w:p w14:paraId="6C62D797" w14:textId="77777777" w:rsidR="00FD6E41" w:rsidRPr="00AF77E1" w:rsidRDefault="00CE3B2F" w:rsidP="00F72676">
            <w:pPr>
              <w:ind w:left="-45" w:right="27" w:firstLine="45"/>
              <w:jc w:val="right"/>
              <w:rPr>
                <w:rFonts w:ascii="Calibri" w:hAnsi="Calibri" w:cs="Calibri"/>
                <w:b/>
                <w:bCs/>
                <w:color w:val="000000"/>
                <w:sz w:val="22"/>
                <w:szCs w:val="22"/>
                <w:lang w:eastAsia="en-IE"/>
              </w:rPr>
            </w:pPr>
            <w:r w:rsidRPr="00AF77E1">
              <w:rPr>
                <w:rFonts w:ascii="Calibri" w:hAnsi="Calibri" w:cs="Calibri"/>
                <w:b/>
                <w:bCs/>
                <w:color w:val="000000"/>
                <w:sz w:val="22"/>
                <w:szCs w:val="22"/>
                <w:lang w:eastAsia="en-IE"/>
              </w:rPr>
              <w:t>3,</w:t>
            </w:r>
            <w:r w:rsidR="00250FAA">
              <w:rPr>
                <w:rFonts w:ascii="Calibri" w:hAnsi="Calibri" w:cs="Calibri"/>
                <w:b/>
                <w:bCs/>
                <w:color w:val="000000"/>
                <w:sz w:val="22"/>
                <w:szCs w:val="22"/>
                <w:lang w:eastAsia="en-IE"/>
              </w:rPr>
              <w:t>298</w:t>
            </w:r>
            <w:r w:rsidRPr="00AF77E1">
              <w:rPr>
                <w:rFonts w:ascii="Calibri" w:hAnsi="Calibri" w:cs="Calibri"/>
                <w:b/>
                <w:bCs/>
                <w:color w:val="000000"/>
                <w:sz w:val="22"/>
                <w:szCs w:val="22"/>
                <w:lang w:eastAsia="en-IE"/>
              </w:rPr>
              <w:t>.</w:t>
            </w:r>
            <w:r w:rsidR="00250FAA">
              <w:rPr>
                <w:rFonts w:ascii="Calibri" w:hAnsi="Calibri" w:cs="Calibri"/>
                <w:b/>
                <w:bCs/>
                <w:color w:val="000000"/>
                <w:sz w:val="22"/>
                <w:szCs w:val="22"/>
                <w:lang w:eastAsia="en-IE"/>
              </w:rPr>
              <w:t>6</w:t>
            </w:r>
          </w:p>
        </w:tc>
        <w:tc>
          <w:tcPr>
            <w:tcW w:w="1134" w:type="dxa"/>
            <w:tcBorders>
              <w:top w:val="nil"/>
              <w:left w:val="nil"/>
              <w:bottom w:val="single" w:sz="8" w:space="0" w:color="auto"/>
              <w:right w:val="nil"/>
            </w:tcBorders>
            <w:shd w:val="clear" w:color="auto" w:fill="FFFFFF"/>
            <w:vAlign w:val="center"/>
            <w:hideMark/>
          </w:tcPr>
          <w:p w14:paraId="26F5A8A7"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3,341.3</w:t>
            </w:r>
          </w:p>
        </w:tc>
      </w:tr>
      <w:tr w:rsidR="00FD6E41" w:rsidRPr="00135F6B" w14:paraId="5EC5488D" w14:textId="77777777" w:rsidTr="005E03B5">
        <w:trPr>
          <w:trHeight w:val="249"/>
        </w:trPr>
        <w:tc>
          <w:tcPr>
            <w:tcW w:w="261" w:type="dxa"/>
            <w:shd w:val="clear" w:color="auto" w:fill="FFFFFF"/>
            <w:noWrap/>
            <w:vAlign w:val="bottom"/>
            <w:hideMark/>
          </w:tcPr>
          <w:p w14:paraId="619025F8"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720D7B60" w14:textId="77777777" w:rsidR="00FD6E41" w:rsidRPr="00103D56" w:rsidRDefault="00FD6E41" w:rsidP="00FD6E41">
            <w:pPr>
              <w:ind w:left="60"/>
              <w:jc w:val="right"/>
              <w:rPr>
                <w:rFonts w:ascii="Calibri" w:hAnsi="Calibri" w:cs="Calibri"/>
                <w:sz w:val="22"/>
                <w:szCs w:val="22"/>
                <w:lang w:eastAsia="en-IE"/>
              </w:rPr>
            </w:pPr>
            <w:r w:rsidRPr="00103D56">
              <w:rPr>
                <w:rFonts w:ascii="Calibri" w:hAnsi="Calibri" w:cs="Calibri"/>
                <w:sz w:val="22"/>
                <w:szCs w:val="22"/>
                <w:lang w:eastAsia="en-IE"/>
              </w:rPr>
              <w:t> </w:t>
            </w:r>
          </w:p>
        </w:tc>
        <w:tc>
          <w:tcPr>
            <w:tcW w:w="3148" w:type="dxa"/>
            <w:shd w:val="clear" w:color="auto" w:fill="FFFFFF"/>
            <w:vAlign w:val="center"/>
            <w:hideMark/>
          </w:tcPr>
          <w:p w14:paraId="0A42FB61" w14:textId="77777777" w:rsidR="00FD6E41" w:rsidRPr="001F1BE1" w:rsidRDefault="00FD6E41" w:rsidP="001C5897">
            <w:pPr>
              <w:rPr>
                <w:rFonts w:ascii="Calibri" w:hAnsi="Calibri" w:cs="Calibri"/>
                <w:sz w:val="21"/>
                <w:szCs w:val="21"/>
                <w:lang w:eastAsia="en-IE"/>
              </w:rPr>
            </w:pPr>
          </w:p>
        </w:tc>
        <w:tc>
          <w:tcPr>
            <w:tcW w:w="1134" w:type="dxa"/>
            <w:shd w:val="clear" w:color="auto" w:fill="FFFF00"/>
            <w:vAlign w:val="center"/>
          </w:tcPr>
          <w:p w14:paraId="46B26220" w14:textId="77777777" w:rsidR="00FD6E41" w:rsidRPr="00AF77E1" w:rsidRDefault="00FD6E41" w:rsidP="00F72676">
            <w:pPr>
              <w:ind w:left="-45" w:right="27" w:firstLine="45"/>
              <w:jc w:val="right"/>
              <w:rPr>
                <w:rFonts w:ascii="Calibri" w:eastAsia="Calibri" w:hAnsi="Calibri" w:cs="Calibri"/>
                <w:b/>
                <w:sz w:val="22"/>
                <w:szCs w:val="22"/>
                <w:lang w:eastAsia="en-IE"/>
              </w:rPr>
            </w:pPr>
          </w:p>
        </w:tc>
        <w:tc>
          <w:tcPr>
            <w:tcW w:w="1134" w:type="dxa"/>
            <w:shd w:val="clear" w:color="auto" w:fill="FFFFFF"/>
            <w:vAlign w:val="center"/>
            <w:hideMark/>
          </w:tcPr>
          <w:p w14:paraId="446B2DB5" w14:textId="77777777" w:rsidR="00FD6E41" w:rsidRPr="00103D56" w:rsidRDefault="00FD6E41" w:rsidP="00F72676">
            <w:pPr>
              <w:ind w:right="33"/>
              <w:rPr>
                <w:rFonts w:ascii="Calibri" w:eastAsia="Calibri" w:hAnsi="Calibri" w:cs="Calibri"/>
                <w:sz w:val="22"/>
                <w:szCs w:val="22"/>
                <w:lang w:eastAsia="en-IE"/>
              </w:rPr>
            </w:pPr>
          </w:p>
        </w:tc>
      </w:tr>
      <w:tr w:rsidR="00FD6E41" w:rsidRPr="00135F6B" w14:paraId="5C4F0464" w14:textId="77777777" w:rsidTr="005E03B5">
        <w:trPr>
          <w:trHeight w:val="249"/>
        </w:trPr>
        <w:tc>
          <w:tcPr>
            <w:tcW w:w="261" w:type="dxa"/>
            <w:shd w:val="clear" w:color="auto" w:fill="FFFFFF"/>
            <w:noWrap/>
            <w:vAlign w:val="bottom"/>
            <w:hideMark/>
          </w:tcPr>
          <w:p w14:paraId="517D3438"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4B4930DE"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Shareholders' equity</w:t>
            </w:r>
          </w:p>
        </w:tc>
        <w:tc>
          <w:tcPr>
            <w:tcW w:w="3148" w:type="dxa"/>
            <w:shd w:val="clear" w:color="auto" w:fill="FFFFFF"/>
            <w:vAlign w:val="center"/>
            <w:hideMark/>
          </w:tcPr>
          <w:p w14:paraId="51E49D66" w14:textId="77777777" w:rsidR="00FD6E41" w:rsidRPr="001F1BE1" w:rsidRDefault="00FD6E41" w:rsidP="001C5897">
            <w:pPr>
              <w:rPr>
                <w:rFonts w:ascii="Calibri" w:hAnsi="Calibri" w:cs="Calibri"/>
                <w:b/>
                <w:bCs/>
                <w:sz w:val="21"/>
                <w:szCs w:val="21"/>
                <w:lang w:eastAsia="en-IE"/>
              </w:rPr>
            </w:pPr>
          </w:p>
        </w:tc>
        <w:tc>
          <w:tcPr>
            <w:tcW w:w="1134" w:type="dxa"/>
            <w:shd w:val="clear" w:color="auto" w:fill="FFFF00"/>
          </w:tcPr>
          <w:p w14:paraId="4A772959" w14:textId="77777777" w:rsidR="00FD6E41" w:rsidRPr="00AF77E1" w:rsidRDefault="00FD6E41" w:rsidP="00F72676">
            <w:pPr>
              <w:ind w:left="-45" w:right="27" w:firstLine="45"/>
              <w:jc w:val="right"/>
              <w:rPr>
                <w:rFonts w:ascii="Calibri" w:eastAsia="Calibri" w:hAnsi="Calibri" w:cs="Calibri"/>
                <w:b/>
                <w:sz w:val="22"/>
                <w:szCs w:val="22"/>
                <w:lang w:eastAsia="en-IE"/>
              </w:rPr>
            </w:pPr>
          </w:p>
        </w:tc>
        <w:tc>
          <w:tcPr>
            <w:tcW w:w="1134" w:type="dxa"/>
            <w:shd w:val="clear" w:color="auto" w:fill="FFFFFF"/>
            <w:vAlign w:val="center"/>
            <w:hideMark/>
          </w:tcPr>
          <w:p w14:paraId="587A0642" w14:textId="77777777" w:rsidR="00FD6E41" w:rsidRPr="00103D56" w:rsidRDefault="00FD6E41" w:rsidP="00F72676">
            <w:pPr>
              <w:ind w:right="33"/>
              <w:rPr>
                <w:rFonts w:ascii="Calibri" w:eastAsia="Calibri" w:hAnsi="Calibri" w:cs="Calibri"/>
                <w:sz w:val="22"/>
                <w:szCs w:val="22"/>
                <w:lang w:eastAsia="en-IE"/>
              </w:rPr>
            </w:pPr>
          </w:p>
        </w:tc>
      </w:tr>
      <w:tr w:rsidR="00FD6E41" w:rsidRPr="00135F6B" w14:paraId="114D1252" w14:textId="77777777" w:rsidTr="005E03B5">
        <w:trPr>
          <w:trHeight w:val="249"/>
        </w:trPr>
        <w:tc>
          <w:tcPr>
            <w:tcW w:w="261" w:type="dxa"/>
            <w:shd w:val="clear" w:color="auto" w:fill="FFFFFF"/>
            <w:noWrap/>
            <w:vAlign w:val="bottom"/>
            <w:hideMark/>
          </w:tcPr>
          <w:p w14:paraId="5E68582D"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640BAD1B"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Issued share capital</w:t>
            </w:r>
          </w:p>
        </w:tc>
        <w:tc>
          <w:tcPr>
            <w:tcW w:w="3148" w:type="dxa"/>
            <w:shd w:val="clear" w:color="auto" w:fill="FFFFFF"/>
            <w:vAlign w:val="center"/>
            <w:hideMark/>
          </w:tcPr>
          <w:p w14:paraId="2EFCE131" w14:textId="77777777" w:rsidR="00FD6E41" w:rsidRPr="001F1BE1" w:rsidRDefault="00FD6E41" w:rsidP="001C5897">
            <w:pPr>
              <w:jc w:val="right"/>
              <w:rPr>
                <w:rFonts w:ascii="Calibri" w:hAnsi="Calibri" w:cs="Calibri"/>
                <w:b/>
                <w:bCs/>
                <w:color w:val="000000"/>
                <w:sz w:val="21"/>
                <w:szCs w:val="21"/>
                <w:lang w:eastAsia="en-IE"/>
              </w:rPr>
            </w:pPr>
          </w:p>
        </w:tc>
        <w:tc>
          <w:tcPr>
            <w:tcW w:w="1134" w:type="dxa"/>
            <w:shd w:val="clear" w:color="auto" w:fill="FFFF00"/>
          </w:tcPr>
          <w:p w14:paraId="3657DC5C" w14:textId="77777777" w:rsidR="00FD6E41" w:rsidRPr="00AF77E1" w:rsidRDefault="003177B6" w:rsidP="00F72676">
            <w:pPr>
              <w:ind w:left="-45" w:right="27" w:firstLine="45"/>
              <w:jc w:val="right"/>
              <w:rPr>
                <w:rFonts w:ascii="Calibri" w:hAnsi="Calibri" w:cs="Calibri"/>
                <w:b/>
                <w:bCs/>
                <w:color w:val="000000"/>
                <w:sz w:val="22"/>
                <w:szCs w:val="22"/>
                <w:lang w:eastAsia="en-IE"/>
              </w:rPr>
            </w:pPr>
            <w:r w:rsidRPr="00AF77E1">
              <w:rPr>
                <w:rFonts w:ascii="Calibri" w:hAnsi="Calibri" w:cs="Calibri"/>
                <w:b/>
                <w:bCs/>
                <w:color w:val="000000"/>
                <w:sz w:val="22"/>
                <w:szCs w:val="22"/>
                <w:lang w:eastAsia="en-IE"/>
              </w:rPr>
              <w:t>6.9</w:t>
            </w:r>
          </w:p>
        </w:tc>
        <w:tc>
          <w:tcPr>
            <w:tcW w:w="1134" w:type="dxa"/>
            <w:shd w:val="clear" w:color="auto" w:fill="FFFFFF"/>
            <w:vAlign w:val="center"/>
            <w:hideMark/>
          </w:tcPr>
          <w:p w14:paraId="63AD7ACE"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6.9</w:t>
            </w:r>
          </w:p>
        </w:tc>
      </w:tr>
      <w:tr w:rsidR="00FD6E41" w:rsidRPr="00135F6B" w14:paraId="672B32E5" w14:textId="77777777" w:rsidTr="005E03B5">
        <w:trPr>
          <w:trHeight w:val="249"/>
        </w:trPr>
        <w:tc>
          <w:tcPr>
            <w:tcW w:w="261" w:type="dxa"/>
            <w:shd w:val="clear" w:color="auto" w:fill="FFFFFF"/>
            <w:noWrap/>
            <w:vAlign w:val="bottom"/>
            <w:hideMark/>
          </w:tcPr>
          <w:p w14:paraId="54C49354"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1454D88E"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Share premium account</w:t>
            </w:r>
          </w:p>
        </w:tc>
        <w:tc>
          <w:tcPr>
            <w:tcW w:w="3148" w:type="dxa"/>
            <w:shd w:val="clear" w:color="auto" w:fill="FFFFFF"/>
            <w:vAlign w:val="center"/>
            <w:hideMark/>
          </w:tcPr>
          <w:p w14:paraId="16048DAA" w14:textId="77777777" w:rsidR="00FD6E41" w:rsidRPr="001F1BE1" w:rsidRDefault="00FD6E41" w:rsidP="001C5897">
            <w:pPr>
              <w:jc w:val="right"/>
              <w:rPr>
                <w:rFonts w:ascii="Calibri" w:hAnsi="Calibri" w:cs="Calibri"/>
                <w:b/>
                <w:bCs/>
                <w:color w:val="000000"/>
                <w:sz w:val="21"/>
                <w:szCs w:val="21"/>
                <w:lang w:eastAsia="en-IE"/>
              </w:rPr>
            </w:pPr>
          </w:p>
        </w:tc>
        <w:tc>
          <w:tcPr>
            <w:tcW w:w="1134" w:type="dxa"/>
            <w:shd w:val="clear" w:color="auto" w:fill="FFFF00"/>
          </w:tcPr>
          <w:p w14:paraId="47BB7093" w14:textId="77777777" w:rsidR="00FD6E41" w:rsidRPr="00AF77E1" w:rsidRDefault="003177B6" w:rsidP="00F72676">
            <w:pPr>
              <w:ind w:left="-45" w:right="27" w:firstLine="45"/>
              <w:jc w:val="right"/>
              <w:rPr>
                <w:rFonts w:ascii="Calibri" w:hAnsi="Calibri" w:cs="Calibri"/>
                <w:b/>
                <w:bCs/>
                <w:color w:val="000000"/>
                <w:sz w:val="22"/>
                <w:szCs w:val="22"/>
                <w:lang w:eastAsia="en-IE"/>
              </w:rPr>
            </w:pPr>
            <w:r w:rsidRPr="00AF77E1">
              <w:rPr>
                <w:rFonts w:ascii="Calibri" w:hAnsi="Calibri" w:cs="Calibri"/>
                <w:b/>
                <w:bCs/>
                <w:color w:val="000000"/>
                <w:sz w:val="22"/>
                <w:szCs w:val="22"/>
                <w:lang w:eastAsia="en-IE"/>
              </w:rPr>
              <w:t>1,399.6</w:t>
            </w:r>
          </w:p>
        </w:tc>
        <w:tc>
          <w:tcPr>
            <w:tcW w:w="1134" w:type="dxa"/>
            <w:shd w:val="clear" w:color="auto" w:fill="FFFFFF"/>
            <w:vAlign w:val="center"/>
            <w:hideMark/>
          </w:tcPr>
          <w:p w14:paraId="7CDA8B9E"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1,379.9</w:t>
            </w:r>
          </w:p>
        </w:tc>
      </w:tr>
      <w:tr w:rsidR="00FD6E41" w:rsidRPr="00135F6B" w14:paraId="69177392" w14:textId="77777777" w:rsidTr="005E03B5">
        <w:trPr>
          <w:trHeight w:val="249"/>
        </w:trPr>
        <w:tc>
          <w:tcPr>
            <w:tcW w:w="261" w:type="dxa"/>
            <w:shd w:val="clear" w:color="auto" w:fill="FFFFFF"/>
            <w:noWrap/>
            <w:vAlign w:val="bottom"/>
            <w:hideMark/>
          </w:tcPr>
          <w:p w14:paraId="7F4C56D3"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2EABE27A"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Other undenominated capital</w:t>
            </w:r>
          </w:p>
        </w:tc>
        <w:tc>
          <w:tcPr>
            <w:tcW w:w="3148" w:type="dxa"/>
            <w:shd w:val="clear" w:color="auto" w:fill="FFFFFF"/>
            <w:vAlign w:val="center"/>
            <w:hideMark/>
          </w:tcPr>
          <w:p w14:paraId="131C25AF" w14:textId="77777777" w:rsidR="00FD6E41" w:rsidRPr="001F1BE1" w:rsidRDefault="00FD6E41" w:rsidP="001C5897">
            <w:pPr>
              <w:jc w:val="right"/>
              <w:rPr>
                <w:rFonts w:ascii="Calibri" w:hAnsi="Calibri" w:cs="Calibri"/>
                <w:b/>
                <w:bCs/>
                <w:color w:val="000000"/>
                <w:sz w:val="21"/>
                <w:szCs w:val="21"/>
                <w:lang w:eastAsia="en-IE"/>
              </w:rPr>
            </w:pPr>
          </w:p>
        </w:tc>
        <w:tc>
          <w:tcPr>
            <w:tcW w:w="1134" w:type="dxa"/>
            <w:shd w:val="clear" w:color="auto" w:fill="FFFF00"/>
          </w:tcPr>
          <w:p w14:paraId="39DE695D" w14:textId="77777777" w:rsidR="00FD6E41" w:rsidRPr="00AF77E1" w:rsidRDefault="003177B6" w:rsidP="00F72676">
            <w:pPr>
              <w:ind w:left="-45" w:right="27" w:firstLine="45"/>
              <w:jc w:val="right"/>
              <w:rPr>
                <w:rFonts w:ascii="Calibri" w:hAnsi="Calibri" w:cs="Calibri"/>
                <w:b/>
                <w:bCs/>
                <w:color w:val="000000"/>
                <w:sz w:val="22"/>
                <w:szCs w:val="22"/>
                <w:lang w:eastAsia="en-IE"/>
              </w:rPr>
            </w:pPr>
            <w:r w:rsidRPr="00AF77E1">
              <w:rPr>
                <w:rFonts w:ascii="Calibri" w:hAnsi="Calibri" w:cs="Calibri"/>
                <w:b/>
                <w:bCs/>
                <w:color w:val="000000"/>
                <w:sz w:val="22"/>
                <w:szCs w:val="22"/>
                <w:lang w:eastAsia="en-IE"/>
              </w:rPr>
              <w:t>3.5</w:t>
            </w:r>
          </w:p>
        </w:tc>
        <w:tc>
          <w:tcPr>
            <w:tcW w:w="1134" w:type="dxa"/>
            <w:shd w:val="clear" w:color="auto" w:fill="FFFFFF"/>
            <w:vAlign w:val="center"/>
            <w:hideMark/>
          </w:tcPr>
          <w:p w14:paraId="247CF6DE"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3.5</w:t>
            </w:r>
          </w:p>
        </w:tc>
      </w:tr>
      <w:tr w:rsidR="00FD6E41" w:rsidRPr="00135F6B" w14:paraId="168F6E13" w14:textId="77777777" w:rsidTr="005E03B5">
        <w:trPr>
          <w:trHeight w:val="249"/>
        </w:trPr>
        <w:tc>
          <w:tcPr>
            <w:tcW w:w="261" w:type="dxa"/>
            <w:shd w:val="clear" w:color="auto" w:fill="FFFFFF"/>
            <w:noWrap/>
            <w:vAlign w:val="bottom"/>
            <w:hideMark/>
          </w:tcPr>
          <w:p w14:paraId="43B98879"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3FB55B08"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Retained earnings</w:t>
            </w:r>
          </w:p>
        </w:tc>
        <w:tc>
          <w:tcPr>
            <w:tcW w:w="3148" w:type="dxa"/>
            <w:shd w:val="clear" w:color="auto" w:fill="FFFFFF"/>
            <w:vAlign w:val="center"/>
            <w:hideMark/>
          </w:tcPr>
          <w:p w14:paraId="2B7209EA" w14:textId="77777777" w:rsidR="00FD6E41" w:rsidRPr="001F1BE1" w:rsidRDefault="00FD6E41" w:rsidP="001C5897">
            <w:pPr>
              <w:jc w:val="right"/>
              <w:rPr>
                <w:rFonts w:ascii="Calibri" w:hAnsi="Calibri" w:cs="Calibri"/>
                <w:b/>
                <w:bCs/>
                <w:color w:val="000000"/>
                <w:sz w:val="21"/>
                <w:szCs w:val="21"/>
                <w:lang w:eastAsia="en-IE"/>
              </w:rPr>
            </w:pPr>
          </w:p>
        </w:tc>
        <w:tc>
          <w:tcPr>
            <w:tcW w:w="1134" w:type="dxa"/>
            <w:shd w:val="clear" w:color="auto" w:fill="FFFF00"/>
          </w:tcPr>
          <w:p w14:paraId="50F31ED6" w14:textId="77777777" w:rsidR="00FD6E41" w:rsidRPr="00AF77E1" w:rsidRDefault="003177B6" w:rsidP="00F72676">
            <w:pPr>
              <w:ind w:left="-45" w:right="27" w:firstLine="45"/>
              <w:jc w:val="right"/>
              <w:rPr>
                <w:rFonts w:ascii="Calibri" w:hAnsi="Calibri" w:cs="Calibri"/>
                <w:b/>
                <w:bCs/>
                <w:color w:val="000000"/>
                <w:sz w:val="22"/>
                <w:szCs w:val="22"/>
                <w:lang w:eastAsia="en-IE"/>
              </w:rPr>
            </w:pPr>
            <w:r w:rsidRPr="00AF77E1">
              <w:rPr>
                <w:rFonts w:ascii="Calibri" w:hAnsi="Calibri" w:cs="Calibri"/>
                <w:b/>
                <w:bCs/>
                <w:color w:val="000000"/>
                <w:sz w:val="22"/>
                <w:szCs w:val="22"/>
                <w:lang w:eastAsia="en-IE"/>
              </w:rPr>
              <w:t>6,369.8</w:t>
            </w:r>
          </w:p>
        </w:tc>
        <w:tc>
          <w:tcPr>
            <w:tcW w:w="1134" w:type="dxa"/>
            <w:shd w:val="clear" w:color="auto" w:fill="FFFFFF"/>
            <w:vAlign w:val="center"/>
            <w:hideMark/>
          </w:tcPr>
          <w:p w14:paraId="19F2E6DD"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4,180.0</w:t>
            </w:r>
          </w:p>
        </w:tc>
      </w:tr>
      <w:tr w:rsidR="00FD6E41" w:rsidRPr="00135F6B" w14:paraId="44B299AE" w14:textId="77777777" w:rsidTr="005E03B5">
        <w:trPr>
          <w:trHeight w:val="249"/>
        </w:trPr>
        <w:tc>
          <w:tcPr>
            <w:tcW w:w="261" w:type="dxa"/>
            <w:shd w:val="clear" w:color="auto" w:fill="FFFFFF"/>
            <w:noWrap/>
            <w:vAlign w:val="bottom"/>
            <w:hideMark/>
          </w:tcPr>
          <w:p w14:paraId="177E94D0"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6E1FB518" w14:textId="77777777" w:rsidR="00FD6E41" w:rsidRPr="00103D56" w:rsidRDefault="00FD6E41" w:rsidP="00FD6E41">
            <w:pPr>
              <w:ind w:left="60"/>
              <w:rPr>
                <w:rFonts w:ascii="Calibri" w:hAnsi="Calibri" w:cs="Calibri"/>
                <w:sz w:val="22"/>
                <w:szCs w:val="22"/>
                <w:lang w:eastAsia="en-IE"/>
              </w:rPr>
            </w:pPr>
            <w:r w:rsidRPr="00103D56">
              <w:rPr>
                <w:rFonts w:ascii="Calibri" w:hAnsi="Calibri" w:cs="Calibri"/>
                <w:sz w:val="22"/>
                <w:szCs w:val="22"/>
                <w:lang w:eastAsia="en-IE"/>
              </w:rPr>
              <w:t>Other reserves</w:t>
            </w:r>
          </w:p>
        </w:tc>
        <w:tc>
          <w:tcPr>
            <w:tcW w:w="3148" w:type="dxa"/>
            <w:shd w:val="clear" w:color="auto" w:fill="FFFFFF"/>
            <w:vAlign w:val="center"/>
            <w:hideMark/>
          </w:tcPr>
          <w:p w14:paraId="51734923" w14:textId="77777777" w:rsidR="00FD6E41" w:rsidRPr="001F1BE1" w:rsidRDefault="00FD6E41" w:rsidP="001C5897">
            <w:pPr>
              <w:rPr>
                <w:rFonts w:ascii="Calibri" w:hAnsi="Calibri" w:cs="Calibri"/>
                <w:sz w:val="21"/>
                <w:szCs w:val="21"/>
                <w:lang w:eastAsia="en-IE"/>
              </w:rPr>
            </w:pPr>
          </w:p>
        </w:tc>
        <w:tc>
          <w:tcPr>
            <w:tcW w:w="1134" w:type="dxa"/>
            <w:tcBorders>
              <w:top w:val="nil"/>
              <w:left w:val="nil"/>
              <w:bottom w:val="single" w:sz="8" w:space="0" w:color="auto"/>
              <w:right w:val="nil"/>
            </w:tcBorders>
            <w:shd w:val="clear" w:color="auto" w:fill="FFFF00"/>
          </w:tcPr>
          <w:p w14:paraId="4EC9A173" w14:textId="77777777" w:rsidR="00FD6E41" w:rsidRPr="00AF77E1" w:rsidRDefault="003177B6" w:rsidP="00F72676">
            <w:pPr>
              <w:ind w:left="-45" w:right="27" w:firstLine="45"/>
              <w:jc w:val="right"/>
              <w:rPr>
                <w:rFonts w:ascii="Calibri" w:eastAsia="Calibri" w:hAnsi="Calibri" w:cs="Calibri"/>
                <w:b/>
                <w:sz w:val="22"/>
                <w:szCs w:val="22"/>
                <w:lang w:eastAsia="en-IE"/>
              </w:rPr>
            </w:pPr>
            <w:r w:rsidRPr="00AF77E1">
              <w:rPr>
                <w:rFonts w:ascii="Calibri" w:eastAsia="Calibri" w:hAnsi="Calibri" w:cs="Calibri"/>
                <w:b/>
                <w:sz w:val="22"/>
                <w:szCs w:val="22"/>
                <w:lang w:eastAsia="en-IE"/>
              </w:rPr>
              <w:t>91.7</w:t>
            </w:r>
          </w:p>
        </w:tc>
        <w:tc>
          <w:tcPr>
            <w:tcW w:w="1134" w:type="dxa"/>
            <w:tcBorders>
              <w:top w:val="nil"/>
              <w:left w:val="nil"/>
              <w:bottom w:val="single" w:sz="8" w:space="0" w:color="auto"/>
              <w:right w:val="nil"/>
            </w:tcBorders>
            <w:shd w:val="clear" w:color="auto" w:fill="FFFFFF"/>
            <w:vAlign w:val="center"/>
            <w:hideMark/>
          </w:tcPr>
          <w:p w14:paraId="28439B89"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eastAsia="Calibri" w:hAnsi="Calibri" w:cs="Calibri"/>
                <w:sz w:val="22"/>
                <w:szCs w:val="22"/>
                <w:lang w:eastAsia="en-IE"/>
              </w:rPr>
              <w:t>72.7</w:t>
            </w:r>
          </w:p>
        </w:tc>
      </w:tr>
      <w:tr w:rsidR="00FD6E41" w:rsidRPr="00135F6B" w14:paraId="03035838" w14:textId="77777777" w:rsidTr="005E03B5">
        <w:trPr>
          <w:trHeight w:val="249"/>
        </w:trPr>
        <w:tc>
          <w:tcPr>
            <w:tcW w:w="261" w:type="dxa"/>
            <w:shd w:val="clear" w:color="auto" w:fill="FFFFFF"/>
            <w:noWrap/>
            <w:vAlign w:val="bottom"/>
            <w:hideMark/>
          </w:tcPr>
          <w:p w14:paraId="12BE89EC"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32BDD0D1" w14:textId="77777777" w:rsidR="00FD6E41" w:rsidRPr="00103D56" w:rsidRDefault="000B43EE" w:rsidP="00FD6E41">
            <w:pPr>
              <w:ind w:left="60"/>
              <w:rPr>
                <w:rFonts w:ascii="Calibri" w:hAnsi="Calibri" w:cs="Calibri"/>
                <w:b/>
                <w:bCs/>
                <w:sz w:val="22"/>
                <w:szCs w:val="22"/>
                <w:lang w:eastAsia="en-IE"/>
              </w:rPr>
            </w:pPr>
            <w:r>
              <w:rPr>
                <w:rFonts w:ascii="Calibri" w:hAnsi="Calibri" w:cs="Calibri"/>
                <w:b/>
                <w:bCs/>
                <w:sz w:val="22"/>
                <w:szCs w:val="22"/>
                <w:lang w:eastAsia="en-IE"/>
              </w:rPr>
              <w:t>Total s</w:t>
            </w:r>
            <w:r w:rsidR="00FD6E41" w:rsidRPr="00103D56">
              <w:rPr>
                <w:rFonts w:ascii="Calibri" w:hAnsi="Calibri" w:cs="Calibri"/>
                <w:b/>
                <w:bCs/>
                <w:sz w:val="22"/>
                <w:szCs w:val="22"/>
                <w:lang w:eastAsia="en-IE"/>
              </w:rPr>
              <w:t>hareholders' equity</w:t>
            </w:r>
          </w:p>
        </w:tc>
        <w:tc>
          <w:tcPr>
            <w:tcW w:w="3148" w:type="dxa"/>
            <w:shd w:val="clear" w:color="auto" w:fill="FFFFFF"/>
            <w:vAlign w:val="center"/>
            <w:hideMark/>
          </w:tcPr>
          <w:p w14:paraId="3700B09A" w14:textId="77777777" w:rsidR="00FD6E41" w:rsidRPr="001F1BE1" w:rsidRDefault="00FD6E41" w:rsidP="001C5897">
            <w:pPr>
              <w:rPr>
                <w:rFonts w:ascii="Calibri" w:hAnsi="Calibri" w:cs="Calibri"/>
                <w:b/>
                <w:bCs/>
                <w:sz w:val="21"/>
                <w:szCs w:val="21"/>
                <w:lang w:eastAsia="en-IE"/>
              </w:rPr>
            </w:pPr>
          </w:p>
        </w:tc>
        <w:tc>
          <w:tcPr>
            <w:tcW w:w="1134" w:type="dxa"/>
            <w:tcBorders>
              <w:top w:val="nil"/>
              <w:left w:val="nil"/>
              <w:bottom w:val="single" w:sz="8" w:space="0" w:color="auto"/>
              <w:right w:val="nil"/>
            </w:tcBorders>
            <w:shd w:val="clear" w:color="auto" w:fill="FFFF00"/>
          </w:tcPr>
          <w:p w14:paraId="3083D325" w14:textId="77777777" w:rsidR="00FD6E41" w:rsidRPr="00AF77E1" w:rsidRDefault="003177B6" w:rsidP="00F72676">
            <w:pPr>
              <w:ind w:left="-45" w:right="27" w:firstLine="45"/>
              <w:jc w:val="right"/>
              <w:rPr>
                <w:rFonts w:ascii="Calibri" w:hAnsi="Calibri" w:cs="Calibri"/>
                <w:b/>
                <w:bCs/>
                <w:color w:val="000000"/>
                <w:sz w:val="22"/>
                <w:szCs w:val="22"/>
                <w:lang w:eastAsia="en-IE"/>
              </w:rPr>
            </w:pPr>
            <w:r w:rsidRPr="00AF77E1">
              <w:rPr>
                <w:rFonts w:ascii="Calibri" w:hAnsi="Calibri" w:cs="Calibri"/>
                <w:b/>
                <w:bCs/>
                <w:color w:val="000000"/>
                <w:sz w:val="22"/>
                <w:szCs w:val="22"/>
                <w:lang w:eastAsia="en-IE"/>
              </w:rPr>
              <w:t>7,871.5</w:t>
            </w:r>
          </w:p>
        </w:tc>
        <w:tc>
          <w:tcPr>
            <w:tcW w:w="1134" w:type="dxa"/>
            <w:tcBorders>
              <w:top w:val="nil"/>
              <w:left w:val="nil"/>
              <w:bottom w:val="single" w:sz="8" w:space="0" w:color="auto"/>
              <w:right w:val="nil"/>
            </w:tcBorders>
            <w:shd w:val="clear" w:color="auto" w:fill="FFFFFF"/>
            <w:vAlign w:val="center"/>
            <w:hideMark/>
          </w:tcPr>
          <w:p w14:paraId="4C480C0E"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5,643.0</w:t>
            </w:r>
          </w:p>
        </w:tc>
      </w:tr>
      <w:tr w:rsidR="00FD6E41" w:rsidRPr="00135F6B" w14:paraId="16F88ECB" w14:textId="77777777" w:rsidTr="005E03B5">
        <w:trPr>
          <w:trHeight w:val="249"/>
        </w:trPr>
        <w:tc>
          <w:tcPr>
            <w:tcW w:w="261" w:type="dxa"/>
            <w:shd w:val="clear" w:color="auto" w:fill="FFFFFF"/>
            <w:noWrap/>
            <w:vAlign w:val="bottom"/>
            <w:hideMark/>
          </w:tcPr>
          <w:p w14:paraId="325C1BBC" w14:textId="77777777" w:rsidR="00FD6E41" w:rsidRPr="00135F6B" w:rsidRDefault="00FD6E41" w:rsidP="001C5897">
            <w:pPr>
              <w:rPr>
                <w:rFonts w:ascii="Calibri" w:hAnsi="Calibri" w:cs="Calibri"/>
                <w:color w:val="000000"/>
                <w:sz w:val="20"/>
                <w:szCs w:val="20"/>
                <w:lang w:eastAsia="en-IE"/>
              </w:rPr>
            </w:pPr>
          </w:p>
        </w:tc>
        <w:tc>
          <w:tcPr>
            <w:tcW w:w="5414" w:type="dxa"/>
            <w:shd w:val="clear" w:color="auto" w:fill="FFFFFF"/>
            <w:vAlign w:val="center"/>
            <w:hideMark/>
          </w:tcPr>
          <w:p w14:paraId="12A0C867" w14:textId="77777777" w:rsidR="00FD6E41" w:rsidRPr="00103D56" w:rsidRDefault="00FD6E41" w:rsidP="00FD6E41">
            <w:pPr>
              <w:ind w:left="60"/>
              <w:jc w:val="right"/>
              <w:rPr>
                <w:rFonts w:ascii="Calibri" w:hAnsi="Calibri" w:cs="Calibri"/>
                <w:sz w:val="22"/>
                <w:szCs w:val="22"/>
                <w:lang w:eastAsia="en-IE"/>
              </w:rPr>
            </w:pPr>
            <w:r w:rsidRPr="00103D56">
              <w:rPr>
                <w:rFonts w:ascii="Calibri" w:hAnsi="Calibri" w:cs="Calibri"/>
                <w:sz w:val="22"/>
                <w:szCs w:val="22"/>
                <w:lang w:eastAsia="en-IE"/>
              </w:rPr>
              <w:t> </w:t>
            </w:r>
          </w:p>
        </w:tc>
        <w:tc>
          <w:tcPr>
            <w:tcW w:w="3148" w:type="dxa"/>
            <w:shd w:val="clear" w:color="auto" w:fill="FFFFFF"/>
            <w:vAlign w:val="center"/>
            <w:hideMark/>
          </w:tcPr>
          <w:p w14:paraId="3D34DE60" w14:textId="77777777" w:rsidR="00FD6E41" w:rsidRPr="001F1BE1" w:rsidRDefault="00FD6E41" w:rsidP="001C5897">
            <w:pPr>
              <w:rPr>
                <w:rFonts w:ascii="Calibri" w:hAnsi="Calibri" w:cs="Calibri"/>
                <w:sz w:val="21"/>
                <w:szCs w:val="21"/>
                <w:lang w:eastAsia="en-IE"/>
              </w:rPr>
            </w:pPr>
          </w:p>
        </w:tc>
        <w:tc>
          <w:tcPr>
            <w:tcW w:w="1134" w:type="dxa"/>
            <w:shd w:val="clear" w:color="auto" w:fill="FFFF00"/>
            <w:vAlign w:val="center"/>
          </w:tcPr>
          <w:p w14:paraId="3043E33D" w14:textId="77777777" w:rsidR="00FD6E41" w:rsidRPr="00AF77E1" w:rsidRDefault="00FD6E41" w:rsidP="00F72676">
            <w:pPr>
              <w:ind w:left="-45" w:right="27" w:firstLine="45"/>
              <w:jc w:val="right"/>
              <w:rPr>
                <w:rFonts w:ascii="Calibri" w:eastAsia="Calibri" w:hAnsi="Calibri" w:cs="Calibri"/>
                <w:b/>
                <w:sz w:val="22"/>
                <w:szCs w:val="22"/>
                <w:lang w:eastAsia="en-IE"/>
              </w:rPr>
            </w:pPr>
          </w:p>
        </w:tc>
        <w:tc>
          <w:tcPr>
            <w:tcW w:w="1134" w:type="dxa"/>
            <w:shd w:val="clear" w:color="auto" w:fill="FFFFFF"/>
            <w:vAlign w:val="center"/>
            <w:hideMark/>
          </w:tcPr>
          <w:p w14:paraId="3771773F" w14:textId="77777777" w:rsidR="00FD6E41" w:rsidRPr="00FD297D" w:rsidRDefault="00FD6E41" w:rsidP="00F72676">
            <w:pPr>
              <w:ind w:right="33"/>
              <w:rPr>
                <w:rFonts w:ascii="Calibri" w:eastAsia="Calibri" w:hAnsi="Calibri" w:cs="Calibri"/>
                <w:sz w:val="22"/>
                <w:szCs w:val="22"/>
                <w:lang w:eastAsia="en-IE"/>
              </w:rPr>
            </w:pPr>
          </w:p>
        </w:tc>
      </w:tr>
      <w:tr w:rsidR="00FD6E41" w:rsidRPr="00135F6B" w14:paraId="35300A1A" w14:textId="77777777" w:rsidTr="005E03B5">
        <w:trPr>
          <w:trHeight w:val="249"/>
        </w:trPr>
        <w:tc>
          <w:tcPr>
            <w:tcW w:w="261" w:type="dxa"/>
            <w:shd w:val="clear" w:color="auto" w:fill="FFFFFF"/>
            <w:noWrap/>
            <w:vAlign w:val="bottom"/>
            <w:hideMark/>
          </w:tcPr>
          <w:p w14:paraId="588AD298" w14:textId="77777777" w:rsidR="00FD6E41" w:rsidRPr="00135F6B" w:rsidRDefault="00FD6E41" w:rsidP="001C5897">
            <w:pPr>
              <w:rPr>
                <w:rFonts w:ascii="Calibri" w:eastAsia="Calibri" w:hAnsi="Calibri" w:cs="Calibri"/>
                <w:sz w:val="20"/>
                <w:szCs w:val="20"/>
                <w:lang w:eastAsia="en-IE"/>
              </w:rPr>
            </w:pPr>
          </w:p>
        </w:tc>
        <w:tc>
          <w:tcPr>
            <w:tcW w:w="5414" w:type="dxa"/>
            <w:shd w:val="clear" w:color="auto" w:fill="FFFFFF"/>
            <w:vAlign w:val="center"/>
            <w:hideMark/>
          </w:tcPr>
          <w:p w14:paraId="60BDEAAE" w14:textId="77777777" w:rsidR="00FD6E41" w:rsidRPr="00103D56" w:rsidRDefault="00FD6E41" w:rsidP="00FD6E41">
            <w:pPr>
              <w:ind w:left="60"/>
              <w:rPr>
                <w:rFonts w:ascii="Calibri" w:hAnsi="Calibri" w:cs="Calibri"/>
                <w:b/>
                <w:bCs/>
                <w:sz w:val="22"/>
                <w:szCs w:val="22"/>
                <w:lang w:eastAsia="en-IE"/>
              </w:rPr>
            </w:pPr>
            <w:r w:rsidRPr="00103D56">
              <w:rPr>
                <w:rFonts w:ascii="Calibri" w:hAnsi="Calibri" w:cs="Calibri"/>
                <w:b/>
                <w:bCs/>
                <w:sz w:val="22"/>
                <w:szCs w:val="22"/>
                <w:lang w:eastAsia="en-IE"/>
              </w:rPr>
              <w:t>Total liabilities and shareholders' equity</w:t>
            </w:r>
          </w:p>
        </w:tc>
        <w:tc>
          <w:tcPr>
            <w:tcW w:w="3148" w:type="dxa"/>
            <w:shd w:val="clear" w:color="auto" w:fill="FFFFFF"/>
            <w:vAlign w:val="center"/>
            <w:hideMark/>
          </w:tcPr>
          <w:p w14:paraId="70E110C4" w14:textId="77777777" w:rsidR="00FD6E41" w:rsidRPr="001F1BE1" w:rsidRDefault="00FD6E41" w:rsidP="001C5897">
            <w:pPr>
              <w:rPr>
                <w:rFonts w:ascii="Calibri" w:hAnsi="Calibri" w:cs="Calibri"/>
                <w:b/>
                <w:bCs/>
                <w:sz w:val="21"/>
                <w:szCs w:val="21"/>
                <w:lang w:eastAsia="en-IE"/>
              </w:rPr>
            </w:pPr>
          </w:p>
        </w:tc>
        <w:tc>
          <w:tcPr>
            <w:tcW w:w="1134" w:type="dxa"/>
            <w:tcBorders>
              <w:top w:val="nil"/>
              <w:left w:val="nil"/>
              <w:bottom w:val="single" w:sz="12" w:space="0" w:color="auto"/>
              <w:right w:val="nil"/>
            </w:tcBorders>
            <w:shd w:val="clear" w:color="auto" w:fill="FFFF00"/>
            <w:vAlign w:val="center"/>
          </w:tcPr>
          <w:p w14:paraId="054D1D34" w14:textId="77777777" w:rsidR="00FD6E41" w:rsidRPr="00AF77E1" w:rsidRDefault="00CE3B2F" w:rsidP="00F72676">
            <w:pPr>
              <w:ind w:left="-45" w:right="27" w:firstLine="45"/>
              <w:jc w:val="right"/>
              <w:rPr>
                <w:rFonts w:ascii="Calibri" w:hAnsi="Calibri" w:cs="Calibri"/>
                <w:b/>
                <w:bCs/>
                <w:color w:val="000000"/>
                <w:sz w:val="22"/>
                <w:szCs w:val="22"/>
                <w:lang w:eastAsia="en-IE"/>
              </w:rPr>
            </w:pPr>
            <w:r w:rsidRPr="00AF77E1">
              <w:rPr>
                <w:rFonts w:ascii="Calibri" w:hAnsi="Calibri" w:cs="Calibri"/>
                <w:b/>
                <w:bCs/>
                <w:color w:val="000000"/>
                <w:sz w:val="22"/>
                <w:szCs w:val="22"/>
                <w:lang w:eastAsia="en-IE"/>
              </w:rPr>
              <w:t>15,4</w:t>
            </w:r>
            <w:r w:rsidR="00633FF4">
              <w:rPr>
                <w:rFonts w:ascii="Calibri" w:hAnsi="Calibri" w:cs="Calibri"/>
                <w:b/>
                <w:bCs/>
                <w:color w:val="000000"/>
                <w:sz w:val="22"/>
                <w:szCs w:val="22"/>
                <w:lang w:eastAsia="en-IE"/>
              </w:rPr>
              <w:t>55</w:t>
            </w:r>
            <w:r w:rsidRPr="00AF77E1">
              <w:rPr>
                <w:rFonts w:ascii="Calibri" w:hAnsi="Calibri" w:cs="Calibri"/>
                <w:b/>
                <w:bCs/>
                <w:color w:val="000000"/>
                <w:sz w:val="22"/>
                <w:szCs w:val="22"/>
                <w:lang w:eastAsia="en-IE"/>
              </w:rPr>
              <w:t>.</w:t>
            </w:r>
            <w:r w:rsidR="00633FF4">
              <w:rPr>
                <w:rFonts w:ascii="Calibri" w:hAnsi="Calibri" w:cs="Calibri"/>
                <w:b/>
                <w:bCs/>
                <w:color w:val="000000"/>
                <w:sz w:val="22"/>
                <w:szCs w:val="22"/>
                <w:lang w:eastAsia="en-IE"/>
              </w:rPr>
              <w:t>7</w:t>
            </w:r>
          </w:p>
        </w:tc>
        <w:tc>
          <w:tcPr>
            <w:tcW w:w="1134" w:type="dxa"/>
            <w:tcBorders>
              <w:top w:val="nil"/>
              <w:left w:val="nil"/>
              <w:bottom w:val="single" w:sz="12" w:space="0" w:color="auto"/>
              <w:right w:val="nil"/>
            </w:tcBorders>
            <w:shd w:val="clear" w:color="auto" w:fill="FFFFFF"/>
            <w:vAlign w:val="center"/>
            <w:hideMark/>
          </w:tcPr>
          <w:p w14:paraId="7A65F9E0" w14:textId="77777777" w:rsidR="00FD6E41" w:rsidRPr="00103D56" w:rsidRDefault="00FD6E41" w:rsidP="00F72676">
            <w:pPr>
              <w:ind w:right="33"/>
              <w:jc w:val="right"/>
              <w:rPr>
                <w:rFonts w:ascii="Calibri" w:hAnsi="Calibri" w:cs="Calibri"/>
                <w:color w:val="000000"/>
                <w:sz w:val="22"/>
                <w:szCs w:val="22"/>
                <w:lang w:eastAsia="en-IE"/>
              </w:rPr>
            </w:pPr>
            <w:r w:rsidRPr="00103D56">
              <w:rPr>
                <w:rFonts w:ascii="Calibri" w:hAnsi="Calibri" w:cs="Calibri"/>
                <w:color w:val="000000"/>
                <w:sz w:val="22"/>
                <w:szCs w:val="22"/>
                <w:lang w:eastAsia="en-IE"/>
              </w:rPr>
              <w:t>16,405.9</w:t>
            </w:r>
          </w:p>
        </w:tc>
      </w:tr>
    </w:tbl>
    <w:p w14:paraId="0F004783" w14:textId="77777777" w:rsidR="00FD6E41" w:rsidRDefault="00FD6E41" w:rsidP="00FD6E41">
      <w:pPr>
        <w:keepNext/>
        <w:pageBreakBefore/>
        <w:autoSpaceDE w:val="0"/>
        <w:autoSpaceDN w:val="0"/>
        <w:adjustRightInd w:val="0"/>
        <w:ind w:left="142" w:hanging="142"/>
        <w:rPr>
          <w:rFonts w:ascii="Calibri" w:hAnsi="Calibri" w:cs="Calibri"/>
          <w:b/>
          <w:bCs/>
          <w:color w:val="000000"/>
        </w:rPr>
        <w:sectPr w:rsidR="00FD6E41" w:rsidSect="00DB7576">
          <w:footerReference w:type="default" r:id="rId14"/>
          <w:pgSz w:w="11906" w:h="16838" w:code="9"/>
          <w:pgMar w:top="426" w:right="566" w:bottom="1440" w:left="567" w:header="142" w:footer="709" w:gutter="0"/>
          <w:pgNumType w:start="1"/>
          <w:cols w:space="708"/>
          <w:docGrid w:linePitch="360"/>
        </w:sectPr>
      </w:pPr>
    </w:p>
    <w:p w14:paraId="18C42BAF" w14:textId="77777777" w:rsidR="00FD6E41" w:rsidRPr="00C22F7C" w:rsidRDefault="00FD6E41" w:rsidP="00BE72C3">
      <w:pPr>
        <w:autoSpaceDE w:val="0"/>
        <w:autoSpaceDN w:val="0"/>
        <w:adjustRightInd w:val="0"/>
        <w:rPr>
          <w:rFonts w:ascii="Calibri" w:hAnsi="Calibri" w:cs="Calibri"/>
          <w:b/>
          <w:bCs/>
          <w:color w:val="000000"/>
        </w:rPr>
      </w:pPr>
      <w:r w:rsidRPr="00C22F7C">
        <w:rPr>
          <w:rFonts w:ascii="Calibri" w:hAnsi="Calibri" w:cs="Calibri"/>
          <w:b/>
          <w:bCs/>
          <w:color w:val="000000"/>
        </w:rPr>
        <w:lastRenderedPageBreak/>
        <w:t xml:space="preserve">Ryanair Holdings plc and Subsidiaries </w:t>
      </w:r>
    </w:p>
    <w:p w14:paraId="38CC89CE" w14:textId="77777777" w:rsidR="00FD6E41" w:rsidRDefault="00FD6E41" w:rsidP="001C4A45">
      <w:pPr>
        <w:ind w:right="-284"/>
        <w:jc w:val="both"/>
      </w:pPr>
      <w:r w:rsidRPr="00C22F7C">
        <w:rPr>
          <w:rFonts w:ascii="Calibri" w:hAnsi="Calibri" w:cs="Calibri"/>
          <w:b/>
          <w:bCs/>
          <w:i/>
          <w:color w:val="000000"/>
        </w:rPr>
        <w:t xml:space="preserve">Condensed Consolidated Interim Income Statement for the </w:t>
      </w:r>
      <w:r w:rsidR="002075E8">
        <w:rPr>
          <w:rFonts w:ascii="Calibri" w:hAnsi="Calibri" w:cs="Calibri"/>
          <w:b/>
          <w:bCs/>
          <w:i/>
          <w:color w:val="000000"/>
        </w:rPr>
        <w:t>Nine Months</w:t>
      </w:r>
      <w:r w:rsidRPr="00C22F7C">
        <w:rPr>
          <w:rFonts w:ascii="Calibri" w:hAnsi="Calibri" w:cs="Calibri"/>
          <w:b/>
          <w:bCs/>
          <w:i/>
          <w:color w:val="000000"/>
        </w:rPr>
        <w:t xml:space="preserve"> </w:t>
      </w:r>
      <w:r w:rsidR="007A1281">
        <w:rPr>
          <w:rFonts w:ascii="Calibri" w:hAnsi="Calibri" w:cs="Calibri"/>
          <w:b/>
          <w:bCs/>
          <w:i/>
          <w:color w:val="000000"/>
        </w:rPr>
        <w:t>E</w:t>
      </w:r>
      <w:r w:rsidRPr="00C22F7C">
        <w:rPr>
          <w:rFonts w:ascii="Calibri" w:hAnsi="Calibri" w:cs="Calibri"/>
          <w:b/>
          <w:bCs/>
          <w:i/>
          <w:color w:val="000000"/>
        </w:rPr>
        <w:t xml:space="preserve">nded </w:t>
      </w:r>
      <w:r w:rsidR="0033489D">
        <w:rPr>
          <w:rFonts w:ascii="Calibri" w:hAnsi="Calibri" w:cs="Calibri"/>
          <w:b/>
          <w:bCs/>
          <w:i/>
          <w:color w:val="000000"/>
        </w:rPr>
        <w:t>Dec</w:t>
      </w:r>
      <w:r w:rsidRPr="00C22F7C">
        <w:rPr>
          <w:rFonts w:ascii="Calibri" w:hAnsi="Calibri" w:cs="Calibri"/>
          <w:b/>
          <w:bCs/>
          <w:i/>
          <w:color w:val="000000"/>
        </w:rPr>
        <w:t>ember 3</w:t>
      </w:r>
      <w:r w:rsidR="0033489D">
        <w:rPr>
          <w:rFonts w:ascii="Calibri" w:hAnsi="Calibri" w:cs="Calibri"/>
          <w:b/>
          <w:bCs/>
          <w:i/>
          <w:color w:val="000000"/>
        </w:rPr>
        <w:t>1</w:t>
      </w:r>
      <w:r w:rsidRPr="00C22F7C">
        <w:rPr>
          <w:rFonts w:ascii="Calibri" w:hAnsi="Calibri" w:cs="Calibri"/>
          <w:b/>
          <w:bCs/>
          <w:i/>
          <w:color w:val="000000"/>
        </w:rPr>
        <w:t>, 202</w:t>
      </w:r>
      <w:r>
        <w:rPr>
          <w:rFonts w:ascii="Calibri" w:hAnsi="Calibri" w:cs="Calibri"/>
          <w:b/>
          <w:bCs/>
          <w:i/>
          <w:color w:val="000000"/>
        </w:rPr>
        <w:t>3</w:t>
      </w:r>
      <w:r w:rsidR="003A5640">
        <w:rPr>
          <w:rFonts w:ascii="Calibri" w:hAnsi="Calibri" w:cs="Calibri"/>
          <w:b/>
          <w:bCs/>
          <w:i/>
          <w:color w:val="000000"/>
        </w:rPr>
        <w:t xml:space="preserve"> (</w:t>
      </w:r>
      <w:r w:rsidRPr="00C22F7C">
        <w:rPr>
          <w:rFonts w:ascii="Calibri" w:hAnsi="Calibri" w:cs="Calibri"/>
          <w:b/>
          <w:bCs/>
          <w:i/>
          <w:color w:val="000000"/>
        </w:rPr>
        <w:t>unaudited)</w:t>
      </w:r>
    </w:p>
    <w:tbl>
      <w:tblPr>
        <w:tblW w:w="5726" w:type="pct"/>
        <w:tblLayout w:type="fixed"/>
        <w:tblLook w:val="0000" w:firstRow="0" w:lastRow="0" w:firstColumn="0" w:lastColumn="0" w:noHBand="0" w:noVBand="0"/>
      </w:tblPr>
      <w:tblGrid>
        <w:gridCol w:w="11688"/>
      </w:tblGrid>
      <w:tr w:rsidR="003B0423" w:rsidRPr="00C22F7C" w14:paraId="21AA92A4" w14:textId="77777777" w:rsidTr="00FD6E41">
        <w:trPr>
          <w:trHeight w:val="223"/>
        </w:trPr>
        <w:tc>
          <w:tcPr>
            <w:tcW w:w="5000" w:type="pct"/>
            <w:tcBorders>
              <w:top w:val="nil"/>
              <w:left w:val="nil"/>
              <w:bottom w:val="nil"/>
              <w:right w:val="nil"/>
            </w:tcBorders>
          </w:tcPr>
          <w:tbl>
            <w:tblPr>
              <w:tblW w:w="10630" w:type="dxa"/>
              <w:tblLayout w:type="fixed"/>
              <w:tblLook w:val="0000" w:firstRow="0" w:lastRow="0" w:firstColumn="0" w:lastColumn="0" w:noHBand="0" w:noVBand="0"/>
            </w:tblPr>
            <w:tblGrid>
              <w:gridCol w:w="265"/>
              <w:gridCol w:w="3704"/>
              <w:gridCol w:w="704"/>
              <w:gridCol w:w="6"/>
              <w:gridCol w:w="1126"/>
              <w:gridCol w:w="6"/>
              <w:gridCol w:w="1269"/>
              <w:gridCol w:w="6"/>
              <w:gridCol w:w="1277"/>
              <w:gridCol w:w="1128"/>
              <w:gridCol w:w="6"/>
              <w:gridCol w:w="1133"/>
            </w:tblGrid>
            <w:tr w:rsidR="003B0423" w:rsidRPr="00C22F7C" w14:paraId="170AD5D5" w14:textId="77777777" w:rsidTr="004C74E4">
              <w:trPr>
                <w:trHeight w:val="214"/>
              </w:trPr>
              <w:tc>
                <w:tcPr>
                  <w:tcW w:w="265" w:type="dxa"/>
                </w:tcPr>
                <w:p w14:paraId="19CF6447"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4446B35C" w14:textId="77777777" w:rsidR="003B0423" w:rsidRPr="00103D56" w:rsidRDefault="003B0423" w:rsidP="003B0423">
                  <w:pPr>
                    <w:autoSpaceDE w:val="0"/>
                    <w:autoSpaceDN w:val="0"/>
                    <w:adjustRightInd w:val="0"/>
                    <w:jc w:val="right"/>
                    <w:rPr>
                      <w:rFonts w:ascii="Calibri" w:hAnsi="Calibri" w:cs="Calibri"/>
                      <w:color w:val="000000"/>
                      <w:sz w:val="22"/>
                      <w:szCs w:val="22"/>
                    </w:rPr>
                  </w:pPr>
                </w:p>
              </w:tc>
              <w:tc>
                <w:tcPr>
                  <w:tcW w:w="710" w:type="dxa"/>
                  <w:gridSpan w:val="2"/>
                </w:tcPr>
                <w:p w14:paraId="675BB9C5" w14:textId="77777777" w:rsidR="003B0423" w:rsidRPr="00103D56" w:rsidRDefault="003B0423" w:rsidP="003B042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bottom"/>
                </w:tcPr>
                <w:p w14:paraId="44F2A33E" w14:textId="77777777" w:rsidR="003B0423" w:rsidRPr="00103D56" w:rsidRDefault="003B0423" w:rsidP="003B0423">
                  <w:pPr>
                    <w:tabs>
                      <w:tab w:val="left" w:pos="-108"/>
                    </w:tabs>
                    <w:autoSpaceDE w:val="0"/>
                    <w:autoSpaceDN w:val="0"/>
                    <w:adjustRightInd w:val="0"/>
                    <w:ind w:left="-250"/>
                    <w:jc w:val="right"/>
                    <w:rPr>
                      <w:rFonts w:ascii="Calibri" w:hAnsi="Calibri" w:cs="Calibri"/>
                      <w:bCs/>
                      <w:color w:val="000000"/>
                      <w:sz w:val="22"/>
                      <w:szCs w:val="22"/>
                    </w:rPr>
                  </w:pPr>
                </w:p>
                <w:p w14:paraId="2B6D51D9" w14:textId="77777777" w:rsidR="003B0423" w:rsidRPr="00103D56" w:rsidRDefault="003B0423" w:rsidP="003B0423">
                  <w:pPr>
                    <w:tabs>
                      <w:tab w:val="left" w:pos="-108"/>
                    </w:tabs>
                    <w:autoSpaceDE w:val="0"/>
                    <w:autoSpaceDN w:val="0"/>
                    <w:adjustRightInd w:val="0"/>
                    <w:ind w:left="-250"/>
                    <w:jc w:val="right"/>
                    <w:rPr>
                      <w:rFonts w:ascii="Calibri" w:hAnsi="Calibri" w:cs="Calibri"/>
                      <w:bCs/>
                      <w:color w:val="000000"/>
                      <w:sz w:val="22"/>
                      <w:szCs w:val="22"/>
                    </w:rPr>
                  </w:pPr>
                </w:p>
                <w:p w14:paraId="1BE9C0E2" w14:textId="77777777" w:rsidR="003B0423" w:rsidRPr="00103D56" w:rsidRDefault="003B0423" w:rsidP="003B0423">
                  <w:pPr>
                    <w:tabs>
                      <w:tab w:val="left" w:pos="-108"/>
                    </w:tabs>
                    <w:autoSpaceDE w:val="0"/>
                    <w:autoSpaceDN w:val="0"/>
                    <w:adjustRightInd w:val="0"/>
                    <w:ind w:left="-250"/>
                    <w:jc w:val="right"/>
                    <w:rPr>
                      <w:rFonts w:ascii="Calibri" w:hAnsi="Calibri" w:cs="Calibri"/>
                      <w:bCs/>
                      <w:color w:val="000000"/>
                      <w:sz w:val="22"/>
                      <w:szCs w:val="22"/>
                    </w:rPr>
                  </w:pPr>
                  <w:r w:rsidRPr="00103D56">
                    <w:rPr>
                      <w:rFonts w:ascii="Calibri" w:hAnsi="Calibri" w:cs="Calibri"/>
                      <w:bCs/>
                      <w:color w:val="000000"/>
                      <w:sz w:val="22"/>
                      <w:szCs w:val="22"/>
                    </w:rPr>
                    <w:t>Pre-</w:t>
                  </w:r>
                </w:p>
                <w:p w14:paraId="719969C7" w14:textId="77777777" w:rsidR="003B0423" w:rsidRPr="00103D56" w:rsidRDefault="003B0423" w:rsidP="003B0423">
                  <w:pPr>
                    <w:tabs>
                      <w:tab w:val="left" w:pos="-108"/>
                    </w:tabs>
                    <w:autoSpaceDE w:val="0"/>
                    <w:autoSpaceDN w:val="0"/>
                    <w:adjustRightInd w:val="0"/>
                    <w:ind w:left="-250"/>
                    <w:jc w:val="right"/>
                    <w:rPr>
                      <w:rFonts w:ascii="Calibri" w:hAnsi="Calibri" w:cs="Calibri"/>
                      <w:bCs/>
                      <w:color w:val="000000"/>
                      <w:sz w:val="22"/>
                      <w:szCs w:val="22"/>
                    </w:rPr>
                  </w:pPr>
                  <w:r w:rsidRPr="00103D56">
                    <w:rPr>
                      <w:rFonts w:ascii="Calibri" w:hAnsi="Calibri" w:cs="Calibri"/>
                      <w:bCs/>
                      <w:color w:val="000000"/>
                      <w:sz w:val="22"/>
                      <w:szCs w:val="22"/>
                    </w:rPr>
                    <w:t>Except.</w:t>
                  </w:r>
                </w:p>
              </w:tc>
              <w:tc>
                <w:tcPr>
                  <w:tcW w:w="1275" w:type="dxa"/>
                  <w:gridSpan w:val="2"/>
                  <w:tcBorders>
                    <w:top w:val="single" w:sz="4" w:space="0" w:color="auto"/>
                    <w:left w:val="single" w:sz="4" w:space="0" w:color="auto"/>
                    <w:right w:val="single" w:sz="4" w:space="0" w:color="auto"/>
                  </w:tcBorders>
                  <w:shd w:val="clear" w:color="auto" w:fill="FFFF00"/>
                </w:tcPr>
                <w:p w14:paraId="257BE2AB" w14:textId="77777777" w:rsidR="003B0423" w:rsidRPr="00103D56" w:rsidRDefault="003B0423" w:rsidP="003B0423">
                  <w:pPr>
                    <w:widowControl w:val="0"/>
                    <w:autoSpaceDE w:val="0"/>
                    <w:autoSpaceDN w:val="0"/>
                    <w:adjustRightInd w:val="0"/>
                    <w:jc w:val="right"/>
                    <w:rPr>
                      <w:rFonts w:ascii="Calibri" w:hAnsi="Calibri" w:cs="Calibri"/>
                      <w:b/>
                      <w:bCs/>
                      <w:color w:val="000000"/>
                      <w:sz w:val="22"/>
                      <w:szCs w:val="22"/>
                    </w:rPr>
                  </w:pPr>
                  <w:r w:rsidRPr="00103D56">
                    <w:rPr>
                      <w:rFonts w:ascii="Calibri" w:hAnsi="Calibri" w:cs="Calibri"/>
                      <w:b/>
                      <w:bCs/>
                      <w:color w:val="000000"/>
                      <w:sz w:val="22"/>
                      <w:szCs w:val="22"/>
                    </w:rPr>
                    <w:t>IFRS</w:t>
                  </w:r>
                </w:p>
                <w:p w14:paraId="1CB378D7" w14:textId="77777777" w:rsidR="003B0423" w:rsidRPr="00103D56" w:rsidRDefault="002075E8" w:rsidP="003B0423">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 xml:space="preserve">Nine </w:t>
                  </w:r>
                  <w:r w:rsidR="00057CA1">
                    <w:rPr>
                      <w:rFonts w:ascii="Calibri" w:hAnsi="Calibri" w:cs="Calibri"/>
                      <w:b/>
                      <w:bCs/>
                      <w:color w:val="000000"/>
                      <w:sz w:val="22"/>
                      <w:szCs w:val="22"/>
                    </w:rPr>
                    <w:t>M</w:t>
                  </w:r>
                  <w:r>
                    <w:rPr>
                      <w:rFonts w:ascii="Calibri" w:hAnsi="Calibri" w:cs="Calibri"/>
                      <w:b/>
                      <w:bCs/>
                      <w:color w:val="000000"/>
                      <w:sz w:val="22"/>
                      <w:szCs w:val="22"/>
                    </w:rPr>
                    <w:t>onths</w:t>
                  </w:r>
                </w:p>
                <w:p w14:paraId="2C2F84DB" w14:textId="77777777" w:rsidR="003B0423" w:rsidRPr="00103D56" w:rsidRDefault="003B0423" w:rsidP="003B0423">
                  <w:pPr>
                    <w:widowControl w:val="0"/>
                    <w:autoSpaceDE w:val="0"/>
                    <w:autoSpaceDN w:val="0"/>
                    <w:adjustRightInd w:val="0"/>
                    <w:jc w:val="right"/>
                    <w:rPr>
                      <w:rFonts w:ascii="Calibri" w:hAnsi="Calibri" w:cs="Calibri"/>
                      <w:b/>
                      <w:bCs/>
                      <w:color w:val="000000"/>
                      <w:sz w:val="22"/>
                      <w:szCs w:val="22"/>
                    </w:rPr>
                  </w:pPr>
                  <w:r w:rsidRPr="00103D56">
                    <w:rPr>
                      <w:rFonts w:ascii="Calibri" w:hAnsi="Calibri" w:cs="Calibri"/>
                      <w:b/>
                      <w:bCs/>
                      <w:color w:val="000000"/>
                      <w:sz w:val="22"/>
                      <w:szCs w:val="22"/>
                    </w:rPr>
                    <w:t>Ended</w:t>
                  </w:r>
                </w:p>
                <w:p w14:paraId="36089A9A" w14:textId="77777777" w:rsidR="003B0423" w:rsidRPr="00103D56" w:rsidRDefault="0033489D" w:rsidP="003B0423">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Dec</w:t>
                  </w:r>
                  <w:r w:rsidR="003B0423" w:rsidRPr="00103D56">
                    <w:rPr>
                      <w:rFonts w:ascii="Calibri" w:hAnsi="Calibri" w:cs="Calibri"/>
                      <w:b/>
                      <w:bCs/>
                      <w:color w:val="000000"/>
                      <w:sz w:val="22"/>
                      <w:szCs w:val="22"/>
                    </w:rPr>
                    <w:t xml:space="preserve"> 3</w:t>
                  </w:r>
                  <w:r>
                    <w:rPr>
                      <w:rFonts w:ascii="Calibri" w:hAnsi="Calibri" w:cs="Calibri"/>
                      <w:b/>
                      <w:bCs/>
                      <w:color w:val="000000"/>
                      <w:sz w:val="22"/>
                      <w:szCs w:val="22"/>
                    </w:rPr>
                    <w:t>1</w:t>
                  </w:r>
                  <w:r w:rsidR="003B0423" w:rsidRPr="00103D56">
                    <w:rPr>
                      <w:rFonts w:ascii="Calibri" w:hAnsi="Calibri" w:cs="Calibri"/>
                      <w:b/>
                      <w:bCs/>
                      <w:color w:val="000000"/>
                      <w:sz w:val="22"/>
                      <w:szCs w:val="22"/>
                    </w:rPr>
                    <w:t>,</w:t>
                  </w:r>
                </w:p>
              </w:tc>
              <w:tc>
                <w:tcPr>
                  <w:tcW w:w="1277" w:type="dxa"/>
                  <w:tcBorders>
                    <w:top w:val="single" w:sz="4" w:space="0" w:color="auto"/>
                    <w:left w:val="single" w:sz="4" w:space="0" w:color="auto"/>
                    <w:right w:val="single" w:sz="4" w:space="0" w:color="auto"/>
                  </w:tcBorders>
                  <w:shd w:val="clear" w:color="auto" w:fill="auto"/>
                </w:tcPr>
                <w:p w14:paraId="031FE602" w14:textId="77777777" w:rsidR="003B0423" w:rsidRPr="0033489D" w:rsidRDefault="003B0423" w:rsidP="003B0423">
                  <w:pPr>
                    <w:widowControl w:val="0"/>
                    <w:autoSpaceDE w:val="0"/>
                    <w:autoSpaceDN w:val="0"/>
                    <w:adjustRightInd w:val="0"/>
                    <w:jc w:val="right"/>
                    <w:rPr>
                      <w:rFonts w:ascii="Calibri" w:hAnsi="Calibri" w:cs="Calibri"/>
                      <w:color w:val="000000"/>
                      <w:sz w:val="22"/>
                      <w:szCs w:val="22"/>
                    </w:rPr>
                  </w:pPr>
                  <w:r w:rsidRPr="0033489D">
                    <w:rPr>
                      <w:rFonts w:ascii="Calibri" w:hAnsi="Calibri" w:cs="Calibri"/>
                      <w:color w:val="000000"/>
                      <w:sz w:val="22"/>
                      <w:szCs w:val="22"/>
                    </w:rPr>
                    <w:t>Pre-Except.</w:t>
                  </w:r>
                </w:p>
                <w:p w14:paraId="79C788F4" w14:textId="77777777" w:rsidR="003B0423" w:rsidRPr="0033489D" w:rsidRDefault="002075E8" w:rsidP="003B0423">
                  <w:pPr>
                    <w:widowControl w:val="0"/>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Nine </w:t>
                  </w:r>
                  <w:r w:rsidR="00057CA1">
                    <w:rPr>
                      <w:rFonts w:ascii="Calibri" w:hAnsi="Calibri" w:cs="Calibri"/>
                      <w:color w:val="000000"/>
                      <w:sz w:val="22"/>
                      <w:szCs w:val="22"/>
                    </w:rPr>
                    <w:t>M</w:t>
                  </w:r>
                  <w:r>
                    <w:rPr>
                      <w:rFonts w:ascii="Calibri" w:hAnsi="Calibri" w:cs="Calibri"/>
                      <w:color w:val="000000"/>
                      <w:sz w:val="22"/>
                      <w:szCs w:val="22"/>
                    </w:rPr>
                    <w:t>onths</w:t>
                  </w:r>
                </w:p>
                <w:p w14:paraId="76DDFB9D" w14:textId="77777777" w:rsidR="003B0423" w:rsidRPr="0033489D" w:rsidRDefault="003B0423" w:rsidP="003B0423">
                  <w:pPr>
                    <w:widowControl w:val="0"/>
                    <w:autoSpaceDE w:val="0"/>
                    <w:autoSpaceDN w:val="0"/>
                    <w:adjustRightInd w:val="0"/>
                    <w:jc w:val="right"/>
                    <w:rPr>
                      <w:rFonts w:ascii="Calibri" w:hAnsi="Calibri" w:cs="Calibri"/>
                      <w:color w:val="000000"/>
                      <w:sz w:val="22"/>
                      <w:szCs w:val="22"/>
                    </w:rPr>
                  </w:pPr>
                  <w:r w:rsidRPr="0033489D">
                    <w:rPr>
                      <w:rFonts w:ascii="Calibri" w:hAnsi="Calibri" w:cs="Calibri"/>
                      <w:color w:val="000000"/>
                      <w:sz w:val="22"/>
                      <w:szCs w:val="22"/>
                    </w:rPr>
                    <w:t>Ended</w:t>
                  </w:r>
                </w:p>
                <w:p w14:paraId="3D0ABA6F" w14:textId="77777777" w:rsidR="003B0423" w:rsidRPr="0033489D" w:rsidRDefault="0033489D" w:rsidP="003B0423">
                  <w:pPr>
                    <w:widowControl w:val="0"/>
                    <w:autoSpaceDE w:val="0"/>
                    <w:autoSpaceDN w:val="0"/>
                    <w:adjustRightInd w:val="0"/>
                    <w:jc w:val="right"/>
                    <w:rPr>
                      <w:rFonts w:ascii="Calibri" w:hAnsi="Calibri" w:cs="Calibri"/>
                      <w:color w:val="000000"/>
                      <w:sz w:val="22"/>
                      <w:szCs w:val="22"/>
                    </w:rPr>
                  </w:pPr>
                  <w:r w:rsidRPr="0033489D">
                    <w:rPr>
                      <w:rFonts w:ascii="Calibri" w:hAnsi="Calibri" w:cs="Calibri"/>
                      <w:color w:val="000000"/>
                      <w:sz w:val="22"/>
                      <w:szCs w:val="22"/>
                    </w:rPr>
                    <w:t>Dec 31</w:t>
                  </w:r>
                  <w:r w:rsidR="003B0423" w:rsidRPr="0033489D">
                    <w:rPr>
                      <w:rFonts w:ascii="Calibri" w:hAnsi="Calibri" w:cs="Calibri"/>
                      <w:color w:val="000000"/>
                      <w:sz w:val="22"/>
                      <w:szCs w:val="22"/>
                    </w:rPr>
                    <w:t>,</w:t>
                  </w:r>
                </w:p>
              </w:tc>
              <w:tc>
                <w:tcPr>
                  <w:tcW w:w="1134" w:type="dxa"/>
                  <w:gridSpan w:val="2"/>
                  <w:tcBorders>
                    <w:top w:val="single" w:sz="4" w:space="0" w:color="auto"/>
                    <w:left w:val="single" w:sz="4" w:space="0" w:color="auto"/>
                    <w:right w:val="single" w:sz="4" w:space="0" w:color="auto"/>
                  </w:tcBorders>
                  <w:shd w:val="clear" w:color="auto" w:fill="auto"/>
                </w:tcPr>
                <w:p w14:paraId="5F9F0CAA" w14:textId="77777777" w:rsidR="003B0423" w:rsidRPr="0033489D" w:rsidRDefault="003B0423" w:rsidP="003B0423">
                  <w:pPr>
                    <w:widowControl w:val="0"/>
                    <w:autoSpaceDE w:val="0"/>
                    <w:autoSpaceDN w:val="0"/>
                    <w:adjustRightInd w:val="0"/>
                    <w:jc w:val="right"/>
                    <w:rPr>
                      <w:rFonts w:ascii="Calibri" w:hAnsi="Calibri" w:cs="Calibri"/>
                      <w:color w:val="000000"/>
                      <w:sz w:val="22"/>
                      <w:szCs w:val="22"/>
                    </w:rPr>
                  </w:pPr>
                  <w:r w:rsidRPr="0033489D">
                    <w:rPr>
                      <w:rFonts w:ascii="Calibri" w:hAnsi="Calibri" w:cs="Calibri"/>
                      <w:color w:val="000000"/>
                      <w:sz w:val="22"/>
                      <w:szCs w:val="22"/>
                    </w:rPr>
                    <w:t>Except.</w:t>
                  </w:r>
                </w:p>
                <w:p w14:paraId="73B5B583" w14:textId="77777777" w:rsidR="003B0423" w:rsidRPr="0033489D" w:rsidRDefault="002075E8" w:rsidP="003B0423">
                  <w:pPr>
                    <w:widowControl w:val="0"/>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Nine </w:t>
                  </w:r>
                  <w:r w:rsidR="00057CA1">
                    <w:rPr>
                      <w:rFonts w:ascii="Calibri" w:hAnsi="Calibri" w:cs="Calibri"/>
                      <w:color w:val="000000"/>
                      <w:sz w:val="22"/>
                      <w:szCs w:val="22"/>
                    </w:rPr>
                    <w:t>M</w:t>
                  </w:r>
                  <w:r>
                    <w:rPr>
                      <w:rFonts w:ascii="Calibri" w:hAnsi="Calibri" w:cs="Calibri"/>
                      <w:color w:val="000000"/>
                      <w:sz w:val="22"/>
                      <w:szCs w:val="22"/>
                    </w:rPr>
                    <w:t>onths</w:t>
                  </w:r>
                </w:p>
                <w:p w14:paraId="1D01680A" w14:textId="77777777" w:rsidR="003B0423" w:rsidRPr="0033489D" w:rsidRDefault="003B0423" w:rsidP="003B0423">
                  <w:pPr>
                    <w:widowControl w:val="0"/>
                    <w:autoSpaceDE w:val="0"/>
                    <w:autoSpaceDN w:val="0"/>
                    <w:adjustRightInd w:val="0"/>
                    <w:jc w:val="right"/>
                    <w:rPr>
                      <w:rFonts w:ascii="Calibri" w:hAnsi="Calibri" w:cs="Calibri"/>
                      <w:color w:val="000000"/>
                      <w:sz w:val="22"/>
                      <w:szCs w:val="22"/>
                    </w:rPr>
                  </w:pPr>
                  <w:r w:rsidRPr="0033489D">
                    <w:rPr>
                      <w:rFonts w:ascii="Calibri" w:hAnsi="Calibri" w:cs="Calibri"/>
                      <w:color w:val="000000"/>
                      <w:sz w:val="22"/>
                      <w:szCs w:val="22"/>
                    </w:rPr>
                    <w:t>Ended</w:t>
                  </w:r>
                </w:p>
                <w:p w14:paraId="5A010E70" w14:textId="77777777" w:rsidR="003B0423" w:rsidRPr="0033489D" w:rsidRDefault="0033489D" w:rsidP="003B0423">
                  <w:pPr>
                    <w:widowControl w:val="0"/>
                    <w:autoSpaceDE w:val="0"/>
                    <w:autoSpaceDN w:val="0"/>
                    <w:adjustRightInd w:val="0"/>
                    <w:jc w:val="right"/>
                    <w:rPr>
                      <w:rFonts w:ascii="Calibri" w:hAnsi="Calibri" w:cs="Calibri"/>
                      <w:color w:val="000000"/>
                      <w:sz w:val="22"/>
                      <w:szCs w:val="22"/>
                    </w:rPr>
                  </w:pPr>
                  <w:r w:rsidRPr="0033489D">
                    <w:rPr>
                      <w:rFonts w:ascii="Calibri" w:hAnsi="Calibri" w:cs="Calibri"/>
                      <w:color w:val="000000"/>
                      <w:sz w:val="22"/>
                      <w:szCs w:val="22"/>
                    </w:rPr>
                    <w:t>Dec 31</w:t>
                  </w:r>
                  <w:r w:rsidR="003B0423" w:rsidRPr="0033489D">
                    <w:rPr>
                      <w:rFonts w:ascii="Calibri" w:hAnsi="Calibri" w:cs="Calibri"/>
                      <w:color w:val="000000"/>
                      <w:sz w:val="22"/>
                      <w:szCs w:val="22"/>
                    </w:rPr>
                    <w:t>,</w:t>
                  </w:r>
                </w:p>
              </w:tc>
              <w:tc>
                <w:tcPr>
                  <w:tcW w:w="1133" w:type="dxa"/>
                  <w:tcBorders>
                    <w:top w:val="single" w:sz="4" w:space="0" w:color="auto"/>
                    <w:left w:val="single" w:sz="4" w:space="0" w:color="auto"/>
                    <w:right w:val="single" w:sz="4" w:space="0" w:color="auto"/>
                  </w:tcBorders>
                </w:tcPr>
                <w:p w14:paraId="7593D17A" w14:textId="77777777" w:rsidR="003B0423" w:rsidRPr="0033489D" w:rsidRDefault="003B0423" w:rsidP="003B0423">
                  <w:pPr>
                    <w:widowControl w:val="0"/>
                    <w:autoSpaceDE w:val="0"/>
                    <w:autoSpaceDN w:val="0"/>
                    <w:adjustRightInd w:val="0"/>
                    <w:jc w:val="right"/>
                    <w:rPr>
                      <w:rFonts w:ascii="Calibri" w:hAnsi="Calibri" w:cs="Calibri"/>
                      <w:color w:val="000000"/>
                      <w:sz w:val="22"/>
                      <w:szCs w:val="22"/>
                    </w:rPr>
                  </w:pPr>
                  <w:r w:rsidRPr="0033489D">
                    <w:rPr>
                      <w:rFonts w:ascii="Calibri" w:hAnsi="Calibri" w:cs="Calibri"/>
                      <w:color w:val="000000"/>
                      <w:sz w:val="22"/>
                      <w:szCs w:val="22"/>
                    </w:rPr>
                    <w:t>IFRS</w:t>
                  </w:r>
                </w:p>
                <w:p w14:paraId="42D819A6" w14:textId="77777777" w:rsidR="003B0423" w:rsidRPr="0033489D" w:rsidRDefault="002075E8" w:rsidP="003B0423">
                  <w:pPr>
                    <w:widowControl w:val="0"/>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Nine </w:t>
                  </w:r>
                  <w:r w:rsidR="00057CA1">
                    <w:rPr>
                      <w:rFonts w:ascii="Calibri" w:hAnsi="Calibri" w:cs="Calibri"/>
                      <w:color w:val="000000"/>
                      <w:sz w:val="22"/>
                      <w:szCs w:val="22"/>
                    </w:rPr>
                    <w:t>M</w:t>
                  </w:r>
                  <w:r>
                    <w:rPr>
                      <w:rFonts w:ascii="Calibri" w:hAnsi="Calibri" w:cs="Calibri"/>
                      <w:color w:val="000000"/>
                      <w:sz w:val="22"/>
                      <w:szCs w:val="22"/>
                    </w:rPr>
                    <w:t>onths</w:t>
                  </w:r>
                </w:p>
                <w:p w14:paraId="775CD788" w14:textId="77777777" w:rsidR="003B0423" w:rsidRPr="0033489D" w:rsidRDefault="003B0423" w:rsidP="003B0423">
                  <w:pPr>
                    <w:widowControl w:val="0"/>
                    <w:autoSpaceDE w:val="0"/>
                    <w:autoSpaceDN w:val="0"/>
                    <w:adjustRightInd w:val="0"/>
                    <w:jc w:val="right"/>
                    <w:rPr>
                      <w:rFonts w:ascii="Calibri" w:hAnsi="Calibri" w:cs="Calibri"/>
                      <w:color w:val="000000"/>
                      <w:sz w:val="22"/>
                      <w:szCs w:val="22"/>
                    </w:rPr>
                  </w:pPr>
                  <w:r w:rsidRPr="0033489D">
                    <w:rPr>
                      <w:rFonts w:ascii="Calibri" w:hAnsi="Calibri" w:cs="Calibri"/>
                      <w:color w:val="000000"/>
                      <w:sz w:val="22"/>
                      <w:szCs w:val="22"/>
                    </w:rPr>
                    <w:t>Ended</w:t>
                  </w:r>
                </w:p>
                <w:p w14:paraId="3FC581A1" w14:textId="77777777" w:rsidR="003B0423" w:rsidRPr="0033489D" w:rsidRDefault="0033489D" w:rsidP="003B0423">
                  <w:pPr>
                    <w:widowControl w:val="0"/>
                    <w:autoSpaceDE w:val="0"/>
                    <w:autoSpaceDN w:val="0"/>
                    <w:adjustRightInd w:val="0"/>
                    <w:jc w:val="right"/>
                    <w:rPr>
                      <w:rFonts w:ascii="Calibri" w:hAnsi="Calibri" w:cs="Calibri"/>
                      <w:color w:val="000000"/>
                      <w:sz w:val="22"/>
                      <w:szCs w:val="22"/>
                    </w:rPr>
                  </w:pPr>
                  <w:r w:rsidRPr="0033489D">
                    <w:rPr>
                      <w:rFonts w:ascii="Calibri" w:hAnsi="Calibri" w:cs="Calibri"/>
                      <w:color w:val="000000"/>
                      <w:sz w:val="22"/>
                      <w:szCs w:val="22"/>
                    </w:rPr>
                    <w:t>Dec 31</w:t>
                  </w:r>
                  <w:r w:rsidR="003B0423" w:rsidRPr="0033489D">
                    <w:rPr>
                      <w:rFonts w:ascii="Calibri" w:hAnsi="Calibri" w:cs="Calibri"/>
                      <w:color w:val="000000"/>
                      <w:sz w:val="22"/>
                      <w:szCs w:val="22"/>
                    </w:rPr>
                    <w:t>,</w:t>
                  </w:r>
                </w:p>
              </w:tc>
            </w:tr>
            <w:tr w:rsidR="003B0423" w:rsidRPr="00C22F7C" w14:paraId="04B35F30" w14:textId="77777777" w:rsidTr="004C74E4">
              <w:trPr>
                <w:trHeight w:val="214"/>
              </w:trPr>
              <w:tc>
                <w:tcPr>
                  <w:tcW w:w="265" w:type="dxa"/>
                </w:tcPr>
                <w:p w14:paraId="15BA05C7"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1C7C5C04" w14:textId="77777777" w:rsidR="003B0423" w:rsidRPr="00103D56" w:rsidRDefault="003B0423" w:rsidP="003B0423">
                  <w:pPr>
                    <w:autoSpaceDE w:val="0"/>
                    <w:autoSpaceDN w:val="0"/>
                    <w:adjustRightInd w:val="0"/>
                    <w:jc w:val="right"/>
                    <w:rPr>
                      <w:rFonts w:ascii="Calibri" w:hAnsi="Calibri" w:cs="Calibri"/>
                      <w:color w:val="000000"/>
                      <w:sz w:val="22"/>
                      <w:szCs w:val="22"/>
                    </w:rPr>
                  </w:pPr>
                </w:p>
              </w:tc>
              <w:tc>
                <w:tcPr>
                  <w:tcW w:w="710" w:type="dxa"/>
                  <w:gridSpan w:val="2"/>
                </w:tcPr>
                <w:p w14:paraId="69E2CC2F" w14:textId="77777777" w:rsidR="003B0423" w:rsidRPr="00103D56" w:rsidRDefault="003B0423" w:rsidP="003B0423">
                  <w:pPr>
                    <w:autoSpaceDE w:val="0"/>
                    <w:autoSpaceDN w:val="0"/>
                    <w:adjustRightInd w:val="0"/>
                    <w:jc w:val="right"/>
                    <w:rPr>
                      <w:rFonts w:ascii="Calibri" w:hAnsi="Calibri" w:cs="Calibri"/>
                      <w:bCs/>
                      <w:color w:val="000000"/>
                      <w:sz w:val="22"/>
                      <w:szCs w:val="22"/>
                      <w:highlight w:val="yellow"/>
                    </w:rPr>
                  </w:pPr>
                </w:p>
              </w:tc>
              <w:tc>
                <w:tcPr>
                  <w:tcW w:w="1132" w:type="dxa"/>
                  <w:gridSpan w:val="2"/>
                  <w:tcBorders>
                    <w:right w:val="single" w:sz="4" w:space="0" w:color="auto"/>
                  </w:tcBorders>
                  <w:shd w:val="clear" w:color="auto" w:fill="auto"/>
                </w:tcPr>
                <w:p w14:paraId="3CC012E6" w14:textId="77777777" w:rsidR="003B0423" w:rsidRPr="00103D56" w:rsidRDefault="003B0423" w:rsidP="003B0423">
                  <w:pPr>
                    <w:tabs>
                      <w:tab w:val="left" w:pos="-108"/>
                    </w:tabs>
                    <w:autoSpaceDE w:val="0"/>
                    <w:autoSpaceDN w:val="0"/>
                    <w:adjustRightInd w:val="0"/>
                    <w:ind w:left="-250"/>
                    <w:jc w:val="right"/>
                    <w:rPr>
                      <w:rFonts w:ascii="Calibri" w:hAnsi="Calibri" w:cs="Calibri"/>
                      <w:bCs/>
                      <w:color w:val="000000"/>
                      <w:sz w:val="22"/>
                      <w:szCs w:val="22"/>
                    </w:rPr>
                  </w:pPr>
                  <w:r w:rsidRPr="00103D56">
                    <w:rPr>
                      <w:rFonts w:ascii="Calibri" w:hAnsi="Calibri" w:cs="Calibri"/>
                      <w:bCs/>
                      <w:color w:val="000000"/>
                      <w:sz w:val="22"/>
                      <w:szCs w:val="22"/>
                    </w:rPr>
                    <w:t>Change</w:t>
                  </w:r>
                </w:p>
              </w:tc>
              <w:tc>
                <w:tcPr>
                  <w:tcW w:w="1275" w:type="dxa"/>
                  <w:gridSpan w:val="2"/>
                  <w:tcBorders>
                    <w:left w:val="single" w:sz="4" w:space="0" w:color="auto"/>
                    <w:right w:val="single" w:sz="4" w:space="0" w:color="auto"/>
                  </w:tcBorders>
                  <w:shd w:val="clear" w:color="auto" w:fill="FFFF00"/>
                </w:tcPr>
                <w:p w14:paraId="2FA1C3A5" w14:textId="77777777" w:rsidR="003B0423" w:rsidRPr="00103D56" w:rsidRDefault="003B0423" w:rsidP="003B0423">
                  <w:pPr>
                    <w:widowControl w:val="0"/>
                    <w:autoSpaceDE w:val="0"/>
                    <w:autoSpaceDN w:val="0"/>
                    <w:adjustRightInd w:val="0"/>
                    <w:jc w:val="right"/>
                    <w:rPr>
                      <w:rFonts w:ascii="Calibri" w:hAnsi="Calibri" w:cs="Calibri"/>
                      <w:b/>
                      <w:bCs/>
                      <w:color w:val="000000"/>
                      <w:sz w:val="22"/>
                      <w:szCs w:val="22"/>
                    </w:rPr>
                  </w:pPr>
                  <w:r w:rsidRPr="00103D56">
                    <w:rPr>
                      <w:rFonts w:ascii="Calibri" w:hAnsi="Calibri" w:cs="Calibri"/>
                      <w:b/>
                      <w:bCs/>
                      <w:color w:val="000000"/>
                      <w:sz w:val="22"/>
                      <w:szCs w:val="22"/>
                    </w:rPr>
                    <w:t>2023</w:t>
                  </w:r>
                </w:p>
              </w:tc>
              <w:tc>
                <w:tcPr>
                  <w:tcW w:w="1277" w:type="dxa"/>
                  <w:tcBorders>
                    <w:left w:val="single" w:sz="4" w:space="0" w:color="auto"/>
                    <w:right w:val="single" w:sz="4" w:space="0" w:color="auto"/>
                  </w:tcBorders>
                  <w:shd w:val="clear" w:color="auto" w:fill="auto"/>
                </w:tcPr>
                <w:p w14:paraId="6BDB4C5B"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2022</w:t>
                  </w:r>
                </w:p>
              </w:tc>
              <w:tc>
                <w:tcPr>
                  <w:tcW w:w="1134" w:type="dxa"/>
                  <w:gridSpan w:val="2"/>
                  <w:tcBorders>
                    <w:left w:val="single" w:sz="4" w:space="0" w:color="auto"/>
                    <w:right w:val="single" w:sz="4" w:space="0" w:color="auto"/>
                  </w:tcBorders>
                  <w:shd w:val="clear" w:color="auto" w:fill="auto"/>
                </w:tcPr>
                <w:p w14:paraId="570D40D5"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2022</w:t>
                  </w:r>
                </w:p>
              </w:tc>
              <w:tc>
                <w:tcPr>
                  <w:tcW w:w="1133" w:type="dxa"/>
                  <w:tcBorders>
                    <w:left w:val="single" w:sz="4" w:space="0" w:color="auto"/>
                    <w:right w:val="single" w:sz="4" w:space="0" w:color="auto"/>
                  </w:tcBorders>
                </w:tcPr>
                <w:p w14:paraId="327D1C4C"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rPr>
                  </w:pPr>
                  <w:r w:rsidRPr="00CA3F18">
                    <w:rPr>
                      <w:rFonts w:ascii="Calibri" w:hAnsi="Calibri" w:cs="Calibri"/>
                      <w:color w:val="000000"/>
                      <w:sz w:val="22"/>
                      <w:szCs w:val="22"/>
                    </w:rPr>
                    <w:t>2022</w:t>
                  </w:r>
                </w:p>
              </w:tc>
            </w:tr>
            <w:tr w:rsidR="003B0423" w:rsidRPr="00C22F7C" w14:paraId="08E88C92" w14:textId="77777777" w:rsidTr="004C74E4">
              <w:trPr>
                <w:trHeight w:val="214"/>
              </w:trPr>
              <w:tc>
                <w:tcPr>
                  <w:tcW w:w="265" w:type="dxa"/>
                </w:tcPr>
                <w:p w14:paraId="7057642A" w14:textId="77777777" w:rsidR="003B0423" w:rsidRPr="00C22F7C" w:rsidRDefault="003B0423" w:rsidP="003B0423">
                  <w:pPr>
                    <w:autoSpaceDE w:val="0"/>
                    <w:autoSpaceDN w:val="0"/>
                    <w:adjustRightInd w:val="0"/>
                    <w:jc w:val="right"/>
                    <w:rPr>
                      <w:rFonts w:ascii="Calibri" w:hAnsi="Calibri" w:cs="Calibri"/>
                      <w:color w:val="000000"/>
                      <w:sz w:val="22"/>
                      <w:szCs w:val="22"/>
                    </w:rPr>
                  </w:pPr>
                </w:p>
              </w:tc>
              <w:tc>
                <w:tcPr>
                  <w:tcW w:w="3704" w:type="dxa"/>
                </w:tcPr>
                <w:p w14:paraId="63AA9425" w14:textId="77777777" w:rsidR="003B0423" w:rsidRPr="00103D56" w:rsidRDefault="003B0423" w:rsidP="003B0423">
                  <w:pPr>
                    <w:autoSpaceDE w:val="0"/>
                    <w:autoSpaceDN w:val="0"/>
                    <w:adjustRightInd w:val="0"/>
                    <w:jc w:val="right"/>
                    <w:rPr>
                      <w:rFonts w:ascii="Calibri" w:hAnsi="Calibri" w:cs="Calibri"/>
                      <w:color w:val="000000"/>
                      <w:sz w:val="22"/>
                      <w:szCs w:val="22"/>
                    </w:rPr>
                  </w:pPr>
                </w:p>
              </w:tc>
              <w:tc>
                <w:tcPr>
                  <w:tcW w:w="710" w:type="dxa"/>
                  <w:gridSpan w:val="2"/>
                </w:tcPr>
                <w:p w14:paraId="22023712" w14:textId="77777777" w:rsidR="003B0423" w:rsidRPr="00103D56" w:rsidRDefault="003B0423" w:rsidP="003B0423">
                  <w:pPr>
                    <w:autoSpaceDE w:val="0"/>
                    <w:autoSpaceDN w:val="0"/>
                    <w:adjustRightInd w:val="0"/>
                    <w:jc w:val="right"/>
                    <w:rPr>
                      <w:rFonts w:ascii="Calibri" w:hAnsi="Calibri" w:cs="Calibri"/>
                      <w:b/>
                      <w:bCs/>
                      <w:color w:val="000000"/>
                      <w:sz w:val="22"/>
                      <w:szCs w:val="22"/>
                      <w:u w:val="single"/>
                    </w:rPr>
                  </w:pPr>
                  <w:r w:rsidRPr="00103D56">
                    <w:rPr>
                      <w:rFonts w:ascii="Calibri" w:hAnsi="Calibri" w:cs="Calibri"/>
                      <w:b/>
                      <w:bCs/>
                      <w:color w:val="000000"/>
                      <w:sz w:val="22"/>
                      <w:szCs w:val="22"/>
                      <w:u w:val="single"/>
                    </w:rPr>
                    <w:t>Note</w:t>
                  </w:r>
                </w:p>
              </w:tc>
              <w:tc>
                <w:tcPr>
                  <w:tcW w:w="1132" w:type="dxa"/>
                  <w:gridSpan w:val="2"/>
                  <w:tcBorders>
                    <w:right w:val="single" w:sz="4" w:space="0" w:color="auto"/>
                  </w:tcBorders>
                  <w:shd w:val="clear" w:color="auto" w:fill="auto"/>
                </w:tcPr>
                <w:p w14:paraId="4A076908" w14:textId="77777777" w:rsidR="003B0423" w:rsidRPr="00103D56" w:rsidRDefault="003B0423" w:rsidP="003B0423">
                  <w:pPr>
                    <w:autoSpaceDE w:val="0"/>
                    <w:autoSpaceDN w:val="0"/>
                    <w:adjustRightInd w:val="0"/>
                    <w:jc w:val="right"/>
                    <w:rPr>
                      <w:rFonts w:ascii="Calibri" w:hAnsi="Calibri" w:cs="Calibri"/>
                      <w:bCs/>
                      <w:color w:val="000000"/>
                      <w:sz w:val="22"/>
                      <w:szCs w:val="22"/>
                      <w:u w:val="single"/>
                    </w:rPr>
                  </w:pPr>
                  <w:r w:rsidRPr="00103D56">
                    <w:rPr>
                      <w:rFonts w:ascii="Calibri" w:hAnsi="Calibri" w:cs="Calibri"/>
                      <w:bCs/>
                      <w:color w:val="000000"/>
                      <w:sz w:val="22"/>
                      <w:szCs w:val="22"/>
                      <w:u w:val="single"/>
                    </w:rPr>
                    <w:t>%</w:t>
                  </w:r>
                  <w:r w:rsidR="000B43EE">
                    <w:rPr>
                      <w:rFonts w:ascii="Calibri" w:hAnsi="Calibri" w:cs="Calibri"/>
                      <w:bCs/>
                      <w:color w:val="000000"/>
                      <w:sz w:val="22"/>
                      <w:szCs w:val="22"/>
                      <w:u w:val="single"/>
                    </w:rPr>
                    <w:t>*</w:t>
                  </w:r>
                </w:p>
              </w:tc>
              <w:tc>
                <w:tcPr>
                  <w:tcW w:w="1275" w:type="dxa"/>
                  <w:gridSpan w:val="2"/>
                  <w:tcBorders>
                    <w:left w:val="single" w:sz="4" w:space="0" w:color="auto"/>
                    <w:right w:val="single" w:sz="4" w:space="0" w:color="auto"/>
                  </w:tcBorders>
                  <w:shd w:val="clear" w:color="auto" w:fill="FFFF00"/>
                </w:tcPr>
                <w:p w14:paraId="19553A4A" w14:textId="77777777" w:rsidR="003B0423" w:rsidRPr="00103D56" w:rsidRDefault="003B0423" w:rsidP="003B0423">
                  <w:pPr>
                    <w:widowControl w:val="0"/>
                    <w:autoSpaceDE w:val="0"/>
                    <w:autoSpaceDN w:val="0"/>
                    <w:adjustRightInd w:val="0"/>
                    <w:jc w:val="right"/>
                    <w:rPr>
                      <w:rFonts w:ascii="Calibri" w:hAnsi="Calibri" w:cs="Calibri"/>
                      <w:b/>
                      <w:bCs/>
                      <w:color w:val="000000"/>
                      <w:sz w:val="22"/>
                      <w:szCs w:val="22"/>
                      <w:highlight w:val="yellow"/>
                      <w:u w:val="single"/>
                    </w:rPr>
                  </w:pPr>
                  <w:r w:rsidRPr="00103D56">
                    <w:rPr>
                      <w:rFonts w:ascii="Calibri" w:hAnsi="Calibri" w:cs="Calibri"/>
                      <w:b/>
                      <w:bCs/>
                      <w:color w:val="000000"/>
                      <w:sz w:val="22"/>
                      <w:szCs w:val="22"/>
                      <w:highlight w:val="yellow"/>
                      <w:u w:val="single"/>
                    </w:rPr>
                    <w:t>€M</w:t>
                  </w:r>
                </w:p>
              </w:tc>
              <w:tc>
                <w:tcPr>
                  <w:tcW w:w="1277" w:type="dxa"/>
                  <w:tcBorders>
                    <w:left w:val="single" w:sz="4" w:space="0" w:color="auto"/>
                    <w:right w:val="single" w:sz="4" w:space="0" w:color="auto"/>
                  </w:tcBorders>
                  <w:shd w:val="clear" w:color="auto" w:fill="auto"/>
                </w:tcPr>
                <w:p w14:paraId="75A9EF50"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u w:val="single"/>
                    </w:rPr>
                  </w:pPr>
                  <w:r w:rsidRPr="00CA3F18">
                    <w:rPr>
                      <w:rFonts w:ascii="Calibri" w:hAnsi="Calibri" w:cs="Calibri"/>
                      <w:color w:val="000000"/>
                      <w:sz w:val="22"/>
                      <w:szCs w:val="22"/>
                      <w:u w:val="single"/>
                    </w:rPr>
                    <w:t>€M</w:t>
                  </w:r>
                </w:p>
              </w:tc>
              <w:tc>
                <w:tcPr>
                  <w:tcW w:w="1134" w:type="dxa"/>
                  <w:gridSpan w:val="2"/>
                  <w:tcBorders>
                    <w:left w:val="single" w:sz="4" w:space="0" w:color="auto"/>
                    <w:right w:val="single" w:sz="4" w:space="0" w:color="auto"/>
                  </w:tcBorders>
                  <w:shd w:val="clear" w:color="auto" w:fill="auto"/>
                </w:tcPr>
                <w:p w14:paraId="134EC661"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u w:val="single"/>
                    </w:rPr>
                  </w:pPr>
                  <w:r w:rsidRPr="00CA3F18">
                    <w:rPr>
                      <w:rFonts w:ascii="Calibri" w:hAnsi="Calibri" w:cs="Calibri"/>
                      <w:color w:val="000000"/>
                      <w:sz w:val="22"/>
                      <w:szCs w:val="22"/>
                      <w:u w:val="single"/>
                    </w:rPr>
                    <w:t>€M</w:t>
                  </w:r>
                </w:p>
              </w:tc>
              <w:tc>
                <w:tcPr>
                  <w:tcW w:w="1133" w:type="dxa"/>
                  <w:tcBorders>
                    <w:left w:val="single" w:sz="4" w:space="0" w:color="auto"/>
                    <w:right w:val="single" w:sz="4" w:space="0" w:color="auto"/>
                  </w:tcBorders>
                </w:tcPr>
                <w:p w14:paraId="501D2385" w14:textId="77777777" w:rsidR="003B0423" w:rsidRPr="00CA3F18" w:rsidRDefault="003B0423" w:rsidP="003B0423">
                  <w:pPr>
                    <w:widowControl w:val="0"/>
                    <w:autoSpaceDE w:val="0"/>
                    <w:autoSpaceDN w:val="0"/>
                    <w:adjustRightInd w:val="0"/>
                    <w:jc w:val="right"/>
                    <w:rPr>
                      <w:rFonts w:ascii="Calibri" w:hAnsi="Calibri" w:cs="Calibri"/>
                      <w:color w:val="000000"/>
                      <w:sz w:val="22"/>
                      <w:szCs w:val="22"/>
                      <w:u w:val="single"/>
                    </w:rPr>
                  </w:pPr>
                  <w:r w:rsidRPr="00CA3F18">
                    <w:rPr>
                      <w:rFonts w:ascii="Calibri" w:hAnsi="Calibri" w:cs="Calibri"/>
                      <w:color w:val="000000"/>
                      <w:sz w:val="22"/>
                      <w:szCs w:val="22"/>
                      <w:u w:val="single"/>
                    </w:rPr>
                    <w:t>€M</w:t>
                  </w:r>
                </w:p>
              </w:tc>
            </w:tr>
            <w:tr w:rsidR="003B0423" w:rsidRPr="00C22F7C" w14:paraId="49692A77" w14:textId="77777777" w:rsidTr="004C74E4">
              <w:trPr>
                <w:trHeight w:val="214"/>
              </w:trPr>
              <w:tc>
                <w:tcPr>
                  <w:tcW w:w="3969" w:type="dxa"/>
                  <w:gridSpan w:val="2"/>
                </w:tcPr>
                <w:p w14:paraId="5C657C0D" w14:textId="77777777" w:rsidR="003B0423" w:rsidRPr="00FD297D" w:rsidRDefault="003B0423" w:rsidP="003B0423">
                  <w:pPr>
                    <w:autoSpaceDE w:val="0"/>
                    <w:autoSpaceDN w:val="0"/>
                    <w:adjustRightInd w:val="0"/>
                    <w:ind w:hanging="105"/>
                    <w:rPr>
                      <w:rFonts w:ascii="Calibri" w:hAnsi="Calibri" w:cs="Calibri"/>
                      <w:b/>
                      <w:bCs/>
                      <w:color w:val="000000"/>
                      <w:sz w:val="22"/>
                      <w:szCs w:val="22"/>
                    </w:rPr>
                  </w:pPr>
                  <w:r w:rsidRPr="00FD297D">
                    <w:rPr>
                      <w:rFonts w:ascii="Calibri" w:hAnsi="Calibri" w:cs="Calibri"/>
                      <w:b/>
                      <w:bCs/>
                      <w:color w:val="000000"/>
                      <w:sz w:val="22"/>
                      <w:szCs w:val="22"/>
                    </w:rPr>
                    <w:t>Operating revenues</w:t>
                  </w:r>
                </w:p>
              </w:tc>
              <w:tc>
                <w:tcPr>
                  <w:tcW w:w="710" w:type="dxa"/>
                  <w:gridSpan w:val="2"/>
                </w:tcPr>
                <w:p w14:paraId="3C54F5B6" w14:textId="77777777" w:rsidR="003B0423" w:rsidRPr="00103D56" w:rsidRDefault="003B0423" w:rsidP="003B0423">
                  <w:pPr>
                    <w:autoSpaceDE w:val="0"/>
                    <w:autoSpaceDN w:val="0"/>
                    <w:adjustRightInd w:val="0"/>
                    <w:jc w:val="right"/>
                    <w:rPr>
                      <w:rFonts w:ascii="Calibri" w:hAnsi="Calibri" w:cs="Calibri"/>
                      <w:color w:val="000000"/>
                      <w:sz w:val="22"/>
                      <w:szCs w:val="22"/>
                    </w:rPr>
                  </w:pPr>
                </w:p>
              </w:tc>
              <w:tc>
                <w:tcPr>
                  <w:tcW w:w="1132" w:type="dxa"/>
                  <w:gridSpan w:val="2"/>
                  <w:tcBorders>
                    <w:right w:val="single" w:sz="4" w:space="0" w:color="auto"/>
                  </w:tcBorders>
                </w:tcPr>
                <w:p w14:paraId="22630BAE" w14:textId="77777777" w:rsidR="003B0423" w:rsidRPr="002554EF" w:rsidRDefault="003B0423" w:rsidP="003B0423">
                  <w:pPr>
                    <w:autoSpaceDE w:val="0"/>
                    <w:autoSpaceDN w:val="0"/>
                    <w:adjustRightInd w:val="0"/>
                    <w:jc w:val="right"/>
                    <w:rPr>
                      <w:rFonts w:ascii="Calibri" w:hAnsi="Calibri" w:cs="Calibri"/>
                      <w:color w:val="000000"/>
                      <w:sz w:val="22"/>
                      <w:szCs w:val="22"/>
                    </w:rPr>
                  </w:pPr>
                </w:p>
              </w:tc>
              <w:tc>
                <w:tcPr>
                  <w:tcW w:w="1275" w:type="dxa"/>
                  <w:gridSpan w:val="2"/>
                  <w:tcBorders>
                    <w:left w:val="single" w:sz="4" w:space="0" w:color="auto"/>
                    <w:right w:val="single" w:sz="4" w:space="0" w:color="auto"/>
                  </w:tcBorders>
                  <w:shd w:val="clear" w:color="auto" w:fill="FFFF00"/>
                </w:tcPr>
                <w:p w14:paraId="4CC3CD67" w14:textId="77777777" w:rsidR="003B0423" w:rsidRPr="00103D56" w:rsidRDefault="003B0423" w:rsidP="003B0423">
                  <w:pPr>
                    <w:autoSpaceDE w:val="0"/>
                    <w:autoSpaceDN w:val="0"/>
                    <w:adjustRightInd w:val="0"/>
                    <w:ind w:left="-226"/>
                    <w:jc w:val="right"/>
                    <w:rPr>
                      <w:rFonts w:ascii="Calibri" w:hAnsi="Calibri" w:cs="Calibri"/>
                      <w:color w:val="000000"/>
                      <w:sz w:val="22"/>
                      <w:szCs w:val="22"/>
                    </w:rPr>
                  </w:pPr>
                </w:p>
              </w:tc>
              <w:tc>
                <w:tcPr>
                  <w:tcW w:w="1277" w:type="dxa"/>
                  <w:tcBorders>
                    <w:left w:val="single" w:sz="4" w:space="0" w:color="auto"/>
                    <w:right w:val="single" w:sz="4" w:space="0" w:color="auto"/>
                  </w:tcBorders>
                  <w:shd w:val="clear" w:color="auto" w:fill="auto"/>
                </w:tcPr>
                <w:p w14:paraId="0EABD54B" w14:textId="77777777" w:rsidR="003B0423" w:rsidRPr="00103D56" w:rsidRDefault="003B0423" w:rsidP="003B0423">
                  <w:pPr>
                    <w:autoSpaceDE w:val="0"/>
                    <w:autoSpaceDN w:val="0"/>
                    <w:adjustRightInd w:val="0"/>
                    <w:ind w:left="-226"/>
                    <w:jc w:val="right"/>
                    <w:rPr>
                      <w:rFonts w:ascii="Calibri" w:hAnsi="Calibri" w:cs="Calibri"/>
                      <w:color w:val="000000"/>
                      <w:sz w:val="22"/>
                      <w:szCs w:val="22"/>
                    </w:rPr>
                  </w:pPr>
                </w:p>
              </w:tc>
              <w:tc>
                <w:tcPr>
                  <w:tcW w:w="1134" w:type="dxa"/>
                  <w:gridSpan w:val="2"/>
                  <w:tcBorders>
                    <w:left w:val="single" w:sz="4" w:space="0" w:color="auto"/>
                    <w:right w:val="single" w:sz="4" w:space="0" w:color="auto"/>
                  </w:tcBorders>
                  <w:shd w:val="clear" w:color="auto" w:fill="auto"/>
                </w:tcPr>
                <w:p w14:paraId="71224ECC" w14:textId="77777777" w:rsidR="003B0423" w:rsidRPr="00103D56" w:rsidRDefault="003B0423" w:rsidP="003B0423">
                  <w:pPr>
                    <w:autoSpaceDE w:val="0"/>
                    <w:autoSpaceDN w:val="0"/>
                    <w:adjustRightInd w:val="0"/>
                    <w:ind w:left="-226"/>
                    <w:jc w:val="right"/>
                    <w:rPr>
                      <w:rFonts w:ascii="Calibri" w:hAnsi="Calibri" w:cs="Calibri"/>
                      <w:color w:val="000000"/>
                      <w:sz w:val="22"/>
                      <w:szCs w:val="22"/>
                    </w:rPr>
                  </w:pPr>
                </w:p>
              </w:tc>
              <w:tc>
                <w:tcPr>
                  <w:tcW w:w="1133" w:type="dxa"/>
                  <w:tcBorders>
                    <w:left w:val="single" w:sz="4" w:space="0" w:color="auto"/>
                    <w:right w:val="single" w:sz="4" w:space="0" w:color="auto"/>
                  </w:tcBorders>
                </w:tcPr>
                <w:p w14:paraId="4C35DCEC" w14:textId="77777777" w:rsidR="003B0423" w:rsidRPr="00103D56" w:rsidRDefault="003B0423" w:rsidP="003B0423">
                  <w:pPr>
                    <w:autoSpaceDE w:val="0"/>
                    <w:autoSpaceDN w:val="0"/>
                    <w:adjustRightInd w:val="0"/>
                    <w:ind w:left="-226"/>
                    <w:jc w:val="right"/>
                    <w:rPr>
                      <w:rFonts w:ascii="Calibri" w:hAnsi="Calibri" w:cs="Calibri"/>
                      <w:color w:val="000000"/>
                      <w:sz w:val="22"/>
                      <w:szCs w:val="22"/>
                    </w:rPr>
                  </w:pPr>
                </w:p>
              </w:tc>
            </w:tr>
            <w:tr w:rsidR="002075E8" w:rsidRPr="00C22F7C" w14:paraId="47227731" w14:textId="77777777" w:rsidTr="004C74E4">
              <w:trPr>
                <w:trHeight w:val="214"/>
              </w:trPr>
              <w:tc>
                <w:tcPr>
                  <w:tcW w:w="265" w:type="dxa"/>
                </w:tcPr>
                <w:p w14:paraId="628F042D" w14:textId="77777777" w:rsidR="002075E8" w:rsidRPr="00C22F7C" w:rsidRDefault="002075E8" w:rsidP="002075E8">
                  <w:pPr>
                    <w:autoSpaceDE w:val="0"/>
                    <w:autoSpaceDN w:val="0"/>
                    <w:adjustRightInd w:val="0"/>
                    <w:jc w:val="right"/>
                    <w:rPr>
                      <w:rFonts w:ascii="Calibri" w:hAnsi="Calibri" w:cs="Calibri"/>
                      <w:color w:val="000000"/>
                      <w:sz w:val="22"/>
                      <w:szCs w:val="22"/>
                    </w:rPr>
                  </w:pPr>
                </w:p>
              </w:tc>
              <w:tc>
                <w:tcPr>
                  <w:tcW w:w="3704" w:type="dxa"/>
                </w:tcPr>
                <w:p w14:paraId="23A0103C" w14:textId="77777777" w:rsidR="002075E8" w:rsidRPr="00FD297D" w:rsidRDefault="002075E8" w:rsidP="002075E8">
                  <w:pPr>
                    <w:autoSpaceDE w:val="0"/>
                    <w:autoSpaceDN w:val="0"/>
                    <w:adjustRightInd w:val="0"/>
                    <w:ind w:right="-818"/>
                    <w:rPr>
                      <w:rFonts w:ascii="Calibri" w:hAnsi="Calibri" w:cs="Calibri"/>
                      <w:color w:val="000000"/>
                      <w:sz w:val="22"/>
                      <w:szCs w:val="22"/>
                    </w:rPr>
                  </w:pPr>
                  <w:r w:rsidRPr="00FD297D">
                    <w:rPr>
                      <w:rFonts w:ascii="Calibri" w:hAnsi="Calibri" w:cs="Calibri"/>
                      <w:color w:val="000000"/>
                      <w:sz w:val="22"/>
                      <w:szCs w:val="22"/>
                    </w:rPr>
                    <w:t xml:space="preserve">Scheduled revenues </w:t>
                  </w:r>
                </w:p>
              </w:tc>
              <w:tc>
                <w:tcPr>
                  <w:tcW w:w="710" w:type="dxa"/>
                  <w:gridSpan w:val="2"/>
                </w:tcPr>
                <w:p w14:paraId="4E9B9820" w14:textId="77777777" w:rsidR="002075E8" w:rsidRPr="00103D56" w:rsidRDefault="002075E8" w:rsidP="002075E8">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4227E4A8" w14:textId="77777777" w:rsidR="002075E8" w:rsidRPr="00FD297D" w:rsidRDefault="002075E8" w:rsidP="002075E8">
                  <w:pPr>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r w:rsidR="006E2C63">
                    <w:rPr>
                      <w:rFonts w:ascii="Calibri" w:hAnsi="Calibri" w:cs="Calibri"/>
                      <w:bCs/>
                      <w:color w:val="000000"/>
                      <w:sz w:val="22"/>
                      <w:szCs w:val="22"/>
                    </w:rPr>
                    <w:t>33</w:t>
                  </w:r>
                  <w:r w:rsidRPr="00FD297D">
                    <w:rPr>
                      <w:rFonts w:ascii="Calibri" w:hAnsi="Calibri" w:cs="Calibri"/>
                      <w:bCs/>
                      <w:color w:val="000000"/>
                      <w:sz w:val="22"/>
                      <w:szCs w:val="22"/>
                    </w:rPr>
                    <w:t>%</w:t>
                  </w:r>
                </w:p>
              </w:tc>
              <w:tc>
                <w:tcPr>
                  <w:tcW w:w="1275" w:type="dxa"/>
                  <w:gridSpan w:val="2"/>
                  <w:tcBorders>
                    <w:left w:val="single" w:sz="4" w:space="0" w:color="auto"/>
                    <w:right w:val="single" w:sz="4" w:space="0" w:color="auto"/>
                  </w:tcBorders>
                  <w:shd w:val="clear" w:color="auto" w:fill="FFFF00"/>
                </w:tcPr>
                <w:p w14:paraId="0F7BE37E" w14:textId="77777777" w:rsidR="002075E8" w:rsidRPr="00FD297D" w:rsidRDefault="006E2C63" w:rsidP="002075E8">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7,823.1</w:t>
                  </w:r>
                </w:p>
              </w:tc>
              <w:tc>
                <w:tcPr>
                  <w:tcW w:w="1277" w:type="dxa"/>
                  <w:tcBorders>
                    <w:left w:val="single" w:sz="4" w:space="0" w:color="auto"/>
                    <w:right w:val="single" w:sz="4" w:space="0" w:color="auto"/>
                  </w:tcBorders>
                  <w:shd w:val="clear" w:color="auto" w:fill="auto"/>
                </w:tcPr>
                <w:p w14:paraId="1ED2FFD0"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5,871.4</w:t>
                  </w:r>
                </w:p>
              </w:tc>
              <w:tc>
                <w:tcPr>
                  <w:tcW w:w="1134" w:type="dxa"/>
                  <w:gridSpan w:val="2"/>
                  <w:tcBorders>
                    <w:left w:val="single" w:sz="4" w:space="0" w:color="auto"/>
                    <w:right w:val="single" w:sz="4" w:space="0" w:color="auto"/>
                  </w:tcBorders>
                  <w:shd w:val="clear" w:color="auto" w:fill="auto"/>
                </w:tcPr>
                <w:p w14:paraId="1FAC9A64"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3BABC146"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5,871.4</w:t>
                  </w:r>
                </w:p>
              </w:tc>
            </w:tr>
            <w:tr w:rsidR="002075E8" w:rsidRPr="00C22F7C" w14:paraId="652D390E" w14:textId="77777777" w:rsidTr="004C74E4">
              <w:trPr>
                <w:trHeight w:val="214"/>
              </w:trPr>
              <w:tc>
                <w:tcPr>
                  <w:tcW w:w="265" w:type="dxa"/>
                </w:tcPr>
                <w:p w14:paraId="104367B3" w14:textId="77777777" w:rsidR="002075E8" w:rsidRPr="00C22F7C" w:rsidRDefault="002075E8" w:rsidP="002075E8">
                  <w:pPr>
                    <w:autoSpaceDE w:val="0"/>
                    <w:autoSpaceDN w:val="0"/>
                    <w:adjustRightInd w:val="0"/>
                    <w:jc w:val="right"/>
                    <w:rPr>
                      <w:rFonts w:ascii="Calibri" w:hAnsi="Calibri" w:cs="Calibri"/>
                      <w:color w:val="000000"/>
                      <w:sz w:val="22"/>
                      <w:szCs w:val="22"/>
                    </w:rPr>
                  </w:pPr>
                </w:p>
              </w:tc>
              <w:tc>
                <w:tcPr>
                  <w:tcW w:w="3704" w:type="dxa"/>
                </w:tcPr>
                <w:p w14:paraId="04EDE9CA" w14:textId="77777777" w:rsidR="002075E8" w:rsidRPr="00FD297D" w:rsidRDefault="002075E8" w:rsidP="002075E8">
                  <w:pPr>
                    <w:autoSpaceDE w:val="0"/>
                    <w:autoSpaceDN w:val="0"/>
                    <w:adjustRightInd w:val="0"/>
                    <w:ind w:right="-818"/>
                    <w:rPr>
                      <w:rFonts w:ascii="Calibri" w:hAnsi="Calibri" w:cs="Calibri"/>
                      <w:color w:val="000000"/>
                      <w:sz w:val="22"/>
                      <w:szCs w:val="22"/>
                    </w:rPr>
                  </w:pPr>
                  <w:r w:rsidRPr="00FD297D">
                    <w:rPr>
                      <w:rFonts w:ascii="Calibri" w:hAnsi="Calibri" w:cs="Calibri"/>
                      <w:color w:val="000000"/>
                      <w:sz w:val="22"/>
                      <w:szCs w:val="22"/>
                    </w:rPr>
                    <w:t>Ancillary revenues</w:t>
                  </w:r>
                </w:p>
              </w:tc>
              <w:tc>
                <w:tcPr>
                  <w:tcW w:w="710" w:type="dxa"/>
                  <w:gridSpan w:val="2"/>
                </w:tcPr>
                <w:p w14:paraId="362EA0DB" w14:textId="77777777" w:rsidR="002075E8" w:rsidRPr="00103D56" w:rsidRDefault="002075E8" w:rsidP="002075E8">
                  <w:pPr>
                    <w:autoSpaceDE w:val="0"/>
                    <w:autoSpaceDN w:val="0"/>
                    <w:adjustRightInd w:val="0"/>
                    <w:jc w:val="right"/>
                    <w:rPr>
                      <w:rFonts w:ascii="Calibri" w:hAnsi="Calibri" w:cs="Calibri"/>
                      <w:bCs/>
                      <w:color w:val="000000"/>
                      <w:sz w:val="22"/>
                      <w:szCs w:val="22"/>
                    </w:rPr>
                  </w:pPr>
                </w:p>
              </w:tc>
              <w:tc>
                <w:tcPr>
                  <w:tcW w:w="1132" w:type="dxa"/>
                  <w:gridSpan w:val="2"/>
                  <w:tcBorders>
                    <w:bottom w:val="single" w:sz="4" w:space="0" w:color="auto"/>
                    <w:right w:val="single" w:sz="4" w:space="0" w:color="auto"/>
                  </w:tcBorders>
                </w:tcPr>
                <w:p w14:paraId="35DDCD6C" w14:textId="77777777" w:rsidR="002075E8" w:rsidRPr="00FD297D" w:rsidRDefault="002075E8" w:rsidP="002075E8">
                  <w:pPr>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r w:rsidR="006E2C63">
                    <w:rPr>
                      <w:rFonts w:ascii="Calibri" w:hAnsi="Calibri" w:cs="Calibri"/>
                      <w:bCs/>
                      <w:color w:val="000000"/>
                      <w:sz w:val="22"/>
                      <w:szCs w:val="22"/>
                    </w:rPr>
                    <w:t>13</w:t>
                  </w:r>
                  <w:r w:rsidRPr="00FD297D">
                    <w:rPr>
                      <w:rFonts w:ascii="Calibri" w:hAnsi="Calibri" w:cs="Calibri"/>
                      <w:bCs/>
                      <w:color w:val="000000"/>
                      <w:sz w:val="22"/>
                      <w:szCs w:val="22"/>
                    </w:rPr>
                    <w:t>%</w:t>
                  </w:r>
                </w:p>
              </w:tc>
              <w:tc>
                <w:tcPr>
                  <w:tcW w:w="1275" w:type="dxa"/>
                  <w:gridSpan w:val="2"/>
                  <w:tcBorders>
                    <w:left w:val="single" w:sz="4" w:space="0" w:color="auto"/>
                    <w:bottom w:val="single" w:sz="4" w:space="0" w:color="auto"/>
                    <w:right w:val="single" w:sz="4" w:space="0" w:color="auto"/>
                  </w:tcBorders>
                  <w:shd w:val="clear" w:color="auto" w:fill="FFFF00"/>
                </w:tcPr>
                <w:p w14:paraId="191E763D" w14:textId="77777777" w:rsidR="002075E8" w:rsidRPr="00FD297D" w:rsidRDefault="006E2C63" w:rsidP="002075E8">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3,450.8</w:t>
                  </w:r>
                </w:p>
              </w:tc>
              <w:tc>
                <w:tcPr>
                  <w:tcW w:w="1277" w:type="dxa"/>
                  <w:tcBorders>
                    <w:left w:val="single" w:sz="4" w:space="0" w:color="auto"/>
                    <w:bottom w:val="single" w:sz="4" w:space="0" w:color="auto"/>
                    <w:right w:val="single" w:sz="4" w:space="0" w:color="auto"/>
                  </w:tcBorders>
                  <w:shd w:val="clear" w:color="auto" w:fill="auto"/>
                </w:tcPr>
                <w:p w14:paraId="40AAB902"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3,056.8</w:t>
                  </w:r>
                </w:p>
              </w:tc>
              <w:tc>
                <w:tcPr>
                  <w:tcW w:w="1134" w:type="dxa"/>
                  <w:gridSpan w:val="2"/>
                  <w:tcBorders>
                    <w:left w:val="single" w:sz="4" w:space="0" w:color="auto"/>
                    <w:bottom w:val="single" w:sz="4" w:space="0" w:color="auto"/>
                    <w:right w:val="single" w:sz="4" w:space="0" w:color="auto"/>
                  </w:tcBorders>
                  <w:shd w:val="clear" w:color="auto" w:fill="auto"/>
                </w:tcPr>
                <w:p w14:paraId="70885A10"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p>
              </w:tc>
              <w:tc>
                <w:tcPr>
                  <w:tcW w:w="1133" w:type="dxa"/>
                  <w:tcBorders>
                    <w:left w:val="single" w:sz="4" w:space="0" w:color="auto"/>
                    <w:bottom w:val="single" w:sz="4" w:space="0" w:color="auto"/>
                    <w:right w:val="single" w:sz="4" w:space="0" w:color="auto"/>
                  </w:tcBorders>
                  <w:shd w:val="clear" w:color="auto" w:fill="auto"/>
                </w:tcPr>
                <w:p w14:paraId="39F41DEF"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3,056.8</w:t>
                  </w:r>
                </w:p>
              </w:tc>
            </w:tr>
            <w:tr w:rsidR="002075E8" w:rsidRPr="00C22F7C" w14:paraId="1B021FFF" w14:textId="77777777" w:rsidTr="004C74E4">
              <w:trPr>
                <w:trHeight w:val="214"/>
              </w:trPr>
              <w:tc>
                <w:tcPr>
                  <w:tcW w:w="3969" w:type="dxa"/>
                  <w:gridSpan w:val="2"/>
                </w:tcPr>
                <w:p w14:paraId="12F2C91F" w14:textId="77777777" w:rsidR="002075E8" w:rsidRPr="00FD297D" w:rsidRDefault="002075E8" w:rsidP="002075E8">
                  <w:pPr>
                    <w:autoSpaceDE w:val="0"/>
                    <w:autoSpaceDN w:val="0"/>
                    <w:adjustRightInd w:val="0"/>
                    <w:ind w:right="-818" w:hanging="105"/>
                    <w:rPr>
                      <w:rFonts w:ascii="Calibri" w:hAnsi="Calibri" w:cs="Calibri"/>
                      <w:b/>
                      <w:color w:val="000000"/>
                      <w:sz w:val="22"/>
                      <w:szCs w:val="22"/>
                    </w:rPr>
                  </w:pPr>
                  <w:r w:rsidRPr="00FD297D">
                    <w:rPr>
                      <w:rFonts w:ascii="Calibri" w:hAnsi="Calibri" w:cs="Calibri"/>
                      <w:b/>
                      <w:bCs/>
                      <w:color w:val="000000"/>
                      <w:sz w:val="22"/>
                      <w:szCs w:val="22"/>
                    </w:rPr>
                    <w:t xml:space="preserve">Total operating revenues </w:t>
                  </w:r>
                </w:p>
              </w:tc>
              <w:tc>
                <w:tcPr>
                  <w:tcW w:w="710" w:type="dxa"/>
                  <w:gridSpan w:val="2"/>
                </w:tcPr>
                <w:p w14:paraId="071A677B" w14:textId="77777777" w:rsidR="002075E8" w:rsidRPr="00103D56" w:rsidRDefault="002075E8" w:rsidP="002075E8">
                  <w:pPr>
                    <w:autoSpaceDE w:val="0"/>
                    <w:autoSpaceDN w:val="0"/>
                    <w:adjustRightInd w:val="0"/>
                    <w:jc w:val="right"/>
                    <w:rPr>
                      <w:rFonts w:ascii="Calibri" w:hAnsi="Calibri" w:cs="Calibri"/>
                      <w:b/>
                      <w:color w:val="000000"/>
                      <w:sz w:val="22"/>
                      <w:szCs w:val="22"/>
                    </w:rPr>
                  </w:pPr>
                  <w:r w:rsidRPr="00103D56">
                    <w:rPr>
                      <w:rFonts w:ascii="Calibri" w:hAnsi="Calibri" w:cs="Calibri"/>
                      <w:b/>
                      <w:color w:val="000000"/>
                      <w:sz w:val="22"/>
                      <w:szCs w:val="22"/>
                    </w:rPr>
                    <w:t>7</w:t>
                  </w:r>
                </w:p>
              </w:tc>
              <w:tc>
                <w:tcPr>
                  <w:tcW w:w="1132" w:type="dxa"/>
                  <w:gridSpan w:val="2"/>
                  <w:tcBorders>
                    <w:top w:val="single" w:sz="4" w:space="0" w:color="auto"/>
                    <w:bottom w:val="single" w:sz="4" w:space="0" w:color="auto"/>
                    <w:right w:val="single" w:sz="4" w:space="0" w:color="auto"/>
                  </w:tcBorders>
                </w:tcPr>
                <w:p w14:paraId="1B009C86" w14:textId="77777777" w:rsidR="002075E8" w:rsidRPr="00FD297D" w:rsidRDefault="002075E8" w:rsidP="002075E8">
                  <w:pPr>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r w:rsidR="006E2C63">
                    <w:rPr>
                      <w:rFonts w:ascii="Calibri" w:hAnsi="Calibri" w:cs="Calibri"/>
                      <w:bCs/>
                      <w:color w:val="000000"/>
                      <w:sz w:val="22"/>
                      <w:szCs w:val="22"/>
                    </w:rPr>
                    <w:t>26</w:t>
                  </w:r>
                  <w:r w:rsidRPr="00FD297D">
                    <w:rPr>
                      <w:rFonts w:ascii="Calibri" w:hAnsi="Calibri" w:cs="Calibri"/>
                      <w:bCs/>
                      <w:color w:val="000000"/>
                      <w:sz w:val="22"/>
                      <w:szCs w:val="22"/>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00"/>
                </w:tcPr>
                <w:p w14:paraId="0181750F" w14:textId="77777777" w:rsidR="002075E8" w:rsidRPr="00FD297D" w:rsidRDefault="006E2C63" w:rsidP="002075E8">
                  <w:pPr>
                    <w:widowControl w:val="0"/>
                    <w:autoSpaceDE w:val="0"/>
                    <w:autoSpaceDN w:val="0"/>
                    <w:adjustRightInd w:val="0"/>
                    <w:ind w:left="-226"/>
                    <w:jc w:val="right"/>
                    <w:rPr>
                      <w:rFonts w:ascii="Calibri" w:hAnsi="Calibri" w:cs="Calibri"/>
                      <w:b/>
                      <w:color w:val="000000"/>
                      <w:sz w:val="22"/>
                      <w:szCs w:val="22"/>
                    </w:rPr>
                  </w:pPr>
                  <w:r>
                    <w:rPr>
                      <w:rFonts w:ascii="Calibri" w:hAnsi="Calibri" w:cs="Calibri"/>
                      <w:b/>
                      <w:color w:val="000000"/>
                      <w:sz w:val="22"/>
                      <w:szCs w:val="22"/>
                    </w:rPr>
                    <w:t>11,273.9</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E7472A6" w14:textId="77777777" w:rsidR="002075E8" w:rsidRPr="00FD297D" w:rsidRDefault="002075E8" w:rsidP="002075E8">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8,928.2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45F3EF8" w14:textId="77777777" w:rsidR="002075E8" w:rsidRPr="00FD297D" w:rsidRDefault="002075E8" w:rsidP="002075E8">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4FF8E47" w14:textId="77777777" w:rsidR="002075E8" w:rsidRPr="00FD297D" w:rsidRDefault="002075E8" w:rsidP="002075E8">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8,928.2</w:t>
                  </w:r>
                </w:p>
              </w:tc>
            </w:tr>
            <w:tr w:rsidR="002075E8" w:rsidRPr="00C22F7C" w14:paraId="56BCC151" w14:textId="77777777" w:rsidTr="004C74E4">
              <w:trPr>
                <w:trHeight w:val="214"/>
              </w:trPr>
              <w:tc>
                <w:tcPr>
                  <w:tcW w:w="3969" w:type="dxa"/>
                  <w:gridSpan w:val="2"/>
                </w:tcPr>
                <w:p w14:paraId="3B924A2F" w14:textId="77777777" w:rsidR="002075E8" w:rsidRPr="00FD297D" w:rsidRDefault="002075E8" w:rsidP="002075E8">
                  <w:pPr>
                    <w:autoSpaceDE w:val="0"/>
                    <w:autoSpaceDN w:val="0"/>
                    <w:adjustRightInd w:val="0"/>
                    <w:ind w:hanging="105"/>
                    <w:rPr>
                      <w:rFonts w:ascii="Calibri" w:hAnsi="Calibri" w:cs="Calibri"/>
                      <w:b/>
                      <w:color w:val="000000"/>
                      <w:sz w:val="22"/>
                      <w:szCs w:val="22"/>
                    </w:rPr>
                  </w:pPr>
                </w:p>
              </w:tc>
              <w:tc>
                <w:tcPr>
                  <w:tcW w:w="710" w:type="dxa"/>
                  <w:gridSpan w:val="2"/>
                </w:tcPr>
                <w:p w14:paraId="7634D107" w14:textId="77777777" w:rsidR="002075E8" w:rsidRPr="00103D56" w:rsidRDefault="002075E8" w:rsidP="002075E8">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6343DF38" w14:textId="77777777" w:rsidR="002075E8" w:rsidRPr="00FD297D" w:rsidRDefault="002075E8" w:rsidP="002075E8">
                  <w:pPr>
                    <w:autoSpaceDE w:val="0"/>
                    <w:autoSpaceDN w:val="0"/>
                    <w:adjustRightInd w:val="0"/>
                    <w:jc w:val="right"/>
                    <w:rPr>
                      <w:rFonts w:ascii="Calibri" w:hAnsi="Calibri" w:cs="Calibri"/>
                      <w:bCs/>
                      <w:color w:val="000000"/>
                      <w:sz w:val="22"/>
                      <w:szCs w:val="22"/>
                    </w:rPr>
                  </w:pPr>
                </w:p>
              </w:tc>
              <w:tc>
                <w:tcPr>
                  <w:tcW w:w="1275" w:type="dxa"/>
                  <w:gridSpan w:val="2"/>
                  <w:tcBorders>
                    <w:top w:val="single" w:sz="4" w:space="0" w:color="auto"/>
                    <w:left w:val="single" w:sz="4" w:space="0" w:color="auto"/>
                    <w:right w:val="single" w:sz="4" w:space="0" w:color="auto"/>
                  </w:tcBorders>
                  <w:shd w:val="clear" w:color="auto" w:fill="FFFF00"/>
                </w:tcPr>
                <w:p w14:paraId="3DD753EA" w14:textId="77777777" w:rsidR="002075E8" w:rsidRPr="00FD297D" w:rsidRDefault="002075E8" w:rsidP="002075E8">
                  <w:pPr>
                    <w:autoSpaceDE w:val="0"/>
                    <w:autoSpaceDN w:val="0"/>
                    <w:adjustRightInd w:val="0"/>
                    <w:ind w:left="-226"/>
                    <w:jc w:val="right"/>
                    <w:rPr>
                      <w:rFonts w:ascii="Calibri" w:hAnsi="Calibri" w:cs="Calibri"/>
                      <w:b/>
                      <w:color w:val="000000"/>
                      <w:sz w:val="22"/>
                      <w:szCs w:val="22"/>
                    </w:rPr>
                  </w:pPr>
                </w:p>
              </w:tc>
              <w:tc>
                <w:tcPr>
                  <w:tcW w:w="1277" w:type="dxa"/>
                  <w:tcBorders>
                    <w:top w:val="single" w:sz="4" w:space="0" w:color="auto"/>
                    <w:left w:val="single" w:sz="4" w:space="0" w:color="auto"/>
                    <w:right w:val="single" w:sz="4" w:space="0" w:color="auto"/>
                  </w:tcBorders>
                  <w:shd w:val="clear" w:color="auto" w:fill="auto"/>
                </w:tcPr>
                <w:p w14:paraId="08BB196B" w14:textId="77777777" w:rsidR="002075E8" w:rsidRPr="00FD297D" w:rsidRDefault="002075E8" w:rsidP="002075E8">
                  <w:pPr>
                    <w:autoSpaceDE w:val="0"/>
                    <w:autoSpaceDN w:val="0"/>
                    <w:adjustRightInd w:val="0"/>
                    <w:ind w:left="-226"/>
                    <w:jc w:val="right"/>
                    <w:rPr>
                      <w:rFonts w:ascii="Calibri" w:hAnsi="Calibri" w:cs="Calibri"/>
                      <w:bCs/>
                      <w:color w:val="000000"/>
                      <w:sz w:val="22"/>
                      <w:szCs w:val="22"/>
                    </w:rPr>
                  </w:pPr>
                </w:p>
              </w:tc>
              <w:tc>
                <w:tcPr>
                  <w:tcW w:w="1134" w:type="dxa"/>
                  <w:gridSpan w:val="2"/>
                  <w:tcBorders>
                    <w:top w:val="single" w:sz="4" w:space="0" w:color="auto"/>
                    <w:left w:val="single" w:sz="4" w:space="0" w:color="auto"/>
                    <w:right w:val="single" w:sz="4" w:space="0" w:color="auto"/>
                  </w:tcBorders>
                  <w:shd w:val="clear" w:color="auto" w:fill="auto"/>
                </w:tcPr>
                <w:p w14:paraId="0CCAD672" w14:textId="77777777" w:rsidR="002075E8" w:rsidRPr="00FD297D" w:rsidRDefault="002075E8" w:rsidP="002075E8">
                  <w:pPr>
                    <w:autoSpaceDE w:val="0"/>
                    <w:autoSpaceDN w:val="0"/>
                    <w:adjustRightInd w:val="0"/>
                    <w:ind w:left="-226"/>
                    <w:jc w:val="right"/>
                    <w:rPr>
                      <w:rFonts w:ascii="Calibri" w:hAnsi="Calibri" w:cs="Calibri"/>
                      <w:bCs/>
                      <w:color w:val="000000"/>
                      <w:sz w:val="22"/>
                      <w:szCs w:val="22"/>
                    </w:rPr>
                  </w:pPr>
                </w:p>
              </w:tc>
              <w:tc>
                <w:tcPr>
                  <w:tcW w:w="1133" w:type="dxa"/>
                  <w:tcBorders>
                    <w:top w:val="single" w:sz="4" w:space="0" w:color="auto"/>
                    <w:left w:val="single" w:sz="4" w:space="0" w:color="auto"/>
                    <w:right w:val="single" w:sz="4" w:space="0" w:color="auto"/>
                  </w:tcBorders>
                  <w:shd w:val="clear" w:color="auto" w:fill="auto"/>
                </w:tcPr>
                <w:p w14:paraId="5C918C35" w14:textId="77777777" w:rsidR="002075E8" w:rsidRPr="00FD297D" w:rsidRDefault="002075E8" w:rsidP="002075E8">
                  <w:pPr>
                    <w:autoSpaceDE w:val="0"/>
                    <w:autoSpaceDN w:val="0"/>
                    <w:adjustRightInd w:val="0"/>
                    <w:ind w:left="-226"/>
                    <w:jc w:val="right"/>
                    <w:rPr>
                      <w:rFonts w:ascii="Calibri" w:hAnsi="Calibri" w:cs="Calibri"/>
                      <w:bCs/>
                      <w:color w:val="000000"/>
                      <w:sz w:val="22"/>
                      <w:szCs w:val="22"/>
                    </w:rPr>
                  </w:pPr>
                </w:p>
              </w:tc>
            </w:tr>
            <w:tr w:rsidR="002075E8" w:rsidRPr="00C22F7C" w14:paraId="760647C1" w14:textId="77777777" w:rsidTr="004C74E4">
              <w:trPr>
                <w:trHeight w:val="214"/>
              </w:trPr>
              <w:tc>
                <w:tcPr>
                  <w:tcW w:w="3969" w:type="dxa"/>
                  <w:gridSpan w:val="2"/>
                </w:tcPr>
                <w:p w14:paraId="22512821" w14:textId="77777777" w:rsidR="002075E8" w:rsidRPr="00FD297D" w:rsidRDefault="002075E8" w:rsidP="002075E8">
                  <w:pPr>
                    <w:autoSpaceDE w:val="0"/>
                    <w:autoSpaceDN w:val="0"/>
                    <w:adjustRightInd w:val="0"/>
                    <w:ind w:hanging="105"/>
                    <w:rPr>
                      <w:rFonts w:ascii="Calibri" w:hAnsi="Calibri" w:cs="Calibri"/>
                      <w:color w:val="000000"/>
                      <w:sz w:val="22"/>
                      <w:szCs w:val="22"/>
                    </w:rPr>
                  </w:pPr>
                  <w:r w:rsidRPr="00FD297D">
                    <w:rPr>
                      <w:rFonts w:ascii="Calibri" w:hAnsi="Calibri" w:cs="Calibri"/>
                      <w:b/>
                      <w:color w:val="000000"/>
                      <w:sz w:val="22"/>
                      <w:szCs w:val="22"/>
                    </w:rPr>
                    <w:t>Operating expenses</w:t>
                  </w:r>
                </w:p>
              </w:tc>
              <w:tc>
                <w:tcPr>
                  <w:tcW w:w="710" w:type="dxa"/>
                  <w:gridSpan w:val="2"/>
                </w:tcPr>
                <w:p w14:paraId="1E7D3C74" w14:textId="77777777" w:rsidR="002075E8" w:rsidRPr="00103D56" w:rsidRDefault="002075E8" w:rsidP="002075E8">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4584E60A" w14:textId="77777777" w:rsidR="002075E8" w:rsidRPr="00FD297D" w:rsidRDefault="002075E8" w:rsidP="002075E8">
                  <w:pPr>
                    <w:autoSpaceDE w:val="0"/>
                    <w:autoSpaceDN w:val="0"/>
                    <w:adjustRightInd w:val="0"/>
                    <w:jc w:val="right"/>
                    <w:rPr>
                      <w:rFonts w:ascii="Calibri" w:hAnsi="Calibri" w:cs="Calibri"/>
                      <w:bCs/>
                      <w:color w:val="000000"/>
                      <w:sz w:val="22"/>
                      <w:szCs w:val="22"/>
                    </w:rPr>
                  </w:pPr>
                </w:p>
              </w:tc>
              <w:tc>
                <w:tcPr>
                  <w:tcW w:w="1275" w:type="dxa"/>
                  <w:gridSpan w:val="2"/>
                  <w:tcBorders>
                    <w:left w:val="single" w:sz="4" w:space="0" w:color="auto"/>
                    <w:right w:val="single" w:sz="4" w:space="0" w:color="auto"/>
                  </w:tcBorders>
                  <w:shd w:val="clear" w:color="auto" w:fill="FFFF00"/>
                </w:tcPr>
                <w:p w14:paraId="1679D471" w14:textId="77777777" w:rsidR="002075E8" w:rsidRPr="00FD297D" w:rsidRDefault="002075E8" w:rsidP="002075E8">
                  <w:pPr>
                    <w:autoSpaceDE w:val="0"/>
                    <w:autoSpaceDN w:val="0"/>
                    <w:adjustRightInd w:val="0"/>
                    <w:ind w:left="-226"/>
                    <w:jc w:val="right"/>
                    <w:rPr>
                      <w:rFonts w:ascii="Calibri" w:hAnsi="Calibri" w:cs="Calibri"/>
                      <w:b/>
                      <w:color w:val="000000"/>
                      <w:sz w:val="22"/>
                      <w:szCs w:val="22"/>
                    </w:rPr>
                  </w:pPr>
                </w:p>
              </w:tc>
              <w:tc>
                <w:tcPr>
                  <w:tcW w:w="1277" w:type="dxa"/>
                  <w:tcBorders>
                    <w:left w:val="single" w:sz="4" w:space="0" w:color="auto"/>
                    <w:right w:val="single" w:sz="4" w:space="0" w:color="auto"/>
                  </w:tcBorders>
                  <w:shd w:val="clear" w:color="auto" w:fill="auto"/>
                </w:tcPr>
                <w:p w14:paraId="5AD7BF7A" w14:textId="77777777" w:rsidR="002075E8" w:rsidRPr="00FD297D" w:rsidRDefault="002075E8" w:rsidP="002075E8">
                  <w:pPr>
                    <w:autoSpaceDE w:val="0"/>
                    <w:autoSpaceDN w:val="0"/>
                    <w:adjustRightInd w:val="0"/>
                    <w:ind w:left="-226"/>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21D98FA7" w14:textId="77777777" w:rsidR="002075E8" w:rsidRPr="00FD297D" w:rsidRDefault="002075E8" w:rsidP="002075E8">
                  <w:pPr>
                    <w:autoSpaceDE w:val="0"/>
                    <w:autoSpaceDN w:val="0"/>
                    <w:adjustRightInd w:val="0"/>
                    <w:ind w:left="-226"/>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3268B576" w14:textId="77777777" w:rsidR="002075E8" w:rsidRPr="00FD297D" w:rsidRDefault="002075E8" w:rsidP="002075E8">
                  <w:pPr>
                    <w:autoSpaceDE w:val="0"/>
                    <w:autoSpaceDN w:val="0"/>
                    <w:adjustRightInd w:val="0"/>
                    <w:ind w:left="-226"/>
                    <w:jc w:val="right"/>
                    <w:rPr>
                      <w:rFonts w:ascii="Calibri" w:hAnsi="Calibri" w:cs="Calibri"/>
                      <w:bCs/>
                      <w:color w:val="000000"/>
                      <w:sz w:val="22"/>
                      <w:szCs w:val="22"/>
                    </w:rPr>
                  </w:pPr>
                </w:p>
              </w:tc>
            </w:tr>
            <w:tr w:rsidR="002075E8" w:rsidRPr="00C22F7C" w14:paraId="1A2236A9" w14:textId="77777777" w:rsidTr="004C74E4">
              <w:trPr>
                <w:trHeight w:val="214"/>
              </w:trPr>
              <w:tc>
                <w:tcPr>
                  <w:tcW w:w="265" w:type="dxa"/>
                </w:tcPr>
                <w:p w14:paraId="69FBB9C9" w14:textId="77777777" w:rsidR="002075E8" w:rsidRPr="00C22F7C" w:rsidRDefault="002075E8" w:rsidP="002075E8">
                  <w:pPr>
                    <w:autoSpaceDE w:val="0"/>
                    <w:autoSpaceDN w:val="0"/>
                    <w:adjustRightInd w:val="0"/>
                    <w:jc w:val="right"/>
                    <w:rPr>
                      <w:rFonts w:ascii="Calibri" w:hAnsi="Calibri" w:cs="Calibri"/>
                      <w:color w:val="000000"/>
                      <w:sz w:val="22"/>
                      <w:szCs w:val="22"/>
                    </w:rPr>
                  </w:pPr>
                </w:p>
              </w:tc>
              <w:tc>
                <w:tcPr>
                  <w:tcW w:w="3704" w:type="dxa"/>
                </w:tcPr>
                <w:p w14:paraId="79134BD4" w14:textId="77777777" w:rsidR="002075E8" w:rsidRPr="00FD297D" w:rsidRDefault="002075E8" w:rsidP="002075E8">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Fuel and oil</w:t>
                  </w:r>
                </w:p>
              </w:tc>
              <w:tc>
                <w:tcPr>
                  <w:tcW w:w="710" w:type="dxa"/>
                  <w:gridSpan w:val="2"/>
                </w:tcPr>
                <w:p w14:paraId="7450EEDC" w14:textId="77777777" w:rsidR="002075E8" w:rsidRPr="00103D56" w:rsidRDefault="002075E8" w:rsidP="002075E8">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center"/>
                </w:tcPr>
                <w:p w14:paraId="5FE86F06"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color w:val="000000"/>
                      <w:sz w:val="22"/>
                      <w:szCs w:val="22"/>
                    </w:rPr>
                    <w:t>-</w:t>
                  </w:r>
                  <w:r w:rsidR="006E2C63">
                    <w:rPr>
                      <w:rFonts w:ascii="Calibri" w:hAnsi="Calibri" w:cs="Calibri"/>
                      <w:color w:val="000000"/>
                      <w:sz w:val="22"/>
                      <w:szCs w:val="22"/>
                    </w:rPr>
                    <w:t>31</w:t>
                  </w:r>
                  <w:r w:rsidRPr="00FD297D">
                    <w:rPr>
                      <w:rFonts w:ascii="Calibri" w:hAnsi="Calibri" w:cs="Calibri"/>
                      <w:color w:val="000000"/>
                      <w:sz w:val="22"/>
                      <w:szCs w:val="22"/>
                    </w:rPr>
                    <w:t>%</w:t>
                  </w:r>
                </w:p>
              </w:tc>
              <w:tc>
                <w:tcPr>
                  <w:tcW w:w="1275" w:type="dxa"/>
                  <w:gridSpan w:val="2"/>
                  <w:tcBorders>
                    <w:left w:val="single" w:sz="4" w:space="0" w:color="auto"/>
                    <w:right w:val="single" w:sz="4" w:space="0" w:color="auto"/>
                  </w:tcBorders>
                  <w:shd w:val="clear" w:color="auto" w:fill="FFFF00"/>
                  <w:vAlign w:val="center"/>
                </w:tcPr>
                <w:p w14:paraId="72F811D1" w14:textId="77777777" w:rsidR="002075E8" w:rsidRPr="00FD297D" w:rsidRDefault="006E2C63" w:rsidP="002075E8">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4,038.7</w:t>
                  </w:r>
                </w:p>
              </w:tc>
              <w:tc>
                <w:tcPr>
                  <w:tcW w:w="1277" w:type="dxa"/>
                  <w:tcBorders>
                    <w:left w:val="single" w:sz="4" w:space="0" w:color="auto"/>
                    <w:right w:val="single" w:sz="4" w:space="0" w:color="auto"/>
                  </w:tcBorders>
                  <w:shd w:val="clear" w:color="auto" w:fill="auto"/>
                </w:tcPr>
                <w:p w14:paraId="31D07A8F"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3,081.9</w:t>
                  </w:r>
                </w:p>
              </w:tc>
              <w:tc>
                <w:tcPr>
                  <w:tcW w:w="1134" w:type="dxa"/>
                  <w:gridSpan w:val="2"/>
                  <w:tcBorders>
                    <w:left w:val="single" w:sz="4" w:space="0" w:color="auto"/>
                    <w:right w:val="single" w:sz="4" w:space="0" w:color="auto"/>
                  </w:tcBorders>
                  <w:shd w:val="clear" w:color="auto" w:fill="auto"/>
                </w:tcPr>
                <w:p w14:paraId="25FA8EB3"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133.0</w:t>
                  </w:r>
                </w:p>
              </w:tc>
              <w:tc>
                <w:tcPr>
                  <w:tcW w:w="1133" w:type="dxa"/>
                  <w:tcBorders>
                    <w:left w:val="single" w:sz="4" w:space="0" w:color="auto"/>
                    <w:right w:val="single" w:sz="4" w:space="0" w:color="auto"/>
                  </w:tcBorders>
                  <w:shd w:val="clear" w:color="auto" w:fill="auto"/>
                </w:tcPr>
                <w:p w14:paraId="18413F33"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3,214.9</w:t>
                  </w:r>
                </w:p>
              </w:tc>
            </w:tr>
            <w:tr w:rsidR="002075E8" w:rsidRPr="00C22F7C" w14:paraId="26DC6898" w14:textId="77777777" w:rsidTr="004C74E4">
              <w:trPr>
                <w:trHeight w:val="214"/>
              </w:trPr>
              <w:tc>
                <w:tcPr>
                  <w:tcW w:w="265" w:type="dxa"/>
                </w:tcPr>
                <w:p w14:paraId="2D97AE8A" w14:textId="77777777" w:rsidR="002075E8" w:rsidRPr="00C22F7C" w:rsidRDefault="002075E8" w:rsidP="002075E8">
                  <w:pPr>
                    <w:autoSpaceDE w:val="0"/>
                    <w:autoSpaceDN w:val="0"/>
                    <w:adjustRightInd w:val="0"/>
                    <w:jc w:val="right"/>
                    <w:rPr>
                      <w:rFonts w:ascii="Calibri" w:hAnsi="Calibri" w:cs="Calibri"/>
                      <w:color w:val="000000"/>
                      <w:sz w:val="22"/>
                      <w:szCs w:val="22"/>
                    </w:rPr>
                  </w:pPr>
                </w:p>
              </w:tc>
              <w:tc>
                <w:tcPr>
                  <w:tcW w:w="3704" w:type="dxa"/>
                </w:tcPr>
                <w:p w14:paraId="2F0FA000" w14:textId="77777777" w:rsidR="002075E8" w:rsidRPr="00FD297D" w:rsidRDefault="002075E8" w:rsidP="002075E8">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Airport and handling charges</w:t>
                  </w:r>
                </w:p>
              </w:tc>
              <w:tc>
                <w:tcPr>
                  <w:tcW w:w="710" w:type="dxa"/>
                  <w:gridSpan w:val="2"/>
                </w:tcPr>
                <w:p w14:paraId="0579FEDD" w14:textId="77777777" w:rsidR="002075E8" w:rsidRPr="00103D56" w:rsidRDefault="002075E8" w:rsidP="002075E8">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center"/>
                </w:tcPr>
                <w:p w14:paraId="3433161D"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color w:val="000000"/>
                      <w:sz w:val="22"/>
                      <w:szCs w:val="22"/>
                    </w:rPr>
                    <w:t>-</w:t>
                  </w:r>
                  <w:r w:rsidR="006E2C63">
                    <w:rPr>
                      <w:rFonts w:ascii="Calibri" w:hAnsi="Calibri" w:cs="Calibri"/>
                      <w:color w:val="000000"/>
                      <w:sz w:val="22"/>
                      <w:szCs w:val="22"/>
                    </w:rPr>
                    <w:t>21</w:t>
                  </w:r>
                  <w:r w:rsidRPr="00FD297D">
                    <w:rPr>
                      <w:rFonts w:ascii="Calibri" w:hAnsi="Calibri" w:cs="Calibri"/>
                      <w:color w:val="000000"/>
                      <w:sz w:val="22"/>
                      <w:szCs w:val="22"/>
                    </w:rPr>
                    <w:t>%</w:t>
                  </w:r>
                </w:p>
              </w:tc>
              <w:tc>
                <w:tcPr>
                  <w:tcW w:w="1275" w:type="dxa"/>
                  <w:gridSpan w:val="2"/>
                  <w:tcBorders>
                    <w:left w:val="single" w:sz="4" w:space="0" w:color="auto"/>
                    <w:right w:val="single" w:sz="4" w:space="0" w:color="auto"/>
                  </w:tcBorders>
                  <w:shd w:val="clear" w:color="auto" w:fill="FFFF00"/>
                  <w:vAlign w:val="center"/>
                </w:tcPr>
                <w:p w14:paraId="26E4285C" w14:textId="77777777" w:rsidR="002075E8" w:rsidRPr="00FD297D" w:rsidRDefault="006E2C63" w:rsidP="002075E8">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1,184.6</w:t>
                  </w:r>
                </w:p>
              </w:tc>
              <w:tc>
                <w:tcPr>
                  <w:tcW w:w="1277" w:type="dxa"/>
                  <w:tcBorders>
                    <w:left w:val="single" w:sz="4" w:space="0" w:color="auto"/>
                    <w:right w:val="single" w:sz="4" w:space="0" w:color="auto"/>
                  </w:tcBorders>
                  <w:shd w:val="clear" w:color="auto" w:fill="auto"/>
                </w:tcPr>
                <w:p w14:paraId="19ED1263"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979.4</w:t>
                  </w:r>
                </w:p>
              </w:tc>
              <w:tc>
                <w:tcPr>
                  <w:tcW w:w="1134" w:type="dxa"/>
                  <w:gridSpan w:val="2"/>
                  <w:tcBorders>
                    <w:left w:val="single" w:sz="4" w:space="0" w:color="auto"/>
                    <w:right w:val="single" w:sz="4" w:space="0" w:color="auto"/>
                  </w:tcBorders>
                  <w:shd w:val="clear" w:color="auto" w:fill="auto"/>
                </w:tcPr>
                <w:p w14:paraId="36E725F3"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5CA7A7C7"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979.4</w:t>
                  </w:r>
                </w:p>
              </w:tc>
            </w:tr>
            <w:tr w:rsidR="002075E8" w:rsidRPr="00C22F7C" w14:paraId="3E9DAB5B" w14:textId="77777777" w:rsidTr="004C74E4">
              <w:trPr>
                <w:trHeight w:val="214"/>
              </w:trPr>
              <w:tc>
                <w:tcPr>
                  <w:tcW w:w="265" w:type="dxa"/>
                </w:tcPr>
                <w:p w14:paraId="70A546E3" w14:textId="77777777" w:rsidR="002075E8" w:rsidRPr="00C22F7C" w:rsidRDefault="002075E8" w:rsidP="002075E8">
                  <w:pPr>
                    <w:autoSpaceDE w:val="0"/>
                    <w:autoSpaceDN w:val="0"/>
                    <w:adjustRightInd w:val="0"/>
                    <w:jc w:val="right"/>
                    <w:rPr>
                      <w:rFonts w:ascii="Calibri" w:hAnsi="Calibri" w:cs="Calibri"/>
                      <w:color w:val="000000"/>
                      <w:sz w:val="22"/>
                      <w:szCs w:val="22"/>
                    </w:rPr>
                  </w:pPr>
                </w:p>
              </w:tc>
              <w:tc>
                <w:tcPr>
                  <w:tcW w:w="3704" w:type="dxa"/>
                </w:tcPr>
                <w:p w14:paraId="0F9D7119" w14:textId="77777777" w:rsidR="002075E8" w:rsidRPr="00FD297D" w:rsidRDefault="002075E8" w:rsidP="002075E8">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Staff costs</w:t>
                  </w:r>
                </w:p>
              </w:tc>
              <w:tc>
                <w:tcPr>
                  <w:tcW w:w="710" w:type="dxa"/>
                  <w:gridSpan w:val="2"/>
                </w:tcPr>
                <w:p w14:paraId="26087EA9" w14:textId="77777777" w:rsidR="002075E8" w:rsidRPr="00103D56" w:rsidRDefault="002075E8" w:rsidP="002075E8">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center"/>
                </w:tcPr>
                <w:p w14:paraId="2EEFE42D"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color w:val="000000"/>
                      <w:sz w:val="22"/>
                      <w:szCs w:val="22"/>
                    </w:rPr>
                    <w:t>-</w:t>
                  </w:r>
                  <w:r w:rsidR="006E2C63">
                    <w:rPr>
                      <w:rFonts w:ascii="Calibri" w:hAnsi="Calibri" w:cs="Calibri"/>
                      <w:color w:val="000000"/>
                      <w:sz w:val="22"/>
                      <w:szCs w:val="22"/>
                    </w:rPr>
                    <w:t>28</w:t>
                  </w:r>
                  <w:r w:rsidRPr="00FD297D">
                    <w:rPr>
                      <w:rFonts w:ascii="Calibri" w:hAnsi="Calibri" w:cs="Calibri"/>
                      <w:color w:val="000000"/>
                      <w:sz w:val="22"/>
                      <w:szCs w:val="22"/>
                    </w:rPr>
                    <w:t>%</w:t>
                  </w:r>
                </w:p>
              </w:tc>
              <w:tc>
                <w:tcPr>
                  <w:tcW w:w="1275" w:type="dxa"/>
                  <w:gridSpan w:val="2"/>
                  <w:tcBorders>
                    <w:left w:val="single" w:sz="4" w:space="0" w:color="auto"/>
                    <w:right w:val="single" w:sz="4" w:space="0" w:color="auto"/>
                  </w:tcBorders>
                  <w:shd w:val="clear" w:color="auto" w:fill="FFFF00"/>
                  <w:vAlign w:val="center"/>
                </w:tcPr>
                <w:p w14:paraId="44115077" w14:textId="77777777" w:rsidR="002075E8" w:rsidRPr="00FD297D" w:rsidRDefault="006E2C63" w:rsidP="002075E8">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1,125.</w:t>
                  </w:r>
                  <w:r w:rsidR="003177B6">
                    <w:rPr>
                      <w:rFonts w:ascii="Calibri" w:hAnsi="Calibri" w:cs="Calibri"/>
                      <w:b/>
                      <w:color w:val="000000"/>
                      <w:sz w:val="22"/>
                      <w:szCs w:val="22"/>
                    </w:rPr>
                    <w:t>1</w:t>
                  </w:r>
                </w:p>
              </w:tc>
              <w:tc>
                <w:tcPr>
                  <w:tcW w:w="1277" w:type="dxa"/>
                  <w:tcBorders>
                    <w:left w:val="single" w:sz="4" w:space="0" w:color="auto"/>
                    <w:right w:val="single" w:sz="4" w:space="0" w:color="auto"/>
                  </w:tcBorders>
                  <w:shd w:val="clear" w:color="auto" w:fill="auto"/>
                </w:tcPr>
                <w:p w14:paraId="6748AEF5"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876.7</w:t>
                  </w:r>
                </w:p>
              </w:tc>
              <w:tc>
                <w:tcPr>
                  <w:tcW w:w="1134" w:type="dxa"/>
                  <w:gridSpan w:val="2"/>
                  <w:tcBorders>
                    <w:left w:val="single" w:sz="4" w:space="0" w:color="auto"/>
                    <w:right w:val="single" w:sz="4" w:space="0" w:color="auto"/>
                  </w:tcBorders>
                  <w:shd w:val="clear" w:color="auto" w:fill="auto"/>
                </w:tcPr>
                <w:p w14:paraId="6A6CE304"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6E4DED83" w14:textId="77777777" w:rsidR="002075E8" w:rsidRPr="00FD297D" w:rsidRDefault="002075E8" w:rsidP="002075E8">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876.7</w:t>
                  </w:r>
                </w:p>
              </w:tc>
            </w:tr>
            <w:tr w:rsidR="006E2C63" w:rsidRPr="00C22F7C" w14:paraId="77854D87" w14:textId="77777777" w:rsidTr="004C74E4">
              <w:trPr>
                <w:trHeight w:val="214"/>
              </w:trPr>
              <w:tc>
                <w:tcPr>
                  <w:tcW w:w="265" w:type="dxa"/>
                </w:tcPr>
                <w:p w14:paraId="41C3AA22" w14:textId="77777777" w:rsidR="006E2C63" w:rsidRPr="00C22F7C" w:rsidRDefault="006E2C63" w:rsidP="006E2C63">
                  <w:pPr>
                    <w:autoSpaceDE w:val="0"/>
                    <w:autoSpaceDN w:val="0"/>
                    <w:adjustRightInd w:val="0"/>
                    <w:jc w:val="right"/>
                    <w:rPr>
                      <w:rFonts w:ascii="Calibri" w:hAnsi="Calibri" w:cs="Calibri"/>
                      <w:color w:val="000000"/>
                      <w:sz w:val="22"/>
                      <w:szCs w:val="22"/>
                    </w:rPr>
                  </w:pPr>
                </w:p>
              </w:tc>
              <w:tc>
                <w:tcPr>
                  <w:tcW w:w="3704" w:type="dxa"/>
                </w:tcPr>
                <w:p w14:paraId="0A62BFA9" w14:textId="77777777" w:rsidR="006E2C63" w:rsidRPr="00FD297D" w:rsidRDefault="006E2C63" w:rsidP="006E2C63">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Depreciation</w:t>
                  </w:r>
                </w:p>
              </w:tc>
              <w:tc>
                <w:tcPr>
                  <w:tcW w:w="710" w:type="dxa"/>
                  <w:gridSpan w:val="2"/>
                </w:tcPr>
                <w:p w14:paraId="095F59B0" w14:textId="77777777" w:rsidR="006E2C63" w:rsidRPr="00103D56" w:rsidRDefault="006E2C63" w:rsidP="006E2C6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center"/>
                </w:tcPr>
                <w:p w14:paraId="2A007D9F" w14:textId="77777777" w:rsidR="006E2C63" w:rsidRPr="00FD297D" w:rsidRDefault="006E2C63" w:rsidP="006E2C63">
                  <w:pPr>
                    <w:widowControl w:val="0"/>
                    <w:autoSpaceDE w:val="0"/>
                    <w:autoSpaceDN w:val="0"/>
                    <w:adjustRightInd w:val="0"/>
                    <w:jc w:val="right"/>
                    <w:rPr>
                      <w:rFonts w:ascii="Calibri" w:hAnsi="Calibri" w:cs="Calibri"/>
                      <w:color w:val="000000"/>
                      <w:sz w:val="22"/>
                      <w:szCs w:val="22"/>
                    </w:rPr>
                  </w:pPr>
                  <w:r w:rsidRPr="00FD297D">
                    <w:rPr>
                      <w:rFonts w:ascii="Calibri" w:hAnsi="Calibri" w:cs="Calibri"/>
                      <w:color w:val="000000"/>
                      <w:sz w:val="22"/>
                      <w:szCs w:val="22"/>
                    </w:rPr>
                    <w:t>-</w:t>
                  </w:r>
                  <w:r>
                    <w:rPr>
                      <w:rFonts w:ascii="Calibri" w:hAnsi="Calibri" w:cs="Calibri"/>
                      <w:color w:val="000000"/>
                      <w:sz w:val="22"/>
                      <w:szCs w:val="22"/>
                    </w:rPr>
                    <w:t>23</w:t>
                  </w:r>
                  <w:r w:rsidRPr="00FD297D">
                    <w:rPr>
                      <w:rFonts w:ascii="Calibri" w:hAnsi="Calibri" w:cs="Calibri"/>
                      <w:color w:val="000000"/>
                      <w:sz w:val="22"/>
                      <w:szCs w:val="22"/>
                    </w:rPr>
                    <w:t>%</w:t>
                  </w:r>
                </w:p>
              </w:tc>
              <w:tc>
                <w:tcPr>
                  <w:tcW w:w="1275" w:type="dxa"/>
                  <w:gridSpan w:val="2"/>
                  <w:tcBorders>
                    <w:left w:val="single" w:sz="4" w:space="0" w:color="auto"/>
                    <w:right w:val="single" w:sz="4" w:space="0" w:color="auto"/>
                  </w:tcBorders>
                  <w:shd w:val="clear" w:color="auto" w:fill="FFFF00"/>
                  <w:vAlign w:val="center"/>
                </w:tcPr>
                <w:p w14:paraId="6FDFF794" w14:textId="77777777" w:rsidR="006E2C63" w:rsidRDefault="006E2C63" w:rsidP="006E2C63">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82</w:t>
                  </w:r>
                  <w:r w:rsidR="003177B6">
                    <w:rPr>
                      <w:rFonts w:ascii="Calibri" w:hAnsi="Calibri" w:cs="Calibri"/>
                      <w:b/>
                      <w:color w:val="000000"/>
                      <w:sz w:val="22"/>
                      <w:szCs w:val="22"/>
                    </w:rPr>
                    <w:t>2.2</w:t>
                  </w:r>
                </w:p>
              </w:tc>
              <w:tc>
                <w:tcPr>
                  <w:tcW w:w="1277" w:type="dxa"/>
                  <w:tcBorders>
                    <w:left w:val="single" w:sz="4" w:space="0" w:color="auto"/>
                    <w:right w:val="single" w:sz="4" w:space="0" w:color="auto"/>
                  </w:tcBorders>
                  <w:shd w:val="clear" w:color="auto" w:fill="auto"/>
                </w:tcPr>
                <w:p w14:paraId="7E29D928"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665.8</w:t>
                  </w:r>
                </w:p>
              </w:tc>
              <w:tc>
                <w:tcPr>
                  <w:tcW w:w="1134" w:type="dxa"/>
                  <w:gridSpan w:val="2"/>
                  <w:tcBorders>
                    <w:left w:val="single" w:sz="4" w:space="0" w:color="auto"/>
                    <w:right w:val="single" w:sz="4" w:space="0" w:color="auto"/>
                  </w:tcBorders>
                  <w:shd w:val="clear" w:color="auto" w:fill="auto"/>
                </w:tcPr>
                <w:p w14:paraId="267CBF0E"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1ABA48BD"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665.8</w:t>
                  </w:r>
                </w:p>
              </w:tc>
            </w:tr>
            <w:tr w:rsidR="006E2C63" w:rsidRPr="00C22F7C" w14:paraId="7A1AFBE2" w14:textId="77777777" w:rsidTr="004C74E4">
              <w:trPr>
                <w:trHeight w:val="214"/>
              </w:trPr>
              <w:tc>
                <w:tcPr>
                  <w:tcW w:w="265" w:type="dxa"/>
                </w:tcPr>
                <w:p w14:paraId="4FFC3033" w14:textId="77777777" w:rsidR="006E2C63" w:rsidRPr="00C22F7C" w:rsidRDefault="006E2C63" w:rsidP="006E2C63">
                  <w:pPr>
                    <w:autoSpaceDE w:val="0"/>
                    <w:autoSpaceDN w:val="0"/>
                    <w:adjustRightInd w:val="0"/>
                    <w:jc w:val="right"/>
                    <w:rPr>
                      <w:rFonts w:ascii="Calibri" w:hAnsi="Calibri" w:cs="Calibri"/>
                      <w:color w:val="000000"/>
                      <w:sz w:val="22"/>
                      <w:szCs w:val="22"/>
                    </w:rPr>
                  </w:pPr>
                </w:p>
              </w:tc>
              <w:tc>
                <w:tcPr>
                  <w:tcW w:w="3704" w:type="dxa"/>
                </w:tcPr>
                <w:p w14:paraId="18D1ED9F" w14:textId="77777777" w:rsidR="006E2C63" w:rsidRPr="00FD297D" w:rsidRDefault="006E2C63" w:rsidP="006E2C63">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Route charges</w:t>
                  </w:r>
                </w:p>
              </w:tc>
              <w:tc>
                <w:tcPr>
                  <w:tcW w:w="710" w:type="dxa"/>
                  <w:gridSpan w:val="2"/>
                </w:tcPr>
                <w:p w14:paraId="48959F1D" w14:textId="77777777" w:rsidR="006E2C63" w:rsidRPr="00103D56" w:rsidRDefault="006E2C63" w:rsidP="006E2C6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center"/>
                </w:tcPr>
                <w:p w14:paraId="2F05F7C6"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color w:val="000000"/>
                      <w:sz w:val="22"/>
                      <w:szCs w:val="22"/>
                    </w:rPr>
                    <w:t>-</w:t>
                  </w:r>
                  <w:r>
                    <w:rPr>
                      <w:rFonts w:ascii="Calibri" w:hAnsi="Calibri" w:cs="Calibri"/>
                      <w:color w:val="000000"/>
                      <w:sz w:val="22"/>
                      <w:szCs w:val="22"/>
                    </w:rPr>
                    <w:t>13</w:t>
                  </w:r>
                  <w:r w:rsidRPr="00FD297D">
                    <w:rPr>
                      <w:rFonts w:ascii="Calibri" w:hAnsi="Calibri" w:cs="Calibri"/>
                      <w:color w:val="000000"/>
                      <w:sz w:val="22"/>
                      <w:szCs w:val="22"/>
                    </w:rPr>
                    <w:t>%</w:t>
                  </w:r>
                </w:p>
              </w:tc>
              <w:tc>
                <w:tcPr>
                  <w:tcW w:w="1275" w:type="dxa"/>
                  <w:gridSpan w:val="2"/>
                  <w:tcBorders>
                    <w:left w:val="single" w:sz="4" w:space="0" w:color="auto"/>
                    <w:right w:val="single" w:sz="4" w:space="0" w:color="auto"/>
                  </w:tcBorders>
                  <w:shd w:val="clear" w:color="auto" w:fill="FFFF00"/>
                  <w:vAlign w:val="center"/>
                </w:tcPr>
                <w:p w14:paraId="12FF3169" w14:textId="77777777" w:rsidR="006E2C63" w:rsidRPr="00FD297D" w:rsidRDefault="006E2C63" w:rsidP="006E2C63">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798.8</w:t>
                  </w:r>
                </w:p>
              </w:tc>
              <w:tc>
                <w:tcPr>
                  <w:tcW w:w="1277" w:type="dxa"/>
                  <w:tcBorders>
                    <w:left w:val="single" w:sz="4" w:space="0" w:color="auto"/>
                    <w:right w:val="single" w:sz="4" w:space="0" w:color="auto"/>
                  </w:tcBorders>
                  <w:shd w:val="clear" w:color="auto" w:fill="auto"/>
                </w:tcPr>
                <w:p w14:paraId="631751C0"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703.9</w:t>
                  </w:r>
                </w:p>
              </w:tc>
              <w:tc>
                <w:tcPr>
                  <w:tcW w:w="1134" w:type="dxa"/>
                  <w:gridSpan w:val="2"/>
                  <w:tcBorders>
                    <w:left w:val="single" w:sz="4" w:space="0" w:color="auto"/>
                    <w:right w:val="single" w:sz="4" w:space="0" w:color="auto"/>
                  </w:tcBorders>
                  <w:shd w:val="clear" w:color="auto" w:fill="auto"/>
                </w:tcPr>
                <w:p w14:paraId="10A80CF8"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1A062DE2"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703.9</w:t>
                  </w:r>
                </w:p>
              </w:tc>
            </w:tr>
            <w:tr w:rsidR="006E2C63" w:rsidRPr="00C22F7C" w14:paraId="0114010C" w14:textId="77777777" w:rsidTr="004C74E4">
              <w:trPr>
                <w:trHeight w:val="214"/>
              </w:trPr>
              <w:tc>
                <w:tcPr>
                  <w:tcW w:w="265" w:type="dxa"/>
                </w:tcPr>
                <w:p w14:paraId="783E038F" w14:textId="77777777" w:rsidR="006E2C63" w:rsidRPr="00C22F7C" w:rsidRDefault="006E2C63" w:rsidP="006E2C63">
                  <w:pPr>
                    <w:autoSpaceDE w:val="0"/>
                    <w:autoSpaceDN w:val="0"/>
                    <w:adjustRightInd w:val="0"/>
                    <w:jc w:val="right"/>
                    <w:rPr>
                      <w:rFonts w:ascii="Calibri" w:hAnsi="Calibri" w:cs="Calibri"/>
                      <w:color w:val="000000"/>
                      <w:sz w:val="22"/>
                      <w:szCs w:val="22"/>
                    </w:rPr>
                  </w:pPr>
                </w:p>
              </w:tc>
              <w:tc>
                <w:tcPr>
                  <w:tcW w:w="3704" w:type="dxa"/>
                </w:tcPr>
                <w:p w14:paraId="7E1B8BE4" w14:textId="77777777" w:rsidR="006E2C63" w:rsidRPr="00FD297D" w:rsidRDefault="006E2C63" w:rsidP="006E2C63">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Marketing, distribution and other</w:t>
                  </w:r>
                </w:p>
              </w:tc>
              <w:tc>
                <w:tcPr>
                  <w:tcW w:w="710" w:type="dxa"/>
                  <w:gridSpan w:val="2"/>
                </w:tcPr>
                <w:p w14:paraId="01D2AF48" w14:textId="77777777" w:rsidR="006E2C63" w:rsidRPr="00103D56" w:rsidRDefault="006E2C63" w:rsidP="006E2C6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center"/>
                </w:tcPr>
                <w:p w14:paraId="0A9AFD9B"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color w:val="000000"/>
                      <w:sz w:val="22"/>
                      <w:szCs w:val="22"/>
                    </w:rPr>
                    <w:t>-</w:t>
                  </w:r>
                  <w:r>
                    <w:rPr>
                      <w:rFonts w:ascii="Calibri" w:hAnsi="Calibri" w:cs="Calibri"/>
                      <w:color w:val="000000"/>
                      <w:sz w:val="22"/>
                      <w:szCs w:val="22"/>
                    </w:rPr>
                    <w:t>13</w:t>
                  </w:r>
                  <w:r w:rsidRPr="00FD297D">
                    <w:rPr>
                      <w:rFonts w:ascii="Calibri" w:hAnsi="Calibri" w:cs="Calibri"/>
                      <w:color w:val="000000"/>
                      <w:sz w:val="22"/>
                      <w:szCs w:val="22"/>
                    </w:rPr>
                    <w:t>%</w:t>
                  </w:r>
                </w:p>
              </w:tc>
              <w:tc>
                <w:tcPr>
                  <w:tcW w:w="1275" w:type="dxa"/>
                  <w:gridSpan w:val="2"/>
                  <w:tcBorders>
                    <w:left w:val="single" w:sz="4" w:space="0" w:color="auto"/>
                    <w:right w:val="single" w:sz="4" w:space="0" w:color="auto"/>
                  </w:tcBorders>
                  <w:shd w:val="clear" w:color="auto" w:fill="FFFF00"/>
                  <w:vAlign w:val="center"/>
                </w:tcPr>
                <w:p w14:paraId="76FFC95F" w14:textId="77777777" w:rsidR="006E2C63" w:rsidRPr="00FD297D" w:rsidRDefault="006E2C63" w:rsidP="006E2C63">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595.1</w:t>
                  </w:r>
                </w:p>
              </w:tc>
              <w:tc>
                <w:tcPr>
                  <w:tcW w:w="1277" w:type="dxa"/>
                  <w:tcBorders>
                    <w:left w:val="single" w:sz="4" w:space="0" w:color="auto"/>
                    <w:right w:val="single" w:sz="4" w:space="0" w:color="auto"/>
                  </w:tcBorders>
                  <w:shd w:val="clear" w:color="auto" w:fill="auto"/>
                </w:tcPr>
                <w:p w14:paraId="4DDD3CD5"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527.5</w:t>
                  </w:r>
                </w:p>
              </w:tc>
              <w:tc>
                <w:tcPr>
                  <w:tcW w:w="1134" w:type="dxa"/>
                  <w:gridSpan w:val="2"/>
                  <w:tcBorders>
                    <w:left w:val="single" w:sz="4" w:space="0" w:color="auto"/>
                    <w:right w:val="single" w:sz="4" w:space="0" w:color="auto"/>
                  </w:tcBorders>
                  <w:shd w:val="clear" w:color="auto" w:fill="auto"/>
                </w:tcPr>
                <w:p w14:paraId="3B73A7B2"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5EF53C37"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527.5</w:t>
                  </w:r>
                </w:p>
              </w:tc>
            </w:tr>
            <w:tr w:rsidR="006E2C63" w:rsidRPr="00C22F7C" w14:paraId="5C6F5E8C" w14:textId="77777777" w:rsidTr="004C74E4">
              <w:trPr>
                <w:trHeight w:val="214"/>
              </w:trPr>
              <w:tc>
                <w:tcPr>
                  <w:tcW w:w="265" w:type="dxa"/>
                </w:tcPr>
                <w:p w14:paraId="7778CE85" w14:textId="77777777" w:rsidR="006E2C63" w:rsidRPr="00C22F7C" w:rsidRDefault="006E2C63" w:rsidP="006E2C63">
                  <w:pPr>
                    <w:autoSpaceDE w:val="0"/>
                    <w:autoSpaceDN w:val="0"/>
                    <w:adjustRightInd w:val="0"/>
                    <w:jc w:val="right"/>
                    <w:rPr>
                      <w:rFonts w:ascii="Calibri" w:hAnsi="Calibri" w:cs="Calibri"/>
                      <w:color w:val="000000"/>
                      <w:sz w:val="22"/>
                      <w:szCs w:val="22"/>
                    </w:rPr>
                  </w:pPr>
                </w:p>
              </w:tc>
              <w:tc>
                <w:tcPr>
                  <w:tcW w:w="3704" w:type="dxa"/>
                </w:tcPr>
                <w:p w14:paraId="7097C81D" w14:textId="77777777" w:rsidR="006E2C63" w:rsidRPr="00FD297D" w:rsidRDefault="006E2C63" w:rsidP="006E2C63">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Maintenance, materials and repairs</w:t>
                  </w:r>
                </w:p>
              </w:tc>
              <w:tc>
                <w:tcPr>
                  <w:tcW w:w="710" w:type="dxa"/>
                  <w:gridSpan w:val="2"/>
                </w:tcPr>
                <w:p w14:paraId="09E4F966" w14:textId="77777777" w:rsidR="006E2C63" w:rsidRPr="00103D56" w:rsidRDefault="006E2C63" w:rsidP="006E2C6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vAlign w:val="center"/>
                </w:tcPr>
                <w:p w14:paraId="30407115"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Pr>
                      <w:rFonts w:ascii="Calibri" w:hAnsi="Calibri" w:cs="Calibri"/>
                      <w:color w:val="000000"/>
                      <w:sz w:val="22"/>
                      <w:szCs w:val="22"/>
                    </w:rPr>
                    <w:t>-7</w:t>
                  </w:r>
                  <w:r w:rsidRPr="00FD297D">
                    <w:rPr>
                      <w:rFonts w:ascii="Calibri" w:hAnsi="Calibri" w:cs="Calibri"/>
                      <w:color w:val="000000"/>
                      <w:sz w:val="22"/>
                      <w:szCs w:val="22"/>
                    </w:rPr>
                    <w:t xml:space="preserve">% </w:t>
                  </w:r>
                </w:p>
              </w:tc>
              <w:tc>
                <w:tcPr>
                  <w:tcW w:w="1275" w:type="dxa"/>
                  <w:gridSpan w:val="2"/>
                  <w:tcBorders>
                    <w:left w:val="single" w:sz="4" w:space="0" w:color="auto"/>
                    <w:right w:val="single" w:sz="4" w:space="0" w:color="auto"/>
                  </w:tcBorders>
                  <w:shd w:val="clear" w:color="auto" w:fill="FFFF00"/>
                  <w:vAlign w:val="center"/>
                </w:tcPr>
                <w:p w14:paraId="333F00DB" w14:textId="77777777" w:rsidR="006E2C63" w:rsidRPr="00FD297D" w:rsidRDefault="006E2C63" w:rsidP="006E2C63">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31</w:t>
                  </w:r>
                  <w:r w:rsidR="003177B6">
                    <w:rPr>
                      <w:rFonts w:ascii="Calibri" w:hAnsi="Calibri" w:cs="Calibri"/>
                      <w:b/>
                      <w:color w:val="000000"/>
                      <w:sz w:val="22"/>
                      <w:szCs w:val="22"/>
                    </w:rPr>
                    <w:t>2.5</w:t>
                  </w:r>
                </w:p>
              </w:tc>
              <w:tc>
                <w:tcPr>
                  <w:tcW w:w="1277" w:type="dxa"/>
                  <w:tcBorders>
                    <w:left w:val="single" w:sz="4" w:space="0" w:color="auto"/>
                    <w:right w:val="single" w:sz="4" w:space="0" w:color="auto"/>
                  </w:tcBorders>
                  <w:shd w:val="clear" w:color="auto" w:fill="auto"/>
                </w:tcPr>
                <w:p w14:paraId="13109D50"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293.1</w:t>
                  </w:r>
                </w:p>
              </w:tc>
              <w:tc>
                <w:tcPr>
                  <w:tcW w:w="1134" w:type="dxa"/>
                  <w:gridSpan w:val="2"/>
                  <w:tcBorders>
                    <w:left w:val="single" w:sz="4" w:space="0" w:color="auto"/>
                    <w:right w:val="single" w:sz="4" w:space="0" w:color="auto"/>
                  </w:tcBorders>
                  <w:shd w:val="clear" w:color="auto" w:fill="auto"/>
                </w:tcPr>
                <w:p w14:paraId="7F6FD209"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7FD9AA83"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293.1</w:t>
                  </w:r>
                </w:p>
              </w:tc>
            </w:tr>
            <w:tr w:rsidR="006E2C63" w:rsidRPr="00C22F7C" w14:paraId="7E92BEDE" w14:textId="77777777" w:rsidTr="004C74E4">
              <w:trPr>
                <w:trHeight w:val="215"/>
              </w:trPr>
              <w:tc>
                <w:tcPr>
                  <w:tcW w:w="3969" w:type="dxa"/>
                  <w:gridSpan w:val="2"/>
                </w:tcPr>
                <w:p w14:paraId="378AFD8C" w14:textId="77777777" w:rsidR="006E2C63" w:rsidRPr="00FD297D" w:rsidRDefault="006E2C63" w:rsidP="006E2C63">
                  <w:pPr>
                    <w:autoSpaceDE w:val="0"/>
                    <w:autoSpaceDN w:val="0"/>
                    <w:adjustRightInd w:val="0"/>
                    <w:ind w:hanging="105"/>
                    <w:rPr>
                      <w:rFonts w:ascii="Calibri" w:hAnsi="Calibri" w:cs="Calibri"/>
                      <w:b/>
                      <w:color w:val="000000"/>
                      <w:sz w:val="22"/>
                      <w:szCs w:val="22"/>
                    </w:rPr>
                  </w:pPr>
                  <w:r w:rsidRPr="00FD297D">
                    <w:rPr>
                      <w:rFonts w:ascii="Calibri" w:hAnsi="Calibri" w:cs="Calibri"/>
                      <w:b/>
                      <w:bCs/>
                      <w:color w:val="000000"/>
                      <w:sz w:val="22"/>
                      <w:szCs w:val="22"/>
                    </w:rPr>
                    <w:t>Total operating expenses</w:t>
                  </w:r>
                </w:p>
              </w:tc>
              <w:tc>
                <w:tcPr>
                  <w:tcW w:w="710" w:type="dxa"/>
                  <w:gridSpan w:val="2"/>
                </w:tcPr>
                <w:p w14:paraId="6A2DB1C8" w14:textId="77777777" w:rsidR="006E2C63" w:rsidRPr="00103D56" w:rsidRDefault="006E2C63" w:rsidP="006E2C63">
                  <w:pPr>
                    <w:autoSpaceDE w:val="0"/>
                    <w:autoSpaceDN w:val="0"/>
                    <w:adjustRightInd w:val="0"/>
                    <w:jc w:val="right"/>
                    <w:rPr>
                      <w:rFonts w:ascii="Calibri" w:hAnsi="Calibri" w:cs="Calibri"/>
                      <w:bCs/>
                      <w:color w:val="000000"/>
                      <w:sz w:val="22"/>
                      <w:szCs w:val="22"/>
                    </w:rPr>
                  </w:pPr>
                </w:p>
              </w:tc>
              <w:tc>
                <w:tcPr>
                  <w:tcW w:w="1132" w:type="dxa"/>
                  <w:gridSpan w:val="2"/>
                  <w:tcBorders>
                    <w:top w:val="single" w:sz="4" w:space="0" w:color="auto"/>
                    <w:bottom w:val="single" w:sz="4" w:space="0" w:color="auto"/>
                    <w:right w:val="single" w:sz="4" w:space="0" w:color="auto"/>
                  </w:tcBorders>
                </w:tcPr>
                <w:p w14:paraId="760A4242" w14:textId="77777777" w:rsidR="006E2C63" w:rsidRPr="00FD297D" w:rsidRDefault="006E2C63" w:rsidP="006E2C63">
                  <w:pPr>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r>
                    <w:rPr>
                      <w:rFonts w:ascii="Calibri" w:hAnsi="Calibri" w:cs="Calibri"/>
                      <w:bCs/>
                      <w:color w:val="000000"/>
                      <w:sz w:val="22"/>
                      <w:szCs w:val="22"/>
                    </w:rPr>
                    <w:t>25</w:t>
                  </w:r>
                  <w:r w:rsidRPr="00FD297D">
                    <w:rPr>
                      <w:rFonts w:ascii="Calibri" w:hAnsi="Calibri" w:cs="Calibri"/>
                      <w:bCs/>
                      <w:color w:val="000000"/>
                      <w:sz w:val="22"/>
                      <w:szCs w:val="22"/>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00"/>
                </w:tcPr>
                <w:p w14:paraId="029CE0CE" w14:textId="77777777" w:rsidR="006E2C63" w:rsidRPr="00FD297D" w:rsidRDefault="006E2C63" w:rsidP="006E2C63">
                  <w:pPr>
                    <w:widowControl w:val="0"/>
                    <w:autoSpaceDE w:val="0"/>
                    <w:autoSpaceDN w:val="0"/>
                    <w:adjustRightInd w:val="0"/>
                    <w:ind w:left="-226"/>
                    <w:jc w:val="right"/>
                    <w:rPr>
                      <w:rFonts w:ascii="Calibri" w:hAnsi="Calibri" w:cs="Calibri"/>
                      <w:b/>
                      <w:color w:val="000000"/>
                      <w:sz w:val="22"/>
                      <w:szCs w:val="22"/>
                    </w:rPr>
                  </w:pPr>
                  <w:r>
                    <w:rPr>
                      <w:rFonts w:ascii="Calibri" w:hAnsi="Calibri" w:cs="Calibri"/>
                      <w:b/>
                      <w:color w:val="000000"/>
                      <w:sz w:val="22"/>
                      <w:szCs w:val="22"/>
                    </w:rPr>
                    <w:t>8,877.</w:t>
                  </w:r>
                  <w:r w:rsidR="003177B6">
                    <w:rPr>
                      <w:rFonts w:ascii="Calibri" w:hAnsi="Calibri" w:cs="Calibri"/>
                      <w:b/>
                      <w:color w:val="000000"/>
                      <w:sz w:val="22"/>
                      <w:szCs w:val="22"/>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768F801"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7,128.3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0FF2EE8"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133.0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8B76462"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7,261.3</w:t>
                  </w:r>
                </w:p>
              </w:tc>
            </w:tr>
            <w:tr w:rsidR="006E2C63" w:rsidRPr="00C22F7C" w14:paraId="60BC04BB" w14:textId="77777777" w:rsidTr="004C74E4">
              <w:trPr>
                <w:trHeight w:val="215"/>
              </w:trPr>
              <w:tc>
                <w:tcPr>
                  <w:tcW w:w="265" w:type="dxa"/>
                </w:tcPr>
                <w:p w14:paraId="5EB13E7C" w14:textId="77777777" w:rsidR="006E2C63" w:rsidRPr="00C22F7C" w:rsidRDefault="006E2C63" w:rsidP="006E2C63">
                  <w:pPr>
                    <w:autoSpaceDE w:val="0"/>
                    <w:autoSpaceDN w:val="0"/>
                    <w:adjustRightInd w:val="0"/>
                    <w:ind w:hanging="105"/>
                    <w:jc w:val="right"/>
                    <w:rPr>
                      <w:rFonts w:ascii="Calibri" w:hAnsi="Calibri" w:cs="Calibri"/>
                      <w:color w:val="000000"/>
                      <w:sz w:val="22"/>
                      <w:szCs w:val="22"/>
                    </w:rPr>
                  </w:pPr>
                </w:p>
              </w:tc>
              <w:tc>
                <w:tcPr>
                  <w:tcW w:w="3704" w:type="dxa"/>
                </w:tcPr>
                <w:p w14:paraId="50B7145B" w14:textId="77777777" w:rsidR="006E2C63" w:rsidRPr="00103D56" w:rsidRDefault="006E2C63" w:rsidP="006E2C63">
                  <w:pPr>
                    <w:autoSpaceDE w:val="0"/>
                    <w:autoSpaceDN w:val="0"/>
                    <w:adjustRightInd w:val="0"/>
                    <w:ind w:hanging="105"/>
                    <w:rPr>
                      <w:rFonts w:ascii="Calibri" w:hAnsi="Calibri" w:cs="Calibri"/>
                      <w:color w:val="000000"/>
                      <w:sz w:val="22"/>
                      <w:szCs w:val="22"/>
                    </w:rPr>
                  </w:pPr>
                </w:p>
              </w:tc>
              <w:tc>
                <w:tcPr>
                  <w:tcW w:w="710" w:type="dxa"/>
                  <w:gridSpan w:val="2"/>
                </w:tcPr>
                <w:p w14:paraId="1A94C3D3" w14:textId="77777777" w:rsidR="006E2C63" w:rsidRPr="00103D56" w:rsidRDefault="006E2C63" w:rsidP="006E2C6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5829242F"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275" w:type="dxa"/>
                  <w:gridSpan w:val="2"/>
                  <w:tcBorders>
                    <w:top w:val="single" w:sz="4" w:space="0" w:color="auto"/>
                    <w:left w:val="single" w:sz="4" w:space="0" w:color="auto"/>
                    <w:right w:val="single" w:sz="4" w:space="0" w:color="auto"/>
                  </w:tcBorders>
                  <w:shd w:val="clear" w:color="auto" w:fill="FFFF00"/>
                </w:tcPr>
                <w:p w14:paraId="3D5DF132" w14:textId="77777777" w:rsidR="006E2C63" w:rsidRPr="00103D56" w:rsidRDefault="006E2C63" w:rsidP="006E2C63">
                  <w:pPr>
                    <w:autoSpaceDE w:val="0"/>
                    <w:autoSpaceDN w:val="0"/>
                    <w:adjustRightInd w:val="0"/>
                    <w:rPr>
                      <w:rFonts w:ascii="Calibri" w:hAnsi="Calibri" w:cs="Calibri"/>
                      <w:b/>
                      <w:color w:val="000000"/>
                      <w:sz w:val="22"/>
                      <w:szCs w:val="22"/>
                    </w:rPr>
                  </w:pPr>
                </w:p>
              </w:tc>
              <w:tc>
                <w:tcPr>
                  <w:tcW w:w="1277" w:type="dxa"/>
                  <w:tcBorders>
                    <w:top w:val="single" w:sz="4" w:space="0" w:color="auto"/>
                    <w:left w:val="single" w:sz="4" w:space="0" w:color="auto"/>
                    <w:right w:val="single" w:sz="4" w:space="0" w:color="auto"/>
                  </w:tcBorders>
                  <w:shd w:val="clear" w:color="auto" w:fill="auto"/>
                </w:tcPr>
                <w:p w14:paraId="57FAE800" w14:textId="77777777" w:rsidR="006E2C63" w:rsidRPr="00103D56" w:rsidRDefault="006E2C63" w:rsidP="006E2C63">
                  <w:pPr>
                    <w:autoSpaceDE w:val="0"/>
                    <w:autoSpaceDN w:val="0"/>
                    <w:adjustRightInd w:val="0"/>
                    <w:rPr>
                      <w:rFonts w:ascii="Calibri" w:hAnsi="Calibri" w:cs="Calibri"/>
                      <w:bCs/>
                      <w:color w:val="000000"/>
                      <w:sz w:val="22"/>
                      <w:szCs w:val="22"/>
                    </w:rPr>
                  </w:pPr>
                </w:p>
              </w:tc>
              <w:tc>
                <w:tcPr>
                  <w:tcW w:w="1134" w:type="dxa"/>
                  <w:gridSpan w:val="2"/>
                  <w:tcBorders>
                    <w:top w:val="single" w:sz="4" w:space="0" w:color="auto"/>
                    <w:left w:val="single" w:sz="4" w:space="0" w:color="auto"/>
                    <w:right w:val="single" w:sz="4" w:space="0" w:color="auto"/>
                  </w:tcBorders>
                  <w:shd w:val="clear" w:color="auto" w:fill="auto"/>
                </w:tcPr>
                <w:p w14:paraId="4FA323DD" w14:textId="77777777" w:rsidR="006E2C63" w:rsidRPr="00103D56" w:rsidRDefault="006E2C63" w:rsidP="006E2C63">
                  <w:pPr>
                    <w:autoSpaceDE w:val="0"/>
                    <w:autoSpaceDN w:val="0"/>
                    <w:adjustRightInd w:val="0"/>
                    <w:rPr>
                      <w:rFonts w:ascii="Calibri" w:hAnsi="Calibri" w:cs="Calibri"/>
                      <w:bCs/>
                      <w:color w:val="000000"/>
                      <w:sz w:val="22"/>
                      <w:szCs w:val="22"/>
                    </w:rPr>
                  </w:pPr>
                </w:p>
              </w:tc>
              <w:tc>
                <w:tcPr>
                  <w:tcW w:w="1133" w:type="dxa"/>
                  <w:tcBorders>
                    <w:top w:val="single" w:sz="4" w:space="0" w:color="auto"/>
                    <w:left w:val="single" w:sz="4" w:space="0" w:color="auto"/>
                    <w:right w:val="single" w:sz="4" w:space="0" w:color="auto"/>
                  </w:tcBorders>
                  <w:shd w:val="clear" w:color="auto" w:fill="auto"/>
                </w:tcPr>
                <w:p w14:paraId="40A3A349" w14:textId="77777777" w:rsidR="006E2C63" w:rsidRPr="00103D56" w:rsidRDefault="006E2C63" w:rsidP="006E2C63">
                  <w:pPr>
                    <w:autoSpaceDE w:val="0"/>
                    <w:autoSpaceDN w:val="0"/>
                    <w:adjustRightInd w:val="0"/>
                    <w:rPr>
                      <w:rFonts w:ascii="Calibri" w:hAnsi="Calibri" w:cs="Calibri"/>
                      <w:bCs/>
                      <w:color w:val="000000"/>
                      <w:sz w:val="22"/>
                      <w:szCs w:val="22"/>
                    </w:rPr>
                  </w:pPr>
                </w:p>
              </w:tc>
            </w:tr>
            <w:tr w:rsidR="006E2C63" w:rsidRPr="00C22F7C" w14:paraId="4AC363ED" w14:textId="77777777" w:rsidTr="004C74E4">
              <w:trPr>
                <w:trHeight w:val="215"/>
              </w:trPr>
              <w:tc>
                <w:tcPr>
                  <w:tcW w:w="3969" w:type="dxa"/>
                  <w:gridSpan w:val="2"/>
                </w:tcPr>
                <w:p w14:paraId="280E5247" w14:textId="77777777" w:rsidR="006E2C63" w:rsidRPr="00FD297D" w:rsidRDefault="006E2C63" w:rsidP="006E2C63">
                  <w:pPr>
                    <w:autoSpaceDE w:val="0"/>
                    <w:autoSpaceDN w:val="0"/>
                    <w:adjustRightInd w:val="0"/>
                    <w:ind w:hanging="105"/>
                    <w:rPr>
                      <w:rFonts w:ascii="Calibri" w:hAnsi="Calibri" w:cs="Calibri"/>
                      <w:b/>
                      <w:color w:val="000000"/>
                      <w:sz w:val="22"/>
                      <w:szCs w:val="22"/>
                    </w:rPr>
                  </w:pPr>
                  <w:r w:rsidRPr="00FD297D">
                    <w:rPr>
                      <w:rFonts w:ascii="Calibri" w:hAnsi="Calibri" w:cs="Calibri"/>
                      <w:b/>
                      <w:bCs/>
                      <w:color w:val="000000"/>
                      <w:sz w:val="22"/>
                      <w:szCs w:val="22"/>
                    </w:rPr>
                    <w:t>Operating profit/(loss)</w:t>
                  </w:r>
                </w:p>
              </w:tc>
              <w:tc>
                <w:tcPr>
                  <w:tcW w:w="710" w:type="dxa"/>
                  <w:gridSpan w:val="2"/>
                </w:tcPr>
                <w:p w14:paraId="48772730"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1E273B86" w14:textId="77777777" w:rsidR="006E2C63" w:rsidRPr="00FD297D" w:rsidRDefault="006E2C63" w:rsidP="006E2C63">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+33</w:t>
                  </w:r>
                  <w:r w:rsidRPr="00FD297D">
                    <w:rPr>
                      <w:rFonts w:ascii="Calibri" w:hAnsi="Calibri" w:cs="Calibri"/>
                      <w:bCs/>
                      <w:color w:val="000000"/>
                      <w:sz w:val="22"/>
                      <w:szCs w:val="22"/>
                    </w:rPr>
                    <w:t>%</w:t>
                  </w:r>
                </w:p>
              </w:tc>
              <w:tc>
                <w:tcPr>
                  <w:tcW w:w="1275" w:type="dxa"/>
                  <w:gridSpan w:val="2"/>
                  <w:tcBorders>
                    <w:left w:val="single" w:sz="4" w:space="0" w:color="auto"/>
                    <w:right w:val="single" w:sz="4" w:space="0" w:color="auto"/>
                  </w:tcBorders>
                  <w:shd w:val="clear" w:color="auto" w:fill="FFFF00"/>
                </w:tcPr>
                <w:p w14:paraId="62234A69" w14:textId="77777777" w:rsidR="006E2C63" w:rsidRPr="00FD297D" w:rsidRDefault="006E2C63" w:rsidP="006E2C63">
                  <w:pPr>
                    <w:widowControl w:val="0"/>
                    <w:autoSpaceDE w:val="0"/>
                    <w:autoSpaceDN w:val="0"/>
                    <w:adjustRightInd w:val="0"/>
                    <w:ind w:left="-226"/>
                    <w:jc w:val="right"/>
                    <w:rPr>
                      <w:rFonts w:ascii="Calibri" w:hAnsi="Calibri" w:cs="Calibri"/>
                      <w:b/>
                      <w:color w:val="000000"/>
                      <w:sz w:val="22"/>
                      <w:szCs w:val="22"/>
                    </w:rPr>
                  </w:pPr>
                  <w:r>
                    <w:rPr>
                      <w:rFonts w:ascii="Calibri" w:hAnsi="Calibri" w:cs="Calibri"/>
                      <w:b/>
                      <w:color w:val="000000"/>
                      <w:sz w:val="22"/>
                      <w:szCs w:val="22"/>
                    </w:rPr>
                    <w:t>2,396.</w:t>
                  </w:r>
                  <w:r w:rsidR="003177B6">
                    <w:rPr>
                      <w:rFonts w:ascii="Calibri" w:hAnsi="Calibri" w:cs="Calibri"/>
                      <w:b/>
                      <w:color w:val="000000"/>
                      <w:sz w:val="22"/>
                      <w:szCs w:val="22"/>
                    </w:rPr>
                    <w:t>9</w:t>
                  </w:r>
                </w:p>
              </w:tc>
              <w:tc>
                <w:tcPr>
                  <w:tcW w:w="1277" w:type="dxa"/>
                  <w:tcBorders>
                    <w:left w:val="single" w:sz="4" w:space="0" w:color="auto"/>
                    <w:right w:val="single" w:sz="4" w:space="0" w:color="auto"/>
                  </w:tcBorders>
                  <w:shd w:val="clear" w:color="auto" w:fill="auto"/>
                </w:tcPr>
                <w:p w14:paraId="7EEA89F6"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1,799.9</w:t>
                  </w:r>
                </w:p>
              </w:tc>
              <w:tc>
                <w:tcPr>
                  <w:tcW w:w="1134" w:type="dxa"/>
                  <w:gridSpan w:val="2"/>
                  <w:tcBorders>
                    <w:left w:val="single" w:sz="4" w:space="0" w:color="auto"/>
                    <w:right w:val="single" w:sz="4" w:space="0" w:color="auto"/>
                  </w:tcBorders>
                  <w:shd w:val="clear" w:color="auto" w:fill="auto"/>
                </w:tcPr>
                <w:p w14:paraId="06BBB12F"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(133.0)</w:t>
                  </w:r>
                </w:p>
              </w:tc>
              <w:tc>
                <w:tcPr>
                  <w:tcW w:w="1133" w:type="dxa"/>
                  <w:tcBorders>
                    <w:left w:val="single" w:sz="4" w:space="0" w:color="auto"/>
                    <w:right w:val="single" w:sz="4" w:space="0" w:color="auto"/>
                  </w:tcBorders>
                  <w:shd w:val="clear" w:color="auto" w:fill="auto"/>
                </w:tcPr>
                <w:p w14:paraId="698913A4"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1,666.9</w:t>
                  </w:r>
                </w:p>
              </w:tc>
            </w:tr>
            <w:tr w:rsidR="006E2C63" w:rsidRPr="00C22F7C" w14:paraId="4A0ECB3D" w14:textId="77777777" w:rsidTr="004C74E4">
              <w:trPr>
                <w:trHeight w:val="214"/>
              </w:trPr>
              <w:tc>
                <w:tcPr>
                  <w:tcW w:w="3969" w:type="dxa"/>
                  <w:gridSpan w:val="2"/>
                </w:tcPr>
                <w:p w14:paraId="44DD63C6" w14:textId="77777777" w:rsidR="006E2C63" w:rsidRPr="00FD297D" w:rsidRDefault="006E2C63" w:rsidP="006E2C63">
                  <w:pPr>
                    <w:autoSpaceDE w:val="0"/>
                    <w:autoSpaceDN w:val="0"/>
                    <w:adjustRightInd w:val="0"/>
                    <w:ind w:hanging="105"/>
                    <w:rPr>
                      <w:rFonts w:ascii="Calibri" w:hAnsi="Calibri" w:cs="Calibri"/>
                      <w:b/>
                      <w:bCs/>
                      <w:color w:val="000000"/>
                      <w:sz w:val="22"/>
                      <w:szCs w:val="22"/>
                    </w:rPr>
                  </w:pPr>
                </w:p>
              </w:tc>
              <w:tc>
                <w:tcPr>
                  <w:tcW w:w="710" w:type="dxa"/>
                  <w:gridSpan w:val="2"/>
                </w:tcPr>
                <w:p w14:paraId="7C497340"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28D753AA"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275" w:type="dxa"/>
                  <w:gridSpan w:val="2"/>
                  <w:tcBorders>
                    <w:left w:val="single" w:sz="4" w:space="0" w:color="auto"/>
                    <w:right w:val="single" w:sz="4" w:space="0" w:color="auto"/>
                  </w:tcBorders>
                  <w:shd w:val="clear" w:color="auto" w:fill="FFFF00"/>
                </w:tcPr>
                <w:p w14:paraId="67B16C82" w14:textId="77777777" w:rsidR="006E2C63" w:rsidRPr="00FD297D" w:rsidRDefault="006E2C63" w:rsidP="006E2C63">
                  <w:pPr>
                    <w:widowControl w:val="0"/>
                    <w:autoSpaceDE w:val="0"/>
                    <w:autoSpaceDN w:val="0"/>
                    <w:adjustRightInd w:val="0"/>
                    <w:ind w:left="-226"/>
                    <w:jc w:val="right"/>
                    <w:rPr>
                      <w:rFonts w:ascii="Calibri" w:hAnsi="Calibri" w:cs="Calibri"/>
                      <w:b/>
                      <w:color w:val="000000"/>
                      <w:sz w:val="22"/>
                      <w:szCs w:val="22"/>
                    </w:rPr>
                  </w:pPr>
                </w:p>
              </w:tc>
              <w:tc>
                <w:tcPr>
                  <w:tcW w:w="1277" w:type="dxa"/>
                  <w:tcBorders>
                    <w:left w:val="single" w:sz="4" w:space="0" w:color="auto"/>
                    <w:right w:val="single" w:sz="4" w:space="0" w:color="auto"/>
                  </w:tcBorders>
                  <w:shd w:val="clear" w:color="auto" w:fill="auto"/>
                </w:tcPr>
                <w:p w14:paraId="1C9CA992"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4122008F"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507C4278"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p>
              </w:tc>
            </w:tr>
            <w:tr w:rsidR="006E2C63" w:rsidRPr="00C22F7C" w14:paraId="3AA59C8E" w14:textId="77777777" w:rsidTr="004C74E4">
              <w:trPr>
                <w:trHeight w:val="214"/>
              </w:trPr>
              <w:tc>
                <w:tcPr>
                  <w:tcW w:w="3969" w:type="dxa"/>
                  <w:gridSpan w:val="2"/>
                </w:tcPr>
                <w:p w14:paraId="3497AE3D" w14:textId="77777777" w:rsidR="006E2C63" w:rsidRPr="00FD297D" w:rsidRDefault="006E2C63" w:rsidP="006E2C63">
                  <w:pPr>
                    <w:autoSpaceDE w:val="0"/>
                    <w:autoSpaceDN w:val="0"/>
                    <w:adjustRightInd w:val="0"/>
                    <w:ind w:hanging="105"/>
                    <w:rPr>
                      <w:rFonts w:ascii="Calibri" w:hAnsi="Calibri" w:cs="Calibri"/>
                      <w:b/>
                      <w:bCs/>
                      <w:color w:val="000000"/>
                      <w:sz w:val="22"/>
                      <w:szCs w:val="22"/>
                    </w:rPr>
                  </w:pPr>
                  <w:r w:rsidRPr="00FD297D">
                    <w:rPr>
                      <w:rFonts w:ascii="Calibri" w:hAnsi="Calibri" w:cs="Calibri"/>
                      <w:b/>
                      <w:bCs/>
                      <w:color w:val="000000"/>
                      <w:sz w:val="22"/>
                      <w:szCs w:val="22"/>
                    </w:rPr>
                    <w:t>Other income/(expenses)</w:t>
                  </w:r>
                </w:p>
              </w:tc>
              <w:tc>
                <w:tcPr>
                  <w:tcW w:w="710" w:type="dxa"/>
                  <w:gridSpan w:val="2"/>
                </w:tcPr>
                <w:p w14:paraId="3A043426"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4E51756A" w14:textId="77777777" w:rsidR="006E2C63" w:rsidRPr="00FD297D" w:rsidRDefault="006E2C63" w:rsidP="006E2C63">
                  <w:pPr>
                    <w:autoSpaceDE w:val="0"/>
                    <w:autoSpaceDN w:val="0"/>
                    <w:adjustRightInd w:val="0"/>
                    <w:jc w:val="right"/>
                    <w:rPr>
                      <w:rFonts w:ascii="Calibri" w:hAnsi="Calibri" w:cs="Calibri"/>
                      <w:bCs/>
                      <w:color w:val="000000"/>
                      <w:sz w:val="22"/>
                      <w:szCs w:val="22"/>
                      <w:highlight w:val="green"/>
                    </w:rPr>
                  </w:pPr>
                </w:p>
              </w:tc>
              <w:tc>
                <w:tcPr>
                  <w:tcW w:w="1275" w:type="dxa"/>
                  <w:gridSpan w:val="2"/>
                  <w:tcBorders>
                    <w:left w:val="single" w:sz="4" w:space="0" w:color="auto"/>
                    <w:right w:val="single" w:sz="4" w:space="0" w:color="auto"/>
                  </w:tcBorders>
                  <w:shd w:val="clear" w:color="auto" w:fill="FFFF00"/>
                </w:tcPr>
                <w:p w14:paraId="261234A8" w14:textId="77777777" w:rsidR="006E2C63" w:rsidRPr="00FD297D" w:rsidRDefault="006E2C63" w:rsidP="006E2C63">
                  <w:pPr>
                    <w:autoSpaceDE w:val="0"/>
                    <w:autoSpaceDN w:val="0"/>
                    <w:adjustRightInd w:val="0"/>
                    <w:ind w:left="-226"/>
                    <w:jc w:val="right"/>
                    <w:rPr>
                      <w:rFonts w:ascii="Calibri" w:hAnsi="Calibri" w:cs="Calibri"/>
                      <w:b/>
                      <w:color w:val="000000"/>
                      <w:sz w:val="22"/>
                      <w:szCs w:val="22"/>
                    </w:rPr>
                  </w:pPr>
                </w:p>
              </w:tc>
              <w:tc>
                <w:tcPr>
                  <w:tcW w:w="1277" w:type="dxa"/>
                  <w:tcBorders>
                    <w:left w:val="single" w:sz="4" w:space="0" w:color="auto"/>
                    <w:right w:val="single" w:sz="4" w:space="0" w:color="auto"/>
                  </w:tcBorders>
                  <w:shd w:val="clear" w:color="auto" w:fill="auto"/>
                </w:tcPr>
                <w:p w14:paraId="237AE002" w14:textId="77777777" w:rsidR="006E2C63" w:rsidRPr="00FD297D" w:rsidRDefault="006E2C63" w:rsidP="006E2C63">
                  <w:pPr>
                    <w:autoSpaceDE w:val="0"/>
                    <w:autoSpaceDN w:val="0"/>
                    <w:adjustRightInd w:val="0"/>
                    <w:ind w:left="-226"/>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3BF07170" w14:textId="77777777" w:rsidR="006E2C63" w:rsidRPr="00FD297D" w:rsidRDefault="006E2C63" w:rsidP="006E2C63">
                  <w:pPr>
                    <w:autoSpaceDE w:val="0"/>
                    <w:autoSpaceDN w:val="0"/>
                    <w:adjustRightInd w:val="0"/>
                    <w:ind w:left="-226"/>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123C9ED2" w14:textId="77777777" w:rsidR="006E2C63" w:rsidRPr="00FD297D" w:rsidRDefault="006E2C63" w:rsidP="006E2C63">
                  <w:pPr>
                    <w:autoSpaceDE w:val="0"/>
                    <w:autoSpaceDN w:val="0"/>
                    <w:adjustRightInd w:val="0"/>
                    <w:ind w:left="-226"/>
                    <w:jc w:val="right"/>
                    <w:rPr>
                      <w:rFonts w:ascii="Calibri" w:hAnsi="Calibri" w:cs="Calibri"/>
                      <w:bCs/>
                      <w:color w:val="000000"/>
                      <w:sz w:val="22"/>
                      <w:szCs w:val="22"/>
                    </w:rPr>
                  </w:pPr>
                </w:p>
              </w:tc>
            </w:tr>
            <w:tr w:rsidR="006E2C63" w:rsidRPr="00C22F7C" w14:paraId="00A6A5FF" w14:textId="77777777" w:rsidTr="004C74E4">
              <w:trPr>
                <w:trHeight w:val="214"/>
              </w:trPr>
              <w:tc>
                <w:tcPr>
                  <w:tcW w:w="265" w:type="dxa"/>
                </w:tcPr>
                <w:p w14:paraId="7E73CB40" w14:textId="77777777" w:rsidR="006E2C63" w:rsidRPr="00FD297D" w:rsidRDefault="006E2C63" w:rsidP="006E2C63">
                  <w:pPr>
                    <w:autoSpaceDE w:val="0"/>
                    <w:autoSpaceDN w:val="0"/>
                    <w:adjustRightInd w:val="0"/>
                    <w:jc w:val="right"/>
                    <w:rPr>
                      <w:rFonts w:ascii="Calibri" w:hAnsi="Calibri" w:cs="Calibri"/>
                      <w:color w:val="000000"/>
                      <w:sz w:val="22"/>
                      <w:szCs w:val="22"/>
                    </w:rPr>
                  </w:pPr>
                </w:p>
              </w:tc>
              <w:tc>
                <w:tcPr>
                  <w:tcW w:w="3704" w:type="dxa"/>
                </w:tcPr>
                <w:p w14:paraId="3B494405" w14:textId="77777777" w:rsidR="006E2C63" w:rsidRPr="00FD297D" w:rsidRDefault="006E2C63" w:rsidP="006E2C63">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Net finance income/(expense)</w:t>
                  </w:r>
                </w:p>
              </w:tc>
              <w:tc>
                <w:tcPr>
                  <w:tcW w:w="710" w:type="dxa"/>
                  <w:gridSpan w:val="2"/>
                </w:tcPr>
                <w:p w14:paraId="04C351B5" w14:textId="77777777" w:rsidR="006E2C63" w:rsidRPr="00FD297D" w:rsidRDefault="006E2C63" w:rsidP="006E2C63">
                  <w:pPr>
                    <w:autoSpaceDE w:val="0"/>
                    <w:autoSpaceDN w:val="0"/>
                    <w:adjustRightInd w:val="0"/>
                    <w:jc w:val="right"/>
                    <w:rPr>
                      <w:rFonts w:ascii="Calibri" w:hAnsi="Calibri" w:cs="Calibri"/>
                      <w:b/>
                      <w:color w:val="000000"/>
                      <w:sz w:val="22"/>
                      <w:szCs w:val="22"/>
                    </w:rPr>
                  </w:pPr>
                </w:p>
              </w:tc>
              <w:tc>
                <w:tcPr>
                  <w:tcW w:w="1132" w:type="dxa"/>
                  <w:gridSpan w:val="2"/>
                  <w:tcBorders>
                    <w:right w:val="single" w:sz="4" w:space="0" w:color="auto"/>
                  </w:tcBorders>
                </w:tcPr>
                <w:p w14:paraId="542230B8"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p>
              </w:tc>
              <w:tc>
                <w:tcPr>
                  <w:tcW w:w="1275" w:type="dxa"/>
                  <w:gridSpan w:val="2"/>
                  <w:tcBorders>
                    <w:left w:val="single" w:sz="4" w:space="0" w:color="auto"/>
                    <w:right w:val="single" w:sz="4" w:space="0" w:color="auto"/>
                  </w:tcBorders>
                  <w:shd w:val="clear" w:color="auto" w:fill="FFFF00"/>
                </w:tcPr>
                <w:p w14:paraId="3EB3E3E0" w14:textId="77777777" w:rsidR="006E2C63" w:rsidRPr="00FD297D" w:rsidRDefault="006E2C63" w:rsidP="006E2C63">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47.6</w:t>
                  </w:r>
                </w:p>
              </w:tc>
              <w:tc>
                <w:tcPr>
                  <w:tcW w:w="1277" w:type="dxa"/>
                  <w:tcBorders>
                    <w:left w:val="single" w:sz="4" w:space="0" w:color="auto"/>
                    <w:right w:val="single" w:sz="4" w:space="0" w:color="auto"/>
                  </w:tcBorders>
                  <w:shd w:val="clear" w:color="auto" w:fill="auto"/>
                </w:tcPr>
                <w:p w14:paraId="1639EAD5"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(42.1)</w:t>
                  </w:r>
                </w:p>
              </w:tc>
              <w:tc>
                <w:tcPr>
                  <w:tcW w:w="1134" w:type="dxa"/>
                  <w:gridSpan w:val="2"/>
                  <w:tcBorders>
                    <w:left w:val="single" w:sz="4" w:space="0" w:color="auto"/>
                    <w:right w:val="single" w:sz="4" w:space="0" w:color="auto"/>
                  </w:tcBorders>
                  <w:shd w:val="clear" w:color="auto" w:fill="auto"/>
                </w:tcPr>
                <w:p w14:paraId="46F2BAC8"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p>
              </w:tc>
              <w:tc>
                <w:tcPr>
                  <w:tcW w:w="1133" w:type="dxa"/>
                  <w:tcBorders>
                    <w:left w:val="single" w:sz="4" w:space="0" w:color="auto"/>
                    <w:right w:val="single" w:sz="4" w:space="0" w:color="auto"/>
                  </w:tcBorders>
                  <w:shd w:val="clear" w:color="auto" w:fill="auto"/>
                </w:tcPr>
                <w:p w14:paraId="68F4567B"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(42.1)</w:t>
                  </w:r>
                </w:p>
              </w:tc>
            </w:tr>
            <w:tr w:rsidR="006E2C63" w:rsidRPr="00C22F7C" w14:paraId="031AD38E" w14:textId="77777777" w:rsidTr="004C74E4">
              <w:trPr>
                <w:trHeight w:val="214"/>
              </w:trPr>
              <w:tc>
                <w:tcPr>
                  <w:tcW w:w="265" w:type="dxa"/>
                </w:tcPr>
                <w:p w14:paraId="143ADE0A" w14:textId="77777777" w:rsidR="006E2C63" w:rsidRPr="00FD297D" w:rsidRDefault="006E2C63" w:rsidP="006E2C63">
                  <w:pPr>
                    <w:autoSpaceDE w:val="0"/>
                    <w:autoSpaceDN w:val="0"/>
                    <w:adjustRightInd w:val="0"/>
                    <w:jc w:val="right"/>
                    <w:rPr>
                      <w:rFonts w:ascii="Calibri" w:hAnsi="Calibri" w:cs="Calibri"/>
                      <w:color w:val="000000"/>
                      <w:sz w:val="22"/>
                      <w:szCs w:val="22"/>
                    </w:rPr>
                  </w:pPr>
                </w:p>
              </w:tc>
              <w:tc>
                <w:tcPr>
                  <w:tcW w:w="3704" w:type="dxa"/>
                </w:tcPr>
                <w:p w14:paraId="3164D42A" w14:textId="77777777" w:rsidR="006E2C63" w:rsidRPr="00FD297D" w:rsidRDefault="006E2C63" w:rsidP="006E2C63">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Foreign exchange</w:t>
                  </w:r>
                </w:p>
              </w:tc>
              <w:tc>
                <w:tcPr>
                  <w:tcW w:w="710" w:type="dxa"/>
                  <w:gridSpan w:val="2"/>
                </w:tcPr>
                <w:p w14:paraId="042C2CE2"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2DC29F39" w14:textId="77777777" w:rsidR="006E2C63" w:rsidRPr="00FD297D" w:rsidRDefault="006E2C63" w:rsidP="006E2C63">
                  <w:pPr>
                    <w:widowControl w:val="0"/>
                    <w:autoSpaceDE w:val="0"/>
                    <w:autoSpaceDN w:val="0"/>
                    <w:adjustRightInd w:val="0"/>
                    <w:jc w:val="right"/>
                    <w:rPr>
                      <w:rFonts w:ascii="Calibri" w:hAnsi="Calibri" w:cs="Calibri"/>
                      <w:bCs/>
                      <w:sz w:val="22"/>
                      <w:szCs w:val="22"/>
                      <w:highlight w:val="green"/>
                    </w:rPr>
                  </w:pPr>
                </w:p>
              </w:tc>
              <w:tc>
                <w:tcPr>
                  <w:tcW w:w="1275" w:type="dxa"/>
                  <w:gridSpan w:val="2"/>
                  <w:tcBorders>
                    <w:left w:val="single" w:sz="4" w:space="0" w:color="auto"/>
                    <w:bottom w:val="single" w:sz="4" w:space="0" w:color="auto"/>
                    <w:right w:val="single" w:sz="4" w:space="0" w:color="auto"/>
                  </w:tcBorders>
                  <w:shd w:val="clear" w:color="auto" w:fill="FFFF00"/>
                </w:tcPr>
                <w:p w14:paraId="1E6329FC" w14:textId="77777777" w:rsidR="006E2C63" w:rsidRPr="00FD297D" w:rsidRDefault="006E2C63" w:rsidP="006E2C63">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16.7</w:t>
                  </w:r>
                </w:p>
              </w:tc>
              <w:tc>
                <w:tcPr>
                  <w:tcW w:w="1277" w:type="dxa"/>
                  <w:tcBorders>
                    <w:left w:val="single" w:sz="4" w:space="0" w:color="auto"/>
                    <w:bottom w:val="single" w:sz="4" w:space="0" w:color="auto"/>
                    <w:right w:val="single" w:sz="4" w:space="0" w:color="auto"/>
                  </w:tcBorders>
                  <w:shd w:val="clear" w:color="auto" w:fill="auto"/>
                </w:tcPr>
                <w:p w14:paraId="5D4E6354"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10.8</w:t>
                  </w:r>
                </w:p>
              </w:tc>
              <w:tc>
                <w:tcPr>
                  <w:tcW w:w="1134" w:type="dxa"/>
                  <w:gridSpan w:val="2"/>
                  <w:tcBorders>
                    <w:left w:val="single" w:sz="4" w:space="0" w:color="auto"/>
                    <w:bottom w:val="single" w:sz="4" w:space="0" w:color="auto"/>
                    <w:right w:val="single" w:sz="4" w:space="0" w:color="auto"/>
                  </w:tcBorders>
                  <w:shd w:val="clear" w:color="auto" w:fill="auto"/>
                </w:tcPr>
                <w:p w14:paraId="2345673F"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p>
              </w:tc>
              <w:tc>
                <w:tcPr>
                  <w:tcW w:w="1133" w:type="dxa"/>
                  <w:tcBorders>
                    <w:left w:val="single" w:sz="4" w:space="0" w:color="auto"/>
                    <w:bottom w:val="single" w:sz="4" w:space="0" w:color="auto"/>
                    <w:right w:val="single" w:sz="4" w:space="0" w:color="auto"/>
                  </w:tcBorders>
                  <w:shd w:val="clear" w:color="auto" w:fill="auto"/>
                </w:tcPr>
                <w:p w14:paraId="38968FE3"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10.8</w:t>
                  </w:r>
                </w:p>
              </w:tc>
            </w:tr>
            <w:tr w:rsidR="006E2C63" w:rsidRPr="00C22F7C" w14:paraId="662560B0" w14:textId="77777777" w:rsidTr="004C74E4">
              <w:trPr>
                <w:trHeight w:val="214"/>
              </w:trPr>
              <w:tc>
                <w:tcPr>
                  <w:tcW w:w="3969" w:type="dxa"/>
                  <w:gridSpan w:val="2"/>
                </w:tcPr>
                <w:p w14:paraId="3732AB21" w14:textId="77777777" w:rsidR="006E2C63" w:rsidRPr="00FD297D" w:rsidRDefault="006E2C63" w:rsidP="006E2C63">
                  <w:pPr>
                    <w:autoSpaceDE w:val="0"/>
                    <w:autoSpaceDN w:val="0"/>
                    <w:adjustRightInd w:val="0"/>
                    <w:ind w:hanging="105"/>
                    <w:rPr>
                      <w:rFonts w:ascii="Calibri" w:hAnsi="Calibri" w:cs="Calibri"/>
                      <w:b/>
                      <w:color w:val="000000"/>
                      <w:sz w:val="22"/>
                      <w:szCs w:val="22"/>
                    </w:rPr>
                  </w:pPr>
                  <w:r w:rsidRPr="00FD297D">
                    <w:rPr>
                      <w:rFonts w:ascii="Calibri" w:hAnsi="Calibri" w:cs="Calibri"/>
                      <w:b/>
                      <w:color w:val="000000"/>
                      <w:sz w:val="22"/>
                      <w:szCs w:val="22"/>
                    </w:rPr>
                    <w:t>Total other income/(expenses)</w:t>
                  </w:r>
                </w:p>
              </w:tc>
              <w:tc>
                <w:tcPr>
                  <w:tcW w:w="710" w:type="dxa"/>
                  <w:gridSpan w:val="2"/>
                </w:tcPr>
                <w:p w14:paraId="2DDBE1D7"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6773BF35"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highlight w:val="green"/>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00"/>
                </w:tcPr>
                <w:p w14:paraId="5E7B46BE" w14:textId="77777777" w:rsidR="006E2C63" w:rsidRPr="00FD297D" w:rsidRDefault="006E2C63" w:rsidP="006E2C63">
                  <w:pPr>
                    <w:widowControl w:val="0"/>
                    <w:autoSpaceDE w:val="0"/>
                    <w:autoSpaceDN w:val="0"/>
                    <w:adjustRightInd w:val="0"/>
                    <w:ind w:left="-226"/>
                    <w:jc w:val="right"/>
                    <w:rPr>
                      <w:rFonts w:ascii="Calibri" w:hAnsi="Calibri" w:cs="Calibri"/>
                      <w:b/>
                      <w:color w:val="000000"/>
                      <w:sz w:val="22"/>
                      <w:szCs w:val="22"/>
                    </w:rPr>
                  </w:pPr>
                  <w:r>
                    <w:rPr>
                      <w:rFonts w:ascii="Calibri" w:hAnsi="Calibri" w:cs="Calibri"/>
                      <w:b/>
                      <w:color w:val="000000"/>
                      <w:sz w:val="22"/>
                      <w:szCs w:val="22"/>
                    </w:rPr>
                    <w:t>64.3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A55D5D8"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(31.3)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9F98BC0"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572F4C7"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(31.3)</w:t>
                  </w:r>
                </w:p>
              </w:tc>
            </w:tr>
            <w:tr w:rsidR="006E2C63" w:rsidRPr="00C22F7C" w14:paraId="242FDDFF" w14:textId="77777777" w:rsidTr="004C74E4">
              <w:trPr>
                <w:trHeight w:val="214"/>
              </w:trPr>
              <w:tc>
                <w:tcPr>
                  <w:tcW w:w="265" w:type="dxa"/>
                </w:tcPr>
                <w:p w14:paraId="42FB3D71" w14:textId="77777777" w:rsidR="006E2C63" w:rsidRPr="00FD297D" w:rsidRDefault="006E2C63" w:rsidP="006E2C63">
                  <w:pPr>
                    <w:autoSpaceDE w:val="0"/>
                    <w:autoSpaceDN w:val="0"/>
                    <w:adjustRightInd w:val="0"/>
                    <w:ind w:hanging="105"/>
                    <w:jc w:val="right"/>
                    <w:rPr>
                      <w:rFonts w:ascii="Calibri" w:hAnsi="Calibri" w:cs="Calibri"/>
                      <w:color w:val="000000"/>
                      <w:sz w:val="22"/>
                      <w:szCs w:val="22"/>
                    </w:rPr>
                  </w:pPr>
                </w:p>
              </w:tc>
              <w:tc>
                <w:tcPr>
                  <w:tcW w:w="3704" w:type="dxa"/>
                </w:tcPr>
                <w:p w14:paraId="3B70FB68" w14:textId="77777777" w:rsidR="006E2C63" w:rsidRPr="00FD297D" w:rsidRDefault="006E2C63" w:rsidP="006E2C63">
                  <w:pPr>
                    <w:autoSpaceDE w:val="0"/>
                    <w:autoSpaceDN w:val="0"/>
                    <w:adjustRightInd w:val="0"/>
                    <w:ind w:hanging="105"/>
                    <w:rPr>
                      <w:rFonts w:ascii="Calibri" w:hAnsi="Calibri" w:cs="Calibri"/>
                      <w:color w:val="000000"/>
                      <w:sz w:val="22"/>
                      <w:szCs w:val="22"/>
                    </w:rPr>
                  </w:pPr>
                </w:p>
              </w:tc>
              <w:tc>
                <w:tcPr>
                  <w:tcW w:w="710" w:type="dxa"/>
                  <w:gridSpan w:val="2"/>
                </w:tcPr>
                <w:p w14:paraId="78699913"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06225502"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275" w:type="dxa"/>
                  <w:gridSpan w:val="2"/>
                  <w:tcBorders>
                    <w:top w:val="single" w:sz="4" w:space="0" w:color="auto"/>
                    <w:left w:val="single" w:sz="4" w:space="0" w:color="auto"/>
                    <w:right w:val="single" w:sz="4" w:space="0" w:color="auto"/>
                  </w:tcBorders>
                  <w:shd w:val="clear" w:color="auto" w:fill="FFFF00"/>
                </w:tcPr>
                <w:p w14:paraId="6E23DECD" w14:textId="77777777" w:rsidR="006E2C63" w:rsidRPr="00FD297D" w:rsidRDefault="006E2C63" w:rsidP="006E2C63">
                  <w:pPr>
                    <w:autoSpaceDE w:val="0"/>
                    <w:autoSpaceDN w:val="0"/>
                    <w:adjustRightInd w:val="0"/>
                    <w:jc w:val="right"/>
                    <w:rPr>
                      <w:rFonts w:ascii="Calibri" w:hAnsi="Calibri" w:cs="Calibri"/>
                      <w:b/>
                      <w:color w:val="000000"/>
                      <w:sz w:val="22"/>
                      <w:szCs w:val="22"/>
                    </w:rPr>
                  </w:pPr>
                </w:p>
              </w:tc>
              <w:tc>
                <w:tcPr>
                  <w:tcW w:w="1277" w:type="dxa"/>
                  <w:tcBorders>
                    <w:top w:val="single" w:sz="4" w:space="0" w:color="auto"/>
                    <w:left w:val="single" w:sz="4" w:space="0" w:color="auto"/>
                    <w:right w:val="single" w:sz="4" w:space="0" w:color="auto"/>
                  </w:tcBorders>
                  <w:shd w:val="clear" w:color="auto" w:fill="auto"/>
                </w:tcPr>
                <w:p w14:paraId="71275DB3"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4" w:type="dxa"/>
                  <w:gridSpan w:val="2"/>
                  <w:tcBorders>
                    <w:top w:val="single" w:sz="4" w:space="0" w:color="auto"/>
                    <w:left w:val="single" w:sz="4" w:space="0" w:color="auto"/>
                    <w:right w:val="single" w:sz="4" w:space="0" w:color="auto"/>
                  </w:tcBorders>
                  <w:shd w:val="clear" w:color="auto" w:fill="auto"/>
                </w:tcPr>
                <w:p w14:paraId="0E42865B"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3" w:type="dxa"/>
                  <w:tcBorders>
                    <w:top w:val="single" w:sz="4" w:space="0" w:color="auto"/>
                    <w:left w:val="single" w:sz="4" w:space="0" w:color="auto"/>
                    <w:right w:val="single" w:sz="4" w:space="0" w:color="auto"/>
                  </w:tcBorders>
                  <w:shd w:val="clear" w:color="auto" w:fill="auto"/>
                </w:tcPr>
                <w:p w14:paraId="2928FAF2"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r>
            <w:tr w:rsidR="006E2C63" w:rsidRPr="00C22F7C" w14:paraId="4D93B238" w14:textId="77777777" w:rsidTr="004C74E4">
              <w:trPr>
                <w:trHeight w:val="214"/>
              </w:trPr>
              <w:tc>
                <w:tcPr>
                  <w:tcW w:w="3969" w:type="dxa"/>
                  <w:gridSpan w:val="2"/>
                </w:tcPr>
                <w:p w14:paraId="5B644F6F" w14:textId="77777777" w:rsidR="006E2C63" w:rsidRPr="00FD297D" w:rsidRDefault="006E2C63" w:rsidP="006E2C63">
                  <w:pPr>
                    <w:autoSpaceDE w:val="0"/>
                    <w:autoSpaceDN w:val="0"/>
                    <w:adjustRightInd w:val="0"/>
                    <w:ind w:hanging="105"/>
                    <w:rPr>
                      <w:rFonts w:ascii="Calibri" w:hAnsi="Calibri" w:cs="Calibri"/>
                      <w:b/>
                      <w:color w:val="000000"/>
                      <w:sz w:val="22"/>
                      <w:szCs w:val="22"/>
                    </w:rPr>
                  </w:pPr>
                  <w:r w:rsidRPr="00FD297D">
                    <w:rPr>
                      <w:rFonts w:ascii="Calibri" w:hAnsi="Calibri" w:cs="Calibri"/>
                      <w:b/>
                      <w:color w:val="000000"/>
                      <w:sz w:val="22"/>
                      <w:szCs w:val="22"/>
                    </w:rPr>
                    <w:t>Profit/(loss) before tax</w:t>
                  </w:r>
                </w:p>
              </w:tc>
              <w:tc>
                <w:tcPr>
                  <w:tcW w:w="710" w:type="dxa"/>
                  <w:gridSpan w:val="2"/>
                </w:tcPr>
                <w:p w14:paraId="32484053"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18D87251" w14:textId="77777777" w:rsidR="006E2C63" w:rsidRPr="00FD297D" w:rsidRDefault="006E2C63" w:rsidP="006E2C63">
                  <w:pPr>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r w:rsidR="00D3762B">
                    <w:rPr>
                      <w:rFonts w:ascii="Calibri" w:hAnsi="Calibri" w:cs="Calibri"/>
                      <w:bCs/>
                      <w:color w:val="000000"/>
                      <w:sz w:val="22"/>
                      <w:szCs w:val="22"/>
                    </w:rPr>
                    <w:t>39</w:t>
                  </w:r>
                  <w:r w:rsidRPr="00FD297D">
                    <w:rPr>
                      <w:rFonts w:ascii="Calibri" w:hAnsi="Calibri" w:cs="Calibri"/>
                      <w:bCs/>
                      <w:color w:val="000000"/>
                      <w:sz w:val="22"/>
                      <w:szCs w:val="22"/>
                    </w:rPr>
                    <w:t>%</w:t>
                  </w:r>
                </w:p>
              </w:tc>
              <w:tc>
                <w:tcPr>
                  <w:tcW w:w="1275" w:type="dxa"/>
                  <w:gridSpan w:val="2"/>
                  <w:tcBorders>
                    <w:left w:val="single" w:sz="4" w:space="0" w:color="auto"/>
                    <w:right w:val="single" w:sz="4" w:space="0" w:color="auto"/>
                  </w:tcBorders>
                  <w:shd w:val="clear" w:color="auto" w:fill="FFFF00"/>
                </w:tcPr>
                <w:p w14:paraId="42A64FD0" w14:textId="77777777" w:rsidR="006E2C63" w:rsidRPr="00FD297D" w:rsidRDefault="006E2C63" w:rsidP="006E2C63">
                  <w:pPr>
                    <w:widowControl w:val="0"/>
                    <w:autoSpaceDE w:val="0"/>
                    <w:autoSpaceDN w:val="0"/>
                    <w:adjustRightInd w:val="0"/>
                    <w:ind w:left="-226"/>
                    <w:jc w:val="right"/>
                    <w:rPr>
                      <w:rFonts w:ascii="Calibri" w:hAnsi="Calibri" w:cs="Calibri"/>
                      <w:b/>
                      <w:color w:val="000000"/>
                      <w:sz w:val="22"/>
                      <w:szCs w:val="22"/>
                    </w:rPr>
                  </w:pPr>
                  <w:r>
                    <w:rPr>
                      <w:rFonts w:ascii="Calibri" w:hAnsi="Calibri" w:cs="Calibri"/>
                      <w:b/>
                      <w:color w:val="000000"/>
                      <w:sz w:val="22"/>
                      <w:szCs w:val="22"/>
                    </w:rPr>
                    <w:t>2,461.</w:t>
                  </w:r>
                  <w:r w:rsidR="003177B6">
                    <w:rPr>
                      <w:rFonts w:ascii="Calibri" w:hAnsi="Calibri" w:cs="Calibri"/>
                      <w:b/>
                      <w:color w:val="000000"/>
                      <w:sz w:val="22"/>
                      <w:szCs w:val="22"/>
                    </w:rPr>
                    <w:t>2</w:t>
                  </w:r>
                </w:p>
              </w:tc>
              <w:tc>
                <w:tcPr>
                  <w:tcW w:w="1277" w:type="dxa"/>
                  <w:tcBorders>
                    <w:left w:val="single" w:sz="4" w:space="0" w:color="auto"/>
                    <w:right w:val="single" w:sz="4" w:space="0" w:color="auto"/>
                  </w:tcBorders>
                  <w:shd w:val="clear" w:color="auto" w:fill="auto"/>
                </w:tcPr>
                <w:p w14:paraId="0150B5DC"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1,768.6</w:t>
                  </w:r>
                </w:p>
              </w:tc>
              <w:tc>
                <w:tcPr>
                  <w:tcW w:w="1134" w:type="dxa"/>
                  <w:gridSpan w:val="2"/>
                  <w:tcBorders>
                    <w:left w:val="single" w:sz="4" w:space="0" w:color="auto"/>
                    <w:right w:val="single" w:sz="4" w:space="0" w:color="auto"/>
                  </w:tcBorders>
                  <w:shd w:val="clear" w:color="auto" w:fill="auto"/>
                </w:tcPr>
                <w:p w14:paraId="105D5D7D"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(133.0)</w:t>
                  </w:r>
                </w:p>
              </w:tc>
              <w:tc>
                <w:tcPr>
                  <w:tcW w:w="1133" w:type="dxa"/>
                  <w:tcBorders>
                    <w:left w:val="single" w:sz="4" w:space="0" w:color="auto"/>
                    <w:right w:val="single" w:sz="4" w:space="0" w:color="auto"/>
                  </w:tcBorders>
                  <w:shd w:val="clear" w:color="auto" w:fill="auto"/>
                </w:tcPr>
                <w:p w14:paraId="68D85076" w14:textId="77777777" w:rsidR="006E2C63" w:rsidRPr="00FD297D" w:rsidRDefault="006E2C63" w:rsidP="006E2C63">
                  <w:pPr>
                    <w:widowControl w:val="0"/>
                    <w:autoSpaceDE w:val="0"/>
                    <w:autoSpaceDN w:val="0"/>
                    <w:adjustRightInd w:val="0"/>
                    <w:ind w:left="-226"/>
                    <w:jc w:val="right"/>
                    <w:rPr>
                      <w:rFonts w:ascii="Calibri" w:hAnsi="Calibri" w:cs="Calibri"/>
                      <w:bCs/>
                      <w:color w:val="000000"/>
                      <w:sz w:val="22"/>
                      <w:szCs w:val="22"/>
                    </w:rPr>
                  </w:pPr>
                  <w:r w:rsidRPr="00FD297D">
                    <w:rPr>
                      <w:rFonts w:ascii="Calibri" w:hAnsi="Calibri" w:cs="Calibri"/>
                      <w:bCs/>
                      <w:color w:val="000000"/>
                      <w:sz w:val="22"/>
                      <w:szCs w:val="22"/>
                    </w:rPr>
                    <w:t>1,635.6</w:t>
                  </w:r>
                </w:p>
              </w:tc>
            </w:tr>
            <w:tr w:rsidR="006E2C63" w:rsidRPr="00C22F7C" w14:paraId="02AE3968" w14:textId="77777777" w:rsidTr="004C74E4">
              <w:trPr>
                <w:trHeight w:val="214"/>
              </w:trPr>
              <w:tc>
                <w:tcPr>
                  <w:tcW w:w="265" w:type="dxa"/>
                </w:tcPr>
                <w:p w14:paraId="3628ED5B" w14:textId="77777777" w:rsidR="006E2C63" w:rsidRPr="00FD297D" w:rsidRDefault="006E2C63" w:rsidP="006E2C63">
                  <w:pPr>
                    <w:autoSpaceDE w:val="0"/>
                    <w:autoSpaceDN w:val="0"/>
                    <w:adjustRightInd w:val="0"/>
                    <w:jc w:val="right"/>
                    <w:rPr>
                      <w:rFonts w:ascii="Calibri" w:hAnsi="Calibri" w:cs="Calibri"/>
                      <w:color w:val="000000"/>
                      <w:sz w:val="22"/>
                      <w:szCs w:val="22"/>
                    </w:rPr>
                  </w:pPr>
                </w:p>
              </w:tc>
              <w:tc>
                <w:tcPr>
                  <w:tcW w:w="3704" w:type="dxa"/>
                </w:tcPr>
                <w:p w14:paraId="5B267BD2" w14:textId="77777777" w:rsidR="006E2C63" w:rsidRPr="00FD297D" w:rsidRDefault="006E2C63" w:rsidP="006E2C63">
                  <w:pPr>
                    <w:autoSpaceDE w:val="0"/>
                    <w:autoSpaceDN w:val="0"/>
                    <w:adjustRightInd w:val="0"/>
                    <w:rPr>
                      <w:rFonts w:ascii="Calibri" w:hAnsi="Calibri" w:cs="Calibri"/>
                      <w:color w:val="000000"/>
                      <w:sz w:val="22"/>
                      <w:szCs w:val="22"/>
                    </w:rPr>
                  </w:pPr>
                </w:p>
              </w:tc>
              <w:tc>
                <w:tcPr>
                  <w:tcW w:w="710" w:type="dxa"/>
                  <w:gridSpan w:val="2"/>
                </w:tcPr>
                <w:p w14:paraId="6E69173B"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2" w:type="dxa"/>
                  <w:gridSpan w:val="2"/>
                  <w:tcBorders>
                    <w:right w:val="single" w:sz="4" w:space="0" w:color="auto"/>
                  </w:tcBorders>
                </w:tcPr>
                <w:p w14:paraId="50AD1A82"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275" w:type="dxa"/>
                  <w:gridSpan w:val="2"/>
                  <w:tcBorders>
                    <w:left w:val="single" w:sz="4" w:space="0" w:color="auto"/>
                    <w:right w:val="single" w:sz="4" w:space="0" w:color="auto"/>
                  </w:tcBorders>
                  <w:shd w:val="clear" w:color="auto" w:fill="FFFF00"/>
                </w:tcPr>
                <w:p w14:paraId="1BDED29B" w14:textId="77777777" w:rsidR="006E2C63" w:rsidRPr="00FD297D" w:rsidRDefault="006E2C63" w:rsidP="006E2C63">
                  <w:pPr>
                    <w:autoSpaceDE w:val="0"/>
                    <w:autoSpaceDN w:val="0"/>
                    <w:adjustRightInd w:val="0"/>
                    <w:jc w:val="right"/>
                    <w:rPr>
                      <w:rFonts w:ascii="Calibri" w:hAnsi="Calibri" w:cs="Calibri"/>
                      <w:b/>
                      <w:color w:val="000000"/>
                      <w:sz w:val="22"/>
                      <w:szCs w:val="22"/>
                    </w:rPr>
                  </w:pPr>
                </w:p>
              </w:tc>
              <w:tc>
                <w:tcPr>
                  <w:tcW w:w="1277" w:type="dxa"/>
                  <w:tcBorders>
                    <w:left w:val="single" w:sz="4" w:space="0" w:color="auto"/>
                    <w:right w:val="single" w:sz="4" w:space="0" w:color="auto"/>
                  </w:tcBorders>
                  <w:shd w:val="clear" w:color="auto" w:fill="auto"/>
                </w:tcPr>
                <w:p w14:paraId="4E4254EE"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61C11962"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47F7A628"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r>
            <w:tr w:rsidR="006E2C63" w:rsidRPr="00C22F7C" w14:paraId="263BC93D" w14:textId="77777777" w:rsidTr="004C74E4">
              <w:trPr>
                <w:trHeight w:val="214"/>
              </w:trPr>
              <w:tc>
                <w:tcPr>
                  <w:tcW w:w="265" w:type="dxa"/>
                </w:tcPr>
                <w:p w14:paraId="70DCFB55" w14:textId="77777777" w:rsidR="006E2C63" w:rsidRPr="00FD297D" w:rsidRDefault="006E2C63" w:rsidP="006E2C63">
                  <w:pPr>
                    <w:autoSpaceDE w:val="0"/>
                    <w:autoSpaceDN w:val="0"/>
                    <w:adjustRightInd w:val="0"/>
                    <w:jc w:val="right"/>
                    <w:rPr>
                      <w:rFonts w:ascii="Calibri" w:hAnsi="Calibri" w:cs="Calibri"/>
                      <w:color w:val="000000"/>
                      <w:sz w:val="22"/>
                      <w:szCs w:val="22"/>
                    </w:rPr>
                  </w:pPr>
                </w:p>
              </w:tc>
              <w:tc>
                <w:tcPr>
                  <w:tcW w:w="3704" w:type="dxa"/>
                </w:tcPr>
                <w:p w14:paraId="68A2E0B1" w14:textId="77777777" w:rsidR="006E2C63" w:rsidRPr="00FD297D" w:rsidRDefault="006E2C63" w:rsidP="006E2C63">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 xml:space="preserve">Tax (expense)/credit </w:t>
                  </w:r>
                </w:p>
              </w:tc>
              <w:tc>
                <w:tcPr>
                  <w:tcW w:w="710" w:type="dxa"/>
                  <w:gridSpan w:val="2"/>
                </w:tcPr>
                <w:p w14:paraId="4B92DDF6" w14:textId="77777777" w:rsidR="006E2C63" w:rsidRPr="00FD297D" w:rsidRDefault="006E2C63" w:rsidP="006E2C63">
                  <w:pPr>
                    <w:autoSpaceDE w:val="0"/>
                    <w:autoSpaceDN w:val="0"/>
                    <w:adjustRightInd w:val="0"/>
                    <w:jc w:val="right"/>
                    <w:rPr>
                      <w:rFonts w:ascii="Calibri" w:hAnsi="Calibri" w:cs="Calibri"/>
                      <w:b/>
                      <w:bCs/>
                      <w:color w:val="000000"/>
                      <w:sz w:val="22"/>
                      <w:szCs w:val="22"/>
                    </w:rPr>
                  </w:pPr>
                  <w:r w:rsidRPr="00FD297D">
                    <w:rPr>
                      <w:rFonts w:ascii="Calibri" w:hAnsi="Calibri" w:cs="Calibri"/>
                      <w:b/>
                      <w:bCs/>
                      <w:color w:val="000000"/>
                      <w:sz w:val="22"/>
                      <w:szCs w:val="22"/>
                    </w:rPr>
                    <w:t>4</w:t>
                  </w:r>
                </w:p>
              </w:tc>
              <w:tc>
                <w:tcPr>
                  <w:tcW w:w="1132" w:type="dxa"/>
                  <w:gridSpan w:val="2"/>
                  <w:tcBorders>
                    <w:right w:val="single" w:sz="4" w:space="0" w:color="auto"/>
                  </w:tcBorders>
                </w:tcPr>
                <w:p w14:paraId="5C5A0347" w14:textId="77777777" w:rsidR="006E2C63" w:rsidRPr="00FD297D" w:rsidRDefault="006E2C63" w:rsidP="006E2C63">
                  <w:pPr>
                    <w:autoSpaceDE w:val="0"/>
                    <w:autoSpaceDN w:val="0"/>
                    <w:adjustRightInd w:val="0"/>
                    <w:jc w:val="right"/>
                    <w:rPr>
                      <w:rFonts w:ascii="Calibri" w:hAnsi="Calibri" w:cs="Calibri"/>
                      <w:bCs/>
                      <w:sz w:val="22"/>
                      <w:szCs w:val="22"/>
                    </w:rPr>
                  </w:pPr>
                </w:p>
              </w:tc>
              <w:tc>
                <w:tcPr>
                  <w:tcW w:w="1275" w:type="dxa"/>
                  <w:gridSpan w:val="2"/>
                  <w:tcBorders>
                    <w:left w:val="single" w:sz="4" w:space="0" w:color="auto"/>
                    <w:right w:val="single" w:sz="4" w:space="0" w:color="auto"/>
                  </w:tcBorders>
                  <w:shd w:val="clear" w:color="auto" w:fill="FFFF00"/>
                </w:tcPr>
                <w:p w14:paraId="043C9DA1" w14:textId="77777777" w:rsidR="006E2C63" w:rsidRPr="00FD297D" w:rsidRDefault="006E2C63" w:rsidP="006E2C63">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(268.</w:t>
                  </w:r>
                  <w:r w:rsidR="003177B6">
                    <w:rPr>
                      <w:rFonts w:ascii="Calibri" w:hAnsi="Calibri" w:cs="Calibri"/>
                      <w:b/>
                      <w:color w:val="000000"/>
                      <w:sz w:val="22"/>
                      <w:szCs w:val="22"/>
                    </w:rPr>
                    <w:t>3</w:t>
                  </w:r>
                  <w:r>
                    <w:rPr>
                      <w:rFonts w:ascii="Calibri" w:hAnsi="Calibri" w:cs="Calibri"/>
                      <w:b/>
                      <w:color w:val="000000"/>
                      <w:sz w:val="22"/>
                      <w:szCs w:val="22"/>
                    </w:rPr>
                    <w:t>)</w:t>
                  </w:r>
                </w:p>
              </w:tc>
              <w:tc>
                <w:tcPr>
                  <w:tcW w:w="1277" w:type="dxa"/>
                  <w:tcBorders>
                    <w:left w:val="single" w:sz="4" w:space="0" w:color="auto"/>
                    <w:right w:val="single" w:sz="4" w:space="0" w:color="auto"/>
                  </w:tcBorders>
                  <w:shd w:val="clear" w:color="auto" w:fill="auto"/>
                </w:tcPr>
                <w:p w14:paraId="2477CD02"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(186.7)</w:t>
                  </w:r>
                </w:p>
              </w:tc>
              <w:tc>
                <w:tcPr>
                  <w:tcW w:w="1134" w:type="dxa"/>
                  <w:gridSpan w:val="2"/>
                  <w:tcBorders>
                    <w:left w:val="single" w:sz="4" w:space="0" w:color="auto"/>
                    <w:right w:val="single" w:sz="4" w:space="0" w:color="auto"/>
                  </w:tcBorders>
                  <w:shd w:val="clear" w:color="auto" w:fill="auto"/>
                </w:tcPr>
                <w:p w14:paraId="23007CF3"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16.6</w:t>
                  </w:r>
                </w:p>
              </w:tc>
              <w:tc>
                <w:tcPr>
                  <w:tcW w:w="1133" w:type="dxa"/>
                  <w:tcBorders>
                    <w:left w:val="single" w:sz="4" w:space="0" w:color="auto"/>
                    <w:right w:val="single" w:sz="4" w:space="0" w:color="auto"/>
                  </w:tcBorders>
                  <w:shd w:val="clear" w:color="auto" w:fill="auto"/>
                </w:tcPr>
                <w:p w14:paraId="64C64B18"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(170.1)</w:t>
                  </w:r>
                </w:p>
              </w:tc>
            </w:tr>
            <w:tr w:rsidR="006E2C63" w:rsidRPr="00C22F7C" w14:paraId="26456007" w14:textId="77777777" w:rsidTr="004C74E4">
              <w:trPr>
                <w:trHeight w:val="214"/>
              </w:trPr>
              <w:tc>
                <w:tcPr>
                  <w:tcW w:w="265" w:type="dxa"/>
                </w:tcPr>
                <w:p w14:paraId="5EA3E3C1" w14:textId="77777777" w:rsidR="006E2C63" w:rsidRPr="00FD297D" w:rsidRDefault="006E2C63" w:rsidP="006E2C63">
                  <w:pPr>
                    <w:autoSpaceDE w:val="0"/>
                    <w:autoSpaceDN w:val="0"/>
                    <w:adjustRightInd w:val="0"/>
                    <w:jc w:val="right"/>
                    <w:rPr>
                      <w:rFonts w:ascii="Calibri" w:hAnsi="Calibri" w:cs="Calibri"/>
                      <w:color w:val="000000"/>
                      <w:sz w:val="22"/>
                      <w:szCs w:val="22"/>
                    </w:rPr>
                  </w:pPr>
                </w:p>
              </w:tc>
              <w:tc>
                <w:tcPr>
                  <w:tcW w:w="3704" w:type="dxa"/>
                </w:tcPr>
                <w:p w14:paraId="50653E9A" w14:textId="77777777" w:rsidR="006E2C63" w:rsidRPr="00FD297D" w:rsidRDefault="006E2C63" w:rsidP="006E2C63">
                  <w:pPr>
                    <w:autoSpaceDE w:val="0"/>
                    <w:autoSpaceDN w:val="0"/>
                    <w:adjustRightInd w:val="0"/>
                    <w:rPr>
                      <w:rFonts w:ascii="Calibri" w:hAnsi="Calibri" w:cs="Calibri"/>
                      <w:color w:val="000000"/>
                      <w:sz w:val="22"/>
                      <w:szCs w:val="22"/>
                    </w:rPr>
                  </w:pPr>
                </w:p>
              </w:tc>
              <w:tc>
                <w:tcPr>
                  <w:tcW w:w="710" w:type="dxa"/>
                  <w:gridSpan w:val="2"/>
                </w:tcPr>
                <w:p w14:paraId="571F6B77" w14:textId="77777777" w:rsidR="006E2C63" w:rsidRPr="00FD297D" w:rsidRDefault="006E2C63" w:rsidP="006E2C63">
                  <w:pPr>
                    <w:autoSpaceDE w:val="0"/>
                    <w:autoSpaceDN w:val="0"/>
                    <w:adjustRightInd w:val="0"/>
                    <w:jc w:val="right"/>
                    <w:rPr>
                      <w:rFonts w:ascii="Calibri" w:hAnsi="Calibri" w:cs="Calibri"/>
                      <w:b/>
                      <w:bCs/>
                      <w:color w:val="000000"/>
                      <w:sz w:val="22"/>
                      <w:szCs w:val="22"/>
                    </w:rPr>
                  </w:pPr>
                </w:p>
              </w:tc>
              <w:tc>
                <w:tcPr>
                  <w:tcW w:w="1132" w:type="dxa"/>
                  <w:gridSpan w:val="2"/>
                  <w:tcBorders>
                    <w:right w:val="single" w:sz="4" w:space="0" w:color="auto"/>
                  </w:tcBorders>
                </w:tcPr>
                <w:p w14:paraId="6B6AA60B"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275" w:type="dxa"/>
                  <w:gridSpan w:val="2"/>
                  <w:tcBorders>
                    <w:left w:val="single" w:sz="4" w:space="0" w:color="auto"/>
                    <w:bottom w:val="single" w:sz="4" w:space="0" w:color="auto"/>
                    <w:right w:val="single" w:sz="4" w:space="0" w:color="auto"/>
                  </w:tcBorders>
                  <w:shd w:val="clear" w:color="auto" w:fill="FFFF00"/>
                </w:tcPr>
                <w:p w14:paraId="7570F0D3" w14:textId="77777777" w:rsidR="006E2C63" w:rsidRPr="00FD297D" w:rsidRDefault="006E2C63" w:rsidP="006E2C63">
                  <w:pPr>
                    <w:autoSpaceDE w:val="0"/>
                    <w:autoSpaceDN w:val="0"/>
                    <w:adjustRightInd w:val="0"/>
                    <w:jc w:val="right"/>
                    <w:rPr>
                      <w:rFonts w:ascii="Calibri" w:hAnsi="Calibri" w:cs="Calibri"/>
                      <w:b/>
                      <w:color w:val="000000"/>
                      <w:sz w:val="22"/>
                      <w:szCs w:val="22"/>
                    </w:rPr>
                  </w:pPr>
                </w:p>
              </w:tc>
              <w:tc>
                <w:tcPr>
                  <w:tcW w:w="1277" w:type="dxa"/>
                  <w:tcBorders>
                    <w:left w:val="single" w:sz="4" w:space="0" w:color="auto"/>
                    <w:bottom w:val="single" w:sz="4" w:space="0" w:color="auto"/>
                    <w:right w:val="single" w:sz="4" w:space="0" w:color="auto"/>
                  </w:tcBorders>
                  <w:shd w:val="clear" w:color="auto" w:fill="auto"/>
                </w:tcPr>
                <w:p w14:paraId="08D3C02C"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bottom w:val="single" w:sz="4" w:space="0" w:color="auto"/>
                    <w:right w:val="single" w:sz="4" w:space="0" w:color="auto"/>
                  </w:tcBorders>
                  <w:shd w:val="clear" w:color="auto" w:fill="auto"/>
                </w:tcPr>
                <w:p w14:paraId="3E8012A7"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3" w:type="dxa"/>
                  <w:tcBorders>
                    <w:left w:val="single" w:sz="4" w:space="0" w:color="auto"/>
                    <w:bottom w:val="single" w:sz="4" w:space="0" w:color="auto"/>
                    <w:right w:val="single" w:sz="4" w:space="0" w:color="auto"/>
                  </w:tcBorders>
                  <w:shd w:val="clear" w:color="auto" w:fill="auto"/>
                </w:tcPr>
                <w:p w14:paraId="5258731F"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r>
            <w:tr w:rsidR="006E2C63" w:rsidRPr="00C22F7C" w14:paraId="03DA7F31" w14:textId="77777777" w:rsidTr="004C74E4">
              <w:trPr>
                <w:trHeight w:val="245"/>
              </w:trPr>
              <w:tc>
                <w:tcPr>
                  <w:tcW w:w="4673" w:type="dxa"/>
                  <w:gridSpan w:val="3"/>
                </w:tcPr>
                <w:p w14:paraId="4E81B85F" w14:textId="77777777" w:rsidR="006E2C63" w:rsidRPr="00FD297D" w:rsidRDefault="006E2C63" w:rsidP="006E2C63">
                  <w:pPr>
                    <w:autoSpaceDE w:val="0"/>
                    <w:autoSpaceDN w:val="0"/>
                    <w:adjustRightInd w:val="0"/>
                    <w:ind w:left="-105"/>
                    <w:rPr>
                      <w:rFonts w:ascii="Calibri" w:hAnsi="Calibri" w:cs="Calibri"/>
                      <w:b/>
                      <w:bCs/>
                      <w:color w:val="000000"/>
                      <w:sz w:val="22"/>
                      <w:szCs w:val="22"/>
                    </w:rPr>
                  </w:pPr>
                  <w:r w:rsidRPr="00FD297D">
                    <w:rPr>
                      <w:rFonts w:ascii="Calibri" w:hAnsi="Calibri" w:cs="Calibri"/>
                      <w:b/>
                      <w:bCs/>
                      <w:color w:val="000000"/>
                      <w:sz w:val="22"/>
                      <w:szCs w:val="22"/>
                    </w:rPr>
                    <w:t>Profit/(loss) for the nine months – all attributable to equity holders of parent</w:t>
                  </w:r>
                </w:p>
              </w:tc>
              <w:tc>
                <w:tcPr>
                  <w:tcW w:w="1132" w:type="dxa"/>
                  <w:gridSpan w:val="2"/>
                  <w:tcBorders>
                    <w:right w:val="single" w:sz="4" w:space="0" w:color="auto"/>
                  </w:tcBorders>
                </w:tcPr>
                <w:p w14:paraId="618AE775"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p>
                <w:p w14:paraId="28DE5044"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r w:rsidR="00D3762B">
                    <w:rPr>
                      <w:rFonts w:ascii="Calibri" w:hAnsi="Calibri" w:cs="Calibri"/>
                      <w:bCs/>
                      <w:color w:val="000000"/>
                      <w:sz w:val="22"/>
                      <w:szCs w:val="22"/>
                    </w:rPr>
                    <w:t>39</w:t>
                  </w:r>
                  <w:r w:rsidRPr="00FD297D">
                    <w:rPr>
                      <w:rFonts w:ascii="Calibri" w:hAnsi="Calibri" w:cs="Calibri"/>
                      <w:bCs/>
                      <w:color w:val="000000"/>
                      <w:sz w:val="22"/>
                      <w:szCs w:val="22"/>
                    </w:rPr>
                    <w:t>%</w:t>
                  </w:r>
                </w:p>
              </w:tc>
              <w:tc>
                <w:tcPr>
                  <w:tcW w:w="1275" w:type="dxa"/>
                  <w:gridSpan w:val="2"/>
                  <w:tcBorders>
                    <w:top w:val="single" w:sz="4" w:space="0" w:color="auto"/>
                    <w:left w:val="single" w:sz="4" w:space="0" w:color="auto"/>
                    <w:bottom w:val="single" w:sz="12" w:space="0" w:color="auto"/>
                    <w:right w:val="single" w:sz="4" w:space="0" w:color="auto"/>
                  </w:tcBorders>
                  <w:shd w:val="clear" w:color="auto" w:fill="FFFF00"/>
                </w:tcPr>
                <w:p w14:paraId="73BA1598" w14:textId="77777777" w:rsidR="006E2C63" w:rsidRDefault="006E2C63" w:rsidP="006E2C63">
                  <w:pPr>
                    <w:widowControl w:val="0"/>
                    <w:autoSpaceDE w:val="0"/>
                    <w:autoSpaceDN w:val="0"/>
                    <w:adjustRightInd w:val="0"/>
                    <w:jc w:val="right"/>
                    <w:rPr>
                      <w:rFonts w:ascii="Calibri" w:hAnsi="Calibri" w:cs="Calibri"/>
                      <w:b/>
                      <w:color w:val="000000"/>
                      <w:sz w:val="22"/>
                      <w:szCs w:val="22"/>
                    </w:rPr>
                  </w:pPr>
                </w:p>
                <w:p w14:paraId="44DB60B4" w14:textId="77777777" w:rsidR="006E2C63" w:rsidRPr="00FD297D" w:rsidRDefault="006E2C63" w:rsidP="006E2C63">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2,192.9</w:t>
                  </w:r>
                </w:p>
              </w:tc>
              <w:tc>
                <w:tcPr>
                  <w:tcW w:w="1283" w:type="dxa"/>
                  <w:gridSpan w:val="2"/>
                  <w:tcBorders>
                    <w:top w:val="single" w:sz="4" w:space="0" w:color="auto"/>
                    <w:left w:val="single" w:sz="4" w:space="0" w:color="auto"/>
                    <w:bottom w:val="single" w:sz="12" w:space="0" w:color="auto"/>
                    <w:right w:val="single" w:sz="4" w:space="0" w:color="auto"/>
                  </w:tcBorders>
                  <w:shd w:val="clear" w:color="auto" w:fill="auto"/>
                </w:tcPr>
                <w:p w14:paraId="2F19B63A"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p>
                <w:p w14:paraId="0870AAF0"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1,581.9</w:t>
                  </w:r>
                </w:p>
              </w:tc>
              <w:tc>
                <w:tcPr>
                  <w:tcW w:w="1128" w:type="dxa"/>
                  <w:tcBorders>
                    <w:top w:val="single" w:sz="4" w:space="0" w:color="auto"/>
                    <w:left w:val="single" w:sz="4" w:space="0" w:color="auto"/>
                    <w:bottom w:val="single" w:sz="12" w:space="0" w:color="auto"/>
                    <w:right w:val="single" w:sz="4" w:space="0" w:color="auto"/>
                  </w:tcBorders>
                  <w:shd w:val="clear" w:color="auto" w:fill="auto"/>
                </w:tcPr>
                <w:p w14:paraId="655A60D3"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p>
                <w:p w14:paraId="57415BDD"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(116.4)</w:t>
                  </w:r>
                </w:p>
              </w:tc>
              <w:tc>
                <w:tcPr>
                  <w:tcW w:w="1139" w:type="dxa"/>
                  <w:gridSpan w:val="2"/>
                  <w:tcBorders>
                    <w:top w:val="single" w:sz="4" w:space="0" w:color="auto"/>
                    <w:left w:val="single" w:sz="4" w:space="0" w:color="auto"/>
                    <w:bottom w:val="single" w:sz="12" w:space="0" w:color="auto"/>
                    <w:right w:val="single" w:sz="4" w:space="0" w:color="auto"/>
                  </w:tcBorders>
                  <w:shd w:val="clear" w:color="auto" w:fill="auto"/>
                </w:tcPr>
                <w:p w14:paraId="016E05A1"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p>
                <w:p w14:paraId="74DAAAE1"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1,465.5</w:t>
                  </w:r>
                </w:p>
              </w:tc>
            </w:tr>
            <w:tr w:rsidR="006E2C63" w:rsidRPr="00C22F7C" w14:paraId="62EAAEB7" w14:textId="77777777" w:rsidTr="004C74E4">
              <w:trPr>
                <w:trHeight w:val="46"/>
              </w:trPr>
              <w:tc>
                <w:tcPr>
                  <w:tcW w:w="265" w:type="dxa"/>
                </w:tcPr>
                <w:p w14:paraId="704E26C8" w14:textId="77777777" w:rsidR="006E2C63" w:rsidRPr="00FD297D" w:rsidRDefault="006E2C63" w:rsidP="006E2C63">
                  <w:pPr>
                    <w:autoSpaceDE w:val="0"/>
                    <w:autoSpaceDN w:val="0"/>
                    <w:adjustRightInd w:val="0"/>
                    <w:jc w:val="right"/>
                    <w:rPr>
                      <w:rFonts w:ascii="Calibri" w:hAnsi="Calibri" w:cs="Calibri"/>
                      <w:color w:val="000000"/>
                      <w:sz w:val="22"/>
                      <w:szCs w:val="22"/>
                    </w:rPr>
                  </w:pPr>
                </w:p>
              </w:tc>
              <w:tc>
                <w:tcPr>
                  <w:tcW w:w="3704" w:type="dxa"/>
                </w:tcPr>
                <w:p w14:paraId="0132B867" w14:textId="77777777" w:rsidR="006E2C63" w:rsidRPr="00FD297D" w:rsidRDefault="006E2C63" w:rsidP="006E2C63">
                  <w:pPr>
                    <w:autoSpaceDE w:val="0"/>
                    <w:autoSpaceDN w:val="0"/>
                    <w:adjustRightInd w:val="0"/>
                    <w:rPr>
                      <w:rFonts w:ascii="Calibri" w:hAnsi="Calibri" w:cs="Calibri"/>
                      <w:color w:val="000000"/>
                      <w:sz w:val="22"/>
                      <w:szCs w:val="22"/>
                    </w:rPr>
                  </w:pPr>
                </w:p>
              </w:tc>
              <w:tc>
                <w:tcPr>
                  <w:tcW w:w="710" w:type="dxa"/>
                  <w:gridSpan w:val="2"/>
                </w:tcPr>
                <w:p w14:paraId="11D8F0B5" w14:textId="77777777" w:rsidR="006E2C63" w:rsidRPr="00FD297D" w:rsidRDefault="006E2C63" w:rsidP="006E2C63">
                  <w:pPr>
                    <w:autoSpaceDE w:val="0"/>
                    <w:autoSpaceDN w:val="0"/>
                    <w:adjustRightInd w:val="0"/>
                    <w:jc w:val="right"/>
                    <w:rPr>
                      <w:rFonts w:ascii="Calibri" w:hAnsi="Calibri" w:cs="Calibri"/>
                      <w:b/>
                      <w:bCs/>
                      <w:color w:val="000000"/>
                      <w:sz w:val="22"/>
                      <w:szCs w:val="22"/>
                    </w:rPr>
                  </w:pPr>
                </w:p>
              </w:tc>
              <w:tc>
                <w:tcPr>
                  <w:tcW w:w="1132" w:type="dxa"/>
                  <w:gridSpan w:val="2"/>
                  <w:tcBorders>
                    <w:right w:val="single" w:sz="4" w:space="0" w:color="auto"/>
                  </w:tcBorders>
                </w:tcPr>
                <w:p w14:paraId="4A970674" w14:textId="77777777" w:rsidR="006E2C63" w:rsidRPr="00FD297D" w:rsidRDefault="006E2C63" w:rsidP="006E2C63">
                  <w:pPr>
                    <w:autoSpaceDE w:val="0"/>
                    <w:autoSpaceDN w:val="0"/>
                    <w:adjustRightInd w:val="0"/>
                    <w:jc w:val="right"/>
                    <w:rPr>
                      <w:rFonts w:ascii="Calibri" w:hAnsi="Calibri" w:cs="Calibri"/>
                      <w:bCs/>
                      <w:color w:val="000000"/>
                      <w:sz w:val="22"/>
                      <w:szCs w:val="22"/>
                      <w:highlight w:val="yellow"/>
                    </w:rPr>
                  </w:pPr>
                </w:p>
              </w:tc>
              <w:tc>
                <w:tcPr>
                  <w:tcW w:w="1275" w:type="dxa"/>
                  <w:gridSpan w:val="2"/>
                  <w:tcBorders>
                    <w:left w:val="single" w:sz="4" w:space="0" w:color="auto"/>
                    <w:right w:val="single" w:sz="4" w:space="0" w:color="auto"/>
                  </w:tcBorders>
                  <w:shd w:val="clear" w:color="auto" w:fill="FFFF00"/>
                </w:tcPr>
                <w:p w14:paraId="1EDF660C" w14:textId="77777777" w:rsidR="006E2C63" w:rsidRPr="00FD297D" w:rsidRDefault="006E2C63" w:rsidP="006E2C63">
                  <w:pPr>
                    <w:autoSpaceDE w:val="0"/>
                    <w:autoSpaceDN w:val="0"/>
                    <w:adjustRightInd w:val="0"/>
                    <w:rPr>
                      <w:rFonts w:ascii="Calibri" w:hAnsi="Calibri" w:cs="Calibri"/>
                      <w:b/>
                      <w:color w:val="000000"/>
                      <w:sz w:val="22"/>
                      <w:szCs w:val="22"/>
                    </w:rPr>
                  </w:pPr>
                </w:p>
              </w:tc>
              <w:tc>
                <w:tcPr>
                  <w:tcW w:w="1277" w:type="dxa"/>
                  <w:tcBorders>
                    <w:left w:val="single" w:sz="4" w:space="0" w:color="auto"/>
                    <w:right w:val="single" w:sz="4" w:space="0" w:color="auto"/>
                  </w:tcBorders>
                  <w:shd w:val="clear" w:color="auto" w:fill="auto"/>
                </w:tcPr>
                <w:p w14:paraId="7B5AAAAE" w14:textId="77777777" w:rsidR="006E2C63" w:rsidRPr="00FD297D" w:rsidRDefault="006E2C63" w:rsidP="006E2C63">
                  <w:pPr>
                    <w:autoSpaceDE w:val="0"/>
                    <w:autoSpaceDN w:val="0"/>
                    <w:adjustRightInd w:val="0"/>
                    <w:rPr>
                      <w:rFonts w:ascii="Calibri" w:hAnsi="Calibri" w:cs="Calibri"/>
                      <w:bCs/>
                      <w:color w:val="000000"/>
                      <w:sz w:val="22"/>
                      <w:szCs w:val="22"/>
                    </w:rPr>
                  </w:pPr>
                </w:p>
              </w:tc>
              <w:tc>
                <w:tcPr>
                  <w:tcW w:w="1134" w:type="dxa"/>
                  <w:gridSpan w:val="2"/>
                  <w:tcBorders>
                    <w:top w:val="single" w:sz="12" w:space="0" w:color="auto"/>
                    <w:left w:val="single" w:sz="4" w:space="0" w:color="auto"/>
                    <w:right w:val="single" w:sz="4" w:space="0" w:color="auto"/>
                  </w:tcBorders>
                  <w:shd w:val="clear" w:color="auto" w:fill="auto"/>
                </w:tcPr>
                <w:p w14:paraId="6052CA9F" w14:textId="77777777" w:rsidR="006E2C63" w:rsidRPr="00FD297D" w:rsidRDefault="006E2C63" w:rsidP="006E2C63">
                  <w:pPr>
                    <w:autoSpaceDE w:val="0"/>
                    <w:autoSpaceDN w:val="0"/>
                    <w:adjustRightInd w:val="0"/>
                    <w:rPr>
                      <w:rFonts w:ascii="Calibri" w:hAnsi="Calibri" w:cs="Calibri"/>
                      <w:bCs/>
                      <w:color w:val="000000"/>
                      <w:sz w:val="22"/>
                      <w:szCs w:val="22"/>
                    </w:rPr>
                  </w:pPr>
                </w:p>
              </w:tc>
              <w:tc>
                <w:tcPr>
                  <w:tcW w:w="1133" w:type="dxa"/>
                  <w:tcBorders>
                    <w:top w:val="single" w:sz="12" w:space="0" w:color="auto"/>
                    <w:left w:val="single" w:sz="4" w:space="0" w:color="auto"/>
                    <w:right w:val="single" w:sz="4" w:space="0" w:color="auto"/>
                  </w:tcBorders>
                  <w:shd w:val="clear" w:color="auto" w:fill="auto"/>
                </w:tcPr>
                <w:p w14:paraId="633427E0"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r>
            <w:tr w:rsidR="006E2C63" w:rsidRPr="00C22F7C" w14:paraId="6E3984FD" w14:textId="77777777" w:rsidTr="004C74E4">
              <w:trPr>
                <w:trHeight w:val="214"/>
              </w:trPr>
              <w:tc>
                <w:tcPr>
                  <w:tcW w:w="265" w:type="dxa"/>
                </w:tcPr>
                <w:p w14:paraId="603D835C" w14:textId="77777777" w:rsidR="006E2C63" w:rsidRPr="00FD297D" w:rsidRDefault="006E2C63" w:rsidP="006E2C63">
                  <w:pPr>
                    <w:autoSpaceDE w:val="0"/>
                    <w:autoSpaceDN w:val="0"/>
                    <w:adjustRightInd w:val="0"/>
                    <w:rPr>
                      <w:rFonts w:ascii="Calibri" w:hAnsi="Calibri" w:cs="Calibri"/>
                      <w:bCs/>
                      <w:color w:val="000000"/>
                      <w:sz w:val="22"/>
                      <w:szCs w:val="22"/>
                    </w:rPr>
                  </w:pPr>
                </w:p>
              </w:tc>
              <w:tc>
                <w:tcPr>
                  <w:tcW w:w="3704" w:type="dxa"/>
                </w:tcPr>
                <w:p w14:paraId="32E55B4E" w14:textId="77777777" w:rsidR="006E2C63" w:rsidRPr="00FD297D" w:rsidRDefault="006E2C63" w:rsidP="006E2C63">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Earnings per ordinary share (€)</w:t>
                  </w:r>
                </w:p>
              </w:tc>
              <w:tc>
                <w:tcPr>
                  <w:tcW w:w="710" w:type="dxa"/>
                  <w:gridSpan w:val="2"/>
                </w:tcPr>
                <w:p w14:paraId="23EC94FB" w14:textId="77777777" w:rsidR="006E2C63" w:rsidRPr="00FD297D" w:rsidRDefault="006E2C63" w:rsidP="006E2C63">
                  <w:pPr>
                    <w:autoSpaceDE w:val="0"/>
                    <w:autoSpaceDN w:val="0"/>
                    <w:adjustRightInd w:val="0"/>
                    <w:jc w:val="right"/>
                    <w:rPr>
                      <w:rFonts w:ascii="Calibri" w:hAnsi="Calibri" w:cs="Calibri"/>
                      <w:b/>
                      <w:color w:val="000000"/>
                      <w:sz w:val="22"/>
                      <w:szCs w:val="22"/>
                    </w:rPr>
                  </w:pPr>
                </w:p>
              </w:tc>
              <w:tc>
                <w:tcPr>
                  <w:tcW w:w="1132" w:type="dxa"/>
                  <w:gridSpan w:val="2"/>
                  <w:tcBorders>
                    <w:right w:val="single" w:sz="4" w:space="0" w:color="auto"/>
                  </w:tcBorders>
                </w:tcPr>
                <w:p w14:paraId="461C2C43" w14:textId="77777777" w:rsidR="006E2C63" w:rsidRPr="00FD297D" w:rsidRDefault="006E2C63" w:rsidP="006E2C63">
                  <w:pPr>
                    <w:autoSpaceDE w:val="0"/>
                    <w:autoSpaceDN w:val="0"/>
                    <w:adjustRightInd w:val="0"/>
                    <w:jc w:val="right"/>
                    <w:rPr>
                      <w:rFonts w:ascii="Calibri" w:hAnsi="Calibri" w:cs="Calibri"/>
                      <w:color w:val="000000"/>
                      <w:sz w:val="22"/>
                      <w:szCs w:val="22"/>
                      <w:highlight w:val="yellow"/>
                    </w:rPr>
                  </w:pPr>
                </w:p>
              </w:tc>
              <w:tc>
                <w:tcPr>
                  <w:tcW w:w="1275" w:type="dxa"/>
                  <w:gridSpan w:val="2"/>
                  <w:tcBorders>
                    <w:left w:val="single" w:sz="4" w:space="0" w:color="auto"/>
                    <w:right w:val="single" w:sz="4" w:space="0" w:color="auto"/>
                  </w:tcBorders>
                  <w:shd w:val="clear" w:color="auto" w:fill="FFFF00"/>
                </w:tcPr>
                <w:p w14:paraId="41DAE054" w14:textId="77777777" w:rsidR="006E2C63" w:rsidRPr="00FD297D" w:rsidRDefault="006E2C63" w:rsidP="006E2C63">
                  <w:pPr>
                    <w:autoSpaceDE w:val="0"/>
                    <w:autoSpaceDN w:val="0"/>
                    <w:adjustRightInd w:val="0"/>
                    <w:jc w:val="right"/>
                    <w:rPr>
                      <w:rFonts w:ascii="Calibri" w:hAnsi="Calibri" w:cs="Calibri"/>
                      <w:b/>
                      <w:color w:val="000000"/>
                      <w:sz w:val="22"/>
                      <w:szCs w:val="22"/>
                    </w:rPr>
                  </w:pPr>
                </w:p>
              </w:tc>
              <w:tc>
                <w:tcPr>
                  <w:tcW w:w="1277" w:type="dxa"/>
                  <w:tcBorders>
                    <w:left w:val="single" w:sz="4" w:space="0" w:color="auto"/>
                    <w:right w:val="single" w:sz="4" w:space="0" w:color="auto"/>
                  </w:tcBorders>
                  <w:shd w:val="clear" w:color="auto" w:fill="auto"/>
                </w:tcPr>
                <w:p w14:paraId="04DCD621"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270F5AC6"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131A2CE8"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r>
            <w:tr w:rsidR="006E2C63" w:rsidRPr="00C22F7C" w14:paraId="513C7F7D" w14:textId="77777777" w:rsidTr="004C74E4">
              <w:trPr>
                <w:trHeight w:val="214"/>
              </w:trPr>
              <w:tc>
                <w:tcPr>
                  <w:tcW w:w="265" w:type="dxa"/>
                </w:tcPr>
                <w:p w14:paraId="2FAFCD68" w14:textId="77777777" w:rsidR="006E2C63" w:rsidRPr="00FD297D" w:rsidRDefault="006E2C63" w:rsidP="006E2C63">
                  <w:pPr>
                    <w:autoSpaceDE w:val="0"/>
                    <w:autoSpaceDN w:val="0"/>
                    <w:adjustRightInd w:val="0"/>
                    <w:rPr>
                      <w:rFonts w:ascii="Calibri" w:hAnsi="Calibri" w:cs="Calibri"/>
                      <w:color w:val="000000"/>
                      <w:sz w:val="22"/>
                      <w:szCs w:val="22"/>
                    </w:rPr>
                  </w:pPr>
                </w:p>
              </w:tc>
              <w:tc>
                <w:tcPr>
                  <w:tcW w:w="3704" w:type="dxa"/>
                </w:tcPr>
                <w:p w14:paraId="0667CD0D" w14:textId="77777777" w:rsidR="006E2C63" w:rsidRPr="00FD297D" w:rsidRDefault="006E2C63" w:rsidP="006E2C63">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Basic</w:t>
                  </w:r>
                </w:p>
              </w:tc>
              <w:tc>
                <w:tcPr>
                  <w:tcW w:w="710" w:type="dxa"/>
                  <w:gridSpan w:val="2"/>
                </w:tcPr>
                <w:p w14:paraId="57321D06" w14:textId="77777777" w:rsidR="006E2C63" w:rsidRPr="00FD297D" w:rsidRDefault="006E2C63" w:rsidP="006E2C63">
                  <w:pPr>
                    <w:autoSpaceDE w:val="0"/>
                    <w:autoSpaceDN w:val="0"/>
                    <w:adjustRightInd w:val="0"/>
                    <w:jc w:val="right"/>
                    <w:rPr>
                      <w:rFonts w:ascii="Calibri" w:hAnsi="Calibri" w:cs="Calibri"/>
                      <w:b/>
                      <w:bCs/>
                      <w:color w:val="000000"/>
                      <w:sz w:val="22"/>
                      <w:szCs w:val="22"/>
                    </w:rPr>
                  </w:pPr>
                </w:p>
              </w:tc>
              <w:tc>
                <w:tcPr>
                  <w:tcW w:w="1132" w:type="dxa"/>
                  <w:gridSpan w:val="2"/>
                  <w:tcBorders>
                    <w:right w:val="single" w:sz="4" w:space="0" w:color="auto"/>
                  </w:tcBorders>
                </w:tcPr>
                <w:p w14:paraId="38905CF3"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highlight w:val="green"/>
                    </w:rPr>
                  </w:pPr>
                </w:p>
              </w:tc>
              <w:tc>
                <w:tcPr>
                  <w:tcW w:w="1275" w:type="dxa"/>
                  <w:gridSpan w:val="2"/>
                  <w:tcBorders>
                    <w:left w:val="single" w:sz="4" w:space="0" w:color="auto"/>
                    <w:right w:val="single" w:sz="4" w:space="0" w:color="auto"/>
                  </w:tcBorders>
                  <w:shd w:val="clear" w:color="auto" w:fill="FFFF00"/>
                </w:tcPr>
                <w:p w14:paraId="154AB417" w14:textId="77777777" w:rsidR="006E2C63" w:rsidRPr="00FD297D" w:rsidRDefault="00D3762B" w:rsidP="006E2C63">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1.9253</w:t>
                  </w:r>
                </w:p>
              </w:tc>
              <w:tc>
                <w:tcPr>
                  <w:tcW w:w="1277" w:type="dxa"/>
                  <w:tcBorders>
                    <w:left w:val="single" w:sz="4" w:space="0" w:color="auto"/>
                    <w:right w:val="single" w:sz="4" w:space="0" w:color="auto"/>
                  </w:tcBorders>
                  <w:shd w:val="clear" w:color="auto" w:fill="auto"/>
                </w:tcPr>
                <w:p w14:paraId="6DEB99B7"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0274E6A3"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59C0B715"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1.2899</w:t>
                  </w:r>
                </w:p>
              </w:tc>
            </w:tr>
            <w:tr w:rsidR="006E2C63" w:rsidRPr="00C22F7C" w14:paraId="3073790F" w14:textId="77777777" w:rsidTr="004C74E4">
              <w:trPr>
                <w:trHeight w:val="214"/>
              </w:trPr>
              <w:tc>
                <w:tcPr>
                  <w:tcW w:w="265" w:type="dxa"/>
                </w:tcPr>
                <w:p w14:paraId="18F3CD9B" w14:textId="77777777" w:rsidR="006E2C63" w:rsidRPr="00FD297D" w:rsidRDefault="006E2C63" w:rsidP="006E2C63">
                  <w:pPr>
                    <w:autoSpaceDE w:val="0"/>
                    <w:autoSpaceDN w:val="0"/>
                    <w:adjustRightInd w:val="0"/>
                    <w:rPr>
                      <w:rFonts w:ascii="Calibri" w:hAnsi="Calibri" w:cs="Calibri"/>
                      <w:color w:val="000000"/>
                      <w:sz w:val="22"/>
                      <w:szCs w:val="22"/>
                    </w:rPr>
                  </w:pPr>
                </w:p>
              </w:tc>
              <w:tc>
                <w:tcPr>
                  <w:tcW w:w="3704" w:type="dxa"/>
                </w:tcPr>
                <w:p w14:paraId="5C237C10" w14:textId="77777777" w:rsidR="006E2C63" w:rsidRPr="00FD297D" w:rsidRDefault="006E2C63" w:rsidP="006E2C63">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Diluted</w:t>
                  </w:r>
                </w:p>
              </w:tc>
              <w:tc>
                <w:tcPr>
                  <w:tcW w:w="710" w:type="dxa"/>
                  <w:gridSpan w:val="2"/>
                </w:tcPr>
                <w:p w14:paraId="585B59F6" w14:textId="77777777" w:rsidR="006E2C63" w:rsidRPr="00FD297D" w:rsidRDefault="006E2C63" w:rsidP="006E2C63">
                  <w:pPr>
                    <w:autoSpaceDE w:val="0"/>
                    <w:autoSpaceDN w:val="0"/>
                    <w:adjustRightInd w:val="0"/>
                    <w:jc w:val="right"/>
                    <w:rPr>
                      <w:rFonts w:ascii="Calibri" w:hAnsi="Calibri" w:cs="Calibri"/>
                      <w:b/>
                      <w:bCs/>
                      <w:color w:val="000000"/>
                      <w:sz w:val="22"/>
                      <w:szCs w:val="22"/>
                    </w:rPr>
                  </w:pPr>
                </w:p>
              </w:tc>
              <w:tc>
                <w:tcPr>
                  <w:tcW w:w="1132" w:type="dxa"/>
                  <w:gridSpan w:val="2"/>
                  <w:tcBorders>
                    <w:right w:val="single" w:sz="4" w:space="0" w:color="auto"/>
                  </w:tcBorders>
                </w:tcPr>
                <w:p w14:paraId="43971EA4"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highlight w:val="green"/>
                    </w:rPr>
                  </w:pPr>
                </w:p>
              </w:tc>
              <w:tc>
                <w:tcPr>
                  <w:tcW w:w="1275" w:type="dxa"/>
                  <w:gridSpan w:val="2"/>
                  <w:tcBorders>
                    <w:left w:val="single" w:sz="4" w:space="0" w:color="auto"/>
                    <w:right w:val="single" w:sz="4" w:space="0" w:color="auto"/>
                  </w:tcBorders>
                  <w:shd w:val="clear" w:color="auto" w:fill="FFFF00"/>
                </w:tcPr>
                <w:p w14:paraId="177F3F1D" w14:textId="77777777" w:rsidR="006E2C63" w:rsidRPr="00FD297D" w:rsidRDefault="00D3762B" w:rsidP="006E2C63">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1.9162</w:t>
                  </w:r>
                </w:p>
              </w:tc>
              <w:tc>
                <w:tcPr>
                  <w:tcW w:w="1277" w:type="dxa"/>
                  <w:tcBorders>
                    <w:left w:val="single" w:sz="4" w:space="0" w:color="auto"/>
                    <w:right w:val="single" w:sz="4" w:space="0" w:color="auto"/>
                  </w:tcBorders>
                  <w:shd w:val="clear" w:color="auto" w:fill="auto"/>
                </w:tcPr>
                <w:p w14:paraId="07A50498"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60ADF284"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0C3D8DBE"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1.2874</w:t>
                  </w:r>
                </w:p>
              </w:tc>
            </w:tr>
            <w:tr w:rsidR="006E2C63" w:rsidRPr="00C22F7C" w14:paraId="66525C42" w14:textId="77777777" w:rsidTr="004C74E4">
              <w:trPr>
                <w:trHeight w:val="214"/>
              </w:trPr>
              <w:tc>
                <w:tcPr>
                  <w:tcW w:w="265" w:type="dxa"/>
                </w:tcPr>
                <w:p w14:paraId="58F7EF6B" w14:textId="77777777" w:rsidR="006E2C63" w:rsidRPr="00FD297D" w:rsidRDefault="006E2C63" w:rsidP="006E2C63">
                  <w:pPr>
                    <w:autoSpaceDE w:val="0"/>
                    <w:autoSpaceDN w:val="0"/>
                    <w:adjustRightInd w:val="0"/>
                    <w:rPr>
                      <w:rFonts w:ascii="Calibri" w:hAnsi="Calibri" w:cs="Calibri"/>
                      <w:color w:val="000000"/>
                      <w:sz w:val="22"/>
                      <w:szCs w:val="22"/>
                    </w:rPr>
                  </w:pPr>
                </w:p>
              </w:tc>
              <w:tc>
                <w:tcPr>
                  <w:tcW w:w="3704" w:type="dxa"/>
                </w:tcPr>
                <w:p w14:paraId="3AA8B3D6" w14:textId="77777777" w:rsidR="006E2C63" w:rsidRPr="00FD297D" w:rsidRDefault="006E2C63" w:rsidP="006E2C63">
                  <w:pPr>
                    <w:autoSpaceDE w:val="0"/>
                    <w:autoSpaceDN w:val="0"/>
                    <w:adjustRightInd w:val="0"/>
                    <w:ind w:right="-128"/>
                    <w:rPr>
                      <w:rFonts w:ascii="Calibri" w:hAnsi="Calibri" w:cs="Calibri"/>
                      <w:color w:val="000000"/>
                      <w:sz w:val="22"/>
                      <w:szCs w:val="22"/>
                    </w:rPr>
                  </w:pPr>
                  <w:r w:rsidRPr="00FD297D">
                    <w:rPr>
                      <w:rFonts w:ascii="Calibri" w:hAnsi="Calibri" w:cs="Calibri"/>
                      <w:color w:val="000000"/>
                      <w:sz w:val="22"/>
                      <w:szCs w:val="22"/>
                    </w:rPr>
                    <w:t>Weighted avg. no. of ord. shares (in Ms)</w:t>
                  </w:r>
                </w:p>
              </w:tc>
              <w:tc>
                <w:tcPr>
                  <w:tcW w:w="710" w:type="dxa"/>
                  <w:gridSpan w:val="2"/>
                </w:tcPr>
                <w:p w14:paraId="7507FC05" w14:textId="77777777" w:rsidR="006E2C63" w:rsidRPr="00FD297D" w:rsidRDefault="006E2C63" w:rsidP="006E2C63">
                  <w:pPr>
                    <w:autoSpaceDE w:val="0"/>
                    <w:autoSpaceDN w:val="0"/>
                    <w:adjustRightInd w:val="0"/>
                    <w:jc w:val="center"/>
                    <w:rPr>
                      <w:rFonts w:ascii="Calibri" w:hAnsi="Calibri" w:cs="Calibri"/>
                      <w:b/>
                      <w:bCs/>
                      <w:color w:val="000000"/>
                      <w:sz w:val="22"/>
                      <w:szCs w:val="22"/>
                    </w:rPr>
                  </w:pPr>
                </w:p>
              </w:tc>
              <w:tc>
                <w:tcPr>
                  <w:tcW w:w="1132" w:type="dxa"/>
                  <w:gridSpan w:val="2"/>
                  <w:tcBorders>
                    <w:right w:val="single" w:sz="4" w:space="0" w:color="auto"/>
                  </w:tcBorders>
                </w:tcPr>
                <w:p w14:paraId="4E5C3F81" w14:textId="77777777" w:rsidR="006E2C63" w:rsidRPr="00FD297D" w:rsidRDefault="006E2C63" w:rsidP="006E2C63">
                  <w:pPr>
                    <w:autoSpaceDE w:val="0"/>
                    <w:autoSpaceDN w:val="0"/>
                    <w:adjustRightInd w:val="0"/>
                    <w:jc w:val="right"/>
                    <w:rPr>
                      <w:rFonts w:ascii="Calibri" w:hAnsi="Calibri" w:cs="Calibri"/>
                      <w:bCs/>
                      <w:color w:val="000000"/>
                      <w:sz w:val="22"/>
                      <w:szCs w:val="22"/>
                      <w:highlight w:val="green"/>
                    </w:rPr>
                  </w:pPr>
                </w:p>
              </w:tc>
              <w:tc>
                <w:tcPr>
                  <w:tcW w:w="1275" w:type="dxa"/>
                  <w:gridSpan w:val="2"/>
                  <w:tcBorders>
                    <w:left w:val="single" w:sz="4" w:space="0" w:color="auto"/>
                    <w:right w:val="single" w:sz="4" w:space="0" w:color="auto"/>
                  </w:tcBorders>
                  <w:shd w:val="clear" w:color="auto" w:fill="FFFF00"/>
                </w:tcPr>
                <w:p w14:paraId="43FD2316" w14:textId="77777777" w:rsidR="006E2C63" w:rsidRPr="00FD297D" w:rsidRDefault="006E2C63" w:rsidP="006E2C63">
                  <w:pPr>
                    <w:autoSpaceDE w:val="0"/>
                    <w:autoSpaceDN w:val="0"/>
                    <w:adjustRightInd w:val="0"/>
                    <w:jc w:val="right"/>
                    <w:rPr>
                      <w:rFonts w:ascii="Calibri" w:hAnsi="Calibri" w:cs="Calibri"/>
                      <w:b/>
                      <w:color w:val="000000"/>
                      <w:sz w:val="22"/>
                      <w:szCs w:val="22"/>
                    </w:rPr>
                  </w:pPr>
                </w:p>
              </w:tc>
              <w:tc>
                <w:tcPr>
                  <w:tcW w:w="1277" w:type="dxa"/>
                  <w:tcBorders>
                    <w:left w:val="single" w:sz="4" w:space="0" w:color="auto"/>
                    <w:right w:val="single" w:sz="4" w:space="0" w:color="auto"/>
                  </w:tcBorders>
                  <w:shd w:val="clear" w:color="auto" w:fill="auto"/>
                </w:tcPr>
                <w:p w14:paraId="6137DA0F"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36B54DD6"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6477E328" w14:textId="77777777" w:rsidR="006E2C63" w:rsidRPr="00FD297D" w:rsidRDefault="006E2C63" w:rsidP="006E2C63">
                  <w:pPr>
                    <w:autoSpaceDE w:val="0"/>
                    <w:autoSpaceDN w:val="0"/>
                    <w:adjustRightInd w:val="0"/>
                    <w:jc w:val="right"/>
                    <w:rPr>
                      <w:rFonts w:ascii="Calibri" w:hAnsi="Calibri" w:cs="Calibri"/>
                      <w:bCs/>
                      <w:color w:val="000000"/>
                      <w:sz w:val="22"/>
                      <w:szCs w:val="22"/>
                    </w:rPr>
                  </w:pPr>
                </w:p>
              </w:tc>
            </w:tr>
            <w:tr w:rsidR="006E2C63" w:rsidRPr="00C22F7C" w14:paraId="1F1369BC" w14:textId="77777777" w:rsidTr="004C74E4">
              <w:trPr>
                <w:trHeight w:val="80"/>
              </w:trPr>
              <w:tc>
                <w:tcPr>
                  <w:tcW w:w="265" w:type="dxa"/>
                </w:tcPr>
                <w:p w14:paraId="00AA2AF2" w14:textId="77777777" w:rsidR="006E2C63" w:rsidRPr="00FD297D" w:rsidRDefault="006E2C63" w:rsidP="006E2C63">
                  <w:pPr>
                    <w:autoSpaceDE w:val="0"/>
                    <w:autoSpaceDN w:val="0"/>
                    <w:adjustRightInd w:val="0"/>
                    <w:rPr>
                      <w:rFonts w:ascii="Calibri" w:hAnsi="Calibri" w:cs="Calibri"/>
                      <w:color w:val="000000"/>
                      <w:sz w:val="22"/>
                      <w:szCs w:val="22"/>
                    </w:rPr>
                  </w:pPr>
                </w:p>
              </w:tc>
              <w:tc>
                <w:tcPr>
                  <w:tcW w:w="3704" w:type="dxa"/>
                </w:tcPr>
                <w:p w14:paraId="1B3E26A9" w14:textId="77777777" w:rsidR="006E2C63" w:rsidRPr="00FD297D" w:rsidRDefault="006E2C63" w:rsidP="006E2C63">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Basic</w:t>
                  </w:r>
                </w:p>
              </w:tc>
              <w:tc>
                <w:tcPr>
                  <w:tcW w:w="710" w:type="dxa"/>
                  <w:gridSpan w:val="2"/>
                </w:tcPr>
                <w:p w14:paraId="3A5DE355" w14:textId="77777777" w:rsidR="006E2C63" w:rsidRPr="00FD297D" w:rsidRDefault="006E2C63" w:rsidP="006E2C63">
                  <w:pPr>
                    <w:autoSpaceDE w:val="0"/>
                    <w:autoSpaceDN w:val="0"/>
                    <w:adjustRightInd w:val="0"/>
                    <w:jc w:val="right"/>
                    <w:rPr>
                      <w:rFonts w:ascii="Calibri" w:hAnsi="Calibri" w:cs="Calibri"/>
                      <w:b/>
                      <w:bCs/>
                      <w:color w:val="000000"/>
                      <w:sz w:val="22"/>
                      <w:szCs w:val="22"/>
                    </w:rPr>
                  </w:pPr>
                </w:p>
              </w:tc>
              <w:tc>
                <w:tcPr>
                  <w:tcW w:w="1132" w:type="dxa"/>
                  <w:gridSpan w:val="2"/>
                  <w:tcBorders>
                    <w:right w:val="single" w:sz="4" w:space="0" w:color="auto"/>
                  </w:tcBorders>
                </w:tcPr>
                <w:p w14:paraId="3EE7133A" w14:textId="77777777" w:rsidR="006E2C63" w:rsidRPr="00FD297D" w:rsidRDefault="006E2C63" w:rsidP="006E2C63">
                  <w:pPr>
                    <w:autoSpaceDE w:val="0"/>
                    <w:autoSpaceDN w:val="0"/>
                    <w:adjustRightInd w:val="0"/>
                    <w:jc w:val="right"/>
                    <w:rPr>
                      <w:rFonts w:ascii="Calibri" w:hAnsi="Calibri" w:cs="Calibri"/>
                      <w:bCs/>
                      <w:color w:val="000000"/>
                      <w:sz w:val="22"/>
                      <w:szCs w:val="22"/>
                      <w:highlight w:val="yellow"/>
                    </w:rPr>
                  </w:pPr>
                </w:p>
              </w:tc>
              <w:tc>
                <w:tcPr>
                  <w:tcW w:w="1275" w:type="dxa"/>
                  <w:gridSpan w:val="2"/>
                  <w:tcBorders>
                    <w:left w:val="single" w:sz="4" w:space="0" w:color="auto"/>
                    <w:right w:val="single" w:sz="4" w:space="0" w:color="auto"/>
                  </w:tcBorders>
                  <w:shd w:val="clear" w:color="auto" w:fill="FFFF00"/>
                </w:tcPr>
                <w:p w14:paraId="41D9640C" w14:textId="77777777" w:rsidR="006E2C63" w:rsidRPr="00FD297D" w:rsidRDefault="00D3762B" w:rsidP="006E2C63">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1,139.0</w:t>
                  </w:r>
                </w:p>
              </w:tc>
              <w:tc>
                <w:tcPr>
                  <w:tcW w:w="1277" w:type="dxa"/>
                  <w:tcBorders>
                    <w:left w:val="single" w:sz="4" w:space="0" w:color="auto"/>
                    <w:right w:val="single" w:sz="4" w:space="0" w:color="auto"/>
                  </w:tcBorders>
                  <w:shd w:val="clear" w:color="auto" w:fill="auto"/>
                </w:tcPr>
                <w:p w14:paraId="4BE0013E"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right w:val="single" w:sz="4" w:space="0" w:color="auto"/>
                  </w:tcBorders>
                  <w:shd w:val="clear" w:color="auto" w:fill="auto"/>
                </w:tcPr>
                <w:p w14:paraId="6B9C7C0A"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p>
              </w:tc>
              <w:tc>
                <w:tcPr>
                  <w:tcW w:w="1133" w:type="dxa"/>
                  <w:tcBorders>
                    <w:left w:val="single" w:sz="4" w:space="0" w:color="auto"/>
                    <w:right w:val="single" w:sz="4" w:space="0" w:color="auto"/>
                  </w:tcBorders>
                  <w:shd w:val="clear" w:color="auto" w:fill="auto"/>
                </w:tcPr>
                <w:p w14:paraId="6D4F87A3"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1,136.1</w:t>
                  </w:r>
                </w:p>
              </w:tc>
            </w:tr>
            <w:tr w:rsidR="006E2C63" w:rsidRPr="00C22F7C" w14:paraId="5E0D018A" w14:textId="77777777" w:rsidTr="004C74E4">
              <w:trPr>
                <w:trHeight w:val="214"/>
              </w:trPr>
              <w:tc>
                <w:tcPr>
                  <w:tcW w:w="265" w:type="dxa"/>
                </w:tcPr>
                <w:p w14:paraId="46CC0BF7" w14:textId="77777777" w:rsidR="006E2C63" w:rsidRPr="00FD297D" w:rsidRDefault="006E2C63" w:rsidP="006E2C63">
                  <w:pPr>
                    <w:autoSpaceDE w:val="0"/>
                    <w:autoSpaceDN w:val="0"/>
                    <w:adjustRightInd w:val="0"/>
                    <w:rPr>
                      <w:rFonts w:ascii="Calibri" w:hAnsi="Calibri" w:cs="Calibri"/>
                      <w:color w:val="000000"/>
                      <w:sz w:val="22"/>
                      <w:szCs w:val="22"/>
                    </w:rPr>
                  </w:pPr>
                </w:p>
              </w:tc>
              <w:tc>
                <w:tcPr>
                  <w:tcW w:w="3704" w:type="dxa"/>
                </w:tcPr>
                <w:p w14:paraId="1CF3E530" w14:textId="77777777" w:rsidR="006E2C63" w:rsidRPr="00FD297D" w:rsidRDefault="006E2C63" w:rsidP="006E2C63">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Diluted</w:t>
                  </w:r>
                </w:p>
              </w:tc>
              <w:tc>
                <w:tcPr>
                  <w:tcW w:w="710" w:type="dxa"/>
                  <w:gridSpan w:val="2"/>
                </w:tcPr>
                <w:p w14:paraId="53AC2FD6" w14:textId="77777777" w:rsidR="006E2C63" w:rsidRPr="00FD297D" w:rsidRDefault="006E2C63" w:rsidP="006E2C63">
                  <w:pPr>
                    <w:autoSpaceDE w:val="0"/>
                    <w:autoSpaceDN w:val="0"/>
                    <w:adjustRightInd w:val="0"/>
                    <w:jc w:val="right"/>
                    <w:rPr>
                      <w:rFonts w:ascii="Calibri" w:hAnsi="Calibri" w:cs="Calibri"/>
                      <w:b/>
                      <w:bCs/>
                      <w:color w:val="000000"/>
                      <w:sz w:val="22"/>
                      <w:szCs w:val="22"/>
                    </w:rPr>
                  </w:pPr>
                </w:p>
              </w:tc>
              <w:tc>
                <w:tcPr>
                  <w:tcW w:w="1132" w:type="dxa"/>
                  <w:gridSpan w:val="2"/>
                  <w:tcBorders>
                    <w:right w:val="single" w:sz="4" w:space="0" w:color="auto"/>
                  </w:tcBorders>
                </w:tcPr>
                <w:p w14:paraId="0FB416F0" w14:textId="77777777" w:rsidR="006E2C63" w:rsidRPr="00FD297D" w:rsidRDefault="006E2C63" w:rsidP="006E2C63">
                  <w:pPr>
                    <w:autoSpaceDE w:val="0"/>
                    <w:autoSpaceDN w:val="0"/>
                    <w:adjustRightInd w:val="0"/>
                    <w:jc w:val="right"/>
                    <w:rPr>
                      <w:rFonts w:ascii="Calibri" w:hAnsi="Calibri" w:cs="Calibri"/>
                      <w:bCs/>
                      <w:color w:val="000000"/>
                      <w:sz w:val="22"/>
                      <w:szCs w:val="22"/>
                      <w:highlight w:val="yellow"/>
                    </w:rPr>
                  </w:pPr>
                </w:p>
              </w:tc>
              <w:tc>
                <w:tcPr>
                  <w:tcW w:w="1275" w:type="dxa"/>
                  <w:gridSpan w:val="2"/>
                  <w:tcBorders>
                    <w:left w:val="single" w:sz="4" w:space="0" w:color="auto"/>
                    <w:bottom w:val="single" w:sz="4" w:space="0" w:color="auto"/>
                    <w:right w:val="single" w:sz="4" w:space="0" w:color="auto"/>
                  </w:tcBorders>
                  <w:shd w:val="clear" w:color="auto" w:fill="FFFF00"/>
                </w:tcPr>
                <w:p w14:paraId="0AE0A1C6" w14:textId="77777777" w:rsidR="006E2C63" w:rsidRPr="00FD297D" w:rsidRDefault="00D3762B" w:rsidP="006E2C63">
                  <w:pPr>
                    <w:widowControl w:val="0"/>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1,144.4</w:t>
                  </w:r>
                </w:p>
              </w:tc>
              <w:tc>
                <w:tcPr>
                  <w:tcW w:w="1277" w:type="dxa"/>
                  <w:tcBorders>
                    <w:left w:val="single" w:sz="4" w:space="0" w:color="auto"/>
                    <w:bottom w:val="single" w:sz="4" w:space="0" w:color="auto"/>
                    <w:right w:val="single" w:sz="4" w:space="0" w:color="auto"/>
                  </w:tcBorders>
                  <w:shd w:val="clear" w:color="auto" w:fill="auto"/>
                </w:tcPr>
                <w:p w14:paraId="66AADF53"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p>
              </w:tc>
              <w:tc>
                <w:tcPr>
                  <w:tcW w:w="1134" w:type="dxa"/>
                  <w:gridSpan w:val="2"/>
                  <w:tcBorders>
                    <w:left w:val="single" w:sz="4" w:space="0" w:color="auto"/>
                    <w:bottom w:val="single" w:sz="4" w:space="0" w:color="auto"/>
                    <w:right w:val="single" w:sz="4" w:space="0" w:color="auto"/>
                  </w:tcBorders>
                  <w:shd w:val="clear" w:color="auto" w:fill="auto"/>
                </w:tcPr>
                <w:p w14:paraId="44466E69"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p>
              </w:tc>
              <w:tc>
                <w:tcPr>
                  <w:tcW w:w="1133" w:type="dxa"/>
                  <w:tcBorders>
                    <w:left w:val="single" w:sz="4" w:space="0" w:color="auto"/>
                    <w:bottom w:val="single" w:sz="4" w:space="0" w:color="auto"/>
                    <w:right w:val="single" w:sz="4" w:space="0" w:color="auto"/>
                  </w:tcBorders>
                  <w:shd w:val="clear" w:color="auto" w:fill="auto"/>
                </w:tcPr>
                <w:p w14:paraId="5D068444" w14:textId="77777777" w:rsidR="006E2C63" w:rsidRPr="00FD297D" w:rsidRDefault="006E2C63" w:rsidP="006E2C63">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1,138.3</w:t>
                  </w:r>
                </w:p>
              </w:tc>
            </w:tr>
          </w:tbl>
          <w:p w14:paraId="3400E6FF" w14:textId="77777777" w:rsidR="003B0423" w:rsidRPr="00C22F7C" w:rsidRDefault="003B0423" w:rsidP="003B0423">
            <w:pPr>
              <w:tabs>
                <w:tab w:val="left" w:pos="6096"/>
                <w:tab w:val="left" w:pos="7655"/>
              </w:tabs>
              <w:autoSpaceDE w:val="0"/>
              <w:autoSpaceDN w:val="0"/>
              <w:adjustRightInd w:val="0"/>
              <w:ind w:left="32"/>
              <w:rPr>
                <w:rFonts w:ascii="Calibri" w:hAnsi="Calibri" w:cs="Calibri"/>
                <w:b/>
                <w:bCs/>
                <w:i/>
                <w:color w:val="000000"/>
                <w:sz w:val="20"/>
                <w:szCs w:val="20"/>
              </w:rPr>
            </w:pPr>
          </w:p>
        </w:tc>
      </w:tr>
    </w:tbl>
    <w:p w14:paraId="27C8546D" w14:textId="77777777" w:rsidR="00BE4C6F" w:rsidRPr="00C22F7C" w:rsidRDefault="00BE4C6F" w:rsidP="00BE4C6F">
      <w:pPr>
        <w:autoSpaceDE w:val="0"/>
        <w:autoSpaceDN w:val="0"/>
        <w:adjustRightInd w:val="0"/>
        <w:spacing w:before="120"/>
        <w:rPr>
          <w:rFonts w:ascii="Calibri" w:hAnsi="Calibri" w:cs="Calibri"/>
          <w:b/>
          <w:bCs/>
          <w:i/>
          <w:color w:val="000000"/>
          <w:sz w:val="18"/>
          <w:szCs w:val="18"/>
        </w:rPr>
      </w:pPr>
    </w:p>
    <w:p w14:paraId="4B5BB1F0" w14:textId="77777777" w:rsidR="00CB69CB" w:rsidRDefault="00E512D3" w:rsidP="007850A0">
      <w:pPr>
        <w:autoSpaceDE w:val="0"/>
        <w:autoSpaceDN w:val="0"/>
        <w:adjustRightInd w:val="0"/>
        <w:ind w:left="142"/>
        <w:rPr>
          <w:rFonts w:ascii="Calibri" w:hAnsi="Calibri" w:cs="Calibri"/>
          <w:i/>
          <w:color w:val="000000"/>
          <w:sz w:val="22"/>
          <w:szCs w:val="22"/>
        </w:rPr>
      </w:pPr>
      <w:r w:rsidRPr="009A1446">
        <w:rPr>
          <w:rFonts w:ascii="Calibri" w:hAnsi="Calibri" w:cs="Calibri"/>
          <w:i/>
          <w:color w:val="000000"/>
          <w:sz w:val="22"/>
          <w:szCs w:val="22"/>
        </w:rPr>
        <w:t xml:space="preserve">*’+’ is favourable and ‘-‘ is adverse </w:t>
      </w:r>
      <w:r w:rsidR="00FB56F1" w:rsidRPr="009A1446">
        <w:rPr>
          <w:rFonts w:ascii="Calibri" w:hAnsi="Calibri" w:cs="Calibri"/>
          <w:i/>
          <w:color w:val="000000"/>
          <w:sz w:val="22"/>
          <w:szCs w:val="22"/>
        </w:rPr>
        <w:t>period</w:t>
      </w:r>
      <w:r w:rsidRPr="009A1446">
        <w:rPr>
          <w:rFonts w:ascii="Calibri" w:hAnsi="Calibri" w:cs="Calibri"/>
          <w:i/>
          <w:color w:val="000000"/>
          <w:sz w:val="22"/>
          <w:szCs w:val="22"/>
        </w:rPr>
        <w:t>-on-</w:t>
      </w:r>
      <w:r w:rsidR="00FB56F1" w:rsidRPr="009A1446">
        <w:rPr>
          <w:rFonts w:ascii="Calibri" w:hAnsi="Calibri" w:cs="Calibri"/>
          <w:i/>
          <w:color w:val="000000"/>
          <w:sz w:val="22"/>
          <w:szCs w:val="22"/>
        </w:rPr>
        <w:t>period</w:t>
      </w:r>
      <w:r w:rsidRPr="009A1446">
        <w:rPr>
          <w:rFonts w:ascii="Calibri" w:hAnsi="Calibri" w:cs="Calibri"/>
          <w:i/>
          <w:color w:val="000000"/>
          <w:sz w:val="22"/>
          <w:szCs w:val="22"/>
        </w:rPr>
        <w:t>.</w:t>
      </w:r>
    </w:p>
    <w:tbl>
      <w:tblPr>
        <w:tblW w:w="8408" w:type="pct"/>
        <w:tblLayout w:type="fixed"/>
        <w:tblLook w:val="0000" w:firstRow="0" w:lastRow="0" w:firstColumn="0" w:lastColumn="0" w:noHBand="0" w:noVBand="0"/>
      </w:tblPr>
      <w:tblGrid>
        <w:gridCol w:w="11687"/>
        <w:gridCol w:w="5475"/>
      </w:tblGrid>
      <w:tr w:rsidR="007850A0" w:rsidRPr="00C22F7C" w14:paraId="5680F8BB" w14:textId="77777777" w:rsidTr="00E43EDE">
        <w:trPr>
          <w:trHeight w:val="556"/>
        </w:trPr>
        <w:tc>
          <w:tcPr>
            <w:tcW w:w="5000" w:type="pct"/>
            <w:gridSpan w:val="2"/>
            <w:tcBorders>
              <w:top w:val="nil"/>
              <w:left w:val="nil"/>
              <w:bottom w:val="nil"/>
              <w:right w:val="nil"/>
            </w:tcBorders>
          </w:tcPr>
          <w:p w14:paraId="17C623F3" w14:textId="77777777" w:rsidR="007850A0" w:rsidRPr="00C22F7C" w:rsidRDefault="00CB69CB" w:rsidP="007850A0">
            <w:pPr>
              <w:keepNext/>
              <w:pageBreakBefore/>
              <w:autoSpaceDE w:val="0"/>
              <w:autoSpaceDN w:val="0"/>
              <w:adjustRightInd w:val="0"/>
              <w:rPr>
                <w:rFonts w:ascii="Calibri" w:hAnsi="Calibri" w:cs="Calibri"/>
                <w:b/>
                <w:bCs/>
                <w:color w:val="000000"/>
              </w:rPr>
            </w:pPr>
            <w:r>
              <w:rPr>
                <w:rFonts w:ascii="Calibri" w:hAnsi="Calibri" w:cs="Calibri"/>
                <w:i/>
                <w:color w:val="000000"/>
                <w:sz w:val="22"/>
                <w:szCs w:val="22"/>
              </w:rPr>
              <w:lastRenderedPageBreak/>
              <w:br w:type="page"/>
            </w:r>
            <w:r w:rsidR="007850A0">
              <w:rPr>
                <w:rFonts w:ascii="Calibri" w:hAnsi="Calibri" w:cs="Calibri"/>
                <w:b/>
                <w:bCs/>
                <w:color w:val="000000"/>
              </w:rPr>
              <w:br w:type="page"/>
            </w:r>
            <w:r w:rsidR="007850A0" w:rsidRPr="00C22F7C">
              <w:rPr>
                <w:rFonts w:ascii="Calibri" w:hAnsi="Calibri" w:cs="Calibri"/>
                <w:b/>
                <w:bCs/>
                <w:color w:val="000000"/>
              </w:rPr>
              <w:t xml:space="preserve">Ryanair Holdings plc and Subsidiaries </w:t>
            </w:r>
          </w:p>
          <w:p w14:paraId="275DDA00" w14:textId="77777777" w:rsidR="007850A0" w:rsidRPr="00C22F7C" w:rsidRDefault="007850A0" w:rsidP="007850A0">
            <w:pPr>
              <w:keepNext/>
              <w:pageBreakBefore/>
              <w:autoSpaceDE w:val="0"/>
              <w:autoSpaceDN w:val="0"/>
              <w:adjustRightInd w:val="0"/>
              <w:rPr>
                <w:rFonts w:ascii="Calibri" w:hAnsi="Calibri" w:cs="Calibri"/>
                <w:b/>
                <w:bCs/>
                <w:i/>
                <w:color w:val="000000"/>
              </w:rPr>
            </w:pPr>
            <w:r w:rsidRPr="00C22F7C">
              <w:rPr>
                <w:rFonts w:ascii="Calibri" w:hAnsi="Calibri" w:cs="Calibri"/>
                <w:b/>
                <w:bCs/>
                <w:i/>
                <w:color w:val="000000"/>
              </w:rPr>
              <w:t xml:space="preserve">Condensed Consolidated Interim Income Statement for the Quarter </w:t>
            </w:r>
            <w:r>
              <w:rPr>
                <w:rFonts w:ascii="Calibri" w:hAnsi="Calibri" w:cs="Calibri"/>
                <w:b/>
                <w:bCs/>
                <w:i/>
                <w:color w:val="000000"/>
              </w:rPr>
              <w:t>E</w:t>
            </w:r>
            <w:r w:rsidRPr="00C22F7C">
              <w:rPr>
                <w:rFonts w:ascii="Calibri" w:hAnsi="Calibri" w:cs="Calibri"/>
                <w:b/>
                <w:bCs/>
                <w:i/>
                <w:color w:val="000000"/>
              </w:rPr>
              <w:t>nded</w:t>
            </w:r>
            <w:r>
              <w:rPr>
                <w:rFonts w:ascii="Calibri" w:hAnsi="Calibri" w:cs="Calibri"/>
                <w:b/>
                <w:bCs/>
                <w:i/>
                <w:color w:val="000000"/>
              </w:rPr>
              <w:t xml:space="preserve"> Dec</w:t>
            </w:r>
            <w:r w:rsidRPr="00C22F7C">
              <w:rPr>
                <w:rFonts w:ascii="Calibri" w:hAnsi="Calibri" w:cs="Calibri"/>
                <w:b/>
                <w:bCs/>
                <w:i/>
                <w:color w:val="000000"/>
              </w:rPr>
              <w:t>ember 3</w:t>
            </w:r>
            <w:r>
              <w:rPr>
                <w:rFonts w:ascii="Calibri" w:hAnsi="Calibri" w:cs="Calibri"/>
                <w:b/>
                <w:bCs/>
                <w:i/>
                <w:color w:val="000000"/>
              </w:rPr>
              <w:t>1</w:t>
            </w:r>
            <w:r w:rsidRPr="00C22F7C">
              <w:rPr>
                <w:rFonts w:ascii="Calibri" w:hAnsi="Calibri" w:cs="Calibri"/>
                <w:b/>
                <w:bCs/>
                <w:i/>
                <w:color w:val="000000"/>
              </w:rPr>
              <w:t>, 202</w:t>
            </w:r>
            <w:r>
              <w:rPr>
                <w:rFonts w:ascii="Calibri" w:hAnsi="Calibri" w:cs="Calibri"/>
                <w:b/>
                <w:bCs/>
                <w:i/>
                <w:color w:val="000000"/>
              </w:rPr>
              <w:t>3</w:t>
            </w:r>
            <w:r w:rsidRPr="00C22F7C">
              <w:rPr>
                <w:rFonts w:ascii="Calibri" w:hAnsi="Calibri" w:cs="Calibri"/>
                <w:b/>
                <w:bCs/>
                <w:i/>
                <w:color w:val="000000"/>
              </w:rPr>
              <w:t xml:space="preserve"> (unaudited)</w:t>
            </w:r>
          </w:p>
        </w:tc>
      </w:tr>
      <w:tr w:rsidR="007850A0" w:rsidRPr="00F72676" w14:paraId="32E4B03B" w14:textId="77777777" w:rsidTr="00E43EDE">
        <w:trPr>
          <w:gridAfter w:val="1"/>
          <w:wAfter w:w="1595" w:type="pct"/>
          <w:trHeight w:val="223"/>
        </w:trPr>
        <w:tc>
          <w:tcPr>
            <w:tcW w:w="3405" w:type="pct"/>
            <w:tcBorders>
              <w:top w:val="nil"/>
              <w:left w:val="nil"/>
              <w:bottom w:val="nil"/>
              <w:right w:val="nil"/>
            </w:tcBorders>
            <w:shd w:val="clear" w:color="auto" w:fill="auto"/>
          </w:tcPr>
          <w:p w14:paraId="2CD309C2" w14:textId="77777777" w:rsidR="007850A0" w:rsidRPr="00F72676" w:rsidRDefault="007850A0" w:rsidP="00E43EDE">
            <w:pPr>
              <w:rPr>
                <w:rFonts w:ascii="Calibri" w:hAnsi="Calibri" w:cs="Calibri"/>
                <w:b/>
                <w:bCs/>
                <w:i/>
                <w:iCs/>
                <w:color w:val="000000"/>
                <w:sz w:val="22"/>
                <w:szCs w:val="22"/>
              </w:rPr>
            </w:pPr>
          </w:p>
          <w:tbl>
            <w:tblPr>
              <w:tblW w:w="10657" w:type="dxa"/>
              <w:tblLayout w:type="fixed"/>
              <w:tblLook w:val="0000" w:firstRow="0" w:lastRow="0" w:firstColumn="0" w:lastColumn="0" w:noHBand="0" w:noVBand="0"/>
            </w:tblPr>
            <w:tblGrid>
              <w:gridCol w:w="260"/>
              <w:gridCol w:w="3993"/>
              <w:gridCol w:w="709"/>
              <w:gridCol w:w="851"/>
              <w:gridCol w:w="1275"/>
              <w:gridCol w:w="1276"/>
              <w:gridCol w:w="1134"/>
              <w:gridCol w:w="1159"/>
            </w:tblGrid>
            <w:tr w:rsidR="007850A0" w:rsidRPr="00F72676" w14:paraId="02509275" w14:textId="77777777" w:rsidTr="00E43EDE">
              <w:trPr>
                <w:trHeight w:val="229"/>
              </w:trPr>
              <w:tc>
                <w:tcPr>
                  <w:tcW w:w="260" w:type="dxa"/>
                  <w:tcBorders>
                    <w:top w:val="nil"/>
                    <w:left w:val="nil"/>
                    <w:bottom w:val="nil"/>
                    <w:right w:val="nil"/>
                  </w:tcBorders>
                </w:tcPr>
                <w:p w14:paraId="372A1990" w14:textId="77777777" w:rsidR="007850A0" w:rsidRPr="00F72676"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65238B18" w14:textId="77777777" w:rsidR="007850A0" w:rsidRPr="00F72676" w:rsidRDefault="007850A0" w:rsidP="00E43EDE">
                  <w:pPr>
                    <w:autoSpaceDE w:val="0"/>
                    <w:autoSpaceDN w:val="0"/>
                    <w:adjustRightInd w:val="0"/>
                    <w:jc w:val="right"/>
                    <w:rPr>
                      <w:rFonts w:ascii="Calibri" w:hAnsi="Calibri" w:cs="Calibri"/>
                      <w:color w:val="000000"/>
                      <w:sz w:val="22"/>
                      <w:szCs w:val="22"/>
                    </w:rPr>
                  </w:pPr>
                </w:p>
              </w:tc>
              <w:tc>
                <w:tcPr>
                  <w:tcW w:w="709" w:type="dxa"/>
                  <w:tcBorders>
                    <w:top w:val="nil"/>
                    <w:bottom w:val="nil"/>
                  </w:tcBorders>
                </w:tcPr>
                <w:p w14:paraId="1F9BF322" w14:textId="77777777" w:rsidR="007850A0" w:rsidRPr="00F72676" w:rsidRDefault="007850A0" w:rsidP="00E43EDE">
                  <w:pPr>
                    <w:autoSpaceDE w:val="0"/>
                    <w:autoSpaceDN w:val="0"/>
                    <w:adjustRightInd w:val="0"/>
                    <w:jc w:val="right"/>
                    <w:rPr>
                      <w:rFonts w:ascii="Calibri" w:hAnsi="Calibri" w:cs="Calibri"/>
                      <w:bCs/>
                      <w:color w:val="000000"/>
                      <w:sz w:val="22"/>
                      <w:szCs w:val="22"/>
                    </w:rPr>
                  </w:pPr>
                </w:p>
              </w:tc>
              <w:tc>
                <w:tcPr>
                  <w:tcW w:w="851" w:type="dxa"/>
                  <w:tcBorders>
                    <w:top w:val="nil"/>
                    <w:bottom w:val="nil"/>
                    <w:right w:val="single" w:sz="4" w:space="0" w:color="auto"/>
                  </w:tcBorders>
                </w:tcPr>
                <w:p w14:paraId="3CCB29E8" w14:textId="77777777" w:rsidR="007850A0" w:rsidRPr="00F72676" w:rsidRDefault="007850A0" w:rsidP="00E43EDE">
                  <w:pPr>
                    <w:autoSpaceDE w:val="0"/>
                    <w:autoSpaceDN w:val="0"/>
                    <w:adjustRightInd w:val="0"/>
                    <w:ind w:left="-247" w:firstLine="247"/>
                    <w:jc w:val="right"/>
                    <w:rPr>
                      <w:rFonts w:ascii="Calibri" w:hAnsi="Calibri" w:cs="Calibri"/>
                      <w:bCs/>
                      <w:color w:val="000000"/>
                      <w:sz w:val="22"/>
                      <w:szCs w:val="22"/>
                    </w:rPr>
                  </w:pPr>
                </w:p>
              </w:tc>
              <w:tc>
                <w:tcPr>
                  <w:tcW w:w="1275" w:type="dxa"/>
                  <w:tcBorders>
                    <w:top w:val="single" w:sz="4" w:space="0" w:color="auto"/>
                    <w:bottom w:val="nil"/>
                    <w:right w:val="single" w:sz="4" w:space="0" w:color="auto"/>
                  </w:tcBorders>
                  <w:shd w:val="clear" w:color="auto" w:fill="FFFF00"/>
                </w:tcPr>
                <w:p w14:paraId="591378DB" w14:textId="77777777" w:rsidR="007850A0" w:rsidRPr="00F72676" w:rsidRDefault="007850A0" w:rsidP="00E43EDE">
                  <w:pPr>
                    <w:widowControl w:val="0"/>
                    <w:autoSpaceDE w:val="0"/>
                    <w:autoSpaceDN w:val="0"/>
                    <w:adjustRightInd w:val="0"/>
                    <w:ind w:left="-226" w:firstLine="140"/>
                    <w:jc w:val="right"/>
                    <w:rPr>
                      <w:rFonts w:ascii="Calibri" w:hAnsi="Calibri" w:cs="Calibri"/>
                      <w:b/>
                      <w:color w:val="000000"/>
                      <w:sz w:val="22"/>
                      <w:szCs w:val="22"/>
                    </w:rPr>
                  </w:pPr>
                  <w:r w:rsidRPr="00F72676">
                    <w:rPr>
                      <w:rFonts w:ascii="Calibri" w:hAnsi="Calibri" w:cs="Calibri"/>
                      <w:b/>
                      <w:color w:val="000000"/>
                      <w:sz w:val="22"/>
                      <w:szCs w:val="22"/>
                    </w:rPr>
                    <w:t>IFRS</w:t>
                  </w:r>
                </w:p>
              </w:tc>
              <w:tc>
                <w:tcPr>
                  <w:tcW w:w="1276" w:type="dxa"/>
                  <w:tcBorders>
                    <w:top w:val="single" w:sz="4" w:space="0" w:color="auto"/>
                    <w:bottom w:val="nil"/>
                    <w:right w:val="single" w:sz="4" w:space="0" w:color="auto"/>
                  </w:tcBorders>
                  <w:shd w:val="clear" w:color="auto" w:fill="auto"/>
                </w:tcPr>
                <w:p w14:paraId="5B103FA6" w14:textId="77777777" w:rsidR="007850A0" w:rsidRPr="00CA3F18" w:rsidRDefault="007850A0" w:rsidP="00E43EDE">
                  <w:pPr>
                    <w:widowControl w:val="0"/>
                    <w:autoSpaceDE w:val="0"/>
                    <w:autoSpaceDN w:val="0"/>
                    <w:adjustRightInd w:val="0"/>
                    <w:ind w:left="-74" w:hanging="12"/>
                    <w:jc w:val="right"/>
                    <w:rPr>
                      <w:rFonts w:ascii="Calibri" w:hAnsi="Calibri" w:cs="Calibri"/>
                      <w:bCs/>
                      <w:color w:val="000000"/>
                      <w:sz w:val="22"/>
                      <w:szCs w:val="22"/>
                    </w:rPr>
                  </w:pPr>
                  <w:r w:rsidRPr="00CA3F18">
                    <w:rPr>
                      <w:rFonts w:ascii="Calibri" w:hAnsi="Calibri" w:cs="Calibri"/>
                      <w:bCs/>
                      <w:color w:val="000000"/>
                      <w:sz w:val="22"/>
                      <w:szCs w:val="22"/>
                    </w:rPr>
                    <w:t>Pre-Except.</w:t>
                  </w:r>
                </w:p>
              </w:tc>
              <w:tc>
                <w:tcPr>
                  <w:tcW w:w="1134" w:type="dxa"/>
                  <w:tcBorders>
                    <w:top w:val="single" w:sz="4" w:space="0" w:color="auto"/>
                    <w:left w:val="single" w:sz="4" w:space="0" w:color="auto"/>
                    <w:bottom w:val="nil"/>
                    <w:right w:val="single" w:sz="4" w:space="0" w:color="auto"/>
                  </w:tcBorders>
                  <w:shd w:val="clear" w:color="auto" w:fill="auto"/>
                </w:tcPr>
                <w:p w14:paraId="1966B832" w14:textId="77777777" w:rsidR="007850A0" w:rsidRPr="00CA3F18" w:rsidRDefault="007850A0" w:rsidP="00E43EDE">
                  <w:pPr>
                    <w:widowControl w:val="0"/>
                    <w:autoSpaceDE w:val="0"/>
                    <w:autoSpaceDN w:val="0"/>
                    <w:adjustRightInd w:val="0"/>
                    <w:ind w:left="-226" w:firstLine="140"/>
                    <w:jc w:val="right"/>
                    <w:rPr>
                      <w:rFonts w:ascii="Calibri" w:hAnsi="Calibri" w:cs="Calibri"/>
                      <w:bCs/>
                      <w:color w:val="000000"/>
                      <w:sz w:val="22"/>
                      <w:szCs w:val="22"/>
                    </w:rPr>
                  </w:pPr>
                  <w:r w:rsidRPr="00CA3F18">
                    <w:rPr>
                      <w:rFonts w:ascii="Calibri" w:hAnsi="Calibri" w:cs="Calibri"/>
                      <w:bCs/>
                      <w:color w:val="000000"/>
                      <w:sz w:val="22"/>
                      <w:szCs w:val="22"/>
                    </w:rPr>
                    <w:t>Except.</w:t>
                  </w:r>
                </w:p>
              </w:tc>
              <w:tc>
                <w:tcPr>
                  <w:tcW w:w="1159" w:type="dxa"/>
                  <w:tcBorders>
                    <w:top w:val="single" w:sz="4" w:space="0" w:color="auto"/>
                    <w:left w:val="single" w:sz="4" w:space="0" w:color="auto"/>
                    <w:bottom w:val="nil"/>
                    <w:right w:val="single" w:sz="4" w:space="0" w:color="auto"/>
                  </w:tcBorders>
                  <w:shd w:val="clear" w:color="auto" w:fill="auto"/>
                </w:tcPr>
                <w:p w14:paraId="14B5176E" w14:textId="77777777" w:rsidR="007850A0" w:rsidRPr="00CA3F18" w:rsidRDefault="007850A0" w:rsidP="00E43EDE">
                  <w:pPr>
                    <w:widowControl w:val="0"/>
                    <w:autoSpaceDE w:val="0"/>
                    <w:autoSpaceDN w:val="0"/>
                    <w:adjustRightInd w:val="0"/>
                    <w:ind w:left="-226" w:firstLine="140"/>
                    <w:jc w:val="right"/>
                    <w:rPr>
                      <w:rFonts w:ascii="Calibri" w:hAnsi="Calibri" w:cs="Calibri"/>
                      <w:bCs/>
                      <w:color w:val="000000"/>
                      <w:sz w:val="22"/>
                      <w:szCs w:val="22"/>
                    </w:rPr>
                  </w:pPr>
                  <w:r w:rsidRPr="00CA3F18">
                    <w:rPr>
                      <w:rFonts w:ascii="Calibri" w:hAnsi="Calibri" w:cs="Calibri"/>
                      <w:bCs/>
                      <w:color w:val="000000"/>
                      <w:sz w:val="22"/>
                      <w:szCs w:val="22"/>
                    </w:rPr>
                    <w:t>IFRS</w:t>
                  </w:r>
                </w:p>
              </w:tc>
            </w:tr>
            <w:tr w:rsidR="007850A0" w:rsidRPr="00F72676" w14:paraId="6F3553A6" w14:textId="77777777" w:rsidTr="00E43EDE">
              <w:trPr>
                <w:trHeight w:val="229"/>
              </w:trPr>
              <w:tc>
                <w:tcPr>
                  <w:tcW w:w="260" w:type="dxa"/>
                  <w:tcBorders>
                    <w:top w:val="nil"/>
                    <w:left w:val="nil"/>
                    <w:bottom w:val="nil"/>
                    <w:right w:val="nil"/>
                  </w:tcBorders>
                </w:tcPr>
                <w:p w14:paraId="680F4E85" w14:textId="77777777" w:rsidR="007850A0" w:rsidRPr="00F72676"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2E44311E" w14:textId="77777777" w:rsidR="007850A0" w:rsidRPr="00F72676" w:rsidRDefault="007850A0" w:rsidP="00E43EDE">
                  <w:pPr>
                    <w:autoSpaceDE w:val="0"/>
                    <w:autoSpaceDN w:val="0"/>
                    <w:adjustRightInd w:val="0"/>
                    <w:jc w:val="right"/>
                    <w:rPr>
                      <w:rFonts w:ascii="Calibri" w:hAnsi="Calibri" w:cs="Calibri"/>
                      <w:color w:val="000000"/>
                      <w:sz w:val="22"/>
                      <w:szCs w:val="22"/>
                    </w:rPr>
                  </w:pPr>
                </w:p>
              </w:tc>
              <w:tc>
                <w:tcPr>
                  <w:tcW w:w="709" w:type="dxa"/>
                  <w:tcBorders>
                    <w:top w:val="nil"/>
                    <w:bottom w:val="nil"/>
                  </w:tcBorders>
                </w:tcPr>
                <w:p w14:paraId="091D0C7E" w14:textId="77777777" w:rsidR="007850A0" w:rsidRPr="00F72676" w:rsidRDefault="007850A0" w:rsidP="00E43EDE">
                  <w:pPr>
                    <w:autoSpaceDE w:val="0"/>
                    <w:autoSpaceDN w:val="0"/>
                    <w:adjustRightInd w:val="0"/>
                    <w:jc w:val="right"/>
                    <w:rPr>
                      <w:rFonts w:ascii="Calibri" w:hAnsi="Calibri" w:cs="Calibri"/>
                      <w:bCs/>
                      <w:color w:val="000000"/>
                      <w:sz w:val="22"/>
                      <w:szCs w:val="22"/>
                    </w:rPr>
                  </w:pPr>
                </w:p>
              </w:tc>
              <w:tc>
                <w:tcPr>
                  <w:tcW w:w="851" w:type="dxa"/>
                  <w:tcBorders>
                    <w:top w:val="nil"/>
                    <w:bottom w:val="nil"/>
                    <w:right w:val="single" w:sz="4" w:space="0" w:color="auto"/>
                  </w:tcBorders>
                  <w:shd w:val="clear" w:color="auto" w:fill="auto"/>
                </w:tcPr>
                <w:p w14:paraId="3A74E0EA" w14:textId="77777777" w:rsidR="007850A0" w:rsidRPr="00F72676" w:rsidRDefault="007850A0" w:rsidP="00E43EDE">
                  <w:pPr>
                    <w:tabs>
                      <w:tab w:val="left" w:pos="-108"/>
                    </w:tabs>
                    <w:autoSpaceDE w:val="0"/>
                    <w:autoSpaceDN w:val="0"/>
                    <w:adjustRightInd w:val="0"/>
                    <w:ind w:left="-250"/>
                    <w:jc w:val="right"/>
                    <w:rPr>
                      <w:rFonts w:ascii="Calibri" w:hAnsi="Calibri" w:cs="Calibri"/>
                      <w:bCs/>
                      <w:color w:val="000000"/>
                      <w:sz w:val="22"/>
                      <w:szCs w:val="22"/>
                    </w:rPr>
                  </w:pPr>
                </w:p>
              </w:tc>
              <w:tc>
                <w:tcPr>
                  <w:tcW w:w="1275" w:type="dxa"/>
                  <w:tcBorders>
                    <w:top w:val="nil"/>
                    <w:bottom w:val="nil"/>
                    <w:right w:val="single" w:sz="4" w:space="0" w:color="auto"/>
                  </w:tcBorders>
                  <w:shd w:val="clear" w:color="auto" w:fill="FFFF00"/>
                </w:tcPr>
                <w:p w14:paraId="30E5521E" w14:textId="77777777" w:rsidR="007850A0" w:rsidRPr="00F72676" w:rsidRDefault="007850A0" w:rsidP="00E43EDE">
                  <w:pPr>
                    <w:widowControl w:val="0"/>
                    <w:autoSpaceDE w:val="0"/>
                    <w:autoSpaceDN w:val="0"/>
                    <w:adjustRightInd w:val="0"/>
                    <w:jc w:val="right"/>
                    <w:rPr>
                      <w:rFonts w:ascii="Calibri" w:hAnsi="Calibri" w:cs="Calibri"/>
                      <w:b/>
                      <w:bCs/>
                      <w:color w:val="000000"/>
                      <w:sz w:val="22"/>
                      <w:szCs w:val="22"/>
                    </w:rPr>
                  </w:pPr>
                  <w:r w:rsidRPr="00F72676">
                    <w:rPr>
                      <w:rFonts w:ascii="Calibri" w:hAnsi="Calibri" w:cs="Calibri"/>
                      <w:b/>
                      <w:bCs/>
                      <w:color w:val="000000"/>
                      <w:sz w:val="22"/>
                      <w:szCs w:val="22"/>
                    </w:rPr>
                    <w:t>Quarter</w:t>
                  </w:r>
                </w:p>
              </w:tc>
              <w:tc>
                <w:tcPr>
                  <w:tcW w:w="1276" w:type="dxa"/>
                  <w:tcBorders>
                    <w:top w:val="nil"/>
                    <w:bottom w:val="nil"/>
                    <w:right w:val="single" w:sz="4" w:space="0" w:color="auto"/>
                  </w:tcBorders>
                  <w:shd w:val="clear" w:color="auto" w:fill="auto"/>
                </w:tcPr>
                <w:p w14:paraId="688C0BF5" w14:textId="77777777" w:rsidR="007850A0" w:rsidRPr="00CA3F18" w:rsidRDefault="007850A0" w:rsidP="00E43EDE">
                  <w:pPr>
                    <w:widowControl w:val="0"/>
                    <w:autoSpaceDE w:val="0"/>
                    <w:autoSpaceDN w:val="0"/>
                    <w:adjustRightInd w:val="0"/>
                    <w:ind w:left="-74" w:hanging="12"/>
                    <w:jc w:val="right"/>
                    <w:rPr>
                      <w:rFonts w:ascii="Calibri" w:hAnsi="Calibri" w:cs="Calibri"/>
                      <w:bCs/>
                      <w:color w:val="000000"/>
                      <w:sz w:val="22"/>
                      <w:szCs w:val="22"/>
                    </w:rPr>
                  </w:pPr>
                  <w:r w:rsidRPr="00CA3F18">
                    <w:rPr>
                      <w:rFonts w:ascii="Calibri" w:hAnsi="Calibri" w:cs="Calibri"/>
                      <w:bCs/>
                      <w:color w:val="000000"/>
                      <w:sz w:val="22"/>
                      <w:szCs w:val="22"/>
                    </w:rPr>
                    <w:t>Quarter</w:t>
                  </w:r>
                </w:p>
              </w:tc>
              <w:tc>
                <w:tcPr>
                  <w:tcW w:w="1134" w:type="dxa"/>
                  <w:tcBorders>
                    <w:top w:val="nil"/>
                    <w:left w:val="single" w:sz="4" w:space="0" w:color="auto"/>
                    <w:bottom w:val="nil"/>
                    <w:right w:val="single" w:sz="4" w:space="0" w:color="auto"/>
                  </w:tcBorders>
                  <w:shd w:val="clear" w:color="auto" w:fill="auto"/>
                </w:tcPr>
                <w:p w14:paraId="5FB3A5A5" w14:textId="77777777" w:rsidR="007850A0" w:rsidRPr="00CA3F18" w:rsidRDefault="007850A0" w:rsidP="00E43EDE">
                  <w:pPr>
                    <w:widowControl w:val="0"/>
                    <w:autoSpaceDE w:val="0"/>
                    <w:autoSpaceDN w:val="0"/>
                    <w:adjustRightInd w:val="0"/>
                    <w:ind w:left="-226" w:firstLine="140"/>
                    <w:jc w:val="right"/>
                    <w:rPr>
                      <w:rFonts w:ascii="Calibri" w:hAnsi="Calibri" w:cs="Calibri"/>
                      <w:bCs/>
                      <w:color w:val="000000"/>
                      <w:sz w:val="22"/>
                      <w:szCs w:val="22"/>
                    </w:rPr>
                  </w:pPr>
                  <w:r w:rsidRPr="00CA3F18">
                    <w:rPr>
                      <w:rFonts w:ascii="Calibri" w:hAnsi="Calibri" w:cs="Calibri"/>
                      <w:bCs/>
                      <w:color w:val="000000"/>
                      <w:sz w:val="22"/>
                      <w:szCs w:val="22"/>
                    </w:rPr>
                    <w:t>Quarter</w:t>
                  </w:r>
                </w:p>
              </w:tc>
              <w:tc>
                <w:tcPr>
                  <w:tcW w:w="1159" w:type="dxa"/>
                  <w:tcBorders>
                    <w:top w:val="nil"/>
                    <w:left w:val="single" w:sz="4" w:space="0" w:color="auto"/>
                    <w:bottom w:val="nil"/>
                    <w:right w:val="single" w:sz="4" w:space="0" w:color="auto"/>
                  </w:tcBorders>
                  <w:shd w:val="clear" w:color="auto" w:fill="auto"/>
                </w:tcPr>
                <w:p w14:paraId="09E69D83" w14:textId="77777777" w:rsidR="007850A0" w:rsidRPr="00CA3F18" w:rsidRDefault="007850A0" w:rsidP="00E43EDE">
                  <w:pPr>
                    <w:widowControl w:val="0"/>
                    <w:autoSpaceDE w:val="0"/>
                    <w:autoSpaceDN w:val="0"/>
                    <w:adjustRightInd w:val="0"/>
                    <w:ind w:left="-226" w:firstLine="140"/>
                    <w:jc w:val="right"/>
                    <w:rPr>
                      <w:rFonts w:ascii="Calibri" w:hAnsi="Calibri" w:cs="Calibri"/>
                      <w:bCs/>
                      <w:color w:val="000000"/>
                      <w:sz w:val="22"/>
                      <w:szCs w:val="22"/>
                    </w:rPr>
                  </w:pPr>
                  <w:r w:rsidRPr="00CA3F18">
                    <w:rPr>
                      <w:rFonts w:ascii="Calibri" w:hAnsi="Calibri" w:cs="Calibri"/>
                      <w:bCs/>
                      <w:color w:val="000000"/>
                      <w:sz w:val="22"/>
                      <w:szCs w:val="22"/>
                    </w:rPr>
                    <w:t>Quarter</w:t>
                  </w:r>
                </w:p>
              </w:tc>
            </w:tr>
            <w:tr w:rsidR="007850A0" w:rsidRPr="00F72676" w14:paraId="594EC1F9" w14:textId="77777777" w:rsidTr="00E43EDE">
              <w:trPr>
                <w:trHeight w:val="229"/>
              </w:trPr>
              <w:tc>
                <w:tcPr>
                  <w:tcW w:w="260" w:type="dxa"/>
                  <w:tcBorders>
                    <w:top w:val="nil"/>
                    <w:left w:val="nil"/>
                    <w:bottom w:val="nil"/>
                    <w:right w:val="nil"/>
                  </w:tcBorders>
                </w:tcPr>
                <w:p w14:paraId="6BD6F5D2" w14:textId="77777777" w:rsidR="007850A0" w:rsidRPr="00F72676"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30A1767F" w14:textId="77777777" w:rsidR="007850A0" w:rsidRPr="00F72676" w:rsidRDefault="007850A0" w:rsidP="00E43EDE">
                  <w:pPr>
                    <w:autoSpaceDE w:val="0"/>
                    <w:autoSpaceDN w:val="0"/>
                    <w:adjustRightInd w:val="0"/>
                    <w:jc w:val="right"/>
                    <w:rPr>
                      <w:rFonts w:ascii="Calibri" w:hAnsi="Calibri" w:cs="Calibri"/>
                      <w:color w:val="000000"/>
                      <w:sz w:val="22"/>
                      <w:szCs w:val="22"/>
                    </w:rPr>
                  </w:pPr>
                </w:p>
              </w:tc>
              <w:tc>
                <w:tcPr>
                  <w:tcW w:w="709" w:type="dxa"/>
                  <w:tcBorders>
                    <w:top w:val="nil"/>
                    <w:bottom w:val="nil"/>
                  </w:tcBorders>
                </w:tcPr>
                <w:p w14:paraId="3D4BADB2" w14:textId="77777777" w:rsidR="007850A0" w:rsidRPr="00F72676" w:rsidRDefault="007850A0" w:rsidP="00E43EDE">
                  <w:pPr>
                    <w:autoSpaceDE w:val="0"/>
                    <w:autoSpaceDN w:val="0"/>
                    <w:adjustRightInd w:val="0"/>
                    <w:jc w:val="right"/>
                    <w:rPr>
                      <w:rFonts w:ascii="Calibri" w:hAnsi="Calibri" w:cs="Calibri"/>
                      <w:bCs/>
                      <w:color w:val="000000"/>
                      <w:sz w:val="22"/>
                      <w:szCs w:val="22"/>
                    </w:rPr>
                  </w:pPr>
                </w:p>
              </w:tc>
              <w:tc>
                <w:tcPr>
                  <w:tcW w:w="851" w:type="dxa"/>
                  <w:tcBorders>
                    <w:top w:val="nil"/>
                    <w:bottom w:val="nil"/>
                    <w:right w:val="single" w:sz="4" w:space="0" w:color="auto"/>
                  </w:tcBorders>
                  <w:shd w:val="clear" w:color="auto" w:fill="auto"/>
                  <w:vAlign w:val="bottom"/>
                </w:tcPr>
                <w:p w14:paraId="1B534B0D" w14:textId="77777777" w:rsidR="007850A0" w:rsidRPr="00F72676" w:rsidRDefault="007850A0" w:rsidP="00E43EDE">
                  <w:pPr>
                    <w:tabs>
                      <w:tab w:val="left" w:pos="-108"/>
                    </w:tabs>
                    <w:autoSpaceDE w:val="0"/>
                    <w:autoSpaceDN w:val="0"/>
                    <w:adjustRightInd w:val="0"/>
                    <w:ind w:left="-250"/>
                    <w:jc w:val="right"/>
                    <w:rPr>
                      <w:rFonts w:ascii="Calibri" w:hAnsi="Calibri" w:cs="Calibri"/>
                      <w:bCs/>
                      <w:color w:val="000000"/>
                      <w:sz w:val="22"/>
                      <w:szCs w:val="22"/>
                    </w:rPr>
                  </w:pPr>
                  <w:r w:rsidRPr="00F72676">
                    <w:rPr>
                      <w:rFonts w:ascii="Calibri" w:hAnsi="Calibri" w:cs="Calibri"/>
                      <w:bCs/>
                      <w:color w:val="000000"/>
                      <w:sz w:val="22"/>
                      <w:szCs w:val="22"/>
                    </w:rPr>
                    <w:t>Pre-</w:t>
                  </w:r>
                </w:p>
              </w:tc>
              <w:tc>
                <w:tcPr>
                  <w:tcW w:w="1275" w:type="dxa"/>
                  <w:tcBorders>
                    <w:top w:val="nil"/>
                    <w:bottom w:val="nil"/>
                    <w:right w:val="single" w:sz="4" w:space="0" w:color="auto"/>
                  </w:tcBorders>
                  <w:shd w:val="clear" w:color="auto" w:fill="FFFF00"/>
                </w:tcPr>
                <w:p w14:paraId="6572ECD7" w14:textId="77777777" w:rsidR="007850A0" w:rsidRPr="00F72676" w:rsidRDefault="007850A0" w:rsidP="00E43EDE">
                  <w:pPr>
                    <w:widowControl w:val="0"/>
                    <w:autoSpaceDE w:val="0"/>
                    <w:autoSpaceDN w:val="0"/>
                    <w:adjustRightInd w:val="0"/>
                    <w:ind w:left="-226" w:firstLine="140"/>
                    <w:jc w:val="right"/>
                    <w:rPr>
                      <w:rFonts w:ascii="Calibri" w:hAnsi="Calibri" w:cs="Calibri"/>
                      <w:b/>
                      <w:bCs/>
                      <w:color w:val="000000"/>
                      <w:sz w:val="22"/>
                      <w:szCs w:val="22"/>
                    </w:rPr>
                  </w:pPr>
                  <w:r w:rsidRPr="00F72676">
                    <w:rPr>
                      <w:rFonts w:ascii="Calibri" w:hAnsi="Calibri" w:cs="Calibri"/>
                      <w:b/>
                      <w:bCs/>
                      <w:color w:val="000000"/>
                      <w:sz w:val="22"/>
                      <w:szCs w:val="22"/>
                    </w:rPr>
                    <w:t>Ended</w:t>
                  </w:r>
                </w:p>
              </w:tc>
              <w:tc>
                <w:tcPr>
                  <w:tcW w:w="1276" w:type="dxa"/>
                  <w:tcBorders>
                    <w:top w:val="nil"/>
                    <w:bottom w:val="nil"/>
                    <w:right w:val="single" w:sz="4" w:space="0" w:color="auto"/>
                  </w:tcBorders>
                  <w:shd w:val="clear" w:color="auto" w:fill="auto"/>
                </w:tcPr>
                <w:p w14:paraId="04F4DA03" w14:textId="77777777" w:rsidR="007850A0" w:rsidRPr="00CA3F18" w:rsidRDefault="007850A0" w:rsidP="00E43EDE">
                  <w:pPr>
                    <w:widowControl w:val="0"/>
                    <w:autoSpaceDE w:val="0"/>
                    <w:autoSpaceDN w:val="0"/>
                    <w:adjustRightInd w:val="0"/>
                    <w:ind w:left="-226" w:firstLine="140"/>
                    <w:jc w:val="right"/>
                    <w:rPr>
                      <w:rFonts w:ascii="Calibri" w:hAnsi="Calibri" w:cs="Calibri"/>
                      <w:bCs/>
                      <w:color w:val="000000"/>
                      <w:sz w:val="22"/>
                      <w:szCs w:val="22"/>
                    </w:rPr>
                  </w:pPr>
                  <w:r w:rsidRPr="00CA3F18">
                    <w:rPr>
                      <w:rFonts w:ascii="Calibri" w:hAnsi="Calibri" w:cs="Calibri"/>
                      <w:bCs/>
                      <w:color w:val="000000"/>
                      <w:sz w:val="22"/>
                      <w:szCs w:val="22"/>
                    </w:rPr>
                    <w:t>Ended</w:t>
                  </w:r>
                </w:p>
              </w:tc>
              <w:tc>
                <w:tcPr>
                  <w:tcW w:w="1134" w:type="dxa"/>
                  <w:tcBorders>
                    <w:top w:val="nil"/>
                    <w:left w:val="single" w:sz="4" w:space="0" w:color="auto"/>
                    <w:bottom w:val="nil"/>
                    <w:right w:val="single" w:sz="4" w:space="0" w:color="auto"/>
                  </w:tcBorders>
                  <w:shd w:val="clear" w:color="auto" w:fill="auto"/>
                </w:tcPr>
                <w:p w14:paraId="405C59C4" w14:textId="77777777" w:rsidR="007850A0" w:rsidRPr="00CA3F18" w:rsidRDefault="007850A0" w:rsidP="00E43EDE">
                  <w:pPr>
                    <w:widowControl w:val="0"/>
                    <w:autoSpaceDE w:val="0"/>
                    <w:autoSpaceDN w:val="0"/>
                    <w:adjustRightInd w:val="0"/>
                    <w:ind w:left="-226" w:firstLine="140"/>
                    <w:jc w:val="right"/>
                    <w:rPr>
                      <w:rFonts w:ascii="Calibri" w:hAnsi="Calibri" w:cs="Calibri"/>
                      <w:bCs/>
                      <w:color w:val="000000"/>
                      <w:sz w:val="22"/>
                      <w:szCs w:val="22"/>
                    </w:rPr>
                  </w:pPr>
                  <w:r w:rsidRPr="00CA3F18">
                    <w:rPr>
                      <w:rFonts w:ascii="Calibri" w:hAnsi="Calibri" w:cs="Calibri"/>
                      <w:bCs/>
                      <w:color w:val="000000"/>
                      <w:sz w:val="22"/>
                      <w:szCs w:val="22"/>
                    </w:rPr>
                    <w:t>Ended</w:t>
                  </w:r>
                </w:p>
              </w:tc>
              <w:tc>
                <w:tcPr>
                  <w:tcW w:w="1159" w:type="dxa"/>
                  <w:tcBorders>
                    <w:top w:val="nil"/>
                    <w:left w:val="single" w:sz="4" w:space="0" w:color="auto"/>
                    <w:bottom w:val="nil"/>
                    <w:right w:val="single" w:sz="4" w:space="0" w:color="auto"/>
                  </w:tcBorders>
                  <w:shd w:val="clear" w:color="auto" w:fill="auto"/>
                </w:tcPr>
                <w:p w14:paraId="31EC8248" w14:textId="77777777" w:rsidR="007850A0" w:rsidRPr="00CA3F18" w:rsidRDefault="007850A0" w:rsidP="00E43EDE">
                  <w:pPr>
                    <w:widowControl w:val="0"/>
                    <w:autoSpaceDE w:val="0"/>
                    <w:autoSpaceDN w:val="0"/>
                    <w:adjustRightInd w:val="0"/>
                    <w:ind w:left="-226" w:firstLine="140"/>
                    <w:jc w:val="right"/>
                    <w:rPr>
                      <w:rFonts w:ascii="Calibri" w:hAnsi="Calibri" w:cs="Calibri"/>
                      <w:bCs/>
                      <w:color w:val="000000"/>
                      <w:sz w:val="22"/>
                      <w:szCs w:val="22"/>
                    </w:rPr>
                  </w:pPr>
                  <w:r w:rsidRPr="00CA3F18">
                    <w:rPr>
                      <w:rFonts w:ascii="Calibri" w:hAnsi="Calibri" w:cs="Calibri"/>
                      <w:bCs/>
                      <w:color w:val="000000"/>
                      <w:sz w:val="22"/>
                      <w:szCs w:val="22"/>
                    </w:rPr>
                    <w:t>Ended</w:t>
                  </w:r>
                </w:p>
              </w:tc>
            </w:tr>
            <w:tr w:rsidR="007850A0" w:rsidRPr="00F72676" w14:paraId="7B678083" w14:textId="77777777" w:rsidTr="00E43EDE">
              <w:trPr>
                <w:trHeight w:val="229"/>
              </w:trPr>
              <w:tc>
                <w:tcPr>
                  <w:tcW w:w="260" w:type="dxa"/>
                  <w:tcBorders>
                    <w:top w:val="nil"/>
                    <w:left w:val="nil"/>
                    <w:bottom w:val="nil"/>
                    <w:right w:val="nil"/>
                  </w:tcBorders>
                </w:tcPr>
                <w:p w14:paraId="3D7441AD" w14:textId="77777777" w:rsidR="007850A0" w:rsidRPr="00F72676"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300869FB" w14:textId="77777777" w:rsidR="007850A0" w:rsidRPr="00F72676" w:rsidRDefault="007850A0" w:rsidP="00E43EDE">
                  <w:pPr>
                    <w:autoSpaceDE w:val="0"/>
                    <w:autoSpaceDN w:val="0"/>
                    <w:adjustRightInd w:val="0"/>
                    <w:jc w:val="right"/>
                    <w:rPr>
                      <w:rFonts w:ascii="Calibri" w:hAnsi="Calibri" w:cs="Calibri"/>
                      <w:color w:val="000000"/>
                      <w:sz w:val="22"/>
                      <w:szCs w:val="22"/>
                    </w:rPr>
                  </w:pPr>
                </w:p>
              </w:tc>
              <w:tc>
                <w:tcPr>
                  <w:tcW w:w="709" w:type="dxa"/>
                  <w:tcBorders>
                    <w:top w:val="nil"/>
                    <w:bottom w:val="nil"/>
                  </w:tcBorders>
                </w:tcPr>
                <w:p w14:paraId="4DD69DBF" w14:textId="77777777" w:rsidR="007850A0" w:rsidRPr="00F72676" w:rsidRDefault="007850A0" w:rsidP="00E43EDE">
                  <w:pPr>
                    <w:autoSpaceDE w:val="0"/>
                    <w:autoSpaceDN w:val="0"/>
                    <w:adjustRightInd w:val="0"/>
                    <w:jc w:val="right"/>
                    <w:rPr>
                      <w:rFonts w:ascii="Calibri" w:hAnsi="Calibri" w:cs="Calibri"/>
                      <w:bCs/>
                      <w:color w:val="000000"/>
                      <w:sz w:val="22"/>
                      <w:szCs w:val="22"/>
                      <w:highlight w:val="yellow"/>
                    </w:rPr>
                  </w:pPr>
                </w:p>
              </w:tc>
              <w:tc>
                <w:tcPr>
                  <w:tcW w:w="851" w:type="dxa"/>
                  <w:tcBorders>
                    <w:top w:val="nil"/>
                    <w:bottom w:val="nil"/>
                    <w:right w:val="single" w:sz="4" w:space="0" w:color="auto"/>
                  </w:tcBorders>
                  <w:shd w:val="clear" w:color="auto" w:fill="auto"/>
                  <w:vAlign w:val="bottom"/>
                </w:tcPr>
                <w:p w14:paraId="3D6E80E1" w14:textId="77777777" w:rsidR="007850A0" w:rsidRPr="00F72676" w:rsidRDefault="007850A0" w:rsidP="00E43EDE">
                  <w:pPr>
                    <w:tabs>
                      <w:tab w:val="left" w:pos="-108"/>
                    </w:tabs>
                    <w:autoSpaceDE w:val="0"/>
                    <w:autoSpaceDN w:val="0"/>
                    <w:adjustRightInd w:val="0"/>
                    <w:ind w:left="-250"/>
                    <w:jc w:val="right"/>
                    <w:rPr>
                      <w:rFonts w:ascii="Calibri" w:hAnsi="Calibri" w:cs="Calibri"/>
                      <w:bCs/>
                      <w:color w:val="000000"/>
                      <w:sz w:val="22"/>
                      <w:szCs w:val="22"/>
                    </w:rPr>
                  </w:pPr>
                  <w:r w:rsidRPr="00F72676">
                    <w:rPr>
                      <w:rFonts w:ascii="Calibri" w:hAnsi="Calibri" w:cs="Calibri"/>
                      <w:bCs/>
                      <w:color w:val="000000"/>
                      <w:sz w:val="22"/>
                      <w:szCs w:val="22"/>
                    </w:rPr>
                    <w:t>Except.</w:t>
                  </w:r>
                </w:p>
                <w:p w14:paraId="5352FF12" w14:textId="77777777" w:rsidR="007850A0" w:rsidRPr="00F72676" w:rsidRDefault="007850A0" w:rsidP="00E43EDE">
                  <w:pPr>
                    <w:tabs>
                      <w:tab w:val="left" w:pos="-108"/>
                    </w:tabs>
                    <w:autoSpaceDE w:val="0"/>
                    <w:autoSpaceDN w:val="0"/>
                    <w:adjustRightInd w:val="0"/>
                    <w:ind w:left="-250"/>
                    <w:jc w:val="right"/>
                    <w:rPr>
                      <w:rFonts w:ascii="Calibri" w:hAnsi="Calibri" w:cs="Calibri"/>
                      <w:bCs/>
                      <w:color w:val="000000"/>
                      <w:sz w:val="22"/>
                      <w:szCs w:val="22"/>
                    </w:rPr>
                  </w:pPr>
                  <w:r w:rsidRPr="00F72676">
                    <w:rPr>
                      <w:rFonts w:ascii="Calibri" w:hAnsi="Calibri" w:cs="Calibri"/>
                      <w:bCs/>
                      <w:color w:val="000000"/>
                      <w:sz w:val="22"/>
                      <w:szCs w:val="22"/>
                    </w:rPr>
                    <w:t>Change</w:t>
                  </w:r>
                </w:p>
              </w:tc>
              <w:tc>
                <w:tcPr>
                  <w:tcW w:w="1275" w:type="dxa"/>
                  <w:tcBorders>
                    <w:top w:val="nil"/>
                    <w:bottom w:val="nil"/>
                    <w:right w:val="single" w:sz="4" w:space="0" w:color="auto"/>
                  </w:tcBorders>
                  <w:shd w:val="clear" w:color="auto" w:fill="FFFF00"/>
                </w:tcPr>
                <w:p w14:paraId="32102C62" w14:textId="77777777" w:rsidR="007850A0" w:rsidRPr="00F72676" w:rsidRDefault="007850A0" w:rsidP="00E43EDE">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Dec</w:t>
                  </w:r>
                  <w:r w:rsidRPr="00F72676">
                    <w:rPr>
                      <w:rFonts w:ascii="Calibri" w:hAnsi="Calibri" w:cs="Calibri"/>
                      <w:b/>
                      <w:bCs/>
                      <w:color w:val="000000"/>
                      <w:sz w:val="22"/>
                      <w:szCs w:val="22"/>
                    </w:rPr>
                    <w:t xml:space="preserve"> 3</w:t>
                  </w:r>
                  <w:r>
                    <w:rPr>
                      <w:rFonts w:ascii="Calibri" w:hAnsi="Calibri" w:cs="Calibri"/>
                      <w:b/>
                      <w:bCs/>
                      <w:color w:val="000000"/>
                      <w:sz w:val="22"/>
                      <w:szCs w:val="22"/>
                    </w:rPr>
                    <w:t>1</w:t>
                  </w:r>
                  <w:r w:rsidRPr="00F72676">
                    <w:rPr>
                      <w:rFonts w:ascii="Calibri" w:hAnsi="Calibri" w:cs="Calibri"/>
                      <w:b/>
                      <w:bCs/>
                      <w:color w:val="000000"/>
                      <w:sz w:val="22"/>
                      <w:szCs w:val="22"/>
                    </w:rPr>
                    <w:t xml:space="preserve">, </w:t>
                  </w:r>
                </w:p>
                <w:p w14:paraId="31837316" w14:textId="77777777" w:rsidR="007850A0" w:rsidRPr="00F72676" w:rsidRDefault="007850A0" w:rsidP="00E43EDE">
                  <w:pPr>
                    <w:widowControl w:val="0"/>
                    <w:autoSpaceDE w:val="0"/>
                    <w:autoSpaceDN w:val="0"/>
                    <w:adjustRightInd w:val="0"/>
                    <w:jc w:val="right"/>
                    <w:rPr>
                      <w:rFonts w:ascii="Calibri" w:hAnsi="Calibri" w:cs="Calibri"/>
                      <w:b/>
                      <w:bCs/>
                      <w:color w:val="000000"/>
                      <w:sz w:val="22"/>
                      <w:szCs w:val="22"/>
                    </w:rPr>
                  </w:pPr>
                  <w:r w:rsidRPr="00F72676">
                    <w:rPr>
                      <w:rFonts w:ascii="Calibri" w:hAnsi="Calibri" w:cs="Calibri"/>
                      <w:b/>
                      <w:bCs/>
                      <w:color w:val="000000"/>
                      <w:sz w:val="22"/>
                      <w:szCs w:val="22"/>
                    </w:rPr>
                    <w:t>2023</w:t>
                  </w:r>
                </w:p>
              </w:tc>
              <w:tc>
                <w:tcPr>
                  <w:tcW w:w="1276" w:type="dxa"/>
                  <w:tcBorders>
                    <w:top w:val="nil"/>
                    <w:bottom w:val="nil"/>
                    <w:right w:val="single" w:sz="4" w:space="0" w:color="auto"/>
                  </w:tcBorders>
                  <w:shd w:val="clear" w:color="auto" w:fill="auto"/>
                </w:tcPr>
                <w:p w14:paraId="1AE2D169" w14:textId="77777777" w:rsidR="007850A0" w:rsidRPr="00CA3F18" w:rsidRDefault="007850A0" w:rsidP="00E43EDE">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Dec 31</w:t>
                  </w:r>
                  <w:r w:rsidRPr="00CA3F18">
                    <w:rPr>
                      <w:rFonts w:ascii="Calibri" w:hAnsi="Calibri" w:cs="Calibri"/>
                      <w:bCs/>
                      <w:color w:val="000000"/>
                      <w:sz w:val="22"/>
                      <w:szCs w:val="22"/>
                    </w:rPr>
                    <w:t xml:space="preserve">, </w:t>
                  </w:r>
                </w:p>
                <w:p w14:paraId="0A886863" w14:textId="77777777" w:rsidR="007850A0" w:rsidRPr="00CA3F18" w:rsidRDefault="007850A0" w:rsidP="00E43EDE">
                  <w:pPr>
                    <w:widowControl w:val="0"/>
                    <w:autoSpaceDE w:val="0"/>
                    <w:autoSpaceDN w:val="0"/>
                    <w:adjustRightInd w:val="0"/>
                    <w:jc w:val="right"/>
                    <w:rPr>
                      <w:rFonts w:ascii="Calibri" w:hAnsi="Calibri" w:cs="Calibri"/>
                      <w:bCs/>
                      <w:color w:val="000000"/>
                      <w:sz w:val="22"/>
                      <w:szCs w:val="22"/>
                    </w:rPr>
                  </w:pPr>
                  <w:r w:rsidRPr="00CA3F18">
                    <w:rPr>
                      <w:rFonts w:ascii="Calibri" w:hAnsi="Calibri" w:cs="Calibri"/>
                      <w:bCs/>
                      <w:color w:val="000000"/>
                      <w:sz w:val="22"/>
                      <w:szCs w:val="22"/>
                    </w:rPr>
                    <w:t>2022</w:t>
                  </w:r>
                </w:p>
              </w:tc>
              <w:tc>
                <w:tcPr>
                  <w:tcW w:w="1134" w:type="dxa"/>
                  <w:tcBorders>
                    <w:top w:val="nil"/>
                    <w:left w:val="single" w:sz="4" w:space="0" w:color="auto"/>
                    <w:bottom w:val="nil"/>
                    <w:right w:val="single" w:sz="4" w:space="0" w:color="auto"/>
                  </w:tcBorders>
                  <w:shd w:val="clear" w:color="auto" w:fill="auto"/>
                </w:tcPr>
                <w:p w14:paraId="2E195D21" w14:textId="77777777" w:rsidR="007850A0" w:rsidRPr="00CA3F18" w:rsidRDefault="007850A0" w:rsidP="00E43EDE">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Dec 31</w:t>
                  </w:r>
                  <w:r w:rsidRPr="00CA3F18">
                    <w:rPr>
                      <w:rFonts w:ascii="Calibri" w:hAnsi="Calibri" w:cs="Calibri"/>
                      <w:bCs/>
                      <w:color w:val="000000"/>
                      <w:sz w:val="22"/>
                      <w:szCs w:val="22"/>
                    </w:rPr>
                    <w:t xml:space="preserve">, </w:t>
                  </w:r>
                </w:p>
                <w:p w14:paraId="1E16998D" w14:textId="77777777" w:rsidR="007850A0" w:rsidRPr="00CA3F18" w:rsidRDefault="007850A0" w:rsidP="00E43EDE">
                  <w:pPr>
                    <w:widowControl w:val="0"/>
                    <w:autoSpaceDE w:val="0"/>
                    <w:autoSpaceDN w:val="0"/>
                    <w:adjustRightInd w:val="0"/>
                    <w:jc w:val="right"/>
                    <w:rPr>
                      <w:rFonts w:ascii="Calibri" w:hAnsi="Calibri" w:cs="Calibri"/>
                      <w:bCs/>
                      <w:color w:val="000000"/>
                      <w:sz w:val="22"/>
                      <w:szCs w:val="22"/>
                    </w:rPr>
                  </w:pPr>
                  <w:r w:rsidRPr="00CA3F18">
                    <w:rPr>
                      <w:rFonts w:ascii="Calibri" w:hAnsi="Calibri" w:cs="Calibri"/>
                      <w:bCs/>
                      <w:color w:val="000000"/>
                      <w:sz w:val="22"/>
                      <w:szCs w:val="22"/>
                    </w:rPr>
                    <w:t>2022</w:t>
                  </w:r>
                </w:p>
              </w:tc>
              <w:tc>
                <w:tcPr>
                  <w:tcW w:w="1159" w:type="dxa"/>
                  <w:tcBorders>
                    <w:top w:val="nil"/>
                    <w:left w:val="single" w:sz="4" w:space="0" w:color="auto"/>
                    <w:bottom w:val="nil"/>
                    <w:right w:val="single" w:sz="4" w:space="0" w:color="auto"/>
                  </w:tcBorders>
                  <w:shd w:val="clear" w:color="auto" w:fill="auto"/>
                </w:tcPr>
                <w:p w14:paraId="640D728A" w14:textId="77777777" w:rsidR="007850A0" w:rsidRPr="00CA3F18" w:rsidRDefault="007850A0" w:rsidP="00E43EDE">
                  <w:pPr>
                    <w:widowControl w:val="0"/>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Dec 31</w:t>
                  </w:r>
                  <w:r w:rsidRPr="00CA3F18">
                    <w:rPr>
                      <w:rFonts w:ascii="Calibri" w:hAnsi="Calibri" w:cs="Calibri"/>
                      <w:bCs/>
                      <w:color w:val="000000"/>
                      <w:sz w:val="22"/>
                      <w:szCs w:val="22"/>
                    </w:rPr>
                    <w:t xml:space="preserve">, </w:t>
                  </w:r>
                </w:p>
                <w:p w14:paraId="72EFFA70" w14:textId="77777777" w:rsidR="007850A0" w:rsidRPr="00CA3F18" w:rsidRDefault="007850A0" w:rsidP="00E43EDE">
                  <w:pPr>
                    <w:widowControl w:val="0"/>
                    <w:autoSpaceDE w:val="0"/>
                    <w:autoSpaceDN w:val="0"/>
                    <w:adjustRightInd w:val="0"/>
                    <w:jc w:val="right"/>
                    <w:rPr>
                      <w:rFonts w:ascii="Calibri" w:hAnsi="Calibri" w:cs="Calibri"/>
                      <w:bCs/>
                      <w:color w:val="000000"/>
                      <w:sz w:val="22"/>
                      <w:szCs w:val="22"/>
                    </w:rPr>
                  </w:pPr>
                  <w:r w:rsidRPr="00CA3F18">
                    <w:rPr>
                      <w:rFonts w:ascii="Calibri" w:hAnsi="Calibri" w:cs="Calibri"/>
                      <w:bCs/>
                      <w:color w:val="000000"/>
                      <w:sz w:val="22"/>
                      <w:szCs w:val="22"/>
                    </w:rPr>
                    <w:t>2022</w:t>
                  </w:r>
                </w:p>
              </w:tc>
            </w:tr>
            <w:tr w:rsidR="007850A0" w:rsidRPr="00F72676" w14:paraId="264C98C0" w14:textId="77777777" w:rsidTr="00E43EDE">
              <w:trPr>
                <w:trHeight w:val="229"/>
              </w:trPr>
              <w:tc>
                <w:tcPr>
                  <w:tcW w:w="260" w:type="dxa"/>
                  <w:tcBorders>
                    <w:top w:val="nil"/>
                    <w:left w:val="nil"/>
                    <w:bottom w:val="nil"/>
                    <w:right w:val="nil"/>
                  </w:tcBorders>
                </w:tcPr>
                <w:p w14:paraId="4CBA1C19" w14:textId="77777777" w:rsidR="007850A0" w:rsidRPr="00F72676"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1AD4C453" w14:textId="77777777" w:rsidR="007850A0" w:rsidRPr="00F72676" w:rsidRDefault="007850A0" w:rsidP="00E43EDE">
                  <w:pPr>
                    <w:autoSpaceDE w:val="0"/>
                    <w:autoSpaceDN w:val="0"/>
                    <w:adjustRightInd w:val="0"/>
                    <w:jc w:val="right"/>
                    <w:rPr>
                      <w:rFonts w:ascii="Calibri" w:hAnsi="Calibri" w:cs="Calibri"/>
                      <w:color w:val="000000"/>
                      <w:sz w:val="22"/>
                      <w:szCs w:val="22"/>
                    </w:rPr>
                  </w:pPr>
                </w:p>
              </w:tc>
              <w:tc>
                <w:tcPr>
                  <w:tcW w:w="709" w:type="dxa"/>
                  <w:tcBorders>
                    <w:top w:val="nil"/>
                    <w:bottom w:val="nil"/>
                  </w:tcBorders>
                </w:tcPr>
                <w:p w14:paraId="6F7C6470" w14:textId="77777777" w:rsidR="007850A0" w:rsidRPr="00F72676" w:rsidRDefault="007850A0" w:rsidP="00E43EDE">
                  <w:pPr>
                    <w:autoSpaceDE w:val="0"/>
                    <w:autoSpaceDN w:val="0"/>
                    <w:adjustRightInd w:val="0"/>
                    <w:jc w:val="right"/>
                    <w:rPr>
                      <w:rFonts w:ascii="Calibri" w:hAnsi="Calibri" w:cs="Calibri"/>
                      <w:b/>
                      <w:bCs/>
                      <w:color w:val="000000"/>
                      <w:sz w:val="22"/>
                      <w:szCs w:val="22"/>
                      <w:u w:val="single"/>
                    </w:rPr>
                  </w:pPr>
                  <w:r w:rsidRPr="00F72676">
                    <w:rPr>
                      <w:rFonts w:ascii="Calibri" w:hAnsi="Calibri" w:cs="Calibri"/>
                      <w:b/>
                      <w:bCs/>
                      <w:color w:val="000000"/>
                      <w:sz w:val="22"/>
                      <w:szCs w:val="22"/>
                      <w:u w:val="single"/>
                    </w:rPr>
                    <w:t>Note</w:t>
                  </w:r>
                </w:p>
              </w:tc>
              <w:tc>
                <w:tcPr>
                  <w:tcW w:w="851" w:type="dxa"/>
                  <w:tcBorders>
                    <w:top w:val="nil"/>
                    <w:bottom w:val="nil"/>
                    <w:right w:val="single" w:sz="4" w:space="0" w:color="auto"/>
                  </w:tcBorders>
                  <w:shd w:val="clear" w:color="auto" w:fill="auto"/>
                </w:tcPr>
                <w:p w14:paraId="1226170C" w14:textId="77777777" w:rsidR="007850A0" w:rsidRPr="00F72676" w:rsidRDefault="007850A0" w:rsidP="00E43EDE">
                  <w:pPr>
                    <w:autoSpaceDE w:val="0"/>
                    <w:autoSpaceDN w:val="0"/>
                    <w:adjustRightInd w:val="0"/>
                    <w:jc w:val="right"/>
                    <w:rPr>
                      <w:rFonts w:ascii="Calibri" w:hAnsi="Calibri" w:cs="Calibri"/>
                      <w:bCs/>
                      <w:color w:val="000000"/>
                      <w:sz w:val="22"/>
                      <w:szCs w:val="22"/>
                      <w:u w:val="single"/>
                    </w:rPr>
                  </w:pPr>
                  <w:r w:rsidRPr="00F72676">
                    <w:rPr>
                      <w:rFonts w:ascii="Calibri" w:hAnsi="Calibri" w:cs="Calibri"/>
                      <w:bCs/>
                      <w:color w:val="000000"/>
                      <w:sz w:val="22"/>
                      <w:szCs w:val="22"/>
                      <w:u w:val="single"/>
                    </w:rPr>
                    <w:t>%</w:t>
                  </w:r>
                  <w:r>
                    <w:rPr>
                      <w:rFonts w:ascii="Calibri" w:hAnsi="Calibri" w:cs="Calibri"/>
                      <w:bCs/>
                      <w:color w:val="000000"/>
                      <w:sz w:val="22"/>
                      <w:szCs w:val="22"/>
                      <w:u w:val="single"/>
                    </w:rPr>
                    <w:t>*</w:t>
                  </w:r>
                </w:p>
              </w:tc>
              <w:tc>
                <w:tcPr>
                  <w:tcW w:w="1275" w:type="dxa"/>
                  <w:tcBorders>
                    <w:top w:val="nil"/>
                    <w:bottom w:val="nil"/>
                    <w:right w:val="single" w:sz="4" w:space="0" w:color="auto"/>
                  </w:tcBorders>
                  <w:shd w:val="clear" w:color="auto" w:fill="FFFF00"/>
                </w:tcPr>
                <w:p w14:paraId="5A4EF2A9" w14:textId="77777777" w:rsidR="007850A0" w:rsidRPr="00F72676" w:rsidRDefault="007850A0" w:rsidP="00E43EDE">
                  <w:pPr>
                    <w:widowControl w:val="0"/>
                    <w:autoSpaceDE w:val="0"/>
                    <w:autoSpaceDN w:val="0"/>
                    <w:adjustRightInd w:val="0"/>
                    <w:ind w:left="-226"/>
                    <w:jc w:val="right"/>
                    <w:rPr>
                      <w:rFonts w:ascii="Calibri" w:hAnsi="Calibri" w:cs="Calibri"/>
                      <w:b/>
                      <w:bCs/>
                      <w:color w:val="000000"/>
                      <w:sz w:val="22"/>
                      <w:szCs w:val="22"/>
                      <w:u w:val="single"/>
                    </w:rPr>
                  </w:pPr>
                  <w:r w:rsidRPr="00F72676">
                    <w:rPr>
                      <w:rFonts w:ascii="Calibri" w:hAnsi="Calibri" w:cs="Calibri"/>
                      <w:b/>
                      <w:bCs/>
                      <w:color w:val="000000"/>
                      <w:sz w:val="22"/>
                      <w:szCs w:val="22"/>
                      <w:u w:val="single"/>
                    </w:rPr>
                    <w:t>€M</w:t>
                  </w:r>
                </w:p>
              </w:tc>
              <w:tc>
                <w:tcPr>
                  <w:tcW w:w="1276" w:type="dxa"/>
                  <w:tcBorders>
                    <w:top w:val="nil"/>
                    <w:bottom w:val="nil"/>
                    <w:right w:val="single" w:sz="4" w:space="0" w:color="auto"/>
                  </w:tcBorders>
                  <w:shd w:val="clear" w:color="auto" w:fill="auto"/>
                </w:tcPr>
                <w:p w14:paraId="21C02C4A" w14:textId="77777777" w:rsidR="007850A0" w:rsidRPr="00CA3F18" w:rsidRDefault="007850A0" w:rsidP="00E43EDE">
                  <w:pPr>
                    <w:widowControl w:val="0"/>
                    <w:autoSpaceDE w:val="0"/>
                    <w:autoSpaceDN w:val="0"/>
                    <w:adjustRightInd w:val="0"/>
                    <w:ind w:left="-226"/>
                    <w:jc w:val="right"/>
                    <w:rPr>
                      <w:rFonts w:ascii="Calibri" w:hAnsi="Calibri" w:cs="Calibri"/>
                      <w:bCs/>
                      <w:color w:val="000000"/>
                      <w:sz w:val="22"/>
                      <w:szCs w:val="22"/>
                      <w:u w:val="single"/>
                    </w:rPr>
                  </w:pPr>
                  <w:r w:rsidRPr="00CA3F18">
                    <w:rPr>
                      <w:rFonts w:ascii="Calibri" w:hAnsi="Calibri" w:cs="Calibri"/>
                      <w:bCs/>
                      <w:color w:val="000000"/>
                      <w:sz w:val="22"/>
                      <w:szCs w:val="22"/>
                      <w:u w:val="single"/>
                    </w:rPr>
                    <w:t>€M</w:t>
                  </w:r>
                </w:p>
              </w:tc>
              <w:tc>
                <w:tcPr>
                  <w:tcW w:w="1134" w:type="dxa"/>
                  <w:tcBorders>
                    <w:top w:val="nil"/>
                    <w:left w:val="single" w:sz="4" w:space="0" w:color="auto"/>
                    <w:bottom w:val="nil"/>
                    <w:right w:val="single" w:sz="4" w:space="0" w:color="auto"/>
                  </w:tcBorders>
                  <w:shd w:val="clear" w:color="auto" w:fill="auto"/>
                </w:tcPr>
                <w:p w14:paraId="646FE620" w14:textId="77777777" w:rsidR="007850A0" w:rsidRPr="00CA3F18" w:rsidRDefault="007850A0" w:rsidP="00E43EDE">
                  <w:pPr>
                    <w:widowControl w:val="0"/>
                    <w:autoSpaceDE w:val="0"/>
                    <w:autoSpaceDN w:val="0"/>
                    <w:adjustRightInd w:val="0"/>
                    <w:ind w:left="-226"/>
                    <w:jc w:val="right"/>
                    <w:rPr>
                      <w:rFonts w:ascii="Calibri" w:hAnsi="Calibri" w:cs="Calibri"/>
                      <w:bCs/>
                      <w:color w:val="000000"/>
                      <w:sz w:val="22"/>
                      <w:szCs w:val="22"/>
                      <w:u w:val="single"/>
                    </w:rPr>
                  </w:pPr>
                  <w:r w:rsidRPr="00CA3F18">
                    <w:rPr>
                      <w:rFonts w:ascii="Calibri" w:hAnsi="Calibri" w:cs="Calibri"/>
                      <w:bCs/>
                      <w:color w:val="000000"/>
                      <w:sz w:val="22"/>
                      <w:szCs w:val="22"/>
                      <w:u w:val="single"/>
                    </w:rPr>
                    <w:t>€M</w:t>
                  </w:r>
                </w:p>
              </w:tc>
              <w:tc>
                <w:tcPr>
                  <w:tcW w:w="1159" w:type="dxa"/>
                  <w:tcBorders>
                    <w:top w:val="nil"/>
                    <w:left w:val="single" w:sz="4" w:space="0" w:color="auto"/>
                    <w:bottom w:val="nil"/>
                    <w:right w:val="single" w:sz="4" w:space="0" w:color="auto"/>
                  </w:tcBorders>
                  <w:shd w:val="clear" w:color="auto" w:fill="auto"/>
                </w:tcPr>
                <w:p w14:paraId="33DC5243" w14:textId="77777777" w:rsidR="007850A0" w:rsidRPr="00CA3F18" w:rsidRDefault="007850A0" w:rsidP="00E43EDE">
                  <w:pPr>
                    <w:widowControl w:val="0"/>
                    <w:autoSpaceDE w:val="0"/>
                    <w:autoSpaceDN w:val="0"/>
                    <w:adjustRightInd w:val="0"/>
                    <w:ind w:left="-226"/>
                    <w:jc w:val="right"/>
                    <w:rPr>
                      <w:rFonts w:ascii="Calibri" w:hAnsi="Calibri" w:cs="Calibri"/>
                      <w:bCs/>
                      <w:color w:val="000000"/>
                      <w:sz w:val="22"/>
                      <w:szCs w:val="22"/>
                      <w:u w:val="single"/>
                    </w:rPr>
                  </w:pPr>
                  <w:r w:rsidRPr="00CA3F18">
                    <w:rPr>
                      <w:rFonts w:ascii="Calibri" w:hAnsi="Calibri" w:cs="Calibri"/>
                      <w:bCs/>
                      <w:color w:val="000000"/>
                      <w:sz w:val="22"/>
                      <w:szCs w:val="22"/>
                      <w:u w:val="single"/>
                    </w:rPr>
                    <w:t>€M</w:t>
                  </w:r>
                </w:p>
              </w:tc>
            </w:tr>
            <w:tr w:rsidR="007850A0" w:rsidRPr="00F72676" w14:paraId="1F70652D" w14:textId="77777777" w:rsidTr="00E43EDE">
              <w:trPr>
                <w:trHeight w:val="229"/>
              </w:trPr>
              <w:tc>
                <w:tcPr>
                  <w:tcW w:w="4253" w:type="dxa"/>
                  <w:gridSpan w:val="2"/>
                  <w:tcBorders>
                    <w:top w:val="nil"/>
                    <w:left w:val="nil"/>
                    <w:bottom w:val="nil"/>
                  </w:tcBorders>
                </w:tcPr>
                <w:p w14:paraId="638CD15E" w14:textId="77777777" w:rsidR="007850A0" w:rsidRPr="00FD297D" w:rsidRDefault="007850A0" w:rsidP="00E43EDE">
                  <w:pPr>
                    <w:autoSpaceDE w:val="0"/>
                    <w:autoSpaceDN w:val="0"/>
                    <w:adjustRightInd w:val="0"/>
                    <w:rPr>
                      <w:rFonts w:ascii="Calibri" w:hAnsi="Calibri" w:cs="Calibri"/>
                      <w:b/>
                      <w:bCs/>
                      <w:color w:val="000000"/>
                      <w:sz w:val="22"/>
                      <w:szCs w:val="22"/>
                    </w:rPr>
                  </w:pPr>
                  <w:r w:rsidRPr="00FD297D">
                    <w:rPr>
                      <w:rFonts w:ascii="Calibri" w:hAnsi="Calibri" w:cs="Calibri"/>
                      <w:b/>
                      <w:bCs/>
                      <w:color w:val="000000"/>
                      <w:sz w:val="22"/>
                      <w:szCs w:val="22"/>
                    </w:rPr>
                    <w:t>Operating revenues</w:t>
                  </w:r>
                </w:p>
              </w:tc>
              <w:tc>
                <w:tcPr>
                  <w:tcW w:w="709" w:type="dxa"/>
                  <w:tcBorders>
                    <w:top w:val="nil"/>
                    <w:bottom w:val="nil"/>
                  </w:tcBorders>
                </w:tcPr>
                <w:p w14:paraId="2C48F843"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851" w:type="dxa"/>
                  <w:tcBorders>
                    <w:top w:val="nil"/>
                    <w:bottom w:val="nil"/>
                    <w:right w:val="single" w:sz="4" w:space="0" w:color="auto"/>
                  </w:tcBorders>
                </w:tcPr>
                <w:p w14:paraId="0668F883"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1275" w:type="dxa"/>
                  <w:tcBorders>
                    <w:top w:val="nil"/>
                    <w:bottom w:val="nil"/>
                    <w:right w:val="single" w:sz="4" w:space="0" w:color="auto"/>
                  </w:tcBorders>
                  <w:shd w:val="clear" w:color="auto" w:fill="FFFF00"/>
                </w:tcPr>
                <w:p w14:paraId="041268B9"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276" w:type="dxa"/>
                  <w:tcBorders>
                    <w:top w:val="nil"/>
                    <w:bottom w:val="nil"/>
                    <w:right w:val="single" w:sz="4" w:space="0" w:color="auto"/>
                  </w:tcBorders>
                  <w:shd w:val="clear" w:color="auto" w:fill="auto"/>
                </w:tcPr>
                <w:p w14:paraId="51483E59"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tcPr>
                <w:p w14:paraId="5B8CBE90"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59" w:type="dxa"/>
                  <w:tcBorders>
                    <w:top w:val="nil"/>
                    <w:left w:val="single" w:sz="4" w:space="0" w:color="auto"/>
                    <w:bottom w:val="nil"/>
                    <w:right w:val="single" w:sz="4" w:space="0" w:color="auto"/>
                  </w:tcBorders>
                  <w:shd w:val="clear" w:color="auto" w:fill="auto"/>
                </w:tcPr>
                <w:p w14:paraId="4177792C"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r>
            <w:tr w:rsidR="007850A0" w:rsidRPr="00F72676" w14:paraId="347B3F3F" w14:textId="77777777" w:rsidTr="00E43EDE">
              <w:trPr>
                <w:trHeight w:val="229"/>
              </w:trPr>
              <w:tc>
                <w:tcPr>
                  <w:tcW w:w="260" w:type="dxa"/>
                  <w:tcBorders>
                    <w:top w:val="nil"/>
                    <w:left w:val="nil"/>
                    <w:bottom w:val="nil"/>
                    <w:right w:val="nil"/>
                  </w:tcBorders>
                </w:tcPr>
                <w:p w14:paraId="35E6412C"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5D5EF5F2" w14:textId="77777777" w:rsidR="007850A0" w:rsidRPr="00FD297D" w:rsidRDefault="007850A0" w:rsidP="00E43EDE">
                  <w:pPr>
                    <w:autoSpaceDE w:val="0"/>
                    <w:autoSpaceDN w:val="0"/>
                    <w:adjustRightInd w:val="0"/>
                    <w:ind w:right="-818"/>
                    <w:rPr>
                      <w:rFonts w:ascii="Calibri" w:hAnsi="Calibri" w:cs="Calibri"/>
                      <w:color w:val="000000"/>
                      <w:sz w:val="22"/>
                      <w:szCs w:val="22"/>
                    </w:rPr>
                  </w:pPr>
                  <w:r w:rsidRPr="00FD297D">
                    <w:rPr>
                      <w:rFonts w:ascii="Calibri" w:hAnsi="Calibri" w:cs="Calibri"/>
                      <w:color w:val="000000"/>
                      <w:sz w:val="22"/>
                      <w:szCs w:val="22"/>
                    </w:rPr>
                    <w:t xml:space="preserve">Scheduled revenues </w:t>
                  </w:r>
                </w:p>
              </w:tc>
              <w:tc>
                <w:tcPr>
                  <w:tcW w:w="709" w:type="dxa"/>
                  <w:tcBorders>
                    <w:top w:val="nil"/>
                  </w:tcBorders>
                </w:tcPr>
                <w:p w14:paraId="1F0E3143"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tcPr>
                <w:p w14:paraId="7E84A3D7" w14:textId="77777777" w:rsidR="007850A0" w:rsidRPr="00FD297D" w:rsidRDefault="007850A0" w:rsidP="00E43EDE">
                  <w:pPr>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r>
                    <w:rPr>
                      <w:rFonts w:ascii="Calibri" w:hAnsi="Calibri" w:cs="Calibri"/>
                      <w:bCs/>
                      <w:color w:val="000000"/>
                      <w:sz w:val="22"/>
                      <w:szCs w:val="22"/>
                    </w:rPr>
                    <w:t>21</w:t>
                  </w:r>
                  <w:r w:rsidRPr="00FD297D">
                    <w:rPr>
                      <w:rFonts w:ascii="Calibri" w:hAnsi="Calibri" w:cs="Calibri"/>
                      <w:bCs/>
                      <w:color w:val="000000"/>
                      <w:sz w:val="22"/>
                      <w:szCs w:val="22"/>
                    </w:rPr>
                    <w:t>%</w:t>
                  </w:r>
                </w:p>
              </w:tc>
              <w:tc>
                <w:tcPr>
                  <w:tcW w:w="1275" w:type="dxa"/>
                  <w:tcBorders>
                    <w:top w:val="nil"/>
                    <w:right w:val="single" w:sz="4" w:space="0" w:color="auto"/>
                  </w:tcBorders>
                  <w:shd w:val="clear" w:color="auto" w:fill="FFFF00"/>
                  <w:vAlign w:val="center"/>
                </w:tcPr>
                <w:p w14:paraId="418E5A67"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1,749.2</w:t>
                  </w:r>
                </w:p>
              </w:tc>
              <w:tc>
                <w:tcPr>
                  <w:tcW w:w="1276" w:type="dxa"/>
                  <w:tcBorders>
                    <w:top w:val="nil"/>
                    <w:right w:val="single" w:sz="4" w:space="0" w:color="auto"/>
                  </w:tcBorders>
                  <w:shd w:val="clear" w:color="auto" w:fill="auto"/>
                  <w:vAlign w:val="center"/>
                </w:tcPr>
                <w:p w14:paraId="0D2EFF75"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1,446.6 </w:t>
                  </w:r>
                </w:p>
              </w:tc>
              <w:tc>
                <w:tcPr>
                  <w:tcW w:w="1134" w:type="dxa"/>
                  <w:tcBorders>
                    <w:top w:val="nil"/>
                    <w:left w:val="single" w:sz="4" w:space="0" w:color="auto"/>
                    <w:right w:val="single" w:sz="4" w:space="0" w:color="auto"/>
                  </w:tcBorders>
                  <w:shd w:val="clear" w:color="auto" w:fill="auto"/>
                </w:tcPr>
                <w:p w14:paraId="5F0ADD68"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w:t>
                  </w:r>
                </w:p>
              </w:tc>
              <w:tc>
                <w:tcPr>
                  <w:tcW w:w="1159" w:type="dxa"/>
                  <w:tcBorders>
                    <w:top w:val="nil"/>
                    <w:left w:val="single" w:sz="4" w:space="0" w:color="auto"/>
                    <w:right w:val="single" w:sz="4" w:space="0" w:color="auto"/>
                  </w:tcBorders>
                  <w:shd w:val="clear" w:color="auto" w:fill="auto"/>
                  <w:vAlign w:val="center"/>
                </w:tcPr>
                <w:p w14:paraId="3EDCB792"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1,446.6 </w:t>
                  </w:r>
                </w:p>
              </w:tc>
            </w:tr>
            <w:tr w:rsidR="007850A0" w:rsidRPr="00F72676" w14:paraId="0992D62F" w14:textId="77777777" w:rsidTr="00E43EDE">
              <w:trPr>
                <w:trHeight w:val="229"/>
              </w:trPr>
              <w:tc>
                <w:tcPr>
                  <w:tcW w:w="260" w:type="dxa"/>
                  <w:tcBorders>
                    <w:top w:val="nil"/>
                    <w:left w:val="nil"/>
                    <w:bottom w:val="nil"/>
                    <w:right w:val="nil"/>
                  </w:tcBorders>
                </w:tcPr>
                <w:p w14:paraId="77361A3E"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7199ABDD" w14:textId="77777777" w:rsidR="007850A0" w:rsidRPr="00FD297D" w:rsidRDefault="007850A0" w:rsidP="00E43EDE">
                  <w:pPr>
                    <w:autoSpaceDE w:val="0"/>
                    <w:autoSpaceDN w:val="0"/>
                    <w:adjustRightInd w:val="0"/>
                    <w:ind w:right="-818"/>
                    <w:rPr>
                      <w:rFonts w:ascii="Calibri" w:hAnsi="Calibri" w:cs="Calibri"/>
                      <w:color w:val="000000"/>
                      <w:sz w:val="22"/>
                      <w:szCs w:val="22"/>
                    </w:rPr>
                  </w:pPr>
                  <w:r w:rsidRPr="00FD297D">
                    <w:rPr>
                      <w:rFonts w:ascii="Calibri" w:hAnsi="Calibri" w:cs="Calibri"/>
                      <w:color w:val="000000"/>
                      <w:sz w:val="22"/>
                      <w:szCs w:val="22"/>
                    </w:rPr>
                    <w:t>Ancillary revenues</w:t>
                  </w:r>
                </w:p>
              </w:tc>
              <w:tc>
                <w:tcPr>
                  <w:tcW w:w="709" w:type="dxa"/>
                  <w:tcBorders>
                    <w:top w:val="nil"/>
                  </w:tcBorders>
                </w:tcPr>
                <w:p w14:paraId="2F633A7E"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tcPr>
                <w:p w14:paraId="0CC7BB55" w14:textId="77777777" w:rsidR="007850A0" w:rsidRPr="00FD297D" w:rsidRDefault="007850A0" w:rsidP="00E43EDE">
                  <w:pPr>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r>
                    <w:rPr>
                      <w:rFonts w:ascii="Calibri" w:hAnsi="Calibri" w:cs="Calibri"/>
                      <w:bCs/>
                      <w:color w:val="000000"/>
                      <w:sz w:val="22"/>
                      <w:szCs w:val="22"/>
                    </w:rPr>
                    <w:t>10</w:t>
                  </w:r>
                  <w:r w:rsidRPr="00FD297D">
                    <w:rPr>
                      <w:rFonts w:ascii="Calibri" w:hAnsi="Calibri" w:cs="Calibri"/>
                      <w:bCs/>
                      <w:color w:val="000000"/>
                      <w:sz w:val="22"/>
                      <w:szCs w:val="22"/>
                    </w:rPr>
                    <w:t>%</w:t>
                  </w:r>
                </w:p>
              </w:tc>
              <w:tc>
                <w:tcPr>
                  <w:tcW w:w="1275" w:type="dxa"/>
                  <w:tcBorders>
                    <w:top w:val="nil"/>
                    <w:right w:val="single" w:sz="4" w:space="0" w:color="auto"/>
                  </w:tcBorders>
                  <w:shd w:val="clear" w:color="auto" w:fill="FFFF00"/>
                  <w:vAlign w:val="center"/>
                </w:tcPr>
                <w:p w14:paraId="656A7143"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949.5</w:t>
                  </w:r>
                </w:p>
              </w:tc>
              <w:tc>
                <w:tcPr>
                  <w:tcW w:w="1276" w:type="dxa"/>
                  <w:tcBorders>
                    <w:top w:val="nil"/>
                    <w:right w:val="single" w:sz="4" w:space="0" w:color="auto"/>
                  </w:tcBorders>
                  <w:shd w:val="clear" w:color="auto" w:fill="auto"/>
                  <w:vAlign w:val="center"/>
                </w:tcPr>
                <w:p w14:paraId="3F87F8D2"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865.5 </w:t>
                  </w:r>
                </w:p>
              </w:tc>
              <w:tc>
                <w:tcPr>
                  <w:tcW w:w="1134" w:type="dxa"/>
                  <w:tcBorders>
                    <w:top w:val="nil"/>
                    <w:left w:val="single" w:sz="4" w:space="0" w:color="auto"/>
                    <w:right w:val="single" w:sz="4" w:space="0" w:color="auto"/>
                  </w:tcBorders>
                  <w:shd w:val="clear" w:color="auto" w:fill="auto"/>
                </w:tcPr>
                <w:p w14:paraId="5E617631"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w:t>
                  </w:r>
                </w:p>
              </w:tc>
              <w:tc>
                <w:tcPr>
                  <w:tcW w:w="1159" w:type="dxa"/>
                  <w:tcBorders>
                    <w:top w:val="nil"/>
                    <w:left w:val="single" w:sz="4" w:space="0" w:color="auto"/>
                    <w:right w:val="single" w:sz="4" w:space="0" w:color="auto"/>
                  </w:tcBorders>
                  <w:shd w:val="clear" w:color="auto" w:fill="auto"/>
                  <w:vAlign w:val="center"/>
                </w:tcPr>
                <w:p w14:paraId="5C0010D6"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865.5 </w:t>
                  </w:r>
                </w:p>
              </w:tc>
            </w:tr>
            <w:tr w:rsidR="007850A0" w:rsidRPr="00F72676" w14:paraId="52D8F6BB" w14:textId="77777777" w:rsidTr="00E43EDE">
              <w:trPr>
                <w:trHeight w:val="229"/>
              </w:trPr>
              <w:tc>
                <w:tcPr>
                  <w:tcW w:w="4253" w:type="dxa"/>
                  <w:gridSpan w:val="2"/>
                  <w:tcBorders>
                    <w:top w:val="nil"/>
                    <w:left w:val="nil"/>
                    <w:bottom w:val="nil"/>
                  </w:tcBorders>
                </w:tcPr>
                <w:p w14:paraId="612F86E3" w14:textId="77777777" w:rsidR="007850A0" w:rsidRPr="00FD297D" w:rsidRDefault="007850A0" w:rsidP="00E43EDE">
                  <w:pPr>
                    <w:autoSpaceDE w:val="0"/>
                    <w:autoSpaceDN w:val="0"/>
                    <w:adjustRightInd w:val="0"/>
                    <w:ind w:right="-818"/>
                    <w:rPr>
                      <w:rFonts w:ascii="Calibri" w:hAnsi="Calibri" w:cs="Calibri"/>
                      <w:b/>
                      <w:color w:val="000000"/>
                      <w:sz w:val="22"/>
                      <w:szCs w:val="22"/>
                    </w:rPr>
                  </w:pPr>
                  <w:r w:rsidRPr="00FD297D">
                    <w:rPr>
                      <w:rFonts w:ascii="Calibri" w:hAnsi="Calibri" w:cs="Calibri"/>
                      <w:b/>
                      <w:bCs/>
                      <w:color w:val="000000"/>
                      <w:sz w:val="22"/>
                      <w:szCs w:val="22"/>
                    </w:rPr>
                    <w:t xml:space="preserve">Total operating revenues </w:t>
                  </w:r>
                </w:p>
              </w:tc>
              <w:tc>
                <w:tcPr>
                  <w:tcW w:w="709" w:type="dxa"/>
                  <w:tcBorders>
                    <w:top w:val="nil"/>
                  </w:tcBorders>
                </w:tcPr>
                <w:p w14:paraId="7756AD0B" w14:textId="77777777" w:rsidR="007850A0" w:rsidRPr="00FD297D" w:rsidRDefault="007850A0" w:rsidP="00E43EDE">
                  <w:pPr>
                    <w:autoSpaceDE w:val="0"/>
                    <w:autoSpaceDN w:val="0"/>
                    <w:adjustRightInd w:val="0"/>
                    <w:jc w:val="right"/>
                    <w:rPr>
                      <w:rFonts w:ascii="Calibri" w:hAnsi="Calibri" w:cs="Calibri"/>
                      <w:b/>
                      <w:color w:val="000000"/>
                      <w:sz w:val="22"/>
                      <w:szCs w:val="22"/>
                      <w:highlight w:val="green"/>
                    </w:rPr>
                  </w:pPr>
                  <w:r w:rsidRPr="00FD297D">
                    <w:rPr>
                      <w:rFonts w:ascii="Calibri" w:hAnsi="Calibri" w:cs="Calibri"/>
                      <w:b/>
                      <w:color w:val="000000"/>
                      <w:sz w:val="22"/>
                      <w:szCs w:val="22"/>
                    </w:rPr>
                    <w:t>7</w:t>
                  </w:r>
                </w:p>
              </w:tc>
              <w:tc>
                <w:tcPr>
                  <w:tcW w:w="851" w:type="dxa"/>
                  <w:tcBorders>
                    <w:top w:val="single" w:sz="4" w:space="0" w:color="auto"/>
                    <w:bottom w:val="single" w:sz="4" w:space="0" w:color="auto"/>
                    <w:right w:val="single" w:sz="4" w:space="0" w:color="auto"/>
                  </w:tcBorders>
                </w:tcPr>
                <w:p w14:paraId="5339857E" w14:textId="77777777" w:rsidR="007850A0" w:rsidRPr="00FD297D" w:rsidRDefault="007850A0" w:rsidP="00E43EDE">
                  <w:pPr>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r>
                    <w:rPr>
                      <w:rFonts w:ascii="Calibri" w:hAnsi="Calibri" w:cs="Calibri"/>
                      <w:bCs/>
                      <w:color w:val="000000"/>
                      <w:sz w:val="22"/>
                      <w:szCs w:val="22"/>
                    </w:rPr>
                    <w:t>17</w:t>
                  </w:r>
                  <w:r w:rsidRPr="00FD297D">
                    <w:rPr>
                      <w:rFonts w:ascii="Calibri" w:hAnsi="Calibri" w:cs="Calibri"/>
                      <w:bCs/>
                      <w:color w:val="000000"/>
                      <w:sz w:val="22"/>
                      <w:szCs w:val="22"/>
                    </w:rPr>
                    <w:t>%</w:t>
                  </w:r>
                </w:p>
              </w:tc>
              <w:tc>
                <w:tcPr>
                  <w:tcW w:w="1275" w:type="dxa"/>
                  <w:tcBorders>
                    <w:top w:val="single" w:sz="4" w:space="0" w:color="auto"/>
                    <w:bottom w:val="single" w:sz="4" w:space="0" w:color="auto"/>
                    <w:right w:val="single" w:sz="4" w:space="0" w:color="auto"/>
                  </w:tcBorders>
                  <w:shd w:val="clear" w:color="auto" w:fill="FFFF00"/>
                </w:tcPr>
                <w:p w14:paraId="60C30E69" w14:textId="77777777" w:rsidR="007850A0" w:rsidRPr="00FD297D" w:rsidRDefault="007850A0" w:rsidP="00E43EDE">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2,698.7</w:t>
                  </w:r>
                </w:p>
              </w:tc>
              <w:tc>
                <w:tcPr>
                  <w:tcW w:w="1276" w:type="dxa"/>
                  <w:tcBorders>
                    <w:top w:val="single" w:sz="4" w:space="0" w:color="auto"/>
                    <w:bottom w:val="single" w:sz="4" w:space="0" w:color="auto"/>
                    <w:right w:val="single" w:sz="4" w:space="0" w:color="auto"/>
                  </w:tcBorders>
                  <w:shd w:val="clear" w:color="auto" w:fill="auto"/>
                </w:tcPr>
                <w:p w14:paraId="360CB19B" w14:textId="77777777" w:rsidR="007850A0" w:rsidRPr="00FD297D" w:rsidRDefault="007850A0" w:rsidP="00E43EDE">
                  <w:pPr>
                    <w:autoSpaceDE w:val="0"/>
                    <w:autoSpaceDN w:val="0"/>
                    <w:adjustRightInd w:val="0"/>
                    <w:jc w:val="right"/>
                    <w:rPr>
                      <w:rFonts w:ascii="Calibri" w:hAnsi="Calibri" w:cs="Calibri"/>
                      <w:color w:val="000000"/>
                      <w:sz w:val="22"/>
                      <w:szCs w:val="22"/>
                    </w:rPr>
                  </w:pPr>
                  <w:r w:rsidRPr="00FD297D">
                    <w:rPr>
                      <w:rFonts w:ascii="Calibri" w:hAnsi="Calibri" w:cs="Calibri"/>
                      <w:color w:val="000000"/>
                      <w:sz w:val="22"/>
                      <w:szCs w:val="22"/>
                    </w:rPr>
                    <w:t>2,312.1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064A86" w14:textId="77777777" w:rsidR="007850A0" w:rsidRPr="00FD297D" w:rsidRDefault="007850A0" w:rsidP="00E43EDE">
                  <w:pPr>
                    <w:autoSpaceDE w:val="0"/>
                    <w:autoSpaceDN w:val="0"/>
                    <w:adjustRightInd w:val="0"/>
                    <w:jc w:val="right"/>
                    <w:rPr>
                      <w:rFonts w:ascii="Calibri" w:hAnsi="Calibri" w:cs="Calibri"/>
                      <w:color w:val="000000"/>
                      <w:sz w:val="22"/>
                      <w:szCs w:val="22"/>
                    </w:rPr>
                  </w:pPr>
                  <w:r w:rsidRPr="00FD297D">
                    <w:rPr>
                      <w:rFonts w:ascii="Calibri" w:hAnsi="Calibri" w:cs="Calibri"/>
                      <w:color w:val="000000"/>
                      <w:sz w:val="22"/>
                      <w:szCs w:val="22"/>
                    </w:rPr>
                    <w:t>-</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2C65A789" w14:textId="77777777" w:rsidR="007850A0" w:rsidRPr="00FD297D" w:rsidRDefault="007850A0" w:rsidP="00E43EDE">
                  <w:pPr>
                    <w:autoSpaceDE w:val="0"/>
                    <w:autoSpaceDN w:val="0"/>
                    <w:adjustRightInd w:val="0"/>
                    <w:jc w:val="right"/>
                    <w:rPr>
                      <w:rFonts w:ascii="Calibri" w:hAnsi="Calibri" w:cs="Calibri"/>
                      <w:color w:val="000000"/>
                      <w:sz w:val="22"/>
                      <w:szCs w:val="22"/>
                    </w:rPr>
                  </w:pPr>
                  <w:r w:rsidRPr="00FD297D">
                    <w:rPr>
                      <w:rFonts w:ascii="Calibri" w:hAnsi="Calibri" w:cs="Calibri"/>
                      <w:color w:val="000000"/>
                      <w:sz w:val="22"/>
                      <w:szCs w:val="22"/>
                    </w:rPr>
                    <w:t>2,312.1</w:t>
                  </w:r>
                </w:p>
              </w:tc>
            </w:tr>
            <w:tr w:rsidR="007850A0" w:rsidRPr="00F72676" w14:paraId="2AC185C6" w14:textId="77777777" w:rsidTr="00E43EDE">
              <w:trPr>
                <w:trHeight w:val="229"/>
              </w:trPr>
              <w:tc>
                <w:tcPr>
                  <w:tcW w:w="4253" w:type="dxa"/>
                  <w:gridSpan w:val="2"/>
                  <w:tcBorders>
                    <w:top w:val="nil"/>
                    <w:left w:val="nil"/>
                    <w:bottom w:val="nil"/>
                  </w:tcBorders>
                </w:tcPr>
                <w:p w14:paraId="687E341B" w14:textId="77777777" w:rsidR="007850A0" w:rsidRPr="00FD297D" w:rsidRDefault="007850A0" w:rsidP="00E43EDE">
                  <w:pPr>
                    <w:autoSpaceDE w:val="0"/>
                    <w:autoSpaceDN w:val="0"/>
                    <w:adjustRightInd w:val="0"/>
                    <w:rPr>
                      <w:rFonts w:ascii="Calibri" w:hAnsi="Calibri" w:cs="Calibri"/>
                      <w:bCs/>
                      <w:color w:val="000000"/>
                      <w:sz w:val="22"/>
                      <w:szCs w:val="22"/>
                    </w:rPr>
                  </w:pPr>
                </w:p>
              </w:tc>
              <w:tc>
                <w:tcPr>
                  <w:tcW w:w="709" w:type="dxa"/>
                  <w:tcBorders>
                    <w:bottom w:val="nil"/>
                  </w:tcBorders>
                </w:tcPr>
                <w:p w14:paraId="4CA1D749"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bottom w:val="nil"/>
                    <w:right w:val="single" w:sz="4" w:space="0" w:color="auto"/>
                  </w:tcBorders>
                </w:tcPr>
                <w:p w14:paraId="77CCDF70" w14:textId="77777777" w:rsidR="007850A0" w:rsidRPr="00FD297D" w:rsidRDefault="007850A0" w:rsidP="00E43EDE">
                  <w:pPr>
                    <w:autoSpaceDE w:val="0"/>
                    <w:autoSpaceDN w:val="0"/>
                    <w:adjustRightInd w:val="0"/>
                    <w:jc w:val="right"/>
                    <w:rPr>
                      <w:rFonts w:ascii="Calibri" w:hAnsi="Calibri" w:cs="Calibri"/>
                      <w:bCs/>
                      <w:color w:val="000000"/>
                      <w:sz w:val="22"/>
                      <w:szCs w:val="22"/>
                    </w:rPr>
                  </w:pPr>
                </w:p>
              </w:tc>
              <w:tc>
                <w:tcPr>
                  <w:tcW w:w="1275" w:type="dxa"/>
                  <w:tcBorders>
                    <w:bottom w:val="nil"/>
                    <w:right w:val="single" w:sz="4" w:space="0" w:color="auto"/>
                  </w:tcBorders>
                  <w:shd w:val="clear" w:color="auto" w:fill="FFFF00"/>
                </w:tcPr>
                <w:p w14:paraId="09A4B650" w14:textId="77777777" w:rsidR="007850A0" w:rsidRPr="00FD297D" w:rsidRDefault="007850A0" w:rsidP="00E43EDE">
                  <w:pPr>
                    <w:autoSpaceDE w:val="0"/>
                    <w:autoSpaceDN w:val="0"/>
                    <w:adjustRightInd w:val="0"/>
                    <w:ind w:left="-226"/>
                    <w:jc w:val="right"/>
                    <w:rPr>
                      <w:rFonts w:ascii="Calibri" w:hAnsi="Calibri" w:cs="Calibri"/>
                      <w:b/>
                      <w:bCs/>
                      <w:color w:val="000000"/>
                      <w:sz w:val="22"/>
                      <w:szCs w:val="22"/>
                    </w:rPr>
                  </w:pPr>
                </w:p>
              </w:tc>
              <w:tc>
                <w:tcPr>
                  <w:tcW w:w="1276" w:type="dxa"/>
                  <w:tcBorders>
                    <w:bottom w:val="nil"/>
                    <w:right w:val="single" w:sz="4" w:space="0" w:color="auto"/>
                  </w:tcBorders>
                  <w:shd w:val="clear" w:color="auto" w:fill="auto"/>
                </w:tcPr>
                <w:p w14:paraId="0EF2E0D3"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34" w:type="dxa"/>
                  <w:tcBorders>
                    <w:left w:val="single" w:sz="4" w:space="0" w:color="auto"/>
                    <w:bottom w:val="nil"/>
                    <w:right w:val="single" w:sz="4" w:space="0" w:color="auto"/>
                  </w:tcBorders>
                  <w:shd w:val="clear" w:color="auto" w:fill="auto"/>
                </w:tcPr>
                <w:p w14:paraId="16A7B641"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59" w:type="dxa"/>
                  <w:tcBorders>
                    <w:top w:val="single" w:sz="4" w:space="0" w:color="auto"/>
                    <w:left w:val="single" w:sz="4" w:space="0" w:color="auto"/>
                    <w:bottom w:val="nil"/>
                    <w:right w:val="single" w:sz="4" w:space="0" w:color="auto"/>
                  </w:tcBorders>
                  <w:shd w:val="clear" w:color="auto" w:fill="auto"/>
                </w:tcPr>
                <w:p w14:paraId="3B07868C"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r>
            <w:tr w:rsidR="007850A0" w:rsidRPr="00F72676" w14:paraId="14573E0C" w14:textId="77777777" w:rsidTr="00E43EDE">
              <w:trPr>
                <w:trHeight w:val="229"/>
              </w:trPr>
              <w:tc>
                <w:tcPr>
                  <w:tcW w:w="4253" w:type="dxa"/>
                  <w:gridSpan w:val="2"/>
                  <w:tcBorders>
                    <w:top w:val="nil"/>
                    <w:left w:val="nil"/>
                    <w:bottom w:val="nil"/>
                  </w:tcBorders>
                </w:tcPr>
                <w:p w14:paraId="5D35B965" w14:textId="77777777" w:rsidR="007850A0" w:rsidRPr="00FD297D" w:rsidRDefault="007850A0" w:rsidP="00E43EDE">
                  <w:pPr>
                    <w:autoSpaceDE w:val="0"/>
                    <w:autoSpaceDN w:val="0"/>
                    <w:adjustRightInd w:val="0"/>
                    <w:rPr>
                      <w:rFonts w:ascii="Calibri" w:hAnsi="Calibri" w:cs="Calibri"/>
                      <w:color w:val="000000"/>
                      <w:sz w:val="22"/>
                      <w:szCs w:val="22"/>
                    </w:rPr>
                  </w:pPr>
                  <w:r w:rsidRPr="00FD297D">
                    <w:rPr>
                      <w:rFonts w:ascii="Calibri" w:hAnsi="Calibri" w:cs="Calibri"/>
                      <w:b/>
                      <w:color w:val="000000"/>
                      <w:sz w:val="22"/>
                      <w:szCs w:val="22"/>
                    </w:rPr>
                    <w:t>Operating expenses</w:t>
                  </w:r>
                </w:p>
              </w:tc>
              <w:tc>
                <w:tcPr>
                  <w:tcW w:w="709" w:type="dxa"/>
                  <w:tcBorders>
                    <w:top w:val="nil"/>
                    <w:bottom w:val="nil"/>
                  </w:tcBorders>
                </w:tcPr>
                <w:p w14:paraId="711647EE"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nil"/>
                    <w:bottom w:val="nil"/>
                    <w:right w:val="single" w:sz="4" w:space="0" w:color="auto"/>
                  </w:tcBorders>
                </w:tcPr>
                <w:p w14:paraId="7ED27968" w14:textId="77777777" w:rsidR="007850A0" w:rsidRPr="00FD297D" w:rsidRDefault="007850A0" w:rsidP="00E43EDE">
                  <w:pPr>
                    <w:autoSpaceDE w:val="0"/>
                    <w:autoSpaceDN w:val="0"/>
                    <w:adjustRightInd w:val="0"/>
                    <w:jc w:val="right"/>
                    <w:rPr>
                      <w:rFonts w:ascii="Calibri" w:hAnsi="Calibri" w:cs="Calibri"/>
                      <w:bCs/>
                      <w:color w:val="000000"/>
                      <w:sz w:val="22"/>
                      <w:szCs w:val="22"/>
                    </w:rPr>
                  </w:pPr>
                </w:p>
              </w:tc>
              <w:tc>
                <w:tcPr>
                  <w:tcW w:w="1275" w:type="dxa"/>
                  <w:tcBorders>
                    <w:top w:val="nil"/>
                    <w:bottom w:val="nil"/>
                    <w:right w:val="single" w:sz="4" w:space="0" w:color="auto"/>
                  </w:tcBorders>
                  <w:shd w:val="clear" w:color="auto" w:fill="FFFF00"/>
                </w:tcPr>
                <w:p w14:paraId="6B888609" w14:textId="77777777" w:rsidR="007850A0" w:rsidRPr="00FD297D" w:rsidRDefault="007850A0" w:rsidP="00E43EDE">
                  <w:pPr>
                    <w:autoSpaceDE w:val="0"/>
                    <w:autoSpaceDN w:val="0"/>
                    <w:adjustRightInd w:val="0"/>
                    <w:ind w:left="-226"/>
                    <w:jc w:val="right"/>
                    <w:rPr>
                      <w:rFonts w:ascii="Calibri" w:hAnsi="Calibri" w:cs="Calibri"/>
                      <w:b/>
                      <w:bCs/>
                      <w:color w:val="000000"/>
                      <w:sz w:val="22"/>
                      <w:szCs w:val="22"/>
                    </w:rPr>
                  </w:pPr>
                </w:p>
              </w:tc>
              <w:tc>
                <w:tcPr>
                  <w:tcW w:w="1276" w:type="dxa"/>
                  <w:tcBorders>
                    <w:top w:val="nil"/>
                    <w:bottom w:val="nil"/>
                    <w:right w:val="single" w:sz="4" w:space="0" w:color="auto"/>
                  </w:tcBorders>
                  <w:shd w:val="clear" w:color="auto" w:fill="auto"/>
                </w:tcPr>
                <w:p w14:paraId="6F8AFFD4"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tcPr>
                <w:p w14:paraId="42854BE5"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59" w:type="dxa"/>
                  <w:tcBorders>
                    <w:top w:val="nil"/>
                    <w:left w:val="single" w:sz="4" w:space="0" w:color="auto"/>
                    <w:bottom w:val="nil"/>
                    <w:right w:val="single" w:sz="4" w:space="0" w:color="auto"/>
                  </w:tcBorders>
                  <w:shd w:val="clear" w:color="auto" w:fill="auto"/>
                </w:tcPr>
                <w:p w14:paraId="0EBD6EFB"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r>
            <w:tr w:rsidR="007850A0" w:rsidRPr="00F72676" w14:paraId="721FD2D4" w14:textId="77777777" w:rsidTr="00E43EDE">
              <w:trPr>
                <w:trHeight w:val="229"/>
              </w:trPr>
              <w:tc>
                <w:tcPr>
                  <w:tcW w:w="260" w:type="dxa"/>
                  <w:tcBorders>
                    <w:top w:val="nil"/>
                    <w:left w:val="nil"/>
                    <w:bottom w:val="nil"/>
                    <w:right w:val="nil"/>
                  </w:tcBorders>
                </w:tcPr>
                <w:p w14:paraId="71F401F0"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38FB3B24" w14:textId="77777777" w:rsidR="007850A0" w:rsidRPr="00FD297D" w:rsidRDefault="007850A0" w:rsidP="00E43EDE">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Fuel and oil</w:t>
                  </w:r>
                </w:p>
              </w:tc>
              <w:tc>
                <w:tcPr>
                  <w:tcW w:w="709" w:type="dxa"/>
                  <w:tcBorders>
                    <w:top w:val="nil"/>
                    <w:bottom w:val="nil"/>
                  </w:tcBorders>
                </w:tcPr>
                <w:p w14:paraId="19189DBC"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nil"/>
                    <w:bottom w:val="nil"/>
                    <w:right w:val="single" w:sz="4" w:space="0" w:color="auto"/>
                  </w:tcBorders>
                  <w:vAlign w:val="center"/>
                </w:tcPr>
                <w:p w14:paraId="6067FDFA" w14:textId="77777777" w:rsidR="007850A0" w:rsidRPr="00FD297D" w:rsidRDefault="007850A0" w:rsidP="00E43EDE">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color w:val="000000"/>
                      <w:sz w:val="22"/>
                      <w:szCs w:val="22"/>
                    </w:rPr>
                    <w:t>-</w:t>
                  </w:r>
                  <w:r>
                    <w:rPr>
                      <w:rFonts w:ascii="Calibri" w:hAnsi="Calibri" w:cs="Calibri"/>
                      <w:color w:val="000000"/>
                      <w:sz w:val="22"/>
                      <w:szCs w:val="22"/>
                    </w:rPr>
                    <w:t>35</w:t>
                  </w:r>
                  <w:r w:rsidRPr="00FD297D">
                    <w:rPr>
                      <w:rFonts w:ascii="Calibri" w:hAnsi="Calibri" w:cs="Calibri"/>
                      <w:color w:val="000000"/>
                      <w:sz w:val="22"/>
                      <w:szCs w:val="22"/>
                    </w:rPr>
                    <w:t>%</w:t>
                  </w:r>
                </w:p>
              </w:tc>
              <w:tc>
                <w:tcPr>
                  <w:tcW w:w="1275" w:type="dxa"/>
                  <w:tcBorders>
                    <w:top w:val="nil"/>
                    <w:bottom w:val="nil"/>
                    <w:right w:val="single" w:sz="4" w:space="0" w:color="auto"/>
                  </w:tcBorders>
                  <w:shd w:val="clear" w:color="auto" w:fill="FFFF00"/>
                  <w:vAlign w:val="center"/>
                </w:tcPr>
                <w:p w14:paraId="10874101"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1,224.1</w:t>
                  </w:r>
                </w:p>
              </w:tc>
              <w:tc>
                <w:tcPr>
                  <w:tcW w:w="1276" w:type="dxa"/>
                  <w:tcBorders>
                    <w:top w:val="nil"/>
                    <w:bottom w:val="nil"/>
                    <w:right w:val="single" w:sz="4" w:space="0" w:color="auto"/>
                  </w:tcBorders>
                  <w:shd w:val="clear" w:color="auto" w:fill="auto"/>
                  <w:vAlign w:val="center"/>
                </w:tcPr>
                <w:p w14:paraId="2FD58D65"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904.8 </w:t>
                  </w:r>
                </w:p>
              </w:tc>
              <w:tc>
                <w:tcPr>
                  <w:tcW w:w="1134" w:type="dxa"/>
                  <w:tcBorders>
                    <w:top w:val="nil"/>
                    <w:left w:val="single" w:sz="4" w:space="0" w:color="auto"/>
                    <w:bottom w:val="nil"/>
                    <w:right w:val="single" w:sz="4" w:space="0" w:color="auto"/>
                  </w:tcBorders>
                  <w:shd w:val="clear" w:color="auto" w:fill="auto"/>
                </w:tcPr>
                <w:p w14:paraId="2E9E20DA"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10.3</w:t>
                  </w:r>
                </w:p>
              </w:tc>
              <w:tc>
                <w:tcPr>
                  <w:tcW w:w="1159" w:type="dxa"/>
                  <w:tcBorders>
                    <w:top w:val="nil"/>
                    <w:left w:val="single" w:sz="4" w:space="0" w:color="auto"/>
                    <w:bottom w:val="nil"/>
                    <w:right w:val="single" w:sz="4" w:space="0" w:color="auto"/>
                  </w:tcBorders>
                  <w:shd w:val="clear" w:color="auto" w:fill="auto"/>
                  <w:vAlign w:val="center"/>
                </w:tcPr>
                <w:p w14:paraId="035F17C7"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915.1 </w:t>
                  </w:r>
                </w:p>
              </w:tc>
            </w:tr>
            <w:tr w:rsidR="007850A0" w:rsidRPr="00F72676" w14:paraId="60A87C84" w14:textId="77777777" w:rsidTr="00E43EDE">
              <w:trPr>
                <w:trHeight w:val="229"/>
              </w:trPr>
              <w:tc>
                <w:tcPr>
                  <w:tcW w:w="260" w:type="dxa"/>
                  <w:tcBorders>
                    <w:top w:val="nil"/>
                    <w:left w:val="nil"/>
                    <w:bottom w:val="nil"/>
                    <w:right w:val="nil"/>
                  </w:tcBorders>
                </w:tcPr>
                <w:p w14:paraId="49E80F4B"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669F88E2" w14:textId="77777777" w:rsidR="007850A0" w:rsidRPr="00FD297D" w:rsidRDefault="007850A0" w:rsidP="00E43EDE">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 xml:space="preserve">Staff costs </w:t>
                  </w:r>
                </w:p>
              </w:tc>
              <w:tc>
                <w:tcPr>
                  <w:tcW w:w="709" w:type="dxa"/>
                  <w:tcBorders>
                    <w:top w:val="nil"/>
                    <w:bottom w:val="nil"/>
                  </w:tcBorders>
                </w:tcPr>
                <w:p w14:paraId="115341BD"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nil"/>
                    <w:bottom w:val="nil"/>
                    <w:right w:val="single" w:sz="4" w:space="0" w:color="auto"/>
                  </w:tcBorders>
                  <w:vAlign w:val="center"/>
                </w:tcPr>
                <w:p w14:paraId="420D97E6" w14:textId="77777777" w:rsidR="007850A0" w:rsidRPr="00FD297D" w:rsidRDefault="007850A0" w:rsidP="00E43EDE">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color w:val="000000"/>
                      <w:sz w:val="22"/>
                      <w:szCs w:val="22"/>
                    </w:rPr>
                    <w:t>-</w:t>
                  </w:r>
                  <w:r>
                    <w:rPr>
                      <w:rFonts w:ascii="Calibri" w:hAnsi="Calibri" w:cs="Calibri"/>
                      <w:color w:val="000000"/>
                      <w:sz w:val="22"/>
                      <w:szCs w:val="22"/>
                    </w:rPr>
                    <w:t>30</w:t>
                  </w:r>
                  <w:r w:rsidRPr="00FD297D">
                    <w:rPr>
                      <w:rFonts w:ascii="Calibri" w:hAnsi="Calibri" w:cs="Calibri"/>
                      <w:color w:val="000000"/>
                      <w:sz w:val="22"/>
                      <w:szCs w:val="22"/>
                    </w:rPr>
                    <w:t>%</w:t>
                  </w:r>
                </w:p>
              </w:tc>
              <w:tc>
                <w:tcPr>
                  <w:tcW w:w="1275" w:type="dxa"/>
                  <w:tcBorders>
                    <w:top w:val="nil"/>
                    <w:bottom w:val="nil"/>
                    <w:right w:val="single" w:sz="4" w:space="0" w:color="auto"/>
                  </w:tcBorders>
                  <w:shd w:val="clear" w:color="auto" w:fill="FFFF00"/>
                  <w:vAlign w:val="center"/>
                </w:tcPr>
                <w:p w14:paraId="1E891ACA"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382.2</w:t>
                  </w:r>
                </w:p>
              </w:tc>
              <w:tc>
                <w:tcPr>
                  <w:tcW w:w="1276" w:type="dxa"/>
                  <w:tcBorders>
                    <w:top w:val="nil"/>
                    <w:bottom w:val="nil"/>
                    <w:right w:val="single" w:sz="4" w:space="0" w:color="auto"/>
                  </w:tcBorders>
                  <w:shd w:val="clear" w:color="auto" w:fill="auto"/>
                  <w:vAlign w:val="center"/>
                </w:tcPr>
                <w:p w14:paraId="0CD56EC2"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293.0 </w:t>
                  </w:r>
                </w:p>
              </w:tc>
              <w:tc>
                <w:tcPr>
                  <w:tcW w:w="1134" w:type="dxa"/>
                  <w:tcBorders>
                    <w:top w:val="nil"/>
                    <w:left w:val="single" w:sz="4" w:space="0" w:color="auto"/>
                    <w:bottom w:val="nil"/>
                    <w:right w:val="single" w:sz="4" w:space="0" w:color="auto"/>
                  </w:tcBorders>
                  <w:shd w:val="clear" w:color="auto" w:fill="auto"/>
                </w:tcPr>
                <w:p w14:paraId="7306C4DE"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w:t>
                  </w:r>
                </w:p>
              </w:tc>
              <w:tc>
                <w:tcPr>
                  <w:tcW w:w="1159" w:type="dxa"/>
                  <w:tcBorders>
                    <w:top w:val="nil"/>
                    <w:left w:val="single" w:sz="4" w:space="0" w:color="auto"/>
                    <w:bottom w:val="nil"/>
                    <w:right w:val="single" w:sz="4" w:space="0" w:color="auto"/>
                  </w:tcBorders>
                  <w:shd w:val="clear" w:color="auto" w:fill="auto"/>
                  <w:vAlign w:val="center"/>
                </w:tcPr>
                <w:p w14:paraId="65BB61EC"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293.0 </w:t>
                  </w:r>
                </w:p>
              </w:tc>
            </w:tr>
            <w:tr w:rsidR="007850A0" w:rsidRPr="00F72676" w14:paraId="6A2A32D8" w14:textId="77777777" w:rsidTr="00E43EDE">
              <w:trPr>
                <w:trHeight w:val="229"/>
              </w:trPr>
              <w:tc>
                <w:tcPr>
                  <w:tcW w:w="260" w:type="dxa"/>
                  <w:tcBorders>
                    <w:top w:val="nil"/>
                    <w:left w:val="nil"/>
                    <w:bottom w:val="nil"/>
                    <w:right w:val="nil"/>
                  </w:tcBorders>
                </w:tcPr>
                <w:p w14:paraId="3ABDAF5E"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19FD73B4" w14:textId="77777777" w:rsidR="007850A0" w:rsidRPr="00FD297D" w:rsidRDefault="007850A0" w:rsidP="00E43EDE">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Airport and handling charges</w:t>
                  </w:r>
                </w:p>
              </w:tc>
              <w:tc>
                <w:tcPr>
                  <w:tcW w:w="709" w:type="dxa"/>
                  <w:tcBorders>
                    <w:top w:val="nil"/>
                    <w:bottom w:val="nil"/>
                  </w:tcBorders>
                </w:tcPr>
                <w:p w14:paraId="2B4C8FF7"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vAlign w:val="center"/>
                </w:tcPr>
                <w:p w14:paraId="333BCCD3" w14:textId="77777777" w:rsidR="007850A0" w:rsidRPr="00FD297D" w:rsidRDefault="007850A0" w:rsidP="00E43EDE">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color w:val="000000"/>
                      <w:sz w:val="22"/>
                      <w:szCs w:val="22"/>
                    </w:rPr>
                    <w:t>-</w:t>
                  </w:r>
                  <w:r>
                    <w:rPr>
                      <w:rFonts w:ascii="Calibri" w:hAnsi="Calibri" w:cs="Calibri"/>
                      <w:color w:val="000000"/>
                      <w:sz w:val="22"/>
                      <w:szCs w:val="22"/>
                    </w:rPr>
                    <w:t>14</w:t>
                  </w:r>
                  <w:r w:rsidRPr="00FD297D">
                    <w:rPr>
                      <w:rFonts w:ascii="Calibri" w:hAnsi="Calibri" w:cs="Calibri"/>
                      <w:color w:val="000000"/>
                      <w:sz w:val="22"/>
                      <w:szCs w:val="22"/>
                    </w:rPr>
                    <w:t>%</w:t>
                  </w:r>
                </w:p>
              </w:tc>
              <w:tc>
                <w:tcPr>
                  <w:tcW w:w="1275" w:type="dxa"/>
                  <w:tcBorders>
                    <w:top w:val="nil"/>
                    <w:right w:val="single" w:sz="4" w:space="0" w:color="auto"/>
                  </w:tcBorders>
                  <w:shd w:val="clear" w:color="auto" w:fill="FFFF00"/>
                  <w:vAlign w:val="center"/>
                </w:tcPr>
                <w:p w14:paraId="182D892E"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326.4</w:t>
                  </w:r>
                </w:p>
              </w:tc>
              <w:tc>
                <w:tcPr>
                  <w:tcW w:w="1276" w:type="dxa"/>
                  <w:tcBorders>
                    <w:top w:val="nil"/>
                    <w:right w:val="single" w:sz="4" w:space="0" w:color="auto"/>
                  </w:tcBorders>
                  <w:shd w:val="clear" w:color="auto" w:fill="auto"/>
                  <w:vAlign w:val="center"/>
                </w:tcPr>
                <w:p w14:paraId="25F46AFA"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286.5 </w:t>
                  </w:r>
                </w:p>
              </w:tc>
              <w:tc>
                <w:tcPr>
                  <w:tcW w:w="1134" w:type="dxa"/>
                  <w:tcBorders>
                    <w:top w:val="nil"/>
                    <w:left w:val="single" w:sz="4" w:space="0" w:color="auto"/>
                    <w:right w:val="single" w:sz="4" w:space="0" w:color="auto"/>
                  </w:tcBorders>
                  <w:shd w:val="clear" w:color="auto" w:fill="auto"/>
                </w:tcPr>
                <w:p w14:paraId="2CB8B451"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w:t>
                  </w:r>
                </w:p>
              </w:tc>
              <w:tc>
                <w:tcPr>
                  <w:tcW w:w="1159" w:type="dxa"/>
                  <w:tcBorders>
                    <w:top w:val="nil"/>
                    <w:left w:val="single" w:sz="4" w:space="0" w:color="auto"/>
                    <w:right w:val="single" w:sz="4" w:space="0" w:color="auto"/>
                  </w:tcBorders>
                  <w:shd w:val="clear" w:color="auto" w:fill="auto"/>
                  <w:vAlign w:val="center"/>
                </w:tcPr>
                <w:p w14:paraId="44EA4372"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286.5 </w:t>
                  </w:r>
                </w:p>
              </w:tc>
            </w:tr>
            <w:tr w:rsidR="007850A0" w:rsidRPr="00F72676" w14:paraId="7BCDDB97" w14:textId="77777777" w:rsidTr="00E43EDE">
              <w:trPr>
                <w:trHeight w:val="229"/>
              </w:trPr>
              <w:tc>
                <w:tcPr>
                  <w:tcW w:w="260" w:type="dxa"/>
                  <w:tcBorders>
                    <w:top w:val="nil"/>
                    <w:left w:val="nil"/>
                    <w:bottom w:val="nil"/>
                    <w:right w:val="nil"/>
                  </w:tcBorders>
                </w:tcPr>
                <w:p w14:paraId="6FED7EC7"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0525913B" w14:textId="77777777" w:rsidR="007850A0" w:rsidRPr="00FD297D" w:rsidRDefault="007850A0" w:rsidP="00E43EDE">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 xml:space="preserve">Depreciation </w:t>
                  </w:r>
                </w:p>
              </w:tc>
              <w:tc>
                <w:tcPr>
                  <w:tcW w:w="709" w:type="dxa"/>
                  <w:tcBorders>
                    <w:top w:val="nil"/>
                    <w:bottom w:val="nil"/>
                  </w:tcBorders>
                </w:tcPr>
                <w:p w14:paraId="0D413E82"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nil"/>
                    <w:bottom w:val="nil"/>
                    <w:right w:val="single" w:sz="4" w:space="0" w:color="auto"/>
                  </w:tcBorders>
                  <w:vAlign w:val="center"/>
                </w:tcPr>
                <w:p w14:paraId="1B07ABF0" w14:textId="77777777" w:rsidR="007850A0" w:rsidRPr="00FD297D" w:rsidRDefault="007850A0" w:rsidP="00E43EDE">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color w:val="000000"/>
                      <w:sz w:val="22"/>
                      <w:szCs w:val="22"/>
                    </w:rPr>
                    <w:t>-</w:t>
                  </w:r>
                  <w:r>
                    <w:rPr>
                      <w:rFonts w:ascii="Calibri" w:hAnsi="Calibri" w:cs="Calibri"/>
                      <w:color w:val="000000"/>
                      <w:sz w:val="22"/>
                      <w:szCs w:val="22"/>
                    </w:rPr>
                    <w:t>24</w:t>
                  </w:r>
                  <w:r w:rsidRPr="00FD297D">
                    <w:rPr>
                      <w:rFonts w:ascii="Calibri" w:hAnsi="Calibri" w:cs="Calibri"/>
                      <w:color w:val="000000"/>
                      <w:sz w:val="22"/>
                      <w:szCs w:val="22"/>
                    </w:rPr>
                    <w:t>%</w:t>
                  </w:r>
                </w:p>
              </w:tc>
              <w:tc>
                <w:tcPr>
                  <w:tcW w:w="1275" w:type="dxa"/>
                  <w:tcBorders>
                    <w:top w:val="nil"/>
                    <w:bottom w:val="nil"/>
                    <w:right w:val="single" w:sz="4" w:space="0" w:color="auto"/>
                  </w:tcBorders>
                  <w:shd w:val="clear" w:color="auto" w:fill="FFFF00"/>
                  <w:vAlign w:val="center"/>
                </w:tcPr>
                <w:p w14:paraId="105BDE32"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263.4</w:t>
                  </w:r>
                </w:p>
              </w:tc>
              <w:tc>
                <w:tcPr>
                  <w:tcW w:w="1276" w:type="dxa"/>
                  <w:tcBorders>
                    <w:top w:val="nil"/>
                    <w:bottom w:val="nil"/>
                    <w:right w:val="single" w:sz="4" w:space="0" w:color="auto"/>
                  </w:tcBorders>
                  <w:shd w:val="clear" w:color="auto" w:fill="auto"/>
                  <w:vAlign w:val="center"/>
                </w:tcPr>
                <w:p w14:paraId="2F67ECFF"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212.7 </w:t>
                  </w:r>
                </w:p>
              </w:tc>
              <w:tc>
                <w:tcPr>
                  <w:tcW w:w="1134" w:type="dxa"/>
                  <w:tcBorders>
                    <w:top w:val="nil"/>
                    <w:left w:val="single" w:sz="4" w:space="0" w:color="auto"/>
                    <w:bottom w:val="nil"/>
                    <w:right w:val="single" w:sz="4" w:space="0" w:color="auto"/>
                  </w:tcBorders>
                  <w:shd w:val="clear" w:color="auto" w:fill="auto"/>
                </w:tcPr>
                <w:p w14:paraId="40FBBB64"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w:t>
                  </w:r>
                </w:p>
              </w:tc>
              <w:tc>
                <w:tcPr>
                  <w:tcW w:w="1159" w:type="dxa"/>
                  <w:tcBorders>
                    <w:top w:val="nil"/>
                    <w:left w:val="single" w:sz="4" w:space="0" w:color="auto"/>
                    <w:bottom w:val="nil"/>
                    <w:right w:val="single" w:sz="4" w:space="0" w:color="auto"/>
                  </w:tcBorders>
                  <w:shd w:val="clear" w:color="auto" w:fill="auto"/>
                  <w:vAlign w:val="center"/>
                </w:tcPr>
                <w:p w14:paraId="1450D37B"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212.7 </w:t>
                  </w:r>
                </w:p>
              </w:tc>
            </w:tr>
            <w:tr w:rsidR="007850A0" w:rsidRPr="00F72676" w14:paraId="6AC362A5" w14:textId="77777777" w:rsidTr="00E43EDE">
              <w:trPr>
                <w:trHeight w:val="229"/>
              </w:trPr>
              <w:tc>
                <w:tcPr>
                  <w:tcW w:w="260" w:type="dxa"/>
                  <w:tcBorders>
                    <w:top w:val="nil"/>
                    <w:left w:val="nil"/>
                    <w:bottom w:val="nil"/>
                    <w:right w:val="nil"/>
                  </w:tcBorders>
                </w:tcPr>
                <w:p w14:paraId="236E1BC1"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522B842B" w14:textId="77777777" w:rsidR="007850A0" w:rsidRPr="00FD297D" w:rsidRDefault="007850A0" w:rsidP="00E43EDE">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Route charges</w:t>
                  </w:r>
                </w:p>
              </w:tc>
              <w:tc>
                <w:tcPr>
                  <w:tcW w:w="709" w:type="dxa"/>
                  <w:tcBorders>
                    <w:top w:val="nil"/>
                    <w:bottom w:val="nil"/>
                  </w:tcBorders>
                </w:tcPr>
                <w:p w14:paraId="6A7A4347"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nil"/>
                    <w:bottom w:val="nil"/>
                    <w:right w:val="single" w:sz="4" w:space="0" w:color="auto"/>
                  </w:tcBorders>
                  <w:vAlign w:val="center"/>
                </w:tcPr>
                <w:p w14:paraId="6F73FCF1" w14:textId="77777777" w:rsidR="007850A0" w:rsidRPr="00FD297D" w:rsidRDefault="007850A0" w:rsidP="00E43EDE">
                  <w:pPr>
                    <w:widowControl w:val="0"/>
                    <w:autoSpaceDE w:val="0"/>
                    <w:autoSpaceDN w:val="0"/>
                    <w:adjustRightInd w:val="0"/>
                    <w:jc w:val="right"/>
                    <w:rPr>
                      <w:rFonts w:ascii="Calibri" w:hAnsi="Calibri" w:cs="Calibri"/>
                      <w:bCs/>
                      <w:color w:val="000000"/>
                      <w:sz w:val="22"/>
                      <w:szCs w:val="22"/>
                    </w:rPr>
                  </w:pPr>
                  <w:r w:rsidRPr="00FD297D">
                    <w:rPr>
                      <w:rFonts w:ascii="Calibri" w:hAnsi="Calibri" w:cs="Calibri"/>
                      <w:color w:val="000000"/>
                      <w:sz w:val="22"/>
                      <w:szCs w:val="22"/>
                    </w:rPr>
                    <w:t>-</w:t>
                  </w:r>
                  <w:r>
                    <w:rPr>
                      <w:rFonts w:ascii="Calibri" w:hAnsi="Calibri" w:cs="Calibri"/>
                      <w:color w:val="000000"/>
                      <w:sz w:val="22"/>
                      <w:szCs w:val="22"/>
                    </w:rPr>
                    <w:t>18</w:t>
                  </w:r>
                  <w:r w:rsidRPr="00FD297D">
                    <w:rPr>
                      <w:rFonts w:ascii="Calibri" w:hAnsi="Calibri" w:cs="Calibri"/>
                      <w:color w:val="000000"/>
                      <w:sz w:val="22"/>
                      <w:szCs w:val="22"/>
                    </w:rPr>
                    <w:t>%</w:t>
                  </w:r>
                </w:p>
              </w:tc>
              <w:tc>
                <w:tcPr>
                  <w:tcW w:w="1275" w:type="dxa"/>
                  <w:tcBorders>
                    <w:top w:val="nil"/>
                    <w:bottom w:val="nil"/>
                    <w:right w:val="single" w:sz="4" w:space="0" w:color="auto"/>
                  </w:tcBorders>
                  <w:shd w:val="clear" w:color="auto" w:fill="FFFF00"/>
                  <w:vAlign w:val="center"/>
                </w:tcPr>
                <w:p w14:paraId="4FBB96F2"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236.9</w:t>
                  </w:r>
                </w:p>
              </w:tc>
              <w:tc>
                <w:tcPr>
                  <w:tcW w:w="1276" w:type="dxa"/>
                  <w:tcBorders>
                    <w:top w:val="nil"/>
                    <w:bottom w:val="nil"/>
                    <w:right w:val="single" w:sz="4" w:space="0" w:color="auto"/>
                  </w:tcBorders>
                  <w:shd w:val="clear" w:color="auto" w:fill="auto"/>
                  <w:vAlign w:val="center"/>
                </w:tcPr>
                <w:p w14:paraId="6A9AA33E"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200.5 </w:t>
                  </w:r>
                </w:p>
              </w:tc>
              <w:tc>
                <w:tcPr>
                  <w:tcW w:w="1134" w:type="dxa"/>
                  <w:tcBorders>
                    <w:top w:val="nil"/>
                    <w:left w:val="single" w:sz="4" w:space="0" w:color="auto"/>
                    <w:bottom w:val="nil"/>
                    <w:right w:val="single" w:sz="4" w:space="0" w:color="auto"/>
                  </w:tcBorders>
                  <w:shd w:val="clear" w:color="auto" w:fill="auto"/>
                </w:tcPr>
                <w:p w14:paraId="49757FDA"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w:t>
                  </w:r>
                </w:p>
              </w:tc>
              <w:tc>
                <w:tcPr>
                  <w:tcW w:w="1159" w:type="dxa"/>
                  <w:tcBorders>
                    <w:top w:val="nil"/>
                    <w:left w:val="single" w:sz="4" w:space="0" w:color="auto"/>
                    <w:bottom w:val="nil"/>
                    <w:right w:val="single" w:sz="4" w:space="0" w:color="auto"/>
                  </w:tcBorders>
                  <w:shd w:val="clear" w:color="auto" w:fill="auto"/>
                  <w:vAlign w:val="center"/>
                </w:tcPr>
                <w:p w14:paraId="3BB6B17A"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200.5 </w:t>
                  </w:r>
                </w:p>
              </w:tc>
            </w:tr>
            <w:tr w:rsidR="007850A0" w:rsidRPr="00F72676" w14:paraId="18396416" w14:textId="77777777" w:rsidTr="00E43EDE">
              <w:trPr>
                <w:trHeight w:val="229"/>
              </w:trPr>
              <w:tc>
                <w:tcPr>
                  <w:tcW w:w="260" w:type="dxa"/>
                  <w:tcBorders>
                    <w:top w:val="nil"/>
                    <w:left w:val="nil"/>
                    <w:bottom w:val="nil"/>
                    <w:right w:val="nil"/>
                  </w:tcBorders>
                </w:tcPr>
                <w:p w14:paraId="64AC3F29"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3F000553" w14:textId="77777777" w:rsidR="007850A0" w:rsidRPr="00FD297D" w:rsidRDefault="007850A0" w:rsidP="00E43EDE">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Marketing, distribution and other</w:t>
                  </w:r>
                </w:p>
              </w:tc>
              <w:tc>
                <w:tcPr>
                  <w:tcW w:w="709" w:type="dxa"/>
                  <w:tcBorders>
                    <w:top w:val="nil"/>
                  </w:tcBorders>
                </w:tcPr>
                <w:p w14:paraId="7ED91D89"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vAlign w:val="center"/>
                </w:tcPr>
                <w:p w14:paraId="6A4F0F8C" w14:textId="77777777" w:rsidR="007850A0" w:rsidRPr="00FD297D" w:rsidRDefault="007850A0" w:rsidP="00E43EDE">
                  <w:pPr>
                    <w:widowControl w:val="0"/>
                    <w:autoSpaceDE w:val="0"/>
                    <w:autoSpaceDN w:val="0"/>
                    <w:adjustRightInd w:val="0"/>
                    <w:jc w:val="right"/>
                    <w:rPr>
                      <w:rFonts w:ascii="Calibri" w:hAnsi="Calibri" w:cs="Calibri"/>
                      <w:bCs/>
                      <w:color w:val="000000"/>
                      <w:sz w:val="22"/>
                      <w:szCs w:val="22"/>
                    </w:rPr>
                  </w:pPr>
                  <w:r>
                    <w:rPr>
                      <w:rFonts w:ascii="Calibri" w:hAnsi="Calibri" w:cs="Calibri"/>
                      <w:color w:val="000000"/>
                      <w:sz w:val="22"/>
                      <w:szCs w:val="22"/>
                    </w:rPr>
                    <w:t>+3</w:t>
                  </w:r>
                  <w:r w:rsidRPr="00FD297D">
                    <w:rPr>
                      <w:rFonts w:ascii="Calibri" w:hAnsi="Calibri" w:cs="Calibri"/>
                      <w:color w:val="000000"/>
                      <w:sz w:val="22"/>
                      <w:szCs w:val="22"/>
                    </w:rPr>
                    <w:t>%</w:t>
                  </w:r>
                </w:p>
              </w:tc>
              <w:tc>
                <w:tcPr>
                  <w:tcW w:w="1275" w:type="dxa"/>
                  <w:tcBorders>
                    <w:top w:val="nil"/>
                    <w:right w:val="single" w:sz="4" w:space="0" w:color="auto"/>
                  </w:tcBorders>
                  <w:shd w:val="clear" w:color="auto" w:fill="FFFF00"/>
                  <w:vAlign w:val="center"/>
                </w:tcPr>
                <w:p w14:paraId="76145495"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154.6</w:t>
                  </w:r>
                </w:p>
              </w:tc>
              <w:tc>
                <w:tcPr>
                  <w:tcW w:w="1276" w:type="dxa"/>
                  <w:tcBorders>
                    <w:top w:val="nil"/>
                    <w:right w:val="single" w:sz="4" w:space="0" w:color="auto"/>
                  </w:tcBorders>
                  <w:shd w:val="clear" w:color="auto" w:fill="auto"/>
                  <w:vAlign w:val="center"/>
                </w:tcPr>
                <w:p w14:paraId="04FDD976"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160.1 </w:t>
                  </w:r>
                </w:p>
              </w:tc>
              <w:tc>
                <w:tcPr>
                  <w:tcW w:w="1134" w:type="dxa"/>
                  <w:tcBorders>
                    <w:top w:val="nil"/>
                    <w:left w:val="single" w:sz="4" w:space="0" w:color="auto"/>
                    <w:right w:val="single" w:sz="4" w:space="0" w:color="auto"/>
                  </w:tcBorders>
                  <w:shd w:val="clear" w:color="auto" w:fill="auto"/>
                </w:tcPr>
                <w:p w14:paraId="198C24C3"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w:t>
                  </w:r>
                </w:p>
              </w:tc>
              <w:tc>
                <w:tcPr>
                  <w:tcW w:w="1159" w:type="dxa"/>
                  <w:tcBorders>
                    <w:top w:val="nil"/>
                    <w:left w:val="single" w:sz="4" w:space="0" w:color="auto"/>
                    <w:right w:val="single" w:sz="4" w:space="0" w:color="auto"/>
                  </w:tcBorders>
                  <w:shd w:val="clear" w:color="auto" w:fill="auto"/>
                  <w:vAlign w:val="center"/>
                </w:tcPr>
                <w:p w14:paraId="306B1CB7"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160.1 </w:t>
                  </w:r>
                </w:p>
              </w:tc>
            </w:tr>
            <w:tr w:rsidR="007850A0" w:rsidRPr="00F72676" w14:paraId="6504D48A" w14:textId="77777777" w:rsidTr="00E43EDE">
              <w:trPr>
                <w:trHeight w:val="229"/>
              </w:trPr>
              <w:tc>
                <w:tcPr>
                  <w:tcW w:w="260" w:type="dxa"/>
                  <w:tcBorders>
                    <w:top w:val="nil"/>
                    <w:left w:val="nil"/>
                    <w:bottom w:val="nil"/>
                    <w:right w:val="nil"/>
                  </w:tcBorders>
                </w:tcPr>
                <w:p w14:paraId="6CC15E08"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51414208" w14:textId="77777777" w:rsidR="007850A0" w:rsidRPr="00FD297D" w:rsidRDefault="007850A0" w:rsidP="00E43EDE">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Maintenance, materials and repairs</w:t>
                  </w:r>
                </w:p>
              </w:tc>
              <w:tc>
                <w:tcPr>
                  <w:tcW w:w="709" w:type="dxa"/>
                  <w:tcBorders>
                    <w:top w:val="nil"/>
                    <w:bottom w:val="nil"/>
                  </w:tcBorders>
                </w:tcPr>
                <w:p w14:paraId="4F8F00C0"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bottom w:val="nil"/>
                    <w:right w:val="single" w:sz="4" w:space="0" w:color="auto"/>
                  </w:tcBorders>
                  <w:vAlign w:val="center"/>
                </w:tcPr>
                <w:p w14:paraId="3C1CA968" w14:textId="77777777" w:rsidR="007850A0" w:rsidRPr="00FD297D" w:rsidRDefault="007850A0" w:rsidP="00E43EDE">
                  <w:pPr>
                    <w:widowControl w:val="0"/>
                    <w:autoSpaceDE w:val="0"/>
                    <w:autoSpaceDN w:val="0"/>
                    <w:adjustRightInd w:val="0"/>
                    <w:jc w:val="right"/>
                    <w:rPr>
                      <w:rFonts w:ascii="Calibri" w:hAnsi="Calibri" w:cs="Calibri"/>
                      <w:bCs/>
                      <w:color w:val="000000"/>
                      <w:sz w:val="22"/>
                      <w:szCs w:val="22"/>
                    </w:rPr>
                  </w:pPr>
                  <w:r>
                    <w:rPr>
                      <w:rFonts w:ascii="Calibri" w:hAnsi="Calibri" w:cs="Calibri"/>
                      <w:color w:val="000000"/>
                      <w:sz w:val="22"/>
                      <w:szCs w:val="22"/>
                    </w:rPr>
                    <w:t>-40</w:t>
                  </w:r>
                  <w:r w:rsidRPr="00FD297D">
                    <w:rPr>
                      <w:rFonts w:ascii="Calibri" w:hAnsi="Calibri" w:cs="Calibri"/>
                      <w:color w:val="000000"/>
                      <w:sz w:val="22"/>
                      <w:szCs w:val="22"/>
                    </w:rPr>
                    <w:t xml:space="preserve">% </w:t>
                  </w:r>
                </w:p>
              </w:tc>
              <w:tc>
                <w:tcPr>
                  <w:tcW w:w="1275" w:type="dxa"/>
                  <w:tcBorders>
                    <w:bottom w:val="nil"/>
                    <w:right w:val="single" w:sz="4" w:space="0" w:color="auto"/>
                  </w:tcBorders>
                  <w:shd w:val="clear" w:color="auto" w:fill="FFFF00"/>
                  <w:vAlign w:val="center"/>
                </w:tcPr>
                <w:p w14:paraId="329BC496"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130.0</w:t>
                  </w:r>
                </w:p>
              </w:tc>
              <w:tc>
                <w:tcPr>
                  <w:tcW w:w="1276" w:type="dxa"/>
                  <w:tcBorders>
                    <w:bottom w:val="nil"/>
                    <w:right w:val="single" w:sz="4" w:space="0" w:color="auto"/>
                  </w:tcBorders>
                  <w:shd w:val="clear" w:color="auto" w:fill="auto"/>
                  <w:vAlign w:val="center"/>
                </w:tcPr>
                <w:p w14:paraId="1CD1851D"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92.8 </w:t>
                  </w:r>
                </w:p>
              </w:tc>
              <w:tc>
                <w:tcPr>
                  <w:tcW w:w="1134" w:type="dxa"/>
                  <w:tcBorders>
                    <w:left w:val="single" w:sz="4" w:space="0" w:color="auto"/>
                    <w:bottom w:val="nil"/>
                    <w:right w:val="single" w:sz="4" w:space="0" w:color="auto"/>
                  </w:tcBorders>
                  <w:shd w:val="clear" w:color="auto" w:fill="auto"/>
                </w:tcPr>
                <w:p w14:paraId="2CEC5C1D"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w:t>
                  </w:r>
                </w:p>
              </w:tc>
              <w:tc>
                <w:tcPr>
                  <w:tcW w:w="1159" w:type="dxa"/>
                  <w:tcBorders>
                    <w:left w:val="single" w:sz="4" w:space="0" w:color="auto"/>
                    <w:bottom w:val="nil"/>
                    <w:right w:val="single" w:sz="4" w:space="0" w:color="auto"/>
                  </w:tcBorders>
                  <w:shd w:val="clear" w:color="auto" w:fill="auto"/>
                  <w:vAlign w:val="center"/>
                </w:tcPr>
                <w:p w14:paraId="02968F51"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sz w:val="22"/>
                      <w:szCs w:val="22"/>
                    </w:rPr>
                    <w:t xml:space="preserve">92.8 </w:t>
                  </w:r>
                </w:p>
              </w:tc>
            </w:tr>
            <w:tr w:rsidR="007850A0" w:rsidRPr="00F72676" w14:paraId="3986D97B" w14:textId="77777777" w:rsidTr="00E43EDE">
              <w:trPr>
                <w:trHeight w:val="215"/>
              </w:trPr>
              <w:tc>
                <w:tcPr>
                  <w:tcW w:w="4253" w:type="dxa"/>
                  <w:gridSpan w:val="2"/>
                  <w:tcBorders>
                    <w:top w:val="nil"/>
                    <w:left w:val="nil"/>
                    <w:bottom w:val="nil"/>
                  </w:tcBorders>
                </w:tcPr>
                <w:p w14:paraId="055AA23B" w14:textId="77777777" w:rsidR="007850A0" w:rsidRPr="00FD297D" w:rsidRDefault="007850A0" w:rsidP="00E43EDE">
                  <w:pPr>
                    <w:autoSpaceDE w:val="0"/>
                    <w:autoSpaceDN w:val="0"/>
                    <w:adjustRightInd w:val="0"/>
                    <w:rPr>
                      <w:rFonts w:ascii="Calibri" w:hAnsi="Calibri" w:cs="Calibri"/>
                      <w:b/>
                      <w:color w:val="000000"/>
                      <w:sz w:val="22"/>
                      <w:szCs w:val="22"/>
                    </w:rPr>
                  </w:pPr>
                  <w:r w:rsidRPr="00FD297D">
                    <w:rPr>
                      <w:rFonts w:ascii="Calibri" w:hAnsi="Calibri" w:cs="Calibri"/>
                      <w:b/>
                      <w:bCs/>
                      <w:color w:val="000000"/>
                      <w:sz w:val="22"/>
                      <w:szCs w:val="22"/>
                    </w:rPr>
                    <w:t>Total operating expenses</w:t>
                  </w:r>
                </w:p>
              </w:tc>
              <w:tc>
                <w:tcPr>
                  <w:tcW w:w="709" w:type="dxa"/>
                  <w:tcBorders>
                    <w:top w:val="nil"/>
                  </w:tcBorders>
                </w:tcPr>
                <w:p w14:paraId="010E71BA"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single" w:sz="4" w:space="0" w:color="auto"/>
                    <w:right w:val="single" w:sz="4" w:space="0" w:color="auto"/>
                  </w:tcBorders>
                </w:tcPr>
                <w:p w14:paraId="222D9A34" w14:textId="77777777" w:rsidR="007850A0" w:rsidRPr="00FD297D" w:rsidRDefault="007850A0" w:rsidP="00E43EDE">
                  <w:pPr>
                    <w:autoSpaceDE w:val="0"/>
                    <w:autoSpaceDN w:val="0"/>
                    <w:adjustRightInd w:val="0"/>
                    <w:jc w:val="right"/>
                    <w:rPr>
                      <w:rFonts w:ascii="Calibri" w:hAnsi="Calibri" w:cs="Calibri"/>
                      <w:bCs/>
                      <w:color w:val="000000"/>
                      <w:sz w:val="22"/>
                      <w:szCs w:val="22"/>
                    </w:rPr>
                  </w:pPr>
                  <w:r w:rsidRPr="00FD297D">
                    <w:rPr>
                      <w:rFonts w:ascii="Calibri" w:hAnsi="Calibri" w:cs="Calibri"/>
                      <w:bCs/>
                      <w:color w:val="000000"/>
                      <w:sz w:val="22"/>
                      <w:szCs w:val="22"/>
                    </w:rPr>
                    <w:t>-</w:t>
                  </w:r>
                  <w:r>
                    <w:rPr>
                      <w:rFonts w:ascii="Calibri" w:hAnsi="Calibri" w:cs="Calibri"/>
                      <w:bCs/>
                      <w:color w:val="000000"/>
                      <w:sz w:val="22"/>
                      <w:szCs w:val="22"/>
                    </w:rPr>
                    <w:t>26</w:t>
                  </w:r>
                  <w:r w:rsidRPr="00FD297D">
                    <w:rPr>
                      <w:rFonts w:ascii="Calibri" w:hAnsi="Calibri" w:cs="Calibri"/>
                      <w:bCs/>
                      <w:color w:val="000000"/>
                      <w:sz w:val="22"/>
                      <w:szCs w:val="22"/>
                    </w:rPr>
                    <w:t>%</w:t>
                  </w:r>
                </w:p>
              </w:tc>
              <w:tc>
                <w:tcPr>
                  <w:tcW w:w="1275" w:type="dxa"/>
                  <w:tcBorders>
                    <w:top w:val="single" w:sz="4" w:space="0" w:color="auto"/>
                    <w:right w:val="single" w:sz="4" w:space="0" w:color="auto"/>
                  </w:tcBorders>
                  <w:shd w:val="clear" w:color="auto" w:fill="FFFF00"/>
                </w:tcPr>
                <w:p w14:paraId="4A81881F"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2,717.6</w:t>
                  </w:r>
                </w:p>
              </w:tc>
              <w:tc>
                <w:tcPr>
                  <w:tcW w:w="1276" w:type="dxa"/>
                  <w:tcBorders>
                    <w:top w:val="single" w:sz="4" w:space="0" w:color="auto"/>
                    <w:right w:val="single" w:sz="4" w:space="0" w:color="auto"/>
                  </w:tcBorders>
                  <w:shd w:val="clear" w:color="auto" w:fill="auto"/>
                </w:tcPr>
                <w:p w14:paraId="664FDA53"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2,150.4</w:t>
                  </w:r>
                </w:p>
              </w:tc>
              <w:tc>
                <w:tcPr>
                  <w:tcW w:w="1134" w:type="dxa"/>
                  <w:tcBorders>
                    <w:top w:val="single" w:sz="4" w:space="0" w:color="auto"/>
                    <w:left w:val="single" w:sz="4" w:space="0" w:color="auto"/>
                    <w:right w:val="single" w:sz="4" w:space="0" w:color="auto"/>
                  </w:tcBorders>
                  <w:shd w:val="clear" w:color="auto" w:fill="auto"/>
                </w:tcPr>
                <w:p w14:paraId="20778835"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10.3</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24B11BDE"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2,160.7</w:t>
                  </w:r>
                </w:p>
              </w:tc>
            </w:tr>
            <w:tr w:rsidR="007850A0" w:rsidRPr="00F72676" w14:paraId="22E33FC7" w14:textId="77777777" w:rsidTr="00E43EDE">
              <w:trPr>
                <w:trHeight w:val="215"/>
              </w:trPr>
              <w:tc>
                <w:tcPr>
                  <w:tcW w:w="260" w:type="dxa"/>
                  <w:tcBorders>
                    <w:top w:val="nil"/>
                    <w:left w:val="nil"/>
                    <w:bottom w:val="nil"/>
                    <w:right w:val="nil"/>
                  </w:tcBorders>
                </w:tcPr>
                <w:p w14:paraId="0552289E"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3BECDC36" w14:textId="77777777" w:rsidR="007850A0" w:rsidRPr="00FD297D" w:rsidRDefault="007850A0" w:rsidP="00E43EDE">
                  <w:pPr>
                    <w:autoSpaceDE w:val="0"/>
                    <w:autoSpaceDN w:val="0"/>
                    <w:adjustRightInd w:val="0"/>
                    <w:rPr>
                      <w:rFonts w:ascii="Calibri" w:hAnsi="Calibri" w:cs="Calibri"/>
                      <w:color w:val="000000"/>
                      <w:sz w:val="22"/>
                      <w:szCs w:val="22"/>
                    </w:rPr>
                  </w:pPr>
                </w:p>
              </w:tc>
              <w:tc>
                <w:tcPr>
                  <w:tcW w:w="709" w:type="dxa"/>
                  <w:tcBorders>
                    <w:top w:val="nil"/>
                  </w:tcBorders>
                </w:tcPr>
                <w:p w14:paraId="08C8E0E8"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single" w:sz="4" w:space="0" w:color="auto"/>
                    <w:right w:val="single" w:sz="4" w:space="0" w:color="auto"/>
                  </w:tcBorders>
                </w:tcPr>
                <w:p w14:paraId="1D68DD3B" w14:textId="77777777" w:rsidR="007850A0" w:rsidRPr="00FD297D" w:rsidRDefault="007850A0" w:rsidP="00E43EDE">
                  <w:pPr>
                    <w:autoSpaceDE w:val="0"/>
                    <w:autoSpaceDN w:val="0"/>
                    <w:adjustRightInd w:val="0"/>
                    <w:jc w:val="right"/>
                    <w:rPr>
                      <w:rFonts w:ascii="Calibri" w:hAnsi="Calibri" w:cs="Calibri"/>
                      <w:bCs/>
                      <w:color w:val="000000"/>
                      <w:sz w:val="22"/>
                      <w:szCs w:val="22"/>
                    </w:rPr>
                  </w:pPr>
                </w:p>
              </w:tc>
              <w:tc>
                <w:tcPr>
                  <w:tcW w:w="1275" w:type="dxa"/>
                  <w:tcBorders>
                    <w:top w:val="single" w:sz="4" w:space="0" w:color="auto"/>
                    <w:right w:val="single" w:sz="4" w:space="0" w:color="auto"/>
                  </w:tcBorders>
                  <w:shd w:val="clear" w:color="auto" w:fill="FFFF00"/>
                </w:tcPr>
                <w:p w14:paraId="5AFBD5B5" w14:textId="77777777" w:rsidR="007850A0" w:rsidRPr="00FD297D" w:rsidRDefault="007850A0" w:rsidP="00E43EDE">
                  <w:pPr>
                    <w:autoSpaceDE w:val="0"/>
                    <w:autoSpaceDN w:val="0"/>
                    <w:adjustRightInd w:val="0"/>
                    <w:ind w:left="-226"/>
                    <w:jc w:val="right"/>
                    <w:rPr>
                      <w:rFonts w:ascii="Calibri" w:hAnsi="Calibri" w:cs="Calibri"/>
                      <w:b/>
                      <w:bCs/>
                      <w:color w:val="000000"/>
                      <w:sz w:val="22"/>
                      <w:szCs w:val="22"/>
                    </w:rPr>
                  </w:pPr>
                </w:p>
              </w:tc>
              <w:tc>
                <w:tcPr>
                  <w:tcW w:w="1276" w:type="dxa"/>
                  <w:tcBorders>
                    <w:top w:val="single" w:sz="4" w:space="0" w:color="auto"/>
                    <w:right w:val="single" w:sz="4" w:space="0" w:color="auto"/>
                  </w:tcBorders>
                  <w:shd w:val="clear" w:color="auto" w:fill="auto"/>
                </w:tcPr>
                <w:p w14:paraId="0A426037"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34" w:type="dxa"/>
                  <w:tcBorders>
                    <w:top w:val="single" w:sz="4" w:space="0" w:color="auto"/>
                    <w:left w:val="single" w:sz="4" w:space="0" w:color="auto"/>
                    <w:right w:val="single" w:sz="4" w:space="0" w:color="auto"/>
                  </w:tcBorders>
                  <w:shd w:val="clear" w:color="auto" w:fill="auto"/>
                </w:tcPr>
                <w:p w14:paraId="2F71E131"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59" w:type="dxa"/>
                  <w:tcBorders>
                    <w:top w:val="single" w:sz="4" w:space="0" w:color="auto"/>
                    <w:left w:val="single" w:sz="4" w:space="0" w:color="auto"/>
                    <w:right w:val="single" w:sz="4" w:space="0" w:color="auto"/>
                  </w:tcBorders>
                  <w:shd w:val="clear" w:color="auto" w:fill="auto"/>
                </w:tcPr>
                <w:p w14:paraId="3ED8EC05"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r>
            <w:tr w:rsidR="007850A0" w:rsidRPr="00F72676" w14:paraId="7E4143B5" w14:textId="77777777" w:rsidTr="00E43EDE">
              <w:trPr>
                <w:trHeight w:val="215"/>
              </w:trPr>
              <w:tc>
                <w:tcPr>
                  <w:tcW w:w="4253" w:type="dxa"/>
                  <w:gridSpan w:val="2"/>
                  <w:tcBorders>
                    <w:top w:val="nil"/>
                    <w:left w:val="nil"/>
                    <w:bottom w:val="nil"/>
                  </w:tcBorders>
                </w:tcPr>
                <w:p w14:paraId="03128578" w14:textId="77777777" w:rsidR="007850A0" w:rsidRPr="00FD297D" w:rsidRDefault="007850A0" w:rsidP="00E43EDE">
                  <w:pPr>
                    <w:autoSpaceDE w:val="0"/>
                    <w:autoSpaceDN w:val="0"/>
                    <w:adjustRightInd w:val="0"/>
                    <w:rPr>
                      <w:rFonts w:ascii="Calibri" w:hAnsi="Calibri" w:cs="Calibri"/>
                      <w:b/>
                      <w:color w:val="000000"/>
                      <w:sz w:val="22"/>
                      <w:szCs w:val="22"/>
                    </w:rPr>
                  </w:pPr>
                  <w:r w:rsidRPr="00FD297D">
                    <w:rPr>
                      <w:rFonts w:ascii="Calibri" w:hAnsi="Calibri" w:cs="Calibri"/>
                      <w:b/>
                      <w:bCs/>
                      <w:color w:val="000000"/>
                      <w:sz w:val="22"/>
                      <w:szCs w:val="22"/>
                    </w:rPr>
                    <w:t>Operating (loss)</w:t>
                  </w:r>
                  <w:r>
                    <w:rPr>
                      <w:rFonts w:ascii="Calibri" w:hAnsi="Calibri" w:cs="Calibri"/>
                      <w:b/>
                      <w:bCs/>
                      <w:color w:val="000000"/>
                      <w:sz w:val="22"/>
                      <w:szCs w:val="22"/>
                    </w:rPr>
                    <w:t>/profit</w:t>
                  </w:r>
                </w:p>
              </w:tc>
              <w:tc>
                <w:tcPr>
                  <w:tcW w:w="709" w:type="dxa"/>
                  <w:tcBorders>
                    <w:top w:val="nil"/>
                  </w:tcBorders>
                </w:tcPr>
                <w:p w14:paraId="78970DB4"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tcPr>
                <w:p w14:paraId="55F5ACAD" w14:textId="77777777" w:rsidR="007850A0" w:rsidRPr="00FD297D" w:rsidRDefault="007850A0" w:rsidP="00E43EDE">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-112</w:t>
                  </w:r>
                  <w:r w:rsidRPr="00FD297D">
                    <w:rPr>
                      <w:rFonts w:ascii="Calibri" w:hAnsi="Calibri" w:cs="Calibri"/>
                      <w:bCs/>
                      <w:color w:val="000000"/>
                      <w:sz w:val="22"/>
                      <w:szCs w:val="22"/>
                    </w:rPr>
                    <w:t>%</w:t>
                  </w:r>
                </w:p>
              </w:tc>
              <w:tc>
                <w:tcPr>
                  <w:tcW w:w="1275" w:type="dxa"/>
                  <w:tcBorders>
                    <w:top w:val="nil"/>
                    <w:right w:val="single" w:sz="4" w:space="0" w:color="auto"/>
                  </w:tcBorders>
                  <w:shd w:val="clear" w:color="auto" w:fill="FFFF00"/>
                </w:tcPr>
                <w:p w14:paraId="4CEE442F" w14:textId="77777777" w:rsidR="007850A0" w:rsidRPr="00FD297D" w:rsidRDefault="007850A0" w:rsidP="00E43EDE">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(18.9)</w:t>
                  </w:r>
                </w:p>
              </w:tc>
              <w:tc>
                <w:tcPr>
                  <w:tcW w:w="1276" w:type="dxa"/>
                  <w:tcBorders>
                    <w:top w:val="nil"/>
                    <w:right w:val="single" w:sz="4" w:space="0" w:color="auto"/>
                  </w:tcBorders>
                  <w:shd w:val="clear" w:color="auto" w:fill="auto"/>
                </w:tcPr>
                <w:p w14:paraId="6BBAA905" w14:textId="77777777" w:rsidR="007850A0" w:rsidRPr="00FD297D" w:rsidRDefault="007850A0" w:rsidP="00E43EDE">
                  <w:pPr>
                    <w:widowControl w:val="0"/>
                    <w:autoSpaceDE w:val="0"/>
                    <w:autoSpaceDN w:val="0"/>
                    <w:adjustRightInd w:val="0"/>
                    <w:jc w:val="right"/>
                    <w:rPr>
                      <w:rFonts w:ascii="Calibri" w:hAnsi="Calibri" w:cs="Calibri"/>
                      <w:color w:val="000000"/>
                      <w:sz w:val="22"/>
                      <w:szCs w:val="22"/>
                    </w:rPr>
                  </w:pPr>
                  <w:r w:rsidRPr="00FD297D">
                    <w:rPr>
                      <w:rFonts w:ascii="Calibri" w:hAnsi="Calibri" w:cs="Calibri"/>
                      <w:color w:val="000000"/>
                      <w:sz w:val="22"/>
                      <w:szCs w:val="22"/>
                    </w:rPr>
                    <w:t>161.7</w:t>
                  </w:r>
                </w:p>
              </w:tc>
              <w:tc>
                <w:tcPr>
                  <w:tcW w:w="1134" w:type="dxa"/>
                  <w:tcBorders>
                    <w:top w:val="nil"/>
                    <w:left w:val="single" w:sz="4" w:space="0" w:color="auto"/>
                    <w:right w:val="single" w:sz="4" w:space="0" w:color="auto"/>
                  </w:tcBorders>
                  <w:shd w:val="clear" w:color="auto" w:fill="auto"/>
                </w:tcPr>
                <w:p w14:paraId="72F31EDF" w14:textId="77777777" w:rsidR="007850A0" w:rsidRPr="00FD297D" w:rsidRDefault="007850A0" w:rsidP="00E43EDE">
                  <w:pPr>
                    <w:widowControl w:val="0"/>
                    <w:autoSpaceDE w:val="0"/>
                    <w:autoSpaceDN w:val="0"/>
                    <w:adjustRightInd w:val="0"/>
                    <w:jc w:val="right"/>
                    <w:rPr>
                      <w:rFonts w:ascii="Calibri" w:hAnsi="Calibri" w:cs="Calibri"/>
                      <w:color w:val="000000"/>
                      <w:sz w:val="22"/>
                      <w:szCs w:val="22"/>
                    </w:rPr>
                  </w:pPr>
                  <w:r w:rsidRPr="00FD297D">
                    <w:rPr>
                      <w:rFonts w:ascii="Calibri" w:hAnsi="Calibri" w:cs="Calibri"/>
                      <w:color w:val="000000"/>
                      <w:sz w:val="22"/>
                      <w:szCs w:val="22"/>
                    </w:rPr>
                    <w:t>(10.3)</w:t>
                  </w:r>
                </w:p>
              </w:tc>
              <w:tc>
                <w:tcPr>
                  <w:tcW w:w="1159" w:type="dxa"/>
                  <w:tcBorders>
                    <w:top w:val="nil"/>
                    <w:left w:val="single" w:sz="4" w:space="0" w:color="auto"/>
                    <w:right w:val="single" w:sz="4" w:space="0" w:color="auto"/>
                  </w:tcBorders>
                  <w:shd w:val="clear" w:color="auto" w:fill="auto"/>
                </w:tcPr>
                <w:p w14:paraId="73F44D2A"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151.4</w:t>
                  </w:r>
                </w:p>
              </w:tc>
            </w:tr>
            <w:tr w:rsidR="007850A0" w:rsidRPr="00F72676" w14:paraId="2CF0A984" w14:textId="77777777" w:rsidTr="00E43EDE">
              <w:trPr>
                <w:trHeight w:val="215"/>
              </w:trPr>
              <w:tc>
                <w:tcPr>
                  <w:tcW w:w="4253" w:type="dxa"/>
                  <w:gridSpan w:val="2"/>
                  <w:tcBorders>
                    <w:top w:val="nil"/>
                    <w:left w:val="nil"/>
                    <w:bottom w:val="nil"/>
                  </w:tcBorders>
                </w:tcPr>
                <w:p w14:paraId="28CF75E9" w14:textId="77777777" w:rsidR="007850A0" w:rsidRPr="00FD297D" w:rsidRDefault="007850A0" w:rsidP="00E43EDE">
                  <w:pPr>
                    <w:autoSpaceDE w:val="0"/>
                    <w:autoSpaceDN w:val="0"/>
                    <w:adjustRightInd w:val="0"/>
                    <w:rPr>
                      <w:rFonts w:ascii="Calibri" w:hAnsi="Calibri" w:cs="Calibri"/>
                      <w:b/>
                      <w:bCs/>
                      <w:color w:val="000000"/>
                      <w:sz w:val="22"/>
                      <w:szCs w:val="22"/>
                    </w:rPr>
                  </w:pPr>
                </w:p>
              </w:tc>
              <w:tc>
                <w:tcPr>
                  <w:tcW w:w="709" w:type="dxa"/>
                  <w:tcBorders>
                    <w:top w:val="nil"/>
                  </w:tcBorders>
                </w:tcPr>
                <w:p w14:paraId="39EB2890"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tcPr>
                <w:p w14:paraId="0D7FE9A4" w14:textId="77777777" w:rsidR="007850A0" w:rsidRPr="00FD297D" w:rsidRDefault="007850A0" w:rsidP="00E43EDE">
                  <w:pPr>
                    <w:autoSpaceDE w:val="0"/>
                    <w:autoSpaceDN w:val="0"/>
                    <w:adjustRightInd w:val="0"/>
                    <w:jc w:val="right"/>
                    <w:rPr>
                      <w:rFonts w:ascii="Calibri" w:hAnsi="Calibri" w:cs="Calibri"/>
                      <w:bCs/>
                      <w:color w:val="000000"/>
                      <w:sz w:val="22"/>
                      <w:szCs w:val="22"/>
                    </w:rPr>
                  </w:pPr>
                </w:p>
              </w:tc>
              <w:tc>
                <w:tcPr>
                  <w:tcW w:w="1275" w:type="dxa"/>
                  <w:tcBorders>
                    <w:top w:val="nil"/>
                    <w:right w:val="single" w:sz="4" w:space="0" w:color="auto"/>
                  </w:tcBorders>
                  <w:shd w:val="clear" w:color="auto" w:fill="FFFF00"/>
                </w:tcPr>
                <w:p w14:paraId="7F32FD6F" w14:textId="77777777" w:rsidR="007850A0" w:rsidRPr="00FD297D" w:rsidRDefault="007850A0" w:rsidP="00E43EDE">
                  <w:pPr>
                    <w:widowControl w:val="0"/>
                    <w:autoSpaceDE w:val="0"/>
                    <w:autoSpaceDN w:val="0"/>
                    <w:adjustRightInd w:val="0"/>
                    <w:jc w:val="right"/>
                    <w:rPr>
                      <w:rFonts w:ascii="Calibri" w:hAnsi="Calibri" w:cs="Calibri"/>
                      <w:b/>
                      <w:bCs/>
                      <w:color w:val="000000"/>
                      <w:sz w:val="22"/>
                      <w:szCs w:val="22"/>
                    </w:rPr>
                  </w:pPr>
                </w:p>
              </w:tc>
              <w:tc>
                <w:tcPr>
                  <w:tcW w:w="1276" w:type="dxa"/>
                  <w:tcBorders>
                    <w:top w:val="nil"/>
                    <w:right w:val="single" w:sz="4" w:space="0" w:color="auto"/>
                  </w:tcBorders>
                  <w:shd w:val="clear" w:color="auto" w:fill="auto"/>
                </w:tcPr>
                <w:p w14:paraId="623188C1" w14:textId="77777777" w:rsidR="007850A0" w:rsidRPr="00FD297D" w:rsidRDefault="007850A0" w:rsidP="00E43EDE">
                  <w:pPr>
                    <w:widowControl w:val="0"/>
                    <w:autoSpaceDE w:val="0"/>
                    <w:autoSpaceDN w:val="0"/>
                    <w:adjustRightInd w:val="0"/>
                    <w:jc w:val="right"/>
                    <w:rPr>
                      <w:rFonts w:ascii="Calibri" w:hAnsi="Calibri" w:cs="Calibri"/>
                      <w:color w:val="000000"/>
                      <w:sz w:val="22"/>
                      <w:szCs w:val="22"/>
                    </w:rPr>
                  </w:pPr>
                </w:p>
              </w:tc>
              <w:tc>
                <w:tcPr>
                  <w:tcW w:w="1134" w:type="dxa"/>
                  <w:tcBorders>
                    <w:top w:val="nil"/>
                    <w:left w:val="single" w:sz="4" w:space="0" w:color="auto"/>
                    <w:right w:val="single" w:sz="4" w:space="0" w:color="auto"/>
                  </w:tcBorders>
                  <w:shd w:val="clear" w:color="auto" w:fill="auto"/>
                </w:tcPr>
                <w:p w14:paraId="215830A7" w14:textId="77777777" w:rsidR="007850A0" w:rsidRPr="00FD297D" w:rsidRDefault="007850A0" w:rsidP="00E43EDE">
                  <w:pPr>
                    <w:widowControl w:val="0"/>
                    <w:autoSpaceDE w:val="0"/>
                    <w:autoSpaceDN w:val="0"/>
                    <w:adjustRightInd w:val="0"/>
                    <w:jc w:val="right"/>
                    <w:rPr>
                      <w:rFonts w:ascii="Calibri" w:hAnsi="Calibri" w:cs="Calibri"/>
                      <w:color w:val="000000"/>
                      <w:sz w:val="22"/>
                      <w:szCs w:val="22"/>
                    </w:rPr>
                  </w:pPr>
                </w:p>
              </w:tc>
              <w:tc>
                <w:tcPr>
                  <w:tcW w:w="1159" w:type="dxa"/>
                  <w:tcBorders>
                    <w:top w:val="nil"/>
                    <w:left w:val="single" w:sz="4" w:space="0" w:color="auto"/>
                    <w:right w:val="single" w:sz="4" w:space="0" w:color="auto"/>
                  </w:tcBorders>
                  <w:shd w:val="clear" w:color="auto" w:fill="auto"/>
                </w:tcPr>
                <w:p w14:paraId="4F4F36A8"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p>
              </w:tc>
            </w:tr>
            <w:tr w:rsidR="007850A0" w:rsidRPr="00F72676" w14:paraId="75854422" w14:textId="77777777" w:rsidTr="00E43EDE">
              <w:trPr>
                <w:trHeight w:val="229"/>
              </w:trPr>
              <w:tc>
                <w:tcPr>
                  <w:tcW w:w="4253" w:type="dxa"/>
                  <w:gridSpan w:val="2"/>
                  <w:tcBorders>
                    <w:top w:val="nil"/>
                    <w:left w:val="nil"/>
                    <w:bottom w:val="nil"/>
                  </w:tcBorders>
                </w:tcPr>
                <w:p w14:paraId="27A408AB" w14:textId="77777777" w:rsidR="007850A0" w:rsidRPr="00FD297D" w:rsidRDefault="007850A0" w:rsidP="00E43EDE">
                  <w:pPr>
                    <w:autoSpaceDE w:val="0"/>
                    <w:autoSpaceDN w:val="0"/>
                    <w:adjustRightInd w:val="0"/>
                    <w:rPr>
                      <w:rFonts w:ascii="Calibri" w:hAnsi="Calibri" w:cs="Calibri"/>
                      <w:b/>
                      <w:bCs/>
                      <w:color w:val="000000"/>
                      <w:sz w:val="22"/>
                      <w:szCs w:val="22"/>
                    </w:rPr>
                  </w:pPr>
                  <w:r w:rsidRPr="00FD297D">
                    <w:rPr>
                      <w:rFonts w:ascii="Calibri" w:hAnsi="Calibri" w:cs="Calibri"/>
                      <w:b/>
                      <w:bCs/>
                      <w:color w:val="000000"/>
                      <w:sz w:val="22"/>
                      <w:szCs w:val="22"/>
                    </w:rPr>
                    <w:t>Other income/(expenses)</w:t>
                  </w:r>
                </w:p>
              </w:tc>
              <w:tc>
                <w:tcPr>
                  <w:tcW w:w="709" w:type="dxa"/>
                  <w:tcBorders>
                    <w:top w:val="nil"/>
                  </w:tcBorders>
                </w:tcPr>
                <w:p w14:paraId="5AED482F"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tcPr>
                <w:p w14:paraId="5BF71887" w14:textId="77777777" w:rsidR="007850A0" w:rsidRPr="00FD297D" w:rsidRDefault="007850A0" w:rsidP="00E43EDE">
                  <w:pPr>
                    <w:autoSpaceDE w:val="0"/>
                    <w:autoSpaceDN w:val="0"/>
                    <w:adjustRightInd w:val="0"/>
                    <w:jc w:val="right"/>
                    <w:rPr>
                      <w:rFonts w:ascii="Calibri" w:hAnsi="Calibri" w:cs="Calibri"/>
                      <w:bCs/>
                      <w:color w:val="000000"/>
                      <w:sz w:val="22"/>
                      <w:szCs w:val="22"/>
                    </w:rPr>
                  </w:pPr>
                </w:p>
              </w:tc>
              <w:tc>
                <w:tcPr>
                  <w:tcW w:w="1275" w:type="dxa"/>
                  <w:tcBorders>
                    <w:top w:val="nil"/>
                    <w:right w:val="single" w:sz="4" w:space="0" w:color="auto"/>
                  </w:tcBorders>
                  <w:shd w:val="clear" w:color="auto" w:fill="FFFF00"/>
                </w:tcPr>
                <w:p w14:paraId="3174CAA3" w14:textId="77777777" w:rsidR="007850A0" w:rsidRPr="00FD297D" w:rsidRDefault="007850A0" w:rsidP="00E43EDE">
                  <w:pPr>
                    <w:autoSpaceDE w:val="0"/>
                    <w:autoSpaceDN w:val="0"/>
                    <w:adjustRightInd w:val="0"/>
                    <w:ind w:left="-226"/>
                    <w:jc w:val="right"/>
                    <w:rPr>
                      <w:rFonts w:ascii="Calibri" w:hAnsi="Calibri" w:cs="Calibri"/>
                      <w:b/>
                      <w:bCs/>
                      <w:color w:val="000000"/>
                      <w:sz w:val="22"/>
                      <w:szCs w:val="22"/>
                    </w:rPr>
                  </w:pPr>
                </w:p>
              </w:tc>
              <w:tc>
                <w:tcPr>
                  <w:tcW w:w="1276" w:type="dxa"/>
                  <w:tcBorders>
                    <w:top w:val="nil"/>
                    <w:right w:val="single" w:sz="4" w:space="0" w:color="auto"/>
                  </w:tcBorders>
                  <w:shd w:val="clear" w:color="auto" w:fill="auto"/>
                </w:tcPr>
                <w:p w14:paraId="688E8FA7"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34" w:type="dxa"/>
                  <w:tcBorders>
                    <w:top w:val="nil"/>
                    <w:left w:val="single" w:sz="4" w:space="0" w:color="auto"/>
                    <w:right w:val="single" w:sz="4" w:space="0" w:color="auto"/>
                  </w:tcBorders>
                  <w:shd w:val="clear" w:color="auto" w:fill="auto"/>
                </w:tcPr>
                <w:p w14:paraId="4029DB99"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59" w:type="dxa"/>
                  <w:tcBorders>
                    <w:top w:val="nil"/>
                    <w:left w:val="single" w:sz="4" w:space="0" w:color="auto"/>
                    <w:right w:val="single" w:sz="4" w:space="0" w:color="auto"/>
                  </w:tcBorders>
                  <w:shd w:val="clear" w:color="auto" w:fill="auto"/>
                </w:tcPr>
                <w:p w14:paraId="20DA65EF"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r>
            <w:tr w:rsidR="007850A0" w:rsidRPr="00F72676" w14:paraId="4CDE3967" w14:textId="77777777" w:rsidTr="00E43EDE">
              <w:trPr>
                <w:trHeight w:val="229"/>
              </w:trPr>
              <w:tc>
                <w:tcPr>
                  <w:tcW w:w="260" w:type="dxa"/>
                  <w:tcBorders>
                    <w:top w:val="nil"/>
                    <w:left w:val="nil"/>
                    <w:bottom w:val="nil"/>
                    <w:right w:val="nil"/>
                  </w:tcBorders>
                </w:tcPr>
                <w:p w14:paraId="1493C30A"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03AE25B0" w14:textId="77777777" w:rsidR="007850A0" w:rsidRPr="00FD297D" w:rsidRDefault="007850A0" w:rsidP="00E43EDE">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Net finance income/(expense)</w:t>
                  </w:r>
                </w:p>
              </w:tc>
              <w:tc>
                <w:tcPr>
                  <w:tcW w:w="709" w:type="dxa"/>
                  <w:tcBorders>
                    <w:top w:val="nil"/>
                  </w:tcBorders>
                </w:tcPr>
                <w:p w14:paraId="4AE87640" w14:textId="77777777" w:rsidR="007850A0" w:rsidRPr="00FD297D" w:rsidRDefault="007850A0" w:rsidP="00E43EDE">
                  <w:pPr>
                    <w:autoSpaceDE w:val="0"/>
                    <w:autoSpaceDN w:val="0"/>
                    <w:adjustRightInd w:val="0"/>
                    <w:jc w:val="right"/>
                    <w:rPr>
                      <w:rFonts w:ascii="Calibri" w:hAnsi="Calibri" w:cs="Calibri"/>
                      <w:b/>
                      <w:color w:val="000000"/>
                      <w:sz w:val="22"/>
                      <w:szCs w:val="22"/>
                      <w:highlight w:val="green"/>
                    </w:rPr>
                  </w:pPr>
                </w:p>
              </w:tc>
              <w:tc>
                <w:tcPr>
                  <w:tcW w:w="851" w:type="dxa"/>
                  <w:tcBorders>
                    <w:top w:val="nil"/>
                    <w:right w:val="single" w:sz="4" w:space="0" w:color="auto"/>
                  </w:tcBorders>
                </w:tcPr>
                <w:p w14:paraId="530D609F" w14:textId="77777777" w:rsidR="007850A0" w:rsidRPr="00FD297D" w:rsidRDefault="007850A0" w:rsidP="00E43EDE">
                  <w:pPr>
                    <w:widowControl w:val="0"/>
                    <w:autoSpaceDE w:val="0"/>
                    <w:autoSpaceDN w:val="0"/>
                    <w:adjustRightInd w:val="0"/>
                    <w:jc w:val="right"/>
                    <w:rPr>
                      <w:rFonts w:ascii="Calibri" w:hAnsi="Calibri" w:cs="Calibri"/>
                      <w:bCs/>
                      <w:color w:val="000000"/>
                      <w:sz w:val="22"/>
                      <w:szCs w:val="22"/>
                    </w:rPr>
                  </w:pPr>
                </w:p>
              </w:tc>
              <w:tc>
                <w:tcPr>
                  <w:tcW w:w="1275" w:type="dxa"/>
                  <w:tcBorders>
                    <w:top w:val="nil"/>
                    <w:right w:val="single" w:sz="4" w:space="0" w:color="auto"/>
                  </w:tcBorders>
                  <w:shd w:val="clear" w:color="auto" w:fill="FFFF00"/>
                </w:tcPr>
                <w:p w14:paraId="434098C4" w14:textId="77777777" w:rsidR="007850A0" w:rsidRPr="00FD297D" w:rsidRDefault="007850A0" w:rsidP="00E43EDE">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15.8</w:t>
                  </w:r>
                </w:p>
              </w:tc>
              <w:tc>
                <w:tcPr>
                  <w:tcW w:w="1276" w:type="dxa"/>
                  <w:tcBorders>
                    <w:top w:val="nil"/>
                    <w:right w:val="single" w:sz="4" w:space="0" w:color="auto"/>
                  </w:tcBorders>
                  <w:shd w:val="clear" w:color="auto" w:fill="auto"/>
                </w:tcPr>
                <w:p w14:paraId="20316B5A" w14:textId="77777777" w:rsidR="007850A0" w:rsidRPr="00FD297D" w:rsidRDefault="007850A0" w:rsidP="00E43EDE">
                  <w:pPr>
                    <w:widowControl w:val="0"/>
                    <w:autoSpaceDE w:val="0"/>
                    <w:autoSpaceDN w:val="0"/>
                    <w:adjustRightInd w:val="0"/>
                    <w:jc w:val="right"/>
                    <w:rPr>
                      <w:rFonts w:ascii="Calibri" w:hAnsi="Calibri" w:cs="Calibri"/>
                      <w:color w:val="000000"/>
                      <w:sz w:val="22"/>
                      <w:szCs w:val="22"/>
                    </w:rPr>
                  </w:pPr>
                  <w:r w:rsidRPr="00FD297D">
                    <w:rPr>
                      <w:rFonts w:ascii="Calibri" w:hAnsi="Calibri" w:cs="Calibri"/>
                      <w:color w:val="000000"/>
                      <w:sz w:val="22"/>
                      <w:szCs w:val="22"/>
                    </w:rPr>
                    <w:t>(5.9)</w:t>
                  </w:r>
                </w:p>
              </w:tc>
              <w:tc>
                <w:tcPr>
                  <w:tcW w:w="1134" w:type="dxa"/>
                  <w:tcBorders>
                    <w:top w:val="nil"/>
                    <w:left w:val="single" w:sz="4" w:space="0" w:color="auto"/>
                    <w:right w:val="single" w:sz="4" w:space="0" w:color="auto"/>
                  </w:tcBorders>
                  <w:shd w:val="clear" w:color="auto" w:fill="auto"/>
                </w:tcPr>
                <w:p w14:paraId="22F00E80" w14:textId="77777777" w:rsidR="007850A0" w:rsidRPr="00FD297D" w:rsidRDefault="007850A0" w:rsidP="00E43EDE">
                  <w:pPr>
                    <w:widowControl w:val="0"/>
                    <w:autoSpaceDE w:val="0"/>
                    <w:autoSpaceDN w:val="0"/>
                    <w:adjustRightInd w:val="0"/>
                    <w:jc w:val="right"/>
                    <w:rPr>
                      <w:rFonts w:ascii="Calibri" w:hAnsi="Calibri" w:cs="Calibri"/>
                      <w:color w:val="000000"/>
                      <w:sz w:val="22"/>
                      <w:szCs w:val="22"/>
                    </w:rPr>
                  </w:pPr>
                  <w:r w:rsidRPr="00FD297D">
                    <w:rPr>
                      <w:rFonts w:ascii="Calibri" w:hAnsi="Calibri" w:cs="Calibri"/>
                      <w:color w:val="000000"/>
                      <w:sz w:val="22"/>
                      <w:szCs w:val="22"/>
                    </w:rPr>
                    <w:t>-</w:t>
                  </w:r>
                </w:p>
              </w:tc>
              <w:tc>
                <w:tcPr>
                  <w:tcW w:w="1159" w:type="dxa"/>
                  <w:tcBorders>
                    <w:top w:val="nil"/>
                    <w:left w:val="single" w:sz="4" w:space="0" w:color="auto"/>
                    <w:right w:val="single" w:sz="4" w:space="0" w:color="auto"/>
                  </w:tcBorders>
                  <w:shd w:val="clear" w:color="auto" w:fill="auto"/>
                </w:tcPr>
                <w:p w14:paraId="6E68FDD1" w14:textId="77777777" w:rsidR="007850A0" w:rsidRPr="00FD297D" w:rsidRDefault="007850A0" w:rsidP="00E43EDE">
                  <w:pPr>
                    <w:widowControl w:val="0"/>
                    <w:autoSpaceDE w:val="0"/>
                    <w:autoSpaceDN w:val="0"/>
                    <w:adjustRightInd w:val="0"/>
                    <w:jc w:val="right"/>
                    <w:rPr>
                      <w:rFonts w:ascii="Calibri" w:hAnsi="Calibri" w:cs="Calibri"/>
                      <w:color w:val="000000"/>
                      <w:sz w:val="22"/>
                      <w:szCs w:val="22"/>
                    </w:rPr>
                  </w:pPr>
                  <w:r w:rsidRPr="00FD297D">
                    <w:rPr>
                      <w:rFonts w:ascii="Calibri" w:hAnsi="Calibri" w:cs="Calibri"/>
                      <w:color w:val="000000"/>
                      <w:sz w:val="22"/>
                      <w:szCs w:val="22"/>
                    </w:rPr>
                    <w:t>(5.9)</w:t>
                  </w:r>
                </w:p>
              </w:tc>
            </w:tr>
            <w:tr w:rsidR="007850A0" w:rsidRPr="00F72676" w14:paraId="2D286CDB" w14:textId="77777777" w:rsidTr="00E43EDE">
              <w:trPr>
                <w:trHeight w:val="229"/>
              </w:trPr>
              <w:tc>
                <w:tcPr>
                  <w:tcW w:w="260" w:type="dxa"/>
                  <w:tcBorders>
                    <w:top w:val="nil"/>
                    <w:left w:val="nil"/>
                    <w:bottom w:val="nil"/>
                    <w:right w:val="nil"/>
                  </w:tcBorders>
                </w:tcPr>
                <w:p w14:paraId="044D15A3"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1C43D34D" w14:textId="77777777" w:rsidR="007850A0" w:rsidRPr="00FD297D" w:rsidRDefault="007850A0" w:rsidP="00E43EDE">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Foreign exchange</w:t>
                  </w:r>
                </w:p>
              </w:tc>
              <w:tc>
                <w:tcPr>
                  <w:tcW w:w="709" w:type="dxa"/>
                  <w:tcBorders>
                    <w:top w:val="nil"/>
                  </w:tcBorders>
                </w:tcPr>
                <w:p w14:paraId="710DF694"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nil"/>
                    <w:right w:val="single" w:sz="4" w:space="0" w:color="auto"/>
                  </w:tcBorders>
                </w:tcPr>
                <w:p w14:paraId="3FB98227" w14:textId="77777777" w:rsidR="007850A0" w:rsidRPr="00FD297D" w:rsidRDefault="007850A0" w:rsidP="00E43EDE">
                  <w:pPr>
                    <w:widowControl w:val="0"/>
                    <w:autoSpaceDE w:val="0"/>
                    <w:autoSpaceDN w:val="0"/>
                    <w:adjustRightInd w:val="0"/>
                    <w:jc w:val="right"/>
                    <w:rPr>
                      <w:rFonts w:ascii="Calibri" w:hAnsi="Calibri" w:cs="Calibri"/>
                      <w:bCs/>
                      <w:color w:val="000000"/>
                      <w:sz w:val="22"/>
                      <w:szCs w:val="22"/>
                    </w:rPr>
                  </w:pPr>
                </w:p>
              </w:tc>
              <w:tc>
                <w:tcPr>
                  <w:tcW w:w="1275" w:type="dxa"/>
                  <w:tcBorders>
                    <w:top w:val="nil"/>
                    <w:right w:val="single" w:sz="4" w:space="0" w:color="auto"/>
                  </w:tcBorders>
                  <w:shd w:val="clear" w:color="auto" w:fill="FFFF00"/>
                </w:tcPr>
                <w:p w14:paraId="4AC2EBB5"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5.8</w:t>
                  </w:r>
                </w:p>
              </w:tc>
              <w:tc>
                <w:tcPr>
                  <w:tcW w:w="1276" w:type="dxa"/>
                  <w:tcBorders>
                    <w:top w:val="nil"/>
                    <w:right w:val="single" w:sz="4" w:space="0" w:color="auto"/>
                  </w:tcBorders>
                  <w:shd w:val="clear" w:color="auto" w:fill="auto"/>
                </w:tcPr>
                <w:p w14:paraId="32D95AEB"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67.3</w:t>
                  </w:r>
                </w:p>
              </w:tc>
              <w:tc>
                <w:tcPr>
                  <w:tcW w:w="1134" w:type="dxa"/>
                  <w:tcBorders>
                    <w:top w:val="nil"/>
                    <w:left w:val="single" w:sz="4" w:space="0" w:color="auto"/>
                    <w:right w:val="single" w:sz="4" w:space="0" w:color="auto"/>
                  </w:tcBorders>
                  <w:shd w:val="clear" w:color="auto" w:fill="auto"/>
                </w:tcPr>
                <w:p w14:paraId="5781ACE1"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w:t>
                  </w:r>
                </w:p>
              </w:tc>
              <w:tc>
                <w:tcPr>
                  <w:tcW w:w="1159" w:type="dxa"/>
                  <w:tcBorders>
                    <w:top w:val="nil"/>
                    <w:left w:val="single" w:sz="4" w:space="0" w:color="auto"/>
                    <w:right w:val="single" w:sz="4" w:space="0" w:color="auto"/>
                  </w:tcBorders>
                  <w:shd w:val="clear" w:color="auto" w:fill="auto"/>
                </w:tcPr>
                <w:p w14:paraId="24D226D5"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67.3</w:t>
                  </w:r>
                </w:p>
              </w:tc>
            </w:tr>
            <w:tr w:rsidR="007850A0" w:rsidRPr="00F72676" w14:paraId="40554870" w14:textId="77777777" w:rsidTr="00E43EDE">
              <w:trPr>
                <w:trHeight w:val="229"/>
              </w:trPr>
              <w:tc>
                <w:tcPr>
                  <w:tcW w:w="4253" w:type="dxa"/>
                  <w:gridSpan w:val="2"/>
                  <w:tcBorders>
                    <w:top w:val="nil"/>
                    <w:left w:val="nil"/>
                    <w:bottom w:val="nil"/>
                  </w:tcBorders>
                </w:tcPr>
                <w:p w14:paraId="02E4DF3C" w14:textId="77777777" w:rsidR="007850A0" w:rsidRPr="00FD297D" w:rsidRDefault="007850A0" w:rsidP="00E43EDE">
                  <w:pPr>
                    <w:autoSpaceDE w:val="0"/>
                    <w:autoSpaceDN w:val="0"/>
                    <w:adjustRightInd w:val="0"/>
                    <w:rPr>
                      <w:rFonts w:ascii="Calibri" w:hAnsi="Calibri" w:cs="Calibri"/>
                      <w:b/>
                      <w:color w:val="000000"/>
                      <w:sz w:val="22"/>
                      <w:szCs w:val="22"/>
                    </w:rPr>
                  </w:pPr>
                  <w:r w:rsidRPr="00FD297D">
                    <w:rPr>
                      <w:rFonts w:ascii="Calibri" w:hAnsi="Calibri" w:cs="Calibri"/>
                      <w:b/>
                      <w:color w:val="000000"/>
                      <w:sz w:val="22"/>
                      <w:szCs w:val="22"/>
                    </w:rPr>
                    <w:t>Total other income/(expenses)</w:t>
                  </w:r>
                </w:p>
              </w:tc>
              <w:tc>
                <w:tcPr>
                  <w:tcW w:w="709" w:type="dxa"/>
                  <w:tcBorders>
                    <w:top w:val="nil"/>
                  </w:tcBorders>
                </w:tcPr>
                <w:p w14:paraId="2154B3D3"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single" w:sz="4" w:space="0" w:color="auto"/>
                    <w:right w:val="single" w:sz="4" w:space="0" w:color="auto"/>
                  </w:tcBorders>
                </w:tcPr>
                <w:p w14:paraId="498373E1" w14:textId="77777777" w:rsidR="007850A0" w:rsidRPr="00FD297D" w:rsidRDefault="007850A0" w:rsidP="00E43EDE">
                  <w:pPr>
                    <w:widowControl w:val="0"/>
                    <w:autoSpaceDE w:val="0"/>
                    <w:autoSpaceDN w:val="0"/>
                    <w:adjustRightInd w:val="0"/>
                    <w:jc w:val="right"/>
                    <w:rPr>
                      <w:rFonts w:ascii="Calibri" w:hAnsi="Calibri" w:cs="Calibri"/>
                      <w:bCs/>
                      <w:color w:val="000000"/>
                      <w:sz w:val="22"/>
                      <w:szCs w:val="22"/>
                    </w:rPr>
                  </w:pPr>
                </w:p>
              </w:tc>
              <w:tc>
                <w:tcPr>
                  <w:tcW w:w="1275" w:type="dxa"/>
                  <w:tcBorders>
                    <w:top w:val="single" w:sz="4" w:space="0" w:color="auto"/>
                    <w:right w:val="single" w:sz="4" w:space="0" w:color="auto"/>
                  </w:tcBorders>
                  <w:shd w:val="clear" w:color="auto" w:fill="FFFF00"/>
                </w:tcPr>
                <w:p w14:paraId="5301617E"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21.6</w:t>
                  </w:r>
                </w:p>
              </w:tc>
              <w:tc>
                <w:tcPr>
                  <w:tcW w:w="1276" w:type="dxa"/>
                  <w:tcBorders>
                    <w:top w:val="single" w:sz="4" w:space="0" w:color="auto"/>
                    <w:right w:val="single" w:sz="4" w:space="0" w:color="auto"/>
                  </w:tcBorders>
                  <w:shd w:val="clear" w:color="auto" w:fill="auto"/>
                </w:tcPr>
                <w:p w14:paraId="7706080B"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61.4</w:t>
                  </w:r>
                </w:p>
              </w:tc>
              <w:tc>
                <w:tcPr>
                  <w:tcW w:w="1134" w:type="dxa"/>
                  <w:tcBorders>
                    <w:top w:val="single" w:sz="4" w:space="0" w:color="auto"/>
                    <w:left w:val="single" w:sz="4" w:space="0" w:color="auto"/>
                    <w:right w:val="single" w:sz="4" w:space="0" w:color="auto"/>
                  </w:tcBorders>
                  <w:shd w:val="clear" w:color="auto" w:fill="auto"/>
                </w:tcPr>
                <w:p w14:paraId="3D6F9611"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7CDCDE9E"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61.4</w:t>
                  </w:r>
                </w:p>
              </w:tc>
            </w:tr>
            <w:tr w:rsidR="007850A0" w:rsidRPr="00F72676" w14:paraId="04E2336A" w14:textId="77777777" w:rsidTr="00E43EDE">
              <w:trPr>
                <w:trHeight w:val="229"/>
              </w:trPr>
              <w:tc>
                <w:tcPr>
                  <w:tcW w:w="260" w:type="dxa"/>
                  <w:tcBorders>
                    <w:top w:val="nil"/>
                    <w:left w:val="nil"/>
                    <w:bottom w:val="nil"/>
                    <w:right w:val="nil"/>
                  </w:tcBorders>
                </w:tcPr>
                <w:p w14:paraId="22C8C00A"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0A7C00D3" w14:textId="77777777" w:rsidR="007850A0" w:rsidRPr="00FD297D" w:rsidRDefault="007850A0" w:rsidP="00E43EDE">
                  <w:pPr>
                    <w:autoSpaceDE w:val="0"/>
                    <w:autoSpaceDN w:val="0"/>
                    <w:adjustRightInd w:val="0"/>
                    <w:rPr>
                      <w:rFonts w:ascii="Calibri" w:hAnsi="Calibri" w:cs="Calibri"/>
                      <w:color w:val="000000"/>
                      <w:sz w:val="22"/>
                      <w:szCs w:val="22"/>
                    </w:rPr>
                  </w:pPr>
                </w:p>
              </w:tc>
              <w:tc>
                <w:tcPr>
                  <w:tcW w:w="709" w:type="dxa"/>
                  <w:tcBorders>
                    <w:top w:val="nil"/>
                  </w:tcBorders>
                </w:tcPr>
                <w:p w14:paraId="5238532D"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top w:val="single" w:sz="4" w:space="0" w:color="auto"/>
                    <w:right w:val="single" w:sz="4" w:space="0" w:color="auto"/>
                  </w:tcBorders>
                </w:tcPr>
                <w:p w14:paraId="55DBCBD9"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1275" w:type="dxa"/>
                  <w:tcBorders>
                    <w:top w:val="single" w:sz="4" w:space="0" w:color="auto"/>
                    <w:right w:val="single" w:sz="4" w:space="0" w:color="auto"/>
                  </w:tcBorders>
                  <w:shd w:val="clear" w:color="auto" w:fill="FFFF00"/>
                </w:tcPr>
                <w:p w14:paraId="6C283040" w14:textId="77777777" w:rsidR="007850A0" w:rsidRPr="00FD297D" w:rsidRDefault="007850A0" w:rsidP="00E43EDE">
                  <w:pPr>
                    <w:autoSpaceDE w:val="0"/>
                    <w:autoSpaceDN w:val="0"/>
                    <w:adjustRightInd w:val="0"/>
                    <w:ind w:left="-226"/>
                    <w:jc w:val="right"/>
                    <w:rPr>
                      <w:rFonts w:ascii="Calibri" w:hAnsi="Calibri" w:cs="Calibri"/>
                      <w:b/>
                      <w:bCs/>
                      <w:color w:val="000000"/>
                      <w:sz w:val="22"/>
                      <w:szCs w:val="22"/>
                    </w:rPr>
                  </w:pPr>
                </w:p>
              </w:tc>
              <w:tc>
                <w:tcPr>
                  <w:tcW w:w="1276" w:type="dxa"/>
                  <w:tcBorders>
                    <w:top w:val="single" w:sz="4" w:space="0" w:color="auto"/>
                    <w:right w:val="single" w:sz="4" w:space="0" w:color="auto"/>
                  </w:tcBorders>
                  <w:shd w:val="clear" w:color="auto" w:fill="auto"/>
                </w:tcPr>
                <w:p w14:paraId="5CD00115"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34" w:type="dxa"/>
                  <w:tcBorders>
                    <w:top w:val="single" w:sz="4" w:space="0" w:color="auto"/>
                    <w:left w:val="single" w:sz="4" w:space="0" w:color="auto"/>
                    <w:right w:val="single" w:sz="4" w:space="0" w:color="auto"/>
                  </w:tcBorders>
                  <w:shd w:val="clear" w:color="auto" w:fill="auto"/>
                </w:tcPr>
                <w:p w14:paraId="32C669F5"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59" w:type="dxa"/>
                  <w:tcBorders>
                    <w:top w:val="single" w:sz="4" w:space="0" w:color="auto"/>
                    <w:left w:val="single" w:sz="4" w:space="0" w:color="auto"/>
                    <w:right w:val="single" w:sz="4" w:space="0" w:color="auto"/>
                  </w:tcBorders>
                  <w:shd w:val="clear" w:color="auto" w:fill="auto"/>
                </w:tcPr>
                <w:p w14:paraId="00DBA1FE"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r>
            <w:tr w:rsidR="007850A0" w:rsidRPr="00F72676" w14:paraId="4D65D8AD" w14:textId="77777777" w:rsidTr="00E43EDE">
              <w:trPr>
                <w:trHeight w:val="229"/>
              </w:trPr>
              <w:tc>
                <w:tcPr>
                  <w:tcW w:w="4253" w:type="dxa"/>
                  <w:gridSpan w:val="2"/>
                  <w:tcBorders>
                    <w:top w:val="nil"/>
                    <w:left w:val="nil"/>
                    <w:bottom w:val="nil"/>
                  </w:tcBorders>
                </w:tcPr>
                <w:p w14:paraId="74DB2E71" w14:textId="77777777" w:rsidR="007850A0" w:rsidRPr="00FD297D" w:rsidRDefault="007850A0" w:rsidP="00E43EDE">
                  <w:pPr>
                    <w:autoSpaceDE w:val="0"/>
                    <w:autoSpaceDN w:val="0"/>
                    <w:adjustRightInd w:val="0"/>
                    <w:rPr>
                      <w:rFonts w:ascii="Calibri" w:hAnsi="Calibri" w:cs="Calibri"/>
                      <w:b/>
                      <w:color w:val="000000"/>
                      <w:sz w:val="22"/>
                      <w:szCs w:val="22"/>
                    </w:rPr>
                  </w:pPr>
                  <w:r w:rsidRPr="00FD297D">
                    <w:rPr>
                      <w:rFonts w:ascii="Calibri" w:hAnsi="Calibri" w:cs="Calibri"/>
                      <w:b/>
                      <w:bCs/>
                      <w:color w:val="000000"/>
                      <w:sz w:val="22"/>
                      <w:szCs w:val="22"/>
                    </w:rPr>
                    <w:t xml:space="preserve">Profit/(loss) </w:t>
                  </w:r>
                  <w:r w:rsidRPr="00FD297D">
                    <w:rPr>
                      <w:rFonts w:ascii="Calibri" w:hAnsi="Calibri" w:cs="Calibri"/>
                      <w:b/>
                      <w:color w:val="000000"/>
                      <w:sz w:val="22"/>
                      <w:szCs w:val="22"/>
                    </w:rPr>
                    <w:t>before tax</w:t>
                  </w:r>
                </w:p>
              </w:tc>
              <w:tc>
                <w:tcPr>
                  <w:tcW w:w="709" w:type="dxa"/>
                  <w:tcBorders>
                    <w:top w:val="nil"/>
                  </w:tcBorders>
                </w:tcPr>
                <w:p w14:paraId="17918E96"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right w:val="single" w:sz="4" w:space="0" w:color="auto"/>
                  </w:tcBorders>
                </w:tcPr>
                <w:p w14:paraId="4617C983" w14:textId="77777777" w:rsidR="007850A0" w:rsidRPr="00FD297D" w:rsidRDefault="007850A0" w:rsidP="00E43EDE">
                  <w:pPr>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-99</w:t>
                  </w:r>
                  <w:r w:rsidRPr="00FD297D">
                    <w:rPr>
                      <w:rFonts w:ascii="Calibri" w:hAnsi="Calibri" w:cs="Calibri"/>
                      <w:bCs/>
                      <w:color w:val="000000"/>
                      <w:sz w:val="22"/>
                      <w:szCs w:val="22"/>
                    </w:rPr>
                    <w:t>%</w:t>
                  </w:r>
                </w:p>
              </w:tc>
              <w:tc>
                <w:tcPr>
                  <w:tcW w:w="1275" w:type="dxa"/>
                  <w:tcBorders>
                    <w:right w:val="single" w:sz="4" w:space="0" w:color="auto"/>
                  </w:tcBorders>
                  <w:shd w:val="clear" w:color="auto" w:fill="FFFF00"/>
                </w:tcPr>
                <w:p w14:paraId="199A8933"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2.7</w:t>
                  </w:r>
                </w:p>
              </w:tc>
              <w:tc>
                <w:tcPr>
                  <w:tcW w:w="1276" w:type="dxa"/>
                  <w:tcBorders>
                    <w:right w:val="single" w:sz="4" w:space="0" w:color="auto"/>
                  </w:tcBorders>
                  <w:shd w:val="clear" w:color="auto" w:fill="auto"/>
                </w:tcPr>
                <w:p w14:paraId="588E1E80"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223.1</w:t>
                  </w:r>
                </w:p>
              </w:tc>
              <w:tc>
                <w:tcPr>
                  <w:tcW w:w="1134" w:type="dxa"/>
                  <w:tcBorders>
                    <w:left w:val="single" w:sz="4" w:space="0" w:color="auto"/>
                    <w:right w:val="single" w:sz="4" w:space="0" w:color="auto"/>
                  </w:tcBorders>
                  <w:shd w:val="clear" w:color="auto" w:fill="auto"/>
                </w:tcPr>
                <w:p w14:paraId="5F34FE72"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(10.3)</w:t>
                  </w:r>
                </w:p>
              </w:tc>
              <w:tc>
                <w:tcPr>
                  <w:tcW w:w="1159" w:type="dxa"/>
                  <w:tcBorders>
                    <w:left w:val="single" w:sz="4" w:space="0" w:color="auto"/>
                    <w:right w:val="single" w:sz="4" w:space="0" w:color="auto"/>
                  </w:tcBorders>
                  <w:shd w:val="clear" w:color="auto" w:fill="auto"/>
                </w:tcPr>
                <w:p w14:paraId="0F12557A"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212.8</w:t>
                  </w:r>
                </w:p>
              </w:tc>
            </w:tr>
            <w:tr w:rsidR="007850A0" w:rsidRPr="00F72676" w14:paraId="44CBA657" w14:textId="77777777" w:rsidTr="00E43EDE">
              <w:trPr>
                <w:trHeight w:val="229"/>
              </w:trPr>
              <w:tc>
                <w:tcPr>
                  <w:tcW w:w="260" w:type="dxa"/>
                  <w:tcBorders>
                    <w:top w:val="nil"/>
                    <w:left w:val="nil"/>
                    <w:bottom w:val="nil"/>
                    <w:right w:val="nil"/>
                  </w:tcBorders>
                </w:tcPr>
                <w:p w14:paraId="573636E5"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55E4C50F" w14:textId="77777777" w:rsidR="007850A0" w:rsidRPr="00FD297D" w:rsidRDefault="007850A0" w:rsidP="00E43EDE">
                  <w:pPr>
                    <w:autoSpaceDE w:val="0"/>
                    <w:autoSpaceDN w:val="0"/>
                    <w:adjustRightInd w:val="0"/>
                    <w:rPr>
                      <w:rFonts w:ascii="Calibri" w:hAnsi="Calibri" w:cs="Calibri"/>
                      <w:color w:val="000000"/>
                      <w:sz w:val="22"/>
                      <w:szCs w:val="22"/>
                    </w:rPr>
                  </w:pPr>
                </w:p>
              </w:tc>
              <w:tc>
                <w:tcPr>
                  <w:tcW w:w="709" w:type="dxa"/>
                  <w:tcBorders>
                    <w:top w:val="nil"/>
                  </w:tcBorders>
                </w:tcPr>
                <w:p w14:paraId="4468B06F"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green"/>
                    </w:rPr>
                  </w:pPr>
                </w:p>
              </w:tc>
              <w:tc>
                <w:tcPr>
                  <w:tcW w:w="851" w:type="dxa"/>
                  <w:tcBorders>
                    <w:right w:val="single" w:sz="4" w:space="0" w:color="auto"/>
                  </w:tcBorders>
                </w:tcPr>
                <w:p w14:paraId="7F455FF2" w14:textId="77777777" w:rsidR="007850A0" w:rsidRPr="00FD297D" w:rsidRDefault="007850A0" w:rsidP="00E43EDE">
                  <w:pPr>
                    <w:autoSpaceDE w:val="0"/>
                    <w:autoSpaceDN w:val="0"/>
                    <w:adjustRightInd w:val="0"/>
                    <w:jc w:val="right"/>
                    <w:rPr>
                      <w:rFonts w:ascii="Calibri" w:hAnsi="Calibri" w:cs="Calibri"/>
                      <w:bCs/>
                      <w:color w:val="000000"/>
                      <w:sz w:val="22"/>
                      <w:szCs w:val="22"/>
                    </w:rPr>
                  </w:pPr>
                </w:p>
              </w:tc>
              <w:tc>
                <w:tcPr>
                  <w:tcW w:w="1275" w:type="dxa"/>
                  <w:tcBorders>
                    <w:right w:val="single" w:sz="4" w:space="0" w:color="auto"/>
                  </w:tcBorders>
                  <w:shd w:val="clear" w:color="auto" w:fill="FFFF00"/>
                </w:tcPr>
                <w:p w14:paraId="237ECE03" w14:textId="77777777" w:rsidR="007850A0" w:rsidRPr="00FD297D" w:rsidRDefault="007850A0" w:rsidP="00E43EDE">
                  <w:pPr>
                    <w:autoSpaceDE w:val="0"/>
                    <w:autoSpaceDN w:val="0"/>
                    <w:adjustRightInd w:val="0"/>
                    <w:rPr>
                      <w:rFonts w:ascii="Calibri" w:hAnsi="Calibri" w:cs="Calibri"/>
                      <w:b/>
                      <w:bCs/>
                      <w:color w:val="000000"/>
                      <w:sz w:val="22"/>
                      <w:szCs w:val="22"/>
                    </w:rPr>
                  </w:pPr>
                </w:p>
              </w:tc>
              <w:tc>
                <w:tcPr>
                  <w:tcW w:w="1276" w:type="dxa"/>
                  <w:tcBorders>
                    <w:right w:val="single" w:sz="4" w:space="0" w:color="auto"/>
                  </w:tcBorders>
                  <w:shd w:val="clear" w:color="auto" w:fill="auto"/>
                </w:tcPr>
                <w:p w14:paraId="52B20FBF"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34" w:type="dxa"/>
                  <w:tcBorders>
                    <w:left w:val="single" w:sz="4" w:space="0" w:color="auto"/>
                    <w:right w:val="single" w:sz="4" w:space="0" w:color="auto"/>
                  </w:tcBorders>
                  <w:shd w:val="clear" w:color="auto" w:fill="auto"/>
                </w:tcPr>
                <w:p w14:paraId="1412F73E"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59" w:type="dxa"/>
                  <w:tcBorders>
                    <w:left w:val="single" w:sz="4" w:space="0" w:color="auto"/>
                    <w:right w:val="single" w:sz="4" w:space="0" w:color="auto"/>
                  </w:tcBorders>
                  <w:shd w:val="clear" w:color="auto" w:fill="auto"/>
                </w:tcPr>
                <w:p w14:paraId="36A3CBBB"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r>
            <w:tr w:rsidR="007850A0" w:rsidRPr="00F72676" w14:paraId="4E8A175F" w14:textId="77777777" w:rsidTr="00E43EDE">
              <w:trPr>
                <w:trHeight w:val="229"/>
              </w:trPr>
              <w:tc>
                <w:tcPr>
                  <w:tcW w:w="260" w:type="dxa"/>
                  <w:tcBorders>
                    <w:top w:val="nil"/>
                    <w:left w:val="nil"/>
                    <w:bottom w:val="nil"/>
                    <w:right w:val="nil"/>
                  </w:tcBorders>
                </w:tcPr>
                <w:p w14:paraId="53B9368A"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036E2B4C" w14:textId="77777777" w:rsidR="007850A0" w:rsidRPr="00FD297D" w:rsidRDefault="007850A0" w:rsidP="00E43EDE">
                  <w:pPr>
                    <w:autoSpaceDE w:val="0"/>
                    <w:autoSpaceDN w:val="0"/>
                    <w:adjustRightInd w:val="0"/>
                    <w:rPr>
                      <w:rFonts w:ascii="Calibri" w:hAnsi="Calibri" w:cs="Calibri"/>
                      <w:color w:val="000000"/>
                      <w:sz w:val="22"/>
                      <w:szCs w:val="22"/>
                    </w:rPr>
                  </w:pPr>
                  <w:r w:rsidRPr="00FD297D">
                    <w:rPr>
                      <w:rFonts w:ascii="Calibri" w:hAnsi="Calibri" w:cs="Calibri"/>
                      <w:color w:val="000000"/>
                      <w:sz w:val="22"/>
                      <w:szCs w:val="22"/>
                    </w:rPr>
                    <w:t>Tax credit</w:t>
                  </w:r>
                  <w:r>
                    <w:rPr>
                      <w:rFonts w:ascii="Calibri" w:hAnsi="Calibri" w:cs="Calibri"/>
                      <w:color w:val="000000"/>
                      <w:sz w:val="22"/>
                      <w:szCs w:val="22"/>
                    </w:rPr>
                    <w:t>/(expense)</w:t>
                  </w:r>
                </w:p>
              </w:tc>
              <w:tc>
                <w:tcPr>
                  <w:tcW w:w="709" w:type="dxa"/>
                  <w:tcBorders>
                    <w:top w:val="nil"/>
                  </w:tcBorders>
                </w:tcPr>
                <w:p w14:paraId="347FA9F3" w14:textId="77777777" w:rsidR="007850A0" w:rsidRPr="00FD297D" w:rsidRDefault="007850A0" w:rsidP="00E43EDE">
                  <w:pPr>
                    <w:autoSpaceDE w:val="0"/>
                    <w:autoSpaceDN w:val="0"/>
                    <w:adjustRightInd w:val="0"/>
                    <w:jc w:val="right"/>
                    <w:rPr>
                      <w:rFonts w:ascii="Calibri" w:hAnsi="Calibri" w:cs="Calibri"/>
                      <w:b/>
                      <w:bCs/>
                      <w:color w:val="000000"/>
                      <w:sz w:val="22"/>
                      <w:szCs w:val="22"/>
                      <w:highlight w:val="green"/>
                    </w:rPr>
                  </w:pPr>
                </w:p>
              </w:tc>
              <w:tc>
                <w:tcPr>
                  <w:tcW w:w="851" w:type="dxa"/>
                  <w:tcBorders>
                    <w:right w:val="single" w:sz="4" w:space="0" w:color="auto"/>
                  </w:tcBorders>
                </w:tcPr>
                <w:p w14:paraId="20A7909E" w14:textId="77777777" w:rsidR="007850A0" w:rsidRPr="00FD297D" w:rsidRDefault="007850A0" w:rsidP="00E43EDE">
                  <w:pPr>
                    <w:autoSpaceDE w:val="0"/>
                    <w:autoSpaceDN w:val="0"/>
                    <w:adjustRightInd w:val="0"/>
                    <w:jc w:val="right"/>
                    <w:rPr>
                      <w:rFonts w:ascii="Calibri" w:hAnsi="Calibri" w:cs="Calibri"/>
                      <w:bCs/>
                      <w:color w:val="000000"/>
                      <w:sz w:val="22"/>
                      <w:szCs w:val="22"/>
                    </w:rPr>
                  </w:pPr>
                </w:p>
              </w:tc>
              <w:tc>
                <w:tcPr>
                  <w:tcW w:w="1275" w:type="dxa"/>
                  <w:tcBorders>
                    <w:bottom w:val="single" w:sz="4" w:space="0" w:color="auto"/>
                    <w:right w:val="single" w:sz="4" w:space="0" w:color="auto"/>
                  </w:tcBorders>
                  <w:shd w:val="clear" w:color="auto" w:fill="FFFF00"/>
                </w:tcPr>
                <w:p w14:paraId="5763BFDC"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12.1</w:t>
                  </w:r>
                </w:p>
              </w:tc>
              <w:tc>
                <w:tcPr>
                  <w:tcW w:w="1276" w:type="dxa"/>
                  <w:tcBorders>
                    <w:bottom w:val="single" w:sz="4" w:space="0" w:color="auto"/>
                    <w:right w:val="single" w:sz="4" w:space="0" w:color="auto"/>
                  </w:tcBorders>
                  <w:shd w:val="clear" w:color="auto" w:fill="auto"/>
                </w:tcPr>
                <w:p w14:paraId="28C4392F"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(12.0)</w:t>
                  </w:r>
                </w:p>
              </w:tc>
              <w:tc>
                <w:tcPr>
                  <w:tcW w:w="1134" w:type="dxa"/>
                  <w:tcBorders>
                    <w:left w:val="single" w:sz="4" w:space="0" w:color="auto"/>
                    <w:bottom w:val="single" w:sz="4" w:space="0" w:color="auto"/>
                    <w:right w:val="single" w:sz="4" w:space="0" w:color="auto"/>
                  </w:tcBorders>
                  <w:shd w:val="clear" w:color="auto" w:fill="auto"/>
                </w:tcPr>
                <w:p w14:paraId="0AD286E3"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1.3</w:t>
                  </w:r>
                </w:p>
              </w:tc>
              <w:tc>
                <w:tcPr>
                  <w:tcW w:w="1159" w:type="dxa"/>
                  <w:tcBorders>
                    <w:left w:val="single" w:sz="4" w:space="0" w:color="auto"/>
                    <w:bottom w:val="single" w:sz="4" w:space="0" w:color="auto"/>
                    <w:right w:val="single" w:sz="4" w:space="0" w:color="auto"/>
                  </w:tcBorders>
                  <w:shd w:val="clear" w:color="auto" w:fill="auto"/>
                </w:tcPr>
                <w:p w14:paraId="498D5887"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(10.7)</w:t>
                  </w:r>
                </w:p>
              </w:tc>
            </w:tr>
            <w:tr w:rsidR="007850A0" w:rsidRPr="00F72676" w14:paraId="2496A196" w14:textId="77777777" w:rsidTr="00E43EDE">
              <w:trPr>
                <w:trHeight w:val="229"/>
              </w:trPr>
              <w:tc>
                <w:tcPr>
                  <w:tcW w:w="260" w:type="dxa"/>
                  <w:tcBorders>
                    <w:top w:val="nil"/>
                    <w:left w:val="nil"/>
                    <w:bottom w:val="nil"/>
                    <w:right w:val="nil"/>
                  </w:tcBorders>
                </w:tcPr>
                <w:p w14:paraId="22AF79AB"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40DB6D03" w14:textId="77777777" w:rsidR="007850A0" w:rsidRPr="00FD297D" w:rsidRDefault="007850A0" w:rsidP="00E43EDE">
                  <w:pPr>
                    <w:autoSpaceDE w:val="0"/>
                    <w:autoSpaceDN w:val="0"/>
                    <w:adjustRightInd w:val="0"/>
                    <w:rPr>
                      <w:rFonts w:ascii="Calibri" w:hAnsi="Calibri" w:cs="Calibri"/>
                      <w:color w:val="000000"/>
                      <w:sz w:val="22"/>
                      <w:szCs w:val="22"/>
                    </w:rPr>
                  </w:pPr>
                </w:p>
              </w:tc>
              <w:tc>
                <w:tcPr>
                  <w:tcW w:w="709" w:type="dxa"/>
                  <w:tcBorders>
                    <w:top w:val="nil"/>
                  </w:tcBorders>
                </w:tcPr>
                <w:p w14:paraId="3CF1E867" w14:textId="77777777" w:rsidR="007850A0" w:rsidRPr="00FD297D" w:rsidRDefault="007850A0" w:rsidP="00E43EDE">
                  <w:pPr>
                    <w:autoSpaceDE w:val="0"/>
                    <w:autoSpaceDN w:val="0"/>
                    <w:adjustRightInd w:val="0"/>
                    <w:jc w:val="right"/>
                    <w:rPr>
                      <w:rFonts w:ascii="Calibri" w:hAnsi="Calibri" w:cs="Calibri"/>
                      <w:b/>
                      <w:bCs/>
                      <w:color w:val="000000"/>
                      <w:sz w:val="22"/>
                      <w:szCs w:val="22"/>
                    </w:rPr>
                  </w:pPr>
                </w:p>
              </w:tc>
              <w:tc>
                <w:tcPr>
                  <w:tcW w:w="851" w:type="dxa"/>
                  <w:tcBorders>
                    <w:right w:val="single" w:sz="4" w:space="0" w:color="auto"/>
                  </w:tcBorders>
                </w:tcPr>
                <w:p w14:paraId="276D88DE" w14:textId="77777777" w:rsidR="007850A0" w:rsidRPr="00FD297D" w:rsidRDefault="007850A0" w:rsidP="00E43EDE">
                  <w:pPr>
                    <w:autoSpaceDE w:val="0"/>
                    <w:autoSpaceDN w:val="0"/>
                    <w:adjustRightInd w:val="0"/>
                    <w:jc w:val="right"/>
                    <w:rPr>
                      <w:rFonts w:ascii="Calibri" w:hAnsi="Calibri" w:cs="Calibri"/>
                      <w:bCs/>
                      <w:color w:val="000000"/>
                      <w:sz w:val="22"/>
                      <w:szCs w:val="22"/>
                    </w:rPr>
                  </w:pPr>
                </w:p>
              </w:tc>
              <w:tc>
                <w:tcPr>
                  <w:tcW w:w="1275" w:type="dxa"/>
                  <w:tcBorders>
                    <w:top w:val="single" w:sz="4" w:space="0" w:color="auto"/>
                    <w:right w:val="single" w:sz="4" w:space="0" w:color="auto"/>
                  </w:tcBorders>
                  <w:shd w:val="clear" w:color="auto" w:fill="FFFF00"/>
                </w:tcPr>
                <w:p w14:paraId="30287122" w14:textId="77777777" w:rsidR="007850A0" w:rsidRPr="00FD297D" w:rsidRDefault="007850A0" w:rsidP="00E43EDE">
                  <w:pPr>
                    <w:autoSpaceDE w:val="0"/>
                    <w:autoSpaceDN w:val="0"/>
                    <w:adjustRightInd w:val="0"/>
                    <w:ind w:left="-226"/>
                    <w:jc w:val="right"/>
                    <w:rPr>
                      <w:rFonts w:ascii="Calibri" w:hAnsi="Calibri" w:cs="Calibri"/>
                      <w:b/>
                      <w:bCs/>
                      <w:color w:val="000000"/>
                      <w:sz w:val="22"/>
                      <w:szCs w:val="22"/>
                    </w:rPr>
                  </w:pPr>
                </w:p>
              </w:tc>
              <w:tc>
                <w:tcPr>
                  <w:tcW w:w="1276" w:type="dxa"/>
                  <w:tcBorders>
                    <w:top w:val="single" w:sz="4" w:space="0" w:color="auto"/>
                    <w:right w:val="single" w:sz="4" w:space="0" w:color="auto"/>
                  </w:tcBorders>
                  <w:shd w:val="clear" w:color="auto" w:fill="auto"/>
                </w:tcPr>
                <w:p w14:paraId="1A88FFF1"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34" w:type="dxa"/>
                  <w:tcBorders>
                    <w:top w:val="single" w:sz="4" w:space="0" w:color="auto"/>
                    <w:left w:val="single" w:sz="4" w:space="0" w:color="auto"/>
                    <w:right w:val="single" w:sz="4" w:space="0" w:color="auto"/>
                  </w:tcBorders>
                  <w:shd w:val="clear" w:color="auto" w:fill="auto"/>
                </w:tcPr>
                <w:p w14:paraId="14CF8B2F"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59" w:type="dxa"/>
                  <w:tcBorders>
                    <w:top w:val="single" w:sz="4" w:space="0" w:color="auto"/>
                    <w:left w:val="single" w:sz="4" w:space="0" w:color="auto"/>
                    <w:right w:val="single" w:sz="4" w:space="0" w:color="auto"/>
                  </w:tcBorders>
                  <w:shd w:val="clear" w:color="auto" w:fill="auto"/>
                </w:tcPr>
                <w:p w14:paraId="791B3A40"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r>
            <w:tr w:rsidR="007850A0" w:rsidRPr="00F72676" w14:paraId="2E7024D1" w14:textId="77777777" w:rsidTr="00E43EDE">
              <w:trPr>
                <w:trHeight w:val="319"/>
              </w:trPr>
              <w:tc>
                <w:tcPr>
                  <w:tcW w:w="4253" w:type="dxa"/>
                  <w:gridSpan w:val="2"/>
                  <w:tcBorders>
                    <w:top w:val="nil"/>
                    <w:left w:val="nil"/>
                    <w:bottom w:val="nil"/>
                  </w:tcBorders>
                </w:tcPr>
                <w:p w14:paraId="41C1C68B" w14:textId="77777777" w:rsidR="007850A0" w:rsidRPr="00FD297D" w:rsidRDefault="007850A0" w:rsidP="00E43EDE">
                  <w:pPr>
                    <w:autoSpaceDE w:val="0"/>
                    <w:autoSpaceDN w:val="0"/>
                    <w:adjustRightInd w:val="0"/>
                    <w:rPr>
                      <w:rFonts w:ascii="Calibri" w:hAnsi="Calibri" w:cs="Calibri"/>
                      <w:sz w:val="22"/>
                      <w:szCs w:val="22"/>
                    </w:rPr>
                  </w:pPr>
                  <w:r w:rsidRPr="00FD297D">
                    <w:rPr>
                      <w:rFonts w:ascii="Calibri" w:hAnsi="Calibri" w:cs="Calibri"/>
                      <w:b/>
                      <w:bCs/>
                      <w:color w:val="000000"/>
                      <w:sz w:val="22"/>
                      <w:szCs w:val="22"/>
                    </w:rPr>
                    <w:t>Profit/(loss) for the quarter – attributable to equity holders of parent</w:t>
                  </w:r>
                </w:p>
              </w:tc>
              <w:tc>
                <w:tcPr>
                  <w:tcW w:w="709" w:type="dxa"/>
                  <w:tcBorders>
                    <w:top w:val="nil"/>
                  </w:tcBorders>
                </w:tcPr>
                <w:p w14:paraId="41EA8E2D" w14:textId="77777777" w:rsidR="007850A0" w:rsidRPr="00FD297D" w:rsidRDefault="007850A0" w:rsidP="00E43EDE">
                  <w:pPr>
                    <w:autoSpaceDE w:val="0"/>
                    <w:autoSpaceDN w:val="0"/>
                    <w:adjustRightInd w:val="0"/>
                    <w:jc w:val="right"/>
                    <w:rPr>
                      <w:rFonts w:ascii="Calibri" w:hAnsi="Calibri" w:cs="Calibri"/>
                      <w:b/>
                      <w:bCs/>
                      <w:color w:val="000000"/>
                      <w:sz w:val="22"/>
                      <w:szCs w:val="22"/>
                    </w:rPr>
                  </w:pPr>
                </w:p>
              </w:tc>
              <w:tc>
                <w:tcPr>
                  <w:tcW w:w="851" w:type="dxa"/>
                  <w:tcBorders>
                    <w:right w:val="single" w:sz="4" w:space="0" w:color="auto"/>
                  </w:tcBorders>
                </w:tcPr>
                <w:p w14:paraId="5E5D195B" w14:textId="77777777" w:rsidR="007850A0" w:rsidRPr="00FD297D" w:rsidRDefault="007850A0" w:rsidP="00E43EDE">
                  <w:pPr>
                    <w:widowControl w:val="0"/>
                    <w:tabs>
                      <w:tab w:val="left" w:pos="465"/>
                    </w:tabs>
                    <w:autoSpaceDE w:val="0"/>
                    <w:autoSpaceDN w:val="0"/>
                    <w:adjustRightInd w:val="0"/>
                    <w:jc w:val="right"/>
                    <w:rPr>
                      <w:rFonts w:ascii="Calibri" w:hAnsi="Calibri" w:cs="Calibri"/>
                      <w:bCs/>
                      <w:color w:val="000000"/>
                      <w:sz w:val="22"/>
                      <w:szCs w:val="22"/>
                    </w:rPr>
                  </w:pPr>
                </w:p>
                <w:p w14:paraId="34A29D10" w14:textId="77777777" w:rsidR="007850A0" w:rsidRPr="00FD297D" w:rsidRDefault="007850A0" w:rsidP="00E43EDE">
                  <w:pPr>
                    <w:widowControl w:val="0"/>
                    <w:tabs>
                      <w:tab w:val="left" w:pos="465"/>
                    </w:tabs>
                    <w:autoSpaceDE w:val="0"/>
                    <w:autoSpaceDN w:val="0"/>
                    <w:adjustRightInd w:val="0"/>
                    <w:jc w:val="right"/>
                    <w:rPr>
                      <w:rFonts w:ascii="Calibri" w:hAnsi="Calibri" w:cs="Calibri"/>
                      <w:bCs/>
                      <w:color w:val="000000"/>
                      <w:sz w:val="22"/>
                      <w:szCs w:val="22"/>
                    </w:rPr>
                  </w:pPr>
                  <w:r>
                    <w:rPr>
                      <w:rFonts w:ascii="Calibri" w:hAnsi="Calibri" w:cs="Calibri"/>
                      <w:bCs/>
                      <w:color w:val="000000"/>
                      <w:sz w:val="22"/>
                      <w:szCs w:val="22"/>
                    </w:rPr>
                    <w:t>-93</w:t>
                  </w:r>
                  <w:r w:rsidRPr="00FD297D">
                    <w:rPr>
                      <w:rFonts w:ascii="Calibri" w:hAnsi="Calibri" w:cs="Calibri"/>
                      <w:bCs/>
                      <w:color w:val="000000"/>
                      <w:sz w:val="22"/>
                      <w:szCs w:val="22"/>
                    </w:rPr>
                    <w:t>%</w:t>
                  </w:r>
                </w:p>
              </w:tc>
              <w:tc>
                <w:tcPr>
                  <w:tcW w:w="1275" w:type="dxa"/>
                  <w:tcBorders>
                    <w:bottom w:val="single" w:sz="12" w:space="0" w:color="auto"/>
                    <w:right w:val="single" w:sz="4" w:space="0" w:color="auto"/>
                  </w:tcBorders>
                  <w:shd w:val="clear" w:color="auto" w:fill="FFFF00"/>
                </w:tcPr>
                <w:p w14:paraId="5D7042F5" w14:textId="77777777" w:rsidR="007850A0" w:rsidRDefault="007850A0" w:rsidP="00E43EDE">
                  <w:pPr>
                    <w:widowControl w:val="0"/>
                    <w:autoSpaceDE w:val="0"/>
                    <w:autoSpaceDN w:val="0"/>
                    <w:adjustRightInd w:val="0"/>
                    <w:jc w:val="right"/>
                    <w:rPr>
                      <w:rFonts w:ascii="Calibri" w:hAnsi="Calibri" w:cs="Calibri"/>
                      <w:b/>
                      <w:bCs/>
                      <w:color w:val="000000"/>
                      <w:sz w:val="22"/>
                      <w:szCs w:val="22"/>
                    </w:rPr>
                  </w:pPr>
                </w:p>
                <w:p w14:paraId="36C58A2B" w14:textId="77777777" w:rsidR="007850A0" w:rsidRPr="00FD297D" w:rsidRDefault="007850A0" w:rsidP="00E43EDE">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14.8</w:t>
                  </w:r>
                </w:p>
              </w:tc>
              <w:tc>
                <w:tcPr>
                  <w:tcW w:w="1276" w:type="dxa"/>
                  <w:tcBorders>
                    <w:bottom w:val="single" w:sz="12" w:space="0" w:color="auto"/>
                    <w:right w:val="single" w:sz="4" w:space="0" w:color="auto"/>
                  </w:tcBorders>
                  <w:shd w:val="clear" w:color="auto" w:fill="auto"/>
                </w:tcPr>
                <w:p w14:paraId="5352734E" w14:textId="77777777" w:rsidR="007850A0" w:rsidRPr="00FD297D" w:rsidRDefault="007850A0" w:rsidP="00E43EDE">
                  <w:pPr>
                    <w:widowControl w:val="0"/>
                    <w:autoSpaceDE w:val="0"/>
                    <w:autoSpaceDN w:val="0"/>
                    <w:adjustRightInd w:val="0"/>
                    <w:jc w:val="right"/>
                    <w:rPr>
                      <w:rFonts w:ascii="Calibri" w:hAnsi="Calibri" w:cs="Calibri"/>
                      <w:color w:val="000000"/>
                      <w:sz w:val="22"/>
                      <w:szCs w:val="22"/>
                    </w:rPr>
                  </w:pPr>
                </w:p>
                <w:p w14:paraId="1D1E4F74" w14:textId="77777777" w:rsidR="007850A0" w:rsidRPr="00FD297D" w:rsidRDefault="007850A0" w:rsidP="00E43EDE">
                  <w:pPr>
                    <w:widowControl w:val="0"/>
                    <w:autoSpaceDE w:val="0"/>
                    <w:autoSpaceDN w:val="0"/>
                    <w:adjustRightInd w:val="0"/>
                    <w:jc w:val="right"/>
                    <w:rPr>
                      <w:rFonts w:ascii="Calibri" w:hAnsi="Calibri" w:cs="Calibri"/>
                      <w:color w:val="000000"/>
                      <w:sz w:val="22"/>
                      <w:szCs w:val="22"/>
                    </w:rPr>
                  </w:pPr>
                  <w:r w:rsidRPr="00FD297D">
                    <w:rPr>
                      <w:rFonts w:ascii="Calibri" w:hAnsi="Calibri" w:cs="Calibri"/>
                      <w:color w:val="000000"/>
                      <w:sz w:val="22"/>
                      <w:szCs w:val="22"/>
                    </w:rPr>
                    <w:t>211.1</w:t>
                  </w:r>
                </w:p>
              </w:tc>
              <w:tc>
                <w:tcPr>
                  <w:tcW w:w="1134" w:type="dxa"/>
                  <w:tcBorders>
                    <w:left w:val="single" w:sz="4" w:space="0" w:color="auto"/>
                    <w:bottom w:val="single" w:sz="12" w:space="0" w:color="auto"/>
                    <w:right w:val="single" w:sz="4" w:space="0" w:color="auto"/>
                  </w:tcBorders>
                  <w:shd w:val="clear" w:color="auto" w:fill="auto"/>
                </w:tcPr>
                <w:p w14:paraId="2EDADFFF" w14:textId="77777777" w:rsidR="007850A0" w:rsidRPr="00FD297D" w:rsidRDefault="007850A0" w:rsidP="00E43EDE">
                  <w:pPr>
                    <w:widowControl w:val="0"/>
                    <w:autoSpaceDE w:val="0"/>
                    <w:autoSpaceDN w:val="0"/>
                    <w:adjustRightInd w:val="0"/>
                    <w:jc w:val="right"/>
                    <w:rPr>
                      <w:rFonts w:ascii="Calibri" w:hAnsi="Calibri" w:cs="Calibri"/>
                      <w:color w:val="000000"/>
                      <w:sz w:val="22"/>
                      <w:szCs w:val="22"/>
                    </w:rPr>
                  </w:pPr>
                </w:p>
                <w:p w14:paraId="1DCFFEB9" w14:textId="77777777" w:rsidR="007850A0" w:rsidRPr="00FD297D" w:rsidRDefault="007850A0" w:rsidP="00E43EDE">
                  <w:pPr>
                    <w:widowControl w:val="0"/>
                    <w:autoSpaceDE w:val="0"/>
                    <w:autoSpaceDN w:val="0"/>
                    <w:adjustRightInd w:val="0"/>
                    <w:jc w:val="right"/>
                    <w:rPr>
                      <w:rFonts w:ascii="Calibri" w:hAnsi="Calibri" w:cs="Calibri"/>
                      <w:color w:val="000000"/>
                      <w:sz w:val="22"/>
                      <w:szCs w:val="22"/>
                    </w:rPr>
                  </w:pPr>
                  <w:r w:rsidRPr="00FD297D">
                    <w:rPr>
                      <w:rFonts w:ascii="Calibri" w:hAnsi="Calibri" w:cs="Calibri"/>
                      <w:color w:val="000000"/>
                      <w:sz w:val="22"/>
                      <w:szCs w:val="22"/>
                    </w:rPr>
                    <w:t>(9.0)</w:t>
                  </w:r>
                </w:p>
              </w:tc>
              <w:tc>
                <w:tcPr>
                  <w:tcW w:w="1159" w:type="dxa"/>
                  <w:tcBorders>
                    <w:left w:val="single" w:sz="4" w:space="0" w:color="auto"/>
                    <w:bottom w:val="single" w:sz="12" w:space="0" w:color="auto"/>
                    <w:right w:val="single" w:sz="4" w:space="0" w:color="auto"/>
                  </w:tcBorders>
                  <w:shd w:val="clear" w:color="auto" w:fill="auto"/>
                </w:tcPr>
                <w:p w14:paraId="4F6BC4D1" w14:textId="77777777" w:rsidR="007850A0" w:rsidRPr="00FD297D" w:rsidRDefault="007850A0" w:rsidP="00E43EDE">
                  <w:pPr>
                    <w:widowControl w:val="0"/>
                    <w:autoSpaceDE w:val="0"/>
                    <w:autoSpaceDN w:val="0"/>
                    <w:adjustRightInd w:val="0"/>
                    <w:jc w:val="right"/>
                    <w:rPr>
                      <w:rFonts w:ascii="Calibri" w:hAnsi="Calibri" w:cs="Calibri"/>
                      <w:color w:val="000000"/>
                      <w:sz w:val="22"/>
                      <w:szCs w:val="22"/>
                    </w:rPr>
                  </w:pPr>
                </w:p>
                <w:p w14:paraId="746A55F2" w14:textId="77777777" w:rsidR="007850A0" w:rsidRPr="00FD297D" w:rsidRDefault="007850A0" w:rsidP="00E43EDE">
                  <w:pPr>
                    <w:widowControl w:val="0"/>
                    <w:autoSpaceDE w:val="0"/>
                    <w:autoSpaceDN w:val="0"/>
                    <w:adjustRightInd w:val="0"/>
                    <w:jc w:val="right"/>
                    <w:rPr>
                      <w:rFonts w:ascii="Calibri" w:hAnsi="Calibri" w:cs="Calibri"/>
                      <w:color w:val="000000"/>
                      <w:sz w:val="22"/>
                      <w:szCs w:val="22"/>
                    </w:rPr>
                  </w:pPr>
                  <w:r w:rsidRPr="00FD297D">
                    <w:rPr>
                      <w:rFonts w:ascii="Calibri" w:hAnsi="Calibri" w:cs="Calibri"/>
                      <w:color w:val="000000"/>
                      <w:sz w:val="22"/>
                      <w:szCs w:val="22"/>
                    </w:rPr>
                    <w:t>202.1</w:t>
                  </w:r>
                </w:p>
              </w:tc>
            </w:tr>
            <w:tr w:rsidR="007850A0" w:rsidRPr="00F72676" w14:paraId="732ECC26" w14:textId="77777777" w:rsidTr="00E43EDE">
              <w:trPr>
                <w:trHeight w:val="52"/>
              </w:trPr>
              <w:tc>
                <w:tcPr>
                  <w:tcW w:w="260" w:type="dxa"/>
                  <w:tcBorders>
                    <w:top w:val="nil"/>
                    <w:left w:val="nil"/>
                    <w:bottom w:val="nil"/>
                    <w:right w:val="nil"/>
                  </w:tcBorders>
                </w:tcPr>
                <w:p w14:paraId="1F41422A" w14:textId="77777777" w:rsidR="007850A0" w:rsidRPr="00FD297D" w:rsidRDefault="007850A0" w:rsidP="00E43EDE">
                  <w:pPr>
                    <w:autoSpaceDE w:val="0"/>
                    <w:autoSpaceDN w:val="0"/>
                    <w:adjustRightInd w:val="0"/>
                    <w:jc w:val="right"/>
                    <w:rPr>
                      <w:rFonts w:ascii="Calibri" w:hAnsi="Calibri" w:cs="Calibri"/>
                      <w:color w:val="000000"/>
                      <w:sz w:val="22"/>
                      <w:szCs w:val="22"/>
                    </w:rPr>
                  </w:pPr>
                </w:p>
              </w:tc>
              <w:tc>
                <w:tcPr>
                  <w:tcW w:w="3993" w:type="dxa"/>
                  <w:tcBorders>
                    <w:top w:val="nil"/>
                    <w:left w:val="nil"/>
                    <w:bottom w:val="nil"/>
                  </w:tcBorders>
                </w:tcPr>
                <w:p w14:paraId="25940FBD" w14:textId="77777777" w:rsidR="007850A0" w:rsidRPr="00FD297D" w:rsidRDefault="007850A0" w:rsidP="00E43EDE">
                  <w:pPr>
                    <w:autoSpaceDE w:val="0"/>
                    <w:autoSpaceDN w:val="0"/>
                    <w:adjustRightInd w:val="0"/>
                    <w:rPr>
                      <w:rFonts w:ascii="Calibri" w:hAnsi="Calibri" w:cs="Calibri"/>
                      <w:color w:val="000000"/>
                      <w:sz w:val="22"/>
                      <w:szCs w:val="22"/>
                    </w:rPr>
                  </w:pPr>
                </w:p>
              </w:tc>
              <w:tc>
                <w:tcPr>
                  <w:tcW w:w="709" w:type="dxa"/>
                  <w:tcBorders>
                    <w:top w:val="nil"/>
                  </w:tcBorders>
                </w:tcPr>
                <w:p w14:paraId="3C2C8E44" w14:textId="77777777" w:rsidR="007850A0" w:rsidRPr="00FD297D" w:rsidRDefault="007850A0" w:rsidP="00E43EDE">
                  <w:pPr>
                    <w:autoSpaceDE w:val="0"/>
                    <w:autoSpaceDN w:val="0"/>
                    <w:adjustRightInd w:val="0"/>
                    <w:jc w:val="right"/>
                    <w:rPr>
                      <w:rFonts w:ascii="Calibri" w:hAnsi="Calibri" w:cs="Calibri"/>
                      <w:b/>
                      <w:bCs/>
                      <w:color w:val="000000"/>
                      <w:sz w:val="22"/>
                      <w:szCs w:val="22"/>
                    </w:rPr>
                  </w:pPr>
                </w:p>
              </w:tc>
              <w:tc>
                <w:tcPr>
                  <w:tcW w:w="851" w:type="dxa"/>
                  <w:tcBorders>
                    <w:right w:val="single" w:sz="4" w:space="0" w:color="auto"/>
                  </w:tcBorders>
                </w:tcPr>
                <w:p w14:paraId="145AA0EB" w14:textId="77777777" w:rsidR="007850A0" w:rsidRPr="00FD297D" w:rsidRDefault="007850A0" w:rsidP="00E43EDE">
                  <w:pPr>
                    <w:autoSpaceDE w:val="0"/>
                    <w:autoSpaceDN w:val="0"/>
                    <w:adjustRightInd w:val="0"/>
                    <w:jc w:val="right"/>
                    <w:rPr>
                      <w:rFonts w:ascii="Calibri" w:hAnsi="Calibri" w:cs="Calibri"/>
                      <w:bCs/>
                      <w:color w:val="000000"/>
                      <w:sz w:val="22"/>
                      <w:szCs w:val="22"/>
                      <w:highlight w:val="yellow"/>
                    </w:rPr>
                  </w:pPr>
                </w:p>
              </w:tc>
              <w:tc>
                <w:tcPr>
                  <w:tcW w:w="1275" w:type="dxa"/>
                  <w:tcBorders>
                    <w:top w:val="single" w:sz="12" w:space="0" w:color="auto"/>
                    <w:right w:val="single" w:sz="4" w:space="0" w:color="auto"/>
                  </w:tcBorders>
                  <w:shd w:val="clear" w:color="auto" w:fill="FFFF00"/>
                </w:tcPr>
                <w:p w14:paraId="73DC2585"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276" w:type="dxa"/>
                  <w:tcBorders>
                    <w:top w:val="single" w:sz="12" w:space="0" w:color="auto"/>
                    <w:right w:val="single" w:sz="4" w:space="0" w:color="auto"/>
                  </w:tcBorders>
                  <w:shd w:val="clear" w:color="auto" w:fill="auto"/>
                </w:tcPr>
                <w:p w14:paraId="5F984A76"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34" w:type="dxa"/>
                  <w:tcBorders>
                    <w:top w:val="single" w:sz="12" w:space="0" w:color="auto"/>
                    <w:left w:val="single" w:sz="4" w:space="0" w:color="auto"/>
                    <w:right w:val="single" w:sz="4" w:space="0" w:color="auto"/>
                  </w:tcBorders>
                  <w:shd w:val="clear" w:color="auto" w:fill="auto"/>
                </w:tcPr>
                <w:p w14:paraId="706D877A"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c>
                <w:tcPr>
                  <w:tcW w:w="1159" w:type="dxa"/>
                  <w:tcBorders>
                    <w:top w:val="single" w:sz="12" w:space="0" w:color="auto"/>
                    <w:left w:val="single" w:sz="4" w:space="0" w:color="auto"/>
                    <w:right w:val="single" w:sz="4" w:space="0" w:color="auto"/>
                  </w:tcBorders>
                  <w:shd w:val="clear" w:color="auto" w:fill="auto"/>
                </w:tcPr>
                <w:p w14:paraId="34F341C4" w14:textId="77777777" w:rsidR="007850A0" w:rsidRPr="00FD297D" w:rsidRDefault="007850A0" w:rsidP="00E43EDE">
                  <w:pPr>
                    <w:autoSpaceDE w:val="0"/>
                    <w:autoSpaceDN w:val="0"/>
                    <w:adjustRightInd w:val="0"/>
                    <w:ind w:left="-226"/>
                    <w:jc w:val="right"/>
                    <w:rPr>
                      <w:rFonts w:ascii="Calibri" w:hAnsi="Calibri" w:cs="Calibri"/>
                      <w:color w:val="000000"/>
                      <w:sz w:val="22"/>
                      <w:szCs w:val="22"/>
                    </w:rPr>
                  </w:pPr>
                </w:p>
              </w:tc>
            </w:tr>
            <w:tr w:rsidR="007850A0" w:rsidRPr="00F72676" w14:paraId="01964B25" w14:textId="77777777" w:rsidTr="00E43EDE">
              <w:trPr>
                <w:trHeight w:val="229"/>
              </w:trPr>
              <w:tc>
                <w:tcPr>
                  <w:tcW w:w="260" w:type="dxa"/>
                  <w:tcBorders>
                    <w:left w:val="nil"/>
                    <w:bottom w:val="nil"/>
                    <w:right w:val="nil"/>
                  </w:tcBorders>
                </w:tcPr>
                <w:p w14:paraId="655AC6BD" w14:textId="77777777" w:rsidR="007850A0" w:rsidRPr="00FD297D" w:rsidRDefault="007850A0" w:rsidP="00E43EDE">
                  <w:pPr>
                    <w:autoSpaceDE w:val="0"/>
                    <w:autoSpaceDN w:val="0"/>
                    <w:adjustRightInd w:val="0"/>
                    <w:rPr>
                      <w:rFonts w:ascii="Calibri" w:hAnsi="Calibri" w:cs="Calibri"/>
                      <w:bCs/>
                      <w:color w:val="000000"/>
                      <w:sz w:val="22"/>
                      <w:szCs w:val="22"/>
                    </w:rPr>
                  </w:pPr>
                </w:p>
              </w:tc>
              <w:tc>
                <w:tcPr>
                  <w:tcW w:w="3993" w:type="dxa"/>
                  <w:tcBorders>
                    <w:left w:val="nil"/>
                    <w:bottom w:val="nil"/>
                  </w:tcBorders>
                </w:tcPr>
                <w:p w14:paraId="66872117" w14:textId="77777777" w:rsidR="007850A0" w:rsidRPr="00FD297D" w:rsidRDefault="007850A0" w:rsidP="00E43EDE">
                  <w:pPr>
                    <w:autoSpaceDE w:val="0"/>
                    <w:autoSpaceDN w:val="0"/>
                    <w:adjustRightInd w:val="0"/>
                    <w:rPr>
                      <w:rFonts w:ascii="Calibri" w:hAnsi="Calibri" w:cs="Calibri"/>
                      <w:sz w:val="22"/>
                      <w:szCs w:val="22"/>
                    </w:rPr>
                  </w:pPr>
                  <w:r w:rsidRPr="00FD297D">
                    <w:rPr>
                      <w:rFonts w:ascii="Calibri" w:hAnsi="Calibri" w:cs="Calibri"/>
                      <w:sz w:val="22"/>
                      <w:szCs w:val="22"/>
                    </w:rPr>
                    <w:t>Earnings per ordinary share (€)</w:t>
                  </w:r>
                </w:p>
              </w:tc>
              <w:tc>
                <w:tcPr>
                  <w:tcW w:w="709" w:type="dxa"/>
                  <w:tcBorders>
                    <w:bottom w:val="nil"/>
                  </w:tcBorders>
                </w:tcPr>
                <w:p w14:paraId="690D66CA" w14:textId="77777777" w:rsidR="007850A0" w:rsidRPr="00FD297D" w:rsidRDefault="007850A0" w:rsidP="00E43EDE">
                  <w:pPr>
                    <w:autoSpaceDE w:val="0"/>
                    <w:autoSpaceDN w:val="0"/>
                    <w:adjustRightInd w:val="0"/>
                    <w:jc w:val="right"/>
                    <w:rPr>
                      <w:rFonts w:ascii="Calibri" w:hAnsi="Calibri" w:cs="Calibri"/>
                      <w:b/>
                      <w:sz w:val="22"/>
                      <w:szCs w:val="22"/>
                    </w:rPr>
                  </w:pPr>
                </w:p>
              </w:tc>
              <w:tc>
                <w:tcPr>
                  <w:tcW w:w="851" w:type="dxa"/>
                  <w:tcBorders>
                    <w:bottom w:val="nil"/>
                    <w:right w:val="single" w:sz="4" w:space="0" w:color="auto"/>
                  </w:tcBorders>
                </w:tcPr>
                <w:p w14:paraId="422D41C1" w14:textId="77777777" w:rsidR="007850A0" w:rsidRPr="00FD297D" w:rsidRDefault="007850A0" w:rsidP="00E43EDE">
                  <w:pPr>
                    <w:autoSpaceDE w:val="0"/>
                    <w:autoSpaceDN w:val="0"/>
                    <w:adjustRightInd w:val="0"/>
                    <w:jc w:val="right"/>
                    <w:rPr>
                      <w:rFonts w:ascii="Calibri" w:hAnsi="Calibri" w:cs="Calibri"/>
                      <w:sz w:val="22"/>
                      <w:szCs w:val="22"/>
                      <w:highlight w:val="yellow"/>
                    </w:rPr>
                  </w:pPr>
                </w:p>
              </w:tc>
              <w:tc>
                <w:tcPr>
                  <w:tcW w:w="1275" w:type="dxa"/>
                  <w:tcBorders>
                    <w:bottom w:val="nil"/>
                    <w:right w:val="single" w:sz="4" w:space="0" w:color="auto"/>
                  </w:tcBorders>
                  <w:shd w:val="clear" w:color="auto" w:fill="FFFF00"/>
                </w:tcPr>
                <w:p w14:paraId="5D4051F1" w14:textId="77777777" w:rsidR="007850A0" w:rsidRPr="00FD297D" w:rsidRDefault="007850A0" w:rsidP="00E43EDE">
                  <w:pPr>
                    <w:autoSpaceDE w:val="0"/>
                    <w:autoSpaceDN w:val="0"/>
                    <w:adjustRightInd w:val="0"/>
                    <w:ind w:left="-226"/>
                    <w:jc w:val="right"/>
                    <w:rPr>
                      <w:rFonts w:ascii="Calibri" w:hAnsi="Calibri" w:cs="Calibri"/>
                      <w:sz w:val="22"/>
                      <w:szCs w:val="22"/>
                    </w:rPr>
                  </w:pPr>
                </w:p>
              </w:tc>
              <w:tc>
                <w:tcPr>
                  <w:tcW w:w="1276" w:type="dxa"/>
                  <w:tcBorders>
                    <w:bottom w:val="nil"/>
                    <w:right w:val="single" w:sz="4" w:space="0" w:color="auto"/>
                  </w:tcBorders>
                  <w:shd w:val="clear" w:color="auto" w:fill="auto"/>
                </w:tcPr>
                <w:p w14:paraId="079479AC" w14:textId="77777777" w:rsidR="007850A0" w:rsidRPr="00FD297D" w:rsidRDefault="007850A0" w:rsidP="00E43EDE">
                  <w:pPr>
                    <w:autoSpaceDE w:val="0"/>
                    <w:autoSpaceDN w:val="0"/>
                    <w:adjustRightInd w:val="0"/>
                    <w:ind w:left="-226"/>
                    <w:jc w:val="right"/>
                    <w:rPr>
                      <w:rFonts w:ascii="Calibri" w:hAnsi="Calibri" w:cs="Calibri"/>
                      <w:sz w:val="22"/>
                      <w:szCs w:val="22"/>
                    </w:rPr>
                  </w:pPr>
                </w:p>
              </w:tc>
              <w:tc>
                <w:tcPr>
                  <w:tcW w:w="1134" w:type="dxa"/>
                  <w:tcBorders>
                    <w:left w:val="single" w:sz="4" w:space="0" w:color="auto"/>
                    <w:bottom w:val="nil"/>
                    <w:right w:val="single" w:sz="4" w:space="0" w:color="auto"/>
                  </w:tcBorders>
                  <w:shd w:val="clear" w:color="auto" w:fill="auto"/>
                </w:tcPr>
                <w:p w14:paraId="660C7D45" w14:textId="77777777" w:rsidR="007850A0" w:rsidRPr="00FD297D" w:rsidRDefault="007850A0" w:rsidP="00E43EDE">
                  <w:pPr>
                    <w:autoSpaceDE w:val="0"/>
                    <w:autoSpaceDN w:val="0"/>
                    <w:adjustRightInd w:val="0"/>
                    <w:ind w:left="-226"/>
                    <w:jc w:val="right"/>
                    <w:rPr>
                      <w:rFonts w:ascii="Calibri" w:hAnsi="Calibri" w:cs="Calibri"/>
                      <w:sz w:val="22"/>
                      <w:szCs w:val="22"/>
                    </w:rPr>
                  </w:pPr>
                </w:p>
              </w:tc>
              <w:tc>
                <w:tcPr>
                  <w:tcW w:w="1159" w:type="dxa"/>
                  <w:tcBorders>
                    <w:left w:val="single" w:sz="4" w:space="0" w:color="auto"/>
                    <w:bottom w:val="nil"/>
                    <w:right w:val="single" w:sz="4" w:space="0" w:color="auto"/>
                  </w:tcBorders>
                  <w:shd w:val="clear" w:color="auto" w:fill="auto"/>
                </w:tcPr>
                <w:p w14:paraId="082EAC57" w14:textId="77777777" w:rsidR="007850A0" w:rsidRPr="00FD297D" w:rsidRDefault="007850A0" w:rsidP="00E43EDE">
                  <w:pPr>
                    <w:autoSpaceDE w:val="0"/>
                    <w:autoSpaceDN w:val="0"/>
                    <w:adjustRightInd w:val="0"/>
                    <w:ind w:left="-226"/>
                    <w:jc w:val="right"/>
                    <w:rPr>
                      <w:rFonts w:ascii="Calibri" w:hAnsi="Calibri" w:cs="Calibri"/>
                      <w:sz w:val="22"/>
                      <w:szCs w:val="22"/>
                    </w:rPr>
                  </w:pPr>
                </w:p>
              </w:tc>
            </w:tr>
            <w:tr w:rsidR="007850A0" w:rsidRPr="00F72676" w14:paraId="636AC24A" w14:textId="77777777" w:rsidTr="00E43EDE">
              <w:trPr>
                <w:trHeight w:val="229"/>
              </w:trPr>
              <w:tc>
                <w:tcPr>
                  <w:tcW w:w="260" w:type="dxa"/>
                  <w:tcBorders>
                    <w:top w:val="nil"/>
                    <w:left w:val="nil"/>
                    <w:bottom w:val="nil"/>
                    <w:right w:val="nil"/>
                  </w:tcBorders>
                </w:tcPr>
                <w:p w14:paraId="7DCD6D21" w14:textId="77777777" w:rsidR="007850A0" w:rsidRPr="00FD297D" w:rsidRDefault="007850A0" w:rsidP="00E43EDE">
                  <w:pPr>
                    <w:autoSpaceDE w:val="0"/>
                    <w:autoSpaceDN w:val="0"/>
                    <w:adjustRightInd w:val="0"/>
                    <w:rPr>
                      <w:rFonts w:ascii="Calibri" w:hAnsi="Calibri" w:cs="Calibri"/>
                      <w:color w:val="000000"/>
                      <w:sz w:val="22"/>
                      <w:szCs w:val="22"/>
                    </w:rPr>
                  </w:pPr>
                </w:p>
              </w:tc>
              <w:tc>
                <w:tcPr>
                  <w:tcW w:w="3993" w:type="dxa"/>
                  <w:tcBorders>
                    <w:top w:val="nil"/>
                    <w:left w:val="nil"/>
                    <w:bottom w:val="nil"/>
                  </w:tcBorders>
                </w:tcPr>
                <w:p w14:paraId="4CE08F03" w14:textId="77777777" w:rsidR="007850A0" w:rsidRPr="00FD297D" w:rsidRDefault="007850A0" w:rsidP="00E43EDE">
                  <w:pPr>
                    <w:autoSpaceDE w:val="0"/>
                    <w:autoSpaceDN w:val="0"/>
                    <w:adjustRightInd w:val="0"/>
                    <w:rPr>
                      <w:rFonts w:ascii="Calibri" w:hAnsi="Calibri" w:cs="Calibri"/>
                      <w:sz w:val="22"/>
                      <w:szCs w:val="22"/>
                    </w:rPr>
                  </w:pPr>
                  <w:r w:rsidRPr="00FD297D">
                    <w:rPr>
                      <w:rFonts w:ascii="Calibri" w:hAnsi="Calibri" w:cs="Calibri"/>
                      <w:sz w:val="22"/>
                      <w:szCs w:val="22"/>
                    </w:rPr>
                    <w:t>Basic</w:t>
                  </w:r>
                </w:p>
              </w:tc>
              <w:tc>
                <w:tcPr>
                  <w:tcW w:w="709" w:type="dxa"/>
                  <w:tcBorders>
                    <w:top w:val="nil"/>
                    <w:bottom w:val="nil"/>
                  </w:tcBorders>
                </w:tcPr>
                <w:p w14:paraId="5DDB4D6A" w14:textId="77777777" w:rsidR="007850A0" w:rsidRPr="00FD297D" w:rsidRDefault="007850A0" w:rsidP="00E43EDE">
                  <w:pPr>
                    <w:autoSpaceDE w:val="0"/>
                    <w:autoSpaceDN w:val="0"/>
                    <w:adjustRightInd w:val="0"/>
                    <w:jc w:val="right"/>
                    <w:rPr>
                      <w:rFonts w:ascii="Calibri" w:hAnsi="Calibri" w:cs="Calibri"/>
                      <w:b/>
                      <w:bCs/>
                      <w:sz w:val="22"/>
                      <w:szCs w:val="22"/>
                    </w:rPr>
                  </w:pPr>
                </w:p>
              </w:tc>
              <w:tc>
                <w:tcPr>
                  <w:tcW w:w="851" w:type="dxa"/>
                  <w:tcBorders>
                    <w:top w:val="nil"/>
                    <w:bottom w:val="nil"/>
                    <w:right w:val="single" w:sz="4" w:space="0" w:color="auto"/>
                  </w:tcBorders>
                </w:tcPr>
                <w:p w14:paraId="4135C7DB" w14:textId="77777777" w:rsidR="007850A0" w:rsidRPr="00FD297D" w:rsidRDefault="007850A0" w:rsidP="00E43EDE">
                  <w:pPr>
                    <w:widowControl w:val="0"/>
                    <w:autoSpaceDE w:val="0"/>
                    <w:autoSpaceDN w:val="0"/>
                    <w:adjustRightInd w:val="0"/>
                    <w:jc w:val="right"/>
                    <w:rPr>
                      <w:rFonts w:ascii="Calibri" w:hAnsi="Calibri" w:cs="Calibri"/>
                      <w:bCs/>
                      <w:sz w:val="22"/>
                      <w:szCs w:val="22"/>
                      <w:highlight w:val="green"/>
                    </w:rPr>
                  </w:pPr>
                </w:p>
              </w:tc>
              <w:tc>
                <w:tcPr>
                  <w:tcW w:w="1275" w:type="dxa"/>
                  <w:tcBorders>
                    <w:top w:val="nil"/>
                    <w:bottom w:val="nil"/>
                    <w:right w:val="single" w:sz="4" w:space="0" w:color="auto"/>
                  </w:tcBorders>
                  <w:shd w:val="clear" w:color="auto" w:fill="FFFF00"/>
                </w:tcPr>
                <w:p w14:paraId="4740E90F"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0.0130</w:t>
                  </w:r>
                </w:p>
              </w:tc>
              <w:tc>
                <w:tcPr>
                  <w:tcW w:w="1276" w:type="dxa"/>
                  <w:tcBorders>
                    <w:top w:val="nil"/>
                    <w:bottom w:val="nil"/>
                    <w:right w:val="single" w:sz="4" w:space="0" w:color="auto"/>
                  </w:tcBorders>
                  <w:shd w:val="clear" w:color="auto" w:fill="auto"/>
                </w:tcPr>
                <w:p w14:paraId="2039CFC0"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tcPr>
                <w:p w14:paraId="64E3B06B"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p>
              </w:tc>
              <w:tc>
                <w:tcPr>
                  <w:tcW w:w="1159" w:type="dxa"/>
                  <w:tcBorders>
                    <w:top w:val="nil"/>
                    <w:left w:val="single" w:sz="4" w:space="0" w:color="auto"/>
                    <w:bottom w:val="nil"/>
                    <w:right w:val="single" w:sz="4" w:space="0" w:color="auto"/>
                  </w:tcBorders>
                  <w:shd w:val="clear" w:color="auto" w:fill="auto"/>
                </w:tcPr>
                <w:p w14:paraId="0DF3F781"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0.1776</w:t>
                  </w:r>
                </w:p>
              </w:tc>
            </w:tr>
            <w:tr w:rsidR="007850A0" w:rsidRPr="00F72676" w14:paraId="6C332F93" w14:textId="77777777" w:rsidTr="00E43EDE">
              <w:trPr>
                <w:trHeight w:val="229"/>
              </w:trPr>
              <w:tc>
                <w:tcPr>
                  <w:tcW w:w="260" w:type="dxa"/>
                  <w:tcBorders>
                    <w:top w:val="nil"/>
                    <w:left w:val="nil"/>
                    <w:bottom w:val="nil"/>
                    <w:right w:val="nil"/>
                  </w:tcBorders>
                </w:tcPr>
                <w:p w14:paraId="11AC7417" w14:textId="77777777" w:rsidR="007850A0" w:rsidRPr="00FD297D" w:rsidRDefault="007850A0" w:rsidP="00E43EDE">
                  <w:pPr>
                    <w:autoSpaceDE w:val="0"/>
                    <w:autoSpaceDN w:val="0"/>
                    <w:adjustRightInd w:val="0"/>
                    <w:rPr>
                      <w:rFonts w:ascii="Calibri" w:hAnsi="Calibri" w:cs="Calibri"/>
                      <w:color w:val="000000"/>
                      <w:sz w:val="22"/>
                      <w:szCs w:val="22"/>
                    </w:rPr>
                  </w:pPr>
                </w:p>
              </w:tc>
              <w:tc>
                <w:tcPr>
                  <w:tcW w:w="3993" w:type="dxa"/>
                  <w:tcBorders>
                    <w:top w:val="nil"/>
                    <w:left w:val="nil"/>
                    <w:bottom w:val="nil"/>
                  </w:tcBorders>
                </w:tcPr>
                <w:p w14:paraId="1FEE5CB7" w14:textId="77777777" w:rsidR="007850A0" w:rsidRPr="00FD297D" w:rsidRDefault="007850A0" w:rsidP="00E43EDE">
                  <w:pPr>
                    <w:autoSpaceDE w:val="0"/>
                    <w:autoSpaceDN w:val="0"/>
                    <w:adjustRightInd w:val="0"/>
                    <w:rPr>
                      <w:rFonts w:ascii="Calibri" w:hAnsi="Calibri" w:cs="Calibri"/>
                      <w:sz w:val="22"/>
                      <w:szCs w:val="22"/>
                    </w:rPr>
                  </w:pPr>
                  <w:r w:rsidRPr="00FD297D">
                    <w:rPr>
                      <w:rFonts w:ascii="Calibri" w:hAnsi="Calibri" w:cs="Calibri"/>
                      <w:sz w:val="22"/>
                      <w:szCs w:val="22"/>
                    </w:rPr>
                    <w:t>Diluted</w:t>
                  </w:r>
                </w:p>
              </w:tc>
              <w:tc>
                <w:tcPr>
                  <w:tcW w:w="709" w:type="dxa"/>
                  <w:tcBorders>
                    <w:top w:val="nil"/>
                    <w:bottom w:val="nil"/>
                  </w:tcBorders>
                </w:tcPr>
                <w:p w14:paraId="1667A177" w14:textId="77777777" w:rsidR="007850A0" w:rsidRPr="00FD297D" w:rsidRDefault="007850A0" w:rsidP="00E43EDE">
                  <w:pPr>
                    <w:autoSpaceDE w:val="0"/>
                    <w:autoSpaceDN w:val="0"/>
                    <w:adjustRightInd w:val="0"/>
                    <w:jc w:val="right"/>
                    <w:rPr>
                      <w:rFonts w:ascii="Calibri" w:hAnsi="Calibri" w:cs="Calibri"/>
                      <w:b/>
                      <w:bCs/>
                      <w:sz w:val="22"/>
                      <w:szCs w:val="22"/>
                    </w:rPr>
                  </w:pPr>
                </w:p>
              </w:tc>
              <w:tc>
                <w:tcPr>
                  <w:tcW w:w="851" w:type="dxa"/>
                  <w:tcBorders>
                    <w:top w:val="nil"/>
                    <w:bottom w:val="nil"/>
                    <w:right w:val="single" w:sz="4" w:space="0" w:color="auto"/>
                  </w:tcBorders>
                </w:tcPr>
                <w:p w14:paraId="20AA0290" w14:textId="77777777" w:rsidR="007850A0" w:rsidRPr="00FD297D" w:rsidRDefault="007850A0" w:rsidP="00E43EDE">
                  <w:pPr>
                    <w:widowControl w:val="0"/>
                    <w:autoSpaceDE w:val="0"/>
                    <w:autoSpaceDN w:val="0"/>
                    <w:adjustRightInd w:val="0"/>
                    <w:jc w:val="right"/>
                    <w:rPr>
                      <w:rFonts w:ascii="Calibri" w:hAnsi="Calibri" w:cs="Calibri"/>
                      <w:bCs/>
                      <w:sz w:val="22"/>
                      <w:szCs w:val="22"/>
                      <w:highlight w:val="green"/>
                    </w:rPr>
                  </w:pPr>
                </w:p>
              </w:tc>
              <w:tc>
                <w:tcPr>
                  <w:tcW w:w="1275" w:type="dxa"/>
                  <w:tcBorders>
                    <w:top w:val="nil"/>
                    <w:bottom w:val="nil"/>
                    <w:right w:val="single" w:sz="4" w:space="0" w:color="auto"/>
                  </w:tcBorders>
                  <w:shd w:val="clear" w:color="auto" w:fill="FFFF00"/>
                </w:tcPr>
                <w:p w14:paraId="353107DC"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0.0129</w:t>
                  </w:r>
                </w:p>
              </w:tc>
              <w:tc>
                <w:tcPr>
                  <w:tcW w:w="1276" w:type="dxa"/>
                  <w:tcBorders>
                    <w:top w:val="nil"/>
                    <w:bottom w:val="nil"/>
                    <w:right w:val="single" w:sz="4" w:space="0" w:color="auto"/>
                  </w:tcBorders>
                  <w:shd w:val="clear" w:color="auto" w:fill="auto"/>
                </w:tcPr>
                <w:p w14:paraId="35074995"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tcPr>
                <w:p w14:paraId="739E979E"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p>
              </w:tc>
              <w:tc>
                <w:tcPr>
                  <w:tcW w:w="1159" w:type="dxa"/>
                  <w:tcBorders>
                    <w:top w:val="nil"/>
                    <w:left w:val="single" w:sz="4" w:space="0" w:color="auto"/>
                    <w:bottom w:val="nil"/>
                    <w:right w:val="single" w:sz="4" w:space="0" w:color="auto"/>
                  </w:tcBorders>
                  <w:shd w:val="clear" w:color="auto" w:fill="auto"/>
                </w:tcPr>
                <w:p w14:paraId="262B74F9"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0.1773</w:t>
                  </w:r>
                </w:p>
              </w:tc>
            </w:tr>
            <w:tr w:rsidR="007850A0" w:rsidRPr="00F72676" w14:paraId="28EFB40D" w14:textId="77777777" w:rsidTr="00E43EDE">
              <w:trPr>
                <w:trHeight w:val="229"/>
              </w:trPr>
              <w:tc>
                <w:tcPr>
                  <w:tcW w:w="260" w:type="dxa"/>
                  <w:tcBorders>
                    <w:top w:val="nil"/>
                    <w:left w:val="nil"/>
                    <w:bottom w:val="nil"/>
                    <w:right w:val="nil"/>
                  </w:tcBorders>
                </w:tcPr>
                <w:p w14:paraId="02B5004F" w14:textId="77777777" w:rsidR="007850A0" w:rsidRPr="00FD297D" w:rsidRDefault="007850A0" w:rsidP="00E43EDE">
                  <w:pPr>
                    <w:autoSpaceDE w:val="0"/>
                    <w:autoSpaceDN w:val="0"/>
                    <w:adjustRightInd w:val="0"/>
                    <w:rPr>
                      <w:rFonts w:ascii="Calibri" w:hAnsi="Calibri" w:cs="Calibri"/>
                      <w:color w:val="000000"/>
                      <w:sz w:val="22"/>
                      <w:szCs w:val="22"/>
                    </w:rPr>
                  </w:pPr>
                </w:p>
              </w:tc>
              <w:tc>
                <w:tcPr>
                  <w:tcW w:w="3993" w:type="dxa"/>
                  <w:tcBorders>
                    <w:top w:val="nil"/>
                    <w:left w:val="nil"/>
                    <w:bottom w:val="nil"/>
                  </w:tcBorders>
                </w:tcPr>
                <w:p w14:paraId="74D98B5F" w14:textId="77777777" w:rsidR="007850A0" w:rsidRPr="00FD297D" w:rsidRDefault="007850A0" w:rsidP="00E43EDE">
                  <w:pPr>
                    <w:autoSpaceDE w:val="0"/>
                    <w:autoSpaceDN w:val="0"/>
                    <w:adjustRightInd w:val="0"/>
                    <w:ind w:right="-128"/>
                    <w:rPr>
                      <w:rFonts w:ascii="Calibri" w:hAnsi="Calibri" w:cs="Calibri"/>
                      <w:sz w:val="22"/>
                      <w:szCs w:val="22"/>
                    </w:rPr>
                  </w:pPr>
                  <w:r w:rsidRPr="00FD297D">
                    <w:rPr>
                      <w:rFonts w:ascii="Calibri" w:hAnsi="Calibri" w:cs="Calibri"/>
                      <w:sz w:val="22"/>
                      <w:szCs w:val="22"/>
                    </w:rPr>
                    <w:t>Weighted avg. no. ord. shares (in Ms)</w:t>
                  </w:r>
                </w:p>
              </w:tc>
              <w:tc>
                <w:tcPr>
                  <w:tcW w:w="709" w:type="dxa"/>
                  <w:tcBorders>
                    <w:top w:val="nil"/>
                    <w:bottom w:val="nil"/>
                  </w:tcBorders>
                </w:tcPr>
                <w:p w14:paraId="58C4AFF4" w14:textId="77777777" w:rsidR="007850A0" w:rsidRPr="00FD297D" w:rsidRDefault="007850A0" w:rsidP="00E43EDE">
                  <w:pPr>
                    <w:autoSpaceDE w:val="0"/>
                    <w:autoSpaceDN w:val="0"/>
                    <w:adjustRightInd w:val="0"/>
                    <w:jc w:val="right"/>
                    <w:rPr>
                      <w:rFonts w:ascii="Calibri" w:hAnsi="Calibri" w:cs="Calibri"/>
                      <w:b/>
                      <w:bCs/>
                      <w:sz w:val="22"/>
                      <w:szCs w:val="22"/>
                    </w:rPr>
                  </w:pPr>
                </w:p>
              </w:tc>
              <w:tc>
                <w:tcPr>
                  <w:tcW w:w="851" w:type="dxa"/>
                  <w:tcBorders>
                    <w:top w:val="nil"/>
                    <w:bottom w:val="nil"/>
                    <w:right w:val="single" w:sz="4" w:space="0" w:color="auto"/>
                  </w:tcBorders>
                </w:tcPr>
                <w:p w14:paraId="0C9EF88A" w14:textId="77777777" w:rsidR="007850A0" w:rsidRPr="00FD297D" w:rsidRDefault="007850A0" w:rsidP="00E43EDE">
                  <w:pPr>
                    <w:autoSpaceDE w:val="0"/>
                    <w:autoSpaceDN w:val="0"/>
                    <w:adjustRightInd w:val="0"/>
                    <w:jc w:val="right"/>
                    <w:rPr>
                      <w:rFonts w:ascii="Calibri" w:hAnsi="Calibri" w:cs="Calibri"/>
                      <w:bCs/>
                      <w:sz w:val="22"/>
                      <w:szCs w:val="22"/>
                      <w:highlight w:val="green"/>
                    </w:rPr>
                  </w:pPr>
                </w:p>
              </w:tc>
              <w:tc>
                <w:tcPr>
                  <w:tcW w:w="1275" w:type="dxa"/>
                  <w:tcBorders>
                    <w:top w:val="nil"/>
                    <w:right w:val="single" w:sz="4" w:space="0" w:color="auto"/>
                  </w:tcBorders>
                  <w:shd w:val="clear" w:color="auto" w:fill="FFFF00"/>
                </w:tcPr>
                <w:p w14:paraId="49B171E4" w14:textId="77777777" w:rsidR="007850A0" w:rsidRPr="00FD297D" w:rsidRDefault="007850A0" w:rsidP="00E43EDE">
                  <w:pPr>
                    <w:autoSpaceDE w:val="0"/>
                    <w:autoSpaceDN w:val="0"/>
                    <w:adjustRightInd w:val="0"/>
                    <w:ind w:left="-226"/>
                    <w:jc w:val="right"/>
                    <w:rPr>
                      <w:rFonts w:ascii="Calibri" w:hAnsi="Calibri" w:cs="Calibri"/>
                      <w:b/>
                      <w:bCs/>
                      <w:sz w:val="22"/>
                      <w:szCs w:val="22"/>
                    </w:rPr>
                  </w:pPr>
                </w:p>
              </w:tc>
              <w:tc>
                <w:tcPr>
                  <w:tcW w:w="1276" w:type="dxa"/>
                  <w:tcBorders>
                    <w:top w:val="nil"/>
                    <w:right w:val="single" w:sz="4" w:space="0" w:color="auto"/>
                  </w:tcBorders>
                  <w:shd w:val="clear" w:color="auto" w:fill="auto"/>
                </w:tcPr>
                <w:p w14:paraId="376B14AA" w14:textId="77777777" w:rsidR="007850A0" w:rsidRPr="00FD297D" w:rsidRDefault="007850A0" w:rsidP="00E43EDE">
                  <w:pPr>
                    <w:autoSpaceDE w:val="0"/>
                    <w:autoSpaceDN w:val="0"/>
                    <w:adjustRightInd w:val="0"/>
                    <w:ind w:left="-226"/>
                    <w:jc w:val="right"/>
                    <w:rPr>
                      <w:rFonts w:ascii="Calibri" w:hAnsi="Calibri" w:cs="Calibri"/>
                      <w:sz w:val="22"/>
                      <w:szCs w:val="22"/>
                    </w:rPr>
                  </w:pPr>
                </w:p>
              </w:tc>
              <w:tc>
                <w:tcPr>
                  <w:tcW w:w="1134" w:type="dxa"/>
                  <w:tcBorders>
                    <w:top w:val="nil"/>
                    <w:left w:val="single" w:sz="4" w:space="0" w:color="auto"/>
                    <w:right w:val="single" w:sz="4" w:space="0" w:color="auto"/>
                  </w:tcBorders>
                  <w:shd w:val="clear" w:color="auto" w:fill="auto"/>
                </w:tcPr>
                <w:p w14:paraId="2204999F" w14:textId="77777777" w:rsidR="007850A0" w:rsidRPr="00FD297D" w:rsidRDefault="007850A0" w:rsidP="00E43EDE">
                  <w:pPr>
                    <w:autoSpaceDE w:val="0"/>
                    <w:autoSpaceDN w:val="0"/>
                    <w:adjustRightInd w:val="0"/>
                    <w:ind w:left="-226"/>
                    <w:jc w:val="right"/>
                    <w:rPr>
                      <w:rFonts w:ascii="Calibri" w:hAnsi="Calibri" w:cs="Calibri"/>
                      <w:sz w:val="22"/>
                      <w:szCs w:val="22"/>
                    </w:rPr>
                  </w:pPr>
                </w:p>
              </w:tc>
              <w:tc>
                <w:tcPr>
                  <w:tcW w:w="1159" w:type="dxa"/>
                  <w:tcBorders>
                    <w:top w:val="nil"/>
                    <w:left w:val="single" w:sz="4" w:space="0" w:color="auto"/>
                    <w:bottom w:val="nil"/>
                    <w:right w:val="single" w:sz="4" w:space="0" w:color="auto"/>
                  </w:tcBorders>
                  <w:shd w:val="clear" w:color="auto" w:fill="auto"/>
                </w:tcPr>
                <w:p w14:paraId="258636C4" w14:textId="77777777" w:rsidR="007850A0" w:rsidRPr="00FD297D" w:rsidRDefault="007850A0" w:rsidP="00E43EDE">
                  <w:pPr>
                    <w:autoSpaceDE w:val="0"/>
                    <w:autoSpaceDN w:val="0"/>
                    <w:adjustRightInd w:val="0"/>
                    <w:ind w:left="-226"/>
                    <w:jc w:val="right"/>
                    <w:rPr>
                      <w:rFonts w:ascii="Calibri" w:hAnsi="Calibri" w:cs="Calibri"/>
                      <w:sz w:val="22"/>
                      <w:szCs w:val="22"/>
                    </w:rPr>
                  </w:pPr>
                </w:p>
              </w:tc>
            </w:tr>
            <w:tr w:rsidR="007850A0" w:rsidRPr="00F72676" w14:paraId="21AEBAE7" w14:textId="77777777" w:rsidTr="00E43EDE">
              <w:trPr>
                <w:trHeight w:val="229"/>
              </w:trPr>
              <w:tc>
                <w:tcPr>
                  <w:tcW w:w="260" w:type="dxa"/>
                  <w:tcBorders>
                    <w:top w:val="nil"/>
                    <w:left w:val="nil"/>
                    <w:bottom w:val="nil"/>
                    <w:right w:val="nil"/>
                  </w:tcBorders>
                </w:tcPr>
                <w:p w14:paraId="0EDB2F11" w14:textId="77777777" w:rsidR="007850A0" w:rsidRPr="00FD297D" w:rsidRDefault="007850A0" w:rsidP="00E43EDE">
                  <w:pPr>
                    <w:autoSpaceDE w:val="0"/>
                    <w:autoSpaceDN w:val="0"/>
                    <w:adjustRightInd w:val="0"/>
                    <w:rPr>
                      <w:rFonts w:ascii="Calibri" w:hAnsi="Calibri" w:cs="Calibri"/>
                      <w:color w:val="000000"/>
                      <w:sz w:val="22"/>
                      <w:szCs w:val="22"/>
                    </w:rPr>
                  </w:pPr>
                </w:p>
              </w:tc>
              <w:tc>
                <w:tcPr>
                  <w:tcW w:w="3993" w:type="dxa"/>
                  <w:tcBorders>
                    <w:top w:val="nil"/>
                    <w:left w:val="nil"/>
                    <w:bottom w:val="nil"/>
                  </w:tcBorders>
                </w:tcPr>
                <w:p w14:paraId="09A95893" w14:textId="77777777" w:rsidR="007850A0" w:rsidRPr="00FD297D" w:rsidRDefault="007850A0" w:rsidP="00E43EDE">
                  <w:pPr>
                    <w:autoSpaceDE w:val="0"/>
                    <w:autoSpaceDN w:val="0"/>
                    <w:adjustRightInd w:val="0"/>
                    <w:rPr>
                      <w:rFonts w:ascii="Calibri" w:hAnsi="Calibri" w:cs="Calibri"/>
                      <w:sz w:val="22"/>
                      <w:szCs w:val="22"/>
                    </w:rPr>
                  </w:pPr>
                  <w:r w:rsidRPr="00FD297D">
                    <w:rPr>
                      <w:rFonts w:ascii="Calibri" w:hAnsi="Calibri" w:cs="Calibri"/>
                      <w:sz w:val="22"/>
                      <w:szCs w:val="22"/>
                    </w:rPr>
                    <w:t>Basic</w:t>
                  </w:r>
                </w:p>
              </w:tc>
              <w:tc>
                <w:tcPr>
                  <w:tcW w:w="709" w:type="dxa"/>
                  <w:tcBorders>
                    <w:top w:val="nil"/>
                    <w:bottom w:val="nil"/>
                  </w:tcBorders>
                </w:tcPr>
                <w:p w14:paraId="40B7B820" w14:textId="77777777" w:rsidR="007850A0" w:rsidRPr="00FD297D" w:rsidRDefault="007850A0" w:rsidP="00E43EDE">
                  <w:pPr>
                    <w:autoSpaceDE w:val="0"/>
                    <w:autoSpaceDN w:val="0"/>
                    <w:adjustRightInd w:val="0"/>
                    <w:jc w:val="right"/>
                    <w:rPr>
                      <w:rFonts w:ascii="Calibri" w:hAnsi="Calibri" w:cs="Calibri"/>
                      <w:b/>
                      <w:bCs/>
                      <w:sz w:val="22"/>
                      <w:szCs w:val="22"/>
                    </w:rPr>
                  </w:pPr>
                </w:p>
              </w:tc>
              <w:tc>
                <w:tcPr>
                  <w:tcW w:w="851" w:type="dxa"/>
                  <w:tcBorders>
                    <w:top w:val="nil"/>
                    <w:bottom w:val="nil"/>
                    <w:right w:val="single" w:sz="4" w:space="0" w:color="auto"/>
                  </w:tcBorders>
                </w:tcPr>
                <w:p w14:paraId="631F6A5B" w14:textId="77777777" w:rsidR="007850A0" w:rsidRPr="00FD297D" w:rsidRDefault="007850A0" w:rsidP="00E43EDE">
                  <w:pPr>
                    <w:autoSpaceDE w:val="0"/>
                    <w:autoSpaceDN w:val="0"/>
                    <w:adjustRightInd w:val="0"/>
                    <w:jc w:val="right"/>
                    <w:rPr>
                      <w:rFonts w:ascii="Calibri" w:hAnsi="Calibri" w:cs="Calibri"/>
                      <w:bCs/>
                      <w:sz w:val="22"/>
                      <w:szCs w:val="22"/>
                      <w:highlight w:val="green"/>
                    </w:rPr>
                  </w:pPr>
                </w:p>
              </w:tc>
              <w:tc>
                <w:tcPr>
                  <w:tcW w:w="1275" w:type="dxa"/>
                  <w:tcBorders>
                    <w:top w:val="nil"/>
                    <w:right w:val="single" w:sz="4" w:space="0" w:color="auto"/>
                  </w:tcBorders>
                  <w:shd w:val="clear" w:color="auto" w:fill="FFFF00"/>
                </w:tcPr>
                <w:p w14:paraId="474010E1"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1,139.3</w:t>
                  </w:r>
                </w:p>
              </w:tc>
              <w:tc>
                <w:tcPr>
                  <w:tcW w:w="1276" w:type="dxa"/>
                  <w:tcBorders>
                    <w:top w:val="nil"/>
                    <w:right w:val="single" w:sz="4" w:space="0" w:color="auto"/>
                  </w:tcBorders>
                  <w:shd w:val="clear" w:color="auto" w:fill="auto"/>
                </w:tcPr>
                <w:p w14:paraId="7FD4702F"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tcPr>
                <w:p w14:paraId="13E0C339"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p>
              </w:tc>
              <w:tc>
                <w:tcPr>
                  <w:tcW w:w="1159" w:type="dxa"/>
                  <w:tcBorders>
                    <w:top w:val="nil"/>
                    <w:left w:val="single" w:sz="4" w:space="0" w:color="auto"/>
                    <w:bottom w:val="nil"/>
                    <w:right w:val="single" w:sz="4" w:space="0" w:color="auto"/>
                  </w:tcBorders>
                  <w:shd w:val="clear" w:color="auto" w:fill="auto"/>
                </w:tcPr>
                <w:p w14:paraId="30AE16D5"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1,138.0</w:t>
                  </w:r>
                </w:p>
              </w:tc>
            </w:tr>
            <w:tr w:rsidR="007850A0" w:rsidRPr="00F72676" w14:paraId="1D773E40" w14:textId="77777777" w:rsidTr="00E43EDE">
              <w:trPr>
                <w:trHeight w:val="229"/>
              </w:trPr>
              <w:tc>
                <w:tcPr>
                  <w:tcW w:w="260" w:type="dxa"/>
                  <w:tcBorders>
                    <w:top w:val="nil"/>
                    <w:left w:val="nil"/>
                    <w:bottom w:val="nil"/>
                    <w:right w:val="nil"/>
                  </w:tcBorders>
                </w:tcPr>
                <w:p w14:paraId="4744FB5F" w14:textId="77777777" w:rsidR="007850A0" w:rsidRPr="00FD297D" w:rsidRDefault="007850A0" w:rsidP="00E43EDE">
                  <w:pPr>
                    <w:autoSpaceDE w:val="0"/>
                    <w:autoSpaceDN w:val="0"/>
                    <w:adjustRightInd w:val="0"/>
                    <w:rPr>
                      <w:rFonts w:ascii="Calibri" w:hAnsi="Calibri" w:cs="Calibri"/>
                      <w:color w:val="000000"/>
                      <w:sz w:val="22"/>
                      <w:szCs w:val="22"/>
                    </w:rPr>
                  </w:pPr>
                </w:p>
              </w:tc>
              <w:tc>
                <w:tcPr>
                  <w:tcW w:w="3993" w:type="dxa"/>
                  <w:tcBorders>
                    <w:top w:val="nil"/>
                    <w:left w:val="nil"/>
                    <w:bottom w:val="nil"/>
                  </w:tcBorders>
                </w:tcPr>
                <w:p w14:paraId="3C6C41FB" w14:textId="77777777" w:rsidR="007850A0" w:rsidRPr="00FD297D" w:rsidRDefault="007850A0" w:rsidP="00E43EDE">
                  <w:pPr>
                    <w:autoSpaceDE w:val="0"/>
                    <w:autoSpaceDN w:val="0"/>
                    <w:adjustRightInd w:val="0"/>
                    <w:rPr>
                      <w:rFonts w:ascii="Calibri" w:hAnsi="Calibri" w:cs="Calibri"/>
                      <w:sz w:val="22"/>
                      <w:szCs w:val="22"/>
                    </w:rPr>
                  </w:pPr>
                  <w:r w:rsidRPr="00FD297D">
                    <w:rPr>
                      <w:rFonts w:ascii="Calibri" w:hAnsi="Calibri" w:cs="Calibri"/>
                      <w:sz w:val="22"/>
                      <w:szCs w:val="22"/>
                    </w:rPr>
                    <w:t>Diluted</w:t>
                  </w:r>
                </w:p>
              </w:tc>
              <w:tc>
                <w:tcPr>
                  <w:tcW w:w="709" w:type="dxa"/>
                  <w:tcBorders>
                    <w:top w:val="nil"/>
                  </w:tcBorders>
                </w:tcPr>
                <w:p w14:paraId="202C0530" w14:textId="77777777" w:rsidR="007850A0" w:rsidRPr="00FD297D" w:rsidRDefault="007850A0" w:rsidP="00E43EDE">
                  <w:pPr>
                    <w:autoSpaceDE w:val="0"/>
                    <w:autoSpaceDN w:val="0"/>
                    <w:adjustRightInd w:val="0"/>
                    <w:jc w:val="right"/>
                    <w:rPr>
                      <w:rFonts w:ascii="Calibri" w:hAnsi="Calibri" w:cs="Calibri"/>
                      <w:b/>
                      <w:bCs/>
                      <w:sz w:val="22"/>
                      <w:szCs w:val="22"/>
                    </w:rPr>
                  </w:pPr>
                </w:p>
              </w:tc>
              <w:tc>
                <w:tcPr>
                  <w:tcW w:w="851" w:type="dxa"/>
                  <w:tcBorders>
                    <w:top w:val="nil"/>
                    <w:right w:val="single" w:sz="4" w:space="0" w:color="auto"/>
                  </w:tcBorders>
                </w:tcPr>
                <w:p w14:paraId="53CFD575" w14:textId="77777777" w:rsidR="007850A0" w:rsidRPr="00FD297D" w:rsidRDefault="007850A0" w:rsidP="00E43EDE">
                  <w:pPr>
                    <w:autoSpaceDE w:val="0"/>
                    <w:autoSpaceDN w:val="0"/>
                    <w:adjustRightInd w:val="0"/>
                    <w:jc w:val="right"/>
                    <w:rPr>
                      <w:rFonts w:ascii="Calibri" w:hAnsi="Calibri" w:cs="Calibri"/>
                      <w:bCs/>
                      <w:sz w:val="22"/>
                      <w:szCs w:val="22"/>
                      <w:highlight w:val="green"/>
                    </w:rPr>
                  </w:pPr>
                </w:p>
              </w:tc>
              <w:tc>
                <w:tcPr>
                  <w:tcW w:w="1275" w:type="dxa"/>
                  <w:tcBorders>
                    <w:top w:val="nil"/>
                    <w:bottom w:val="single" w:sz="4" w:space="0" w:color="auto"/>
                    <w:right w:val="single" w:sz="4" w:space="0" w:color="auto"/>
                  </w:tcBorders>
                  <w:shd w:val="clear" w:color="auto" w:fill="FFFF00"/>
                </w:tcPr>
                <w:p w14:paraId="673CCD3B" w14:textId="77777777" w:rsidR="007850A0" w:rsidRPr="00FD297D" w:rsidRDefault="007850A0" w:rsidP="00E43EDE">
                  <w:pPr>
                    <w:widowControl w:val="0"/>
                    <w:autoSpaceDE w:val="0"/>
                    <w:autoSpaceDN w:val="0"/>
                    <w:adjustRightInd w:val="0"/>
                    <w:ind w:left="-226"/>
                    <w:jc w:val="right"/>
                    <w:rPr>
                      <w:rFonts w:ascii="Calibri" w:hAnsi="Calibri" w:cs="Calibri"/>
                      <w:b/>
                      <w:bCs/>
                      <w:color w:val="000000"/>
                      <w:sz w:val="22"/>
                      <w:szCs w:val="22"/>
                    </w:rPr>
                  </w:pPr>
                  <w:r>
                    <w:rPr>
                      <w:rFonts w:ascii="Calibri" w:hAnsi="Calibri" w:cs="Calibri"/>
                      <w:b/>
                      <w:bCs/>
                      <w:color w:val="000000"/>
                      <w:sz w:val="22"/>
                      <w:szCs w:val="22"/>
                    </w:rPr>
                    <w:t>1,145.1</w:t>
                  </w:r>
                </w:p>
              </w:tc>
              <w:tc>
                <w:tcPr>
                  <w:tcW w:w="1276" w:type="dxa"/>
                  <w:tcBorders>
                    <w:top w:val="nil"/>
                    <w:bottom w:val="single" w:sz="4" w:space="0" w:color="auto"/>
                    <w:right w:val="single" w:sz="4" w:space="0" w:color="auto"/>
                  </w:tcBorders>
                  <w:shd w:val="clear" w:color="auto" w:fill="auto"/>
                </w:tcPr>
                <w:p w14:paraId="229A4792"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tcPr>
                <w:p w14:paraId="13B87E8A"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p>
              </w:tc>
              <w:tc>
                <w:tcPr>
                  <w:tcW w:w="1159" w:type="dxa"/>
                  <w:tcBorders>
                    <w:top w:val="nil"/>
                    <w:left w:val="single" w:sz="4" w:space="0" w:color="auto"/>
                    <w:bottom w:val="single" w:sz="4" w:space="0" w:color="auto"/>
                    <w:right w:val="single" w:sz="4" w:space="0" w:color="auto"/>
                  </w:tcBorders>
                  <w:shd w:val="clear" w:color="auto" w:fill="auto"/>
                </w:tcPr>
                <w:p w14:paraId="27DB2716" w14:textId="77777777" w:rsidR="007850A0" w:rsidRPr="00FD297D" w:rsidRDefault="007850A0" w:rsidP="00E43EDE">
                  <w:pPr>
                    <w:widowControl w:val="0"/>
                    <w:autoSpaceDE w:val="0"/>
                    <w:autoSpaceDN w:val="0"/>
                    <w:adjustRightInd w:val="0"/>
                    <w:ind w:left="-226"/>
                    <w:jc w:val="right"/>
                    <w:rPr>
                      <w:rFonts w:ascii="Calibri" w:hAnsi="Calibri" w:cs="Calibri"/>
                      <w:color w:val="000000"/>
                      <w:sz w:val="22"/>
                      <w:szCs w:val="22"/>
                    </w:rPr>
                  </w:pPr>
                  <w:r w:rsidRPr="00FD297D">
                    <w:rPr>
                      <w:rFonts w:ascii="Calibri" w:hAnsi="Calibri" w:cs="Calibri"/>
                      <w:color w:val="000000"/>
                      <w:sz w:val="22"/>
                      <w:szCs w:val="22"/>
                    </w:rPr>
                    <w:t>1,139.7</w:t>
                  </w:r>
                </w:p>
              </w:tc>
            </w:tr>
          </w:tbl>
          <w:p w14:paraId="029BED21" w14:textId="77777777" w:rsidR="007850A0" w:rsidRPr="00F72676" w:rsidRDefault="007850A0" w:rsidP="00E43EDE">
            <w:pPr>
              <w:tabs>
                <w:tab w:val="left" w:pos="6096"/>
                <w:tab w:val="left" w:pos="7655"/>
              </w:tabs>
              <w:autoSpaceDE w:val="0"/>
              <w:autoSpaceDN w:val="0"/>
              <w:adjustRightInd w:val="0"/>
              <w:ind w:left="32"/>
              <w:rPr>
                <w:rFonts w:ascii="Calibri" w:hAnsi="Calibri" w:cs="Calibri"/>
                <w:b/>
                <w:bCs/>
                <w:i/>
                <w:color w:val="000000"/>
                <w:sz w:val="22"/>
                <w:szCs w:val="22"/>
              </w:rPr>
            </w:pPr>
          </w:p>
        </w:tc>
      </w:tr>
    </w:tbl>
    <w:p w14:paraId="0A49857B" w14:textId="77777777" w:rsidR="007850A0" w:rsidRPr="00F72676" w:rsidRDefault="007850A0" w:rsidP="007850A0">
      <w:pPr>
        <w:autoSpaceDE w:val="0"/>
        <w:autoSpaceDN w:val="0"/>
        <w:adjustRightInd w:val="0"/>
        <w:ind w:left="34"/>
        <w:rPr>
          <w:rFonts w:ascii="Calibri" w:hAnsi="Calibri" w:cs="Calibri"/>
          <w:bCs/>
          <w:color w:val="000000"/>
          <w:sz w:val="22"/>
          <w:szCs w:val="22"/>
        </w:rPr>
      </w:pPr>
    </w:p>
    <w:p w14:paraId="41927316" w14:textId="77777777" w:rsidR="007850A0" w:rsidRPr="00F72676" w:rsidRDefault="007850A0" w:rsidP="007850A0">
      <w:pPr>
        <w:autoSpaceDE w:val="0"/>
        <w:autoSpaceDN w:val="0"/>
        <w:adjustRightInd w:val="0"/>
        <w:ind w:left="34"/>
        <w:rPr>
          <w:rFonts w:ascii="Calibri" w:hAnsi="Calibri" w:cs="Calibri"/>
          <w:b/>
          <w:bCs/>
          <w:color w:val="000000"/>
          <w:sz w:val="22"/>
          <w:szCs w:val="22"/>
        </w:rPr>
      </w:pPr>
    </w:p>
    <w:p w14:paraId="2A55DDB3" w14:textId="77777777" w:rsidR="007850A0" w:rsidRDefault="007850A0" w:rsidP="007850A0">
      <w:pPr>
        <w:autoSpaceDE w:val="0"/>
        <w:autoSpaceDN w:val="0"/>
        <w:adjustRightInd w:val="0"/>
        <w:ind w:left="142"/>
        <w:rPr>
          <w:rFonts w:ascii="Calibri" w:hAnsi="Calibri" w:cs="Calibri"/>
          <w:i/>
          <w:color w:val="000000"/>
          <w:sz w:val="22"/>
          <w:szCs w:val="22"/>
        </w:rPr>
      </w:pPr>
      <w:r w:rsidRPr="009A1446">
        <w:rPr>
          <w:rFonts w:ascii="Calibri" w:hAnsi="Calibri" w:cs="Calibri"/>
          <w:i/>
          <w:color w:val="000000"/>
          <w:sz w:val="22"/>
          <w:szCs w:val="22"/>
        </w:rPr>
        <w:t>*’+’ is favourable and ‘-‘ is adverse period-on-period.</w:t>
      </w:r>
    </w:p>
    <w:p w14:paraId="3B26D32D" w14:textId="77777777" w:rsidR="007850A0" w:rsidRPr="00835E4A" w:rsidRDefault="00A5357B" w:rsidP="007850A0">
      <w:pPr>
        <w:autoSpaceDE w:val="0"/>
        <w:autoSpaceDN w:val="0"/>
        <w:adjustRightInd w:val="0"/>
        <w:ind w:left="142" w:right="-426"/>
        <w:jc w:val="both"/>
        <w:rPr>
          <w:rFonts w:ascii="Calibri" w:hAnsi="Calibri" w:cs="Calibri"/>
          <w:b/>
          <w:bCs/>
          <w:color w:val="000000"/>
        </w:rPr>
      </w:pPr>
      <w:r>
        <w:rPr>
          <w:rFonts w:ascii="Calibri" w:hAnsi="Calibri" w:cs="Calibri"/>
          <w:b/>
          <w:bCs/>
          <w:color w:val="000000"/>
        </w:rPr>
        <w:br w:type="page"/>
      </w:r>
      <w:r w:rsidR="007850A0" w:rsidRPr="00835E4A">
        <w:rPr>
          <w:rFonts w:ascii="Calibri" w:hAnsi="Calibri" w:cs="Calibri"/>
          <w:b/>
          <w:bCs/>
          <w:color w:val="000000"/>
        </w:rPr>
        <w:lastRenderedPageBreak/>
        <w:t xml:space="preserve">Ryanair Holdings plc and Subsidiaries </w:t>
      </w:r>
    </w:p>
    <w:p w14:paraId="5B803332" w14:textId="77777777" w:rsidR="007850A0" w:rsidRPr="00394DE2" w:rsidRDefault="007850A0" w:rsidP="001C4A45">
      <w:pPr>
        <w:widowControl w:val="0"/>
        <w:ind w:left="142" w:right="-284"/>
        <w:jc w:val="both"/>
        <w:rPr>
          <w:rFonts w:ascii="Calibri" w:hAnsi="Calibri" w:cs="Calibri"/>
          <w:b/>
          <w:bCs/>
          <w:i/>
          <w:iCs/>
          <w:color w:val="000000"/>
        </w:rPr>
      </w:pPr>
      <w:r w:rsidRPr="00394DE2">
        <w:rPr>
          <w:rFonts w:ascii="Calibri" w:hAnsi="Calibri" w:cs="Calibri"/>
          <w:b/>
          <w:bCs/>
          <w:i/>
          <w:iCs/>
          <w:color w:val="000000"/>
        </w:rPr>
        <w:t xml:space="preserve">Condensed Consolidated Interim Statement of Comprehensive Income for </w:t>
      </w:r>
      <w:r>
        <w:rPr>
          <w:rFonts w:ascii="Calibri" w:hAnsi="Calibri" w:cs="Calibri"/>
          <w:b/>
          <w:bCs/>
          <w:i/>
          <w:iCs/>
          <w:color w:val="000000"/>
        </w:rPr>
        <w:t>Nine Months</w:t>
      </w:r>
      <w:r w:rsidRPr="00394DE2">
        <w:rPr>
          <w:rFonts w:ascii="Calibri" w:hAnsi="Calibri" w:cs="Calibri"/>
          <w:b/>
          <w:bCs/>
          <w:i/>
          <w:iCs/>
          <w:color w:val="000000"/>
        </w:rPr>
        <w:t xml:space="preserve"> Ended</w:t>
      </w:r>
      <w:r w:rsidR="00FF40A6">
        <w:rPr>
          <w:rFonts w:ascii="Calibri" w:hAnsi="Calibri" w:cs="Calibri"/>
          <w:b/>
          <w:bCs/>
          <w:i/>
          <w:iCs/>
          <w:color w:val="000000"/>
        </w:rPr>
        <w:t xml:space="preserve"> </w:t>
      </w:r>
      <w:r>
        <w:rPr>
          <w:rFonts w:ascii="Calibri" w:hAnsi="Calibri" w:cs="Calibri"/>
          <w:b/>
          <w:bCs/>
          <w:i/>
          <w:iCs/>
          <w:color w:val="000000"/>
        </w:rPr>
        <w:t xml:space="preserve">December </w:t>
      </w:r>
      <w:r w:rsidRPr="00394DE2">
        <w:rPr>
          <w:rFonts w:ascii="Calibri" w:hAnsi="Calibri" w:cs="Calibri"/>
          <w:b/>
          <w:bCs/>
          <w:i/>
          <w:iCs/>
          <w:color w:val="000000"/>
        </w:rPr>
        <w:t>3</w:t>
      </w:r>
      <w:r>
        <w:rPr>
          <w:rFonts w:ascii="Calibri" w:hAnsi="Calibri" w:cs="Calibri"/>
          <w:b/>
          <w:bCs/>
          <w:i/>
          <w:iCs/>
          <w:color w:val="000000"/>
        </w:rPr>
        <w:t>1</w:t>
      </w:r>
      <w:r w:rsidRPr="00394DE2">
        <w:rPr>
          <w:rFonts w:ascii="Calibri" w:hAnsi="Calibri" w:cs="Calibri"/>
          <w:b/>
          <w:bCs/>
          <w:i/>
          <w:iCs/>
          <w:color w:val="000000"/>
        </w:rPr>
        <w:t>,</w:t>
      </w:r>
      <w:r>
        <w:rPr>
          <w:rFonts w:ascii="Calibri" w:hAnsi="Calibri" w:cs="Calibri"/>
          <w:b/>
          <w:bCs/>
          <w:i/>
          <w:iCs/>
          <w:color w:val="000000"/>
        </w:rPr>
        <w:t xml:space="preserve"> </w:t>
      </w:r>
      <w:r w:rsidRPr="00394DE2">
        <w:rPr>
          <w:rFonts w:ascii="Calibri" w:hAnsi="Calibri" w:cs="Calibri"/>
          <w:b/>
          <w:bCs/>
          <w:i/>
          <w:iCs/>
          <w:color w:val="000000"/>
        </w:rPr>
        <w:t>2023 (unaudited)</w:t>
      </w:r>
    </w:p>
    <w:p w14:paraId="6038FACD" w14:textId="77777777" w:rsidR="007850A0" w:rsidRPr="003F0900" w:rsidRDefault="007850A0" w:rsidP="007850A0">
      <w:pPr>
        <w:widowControl w:val="0"/>
        <w:rPr>
          <w:rFonts w:ascii="Calibri" w:hAnsi="Calibri" w:cs="Calibri"/>
          <w:b/>
          <w:bCs/>
          <w:i/>
          <w:iCs/>
          <w:color w:val="000000"/>
          <w:sz w:val="22"/>
          <w:szCs w:val="22"/>
        </w:rPr>
      </w:pPr>
    </w:p>
    <w:tbl>
      <w:tblPr>
        <w:tblW w:w="10664" w:type="dxa"/>
        <w:tblInd w:w="108" w:type="dxa"/>
        <w:tblLook w:val="04A0" w:firstRow="1" w:lastRow="0" w:firstColumn="1" w:lastColumn="0" w:noHBand="0" w:noVBand="1"/>
      </w:tblPr>
      <w:tblGrid>
        <w:gridCol w:w="8397"/>
        <w:gridCol w:w="1134"/>
        <w:gridCol w:w="1133"/>
      </w:tblGrid>
      <w:tr w:rsidR="007850A0" w:rsidRPr="003F0900" w14:paraId="2433E36A" w14:textId="77777777" w:rsidTr="00E43EDE">
        <w:trPr>
          <w:trHeight w:val="297"/>
        </w:trPr>
        <w:tc>
          <w:tcPr>
            <w:tcW w:w="8397" w:type="dxa"/>
            <w:shd w:val="clear" w:color="auto" w:fill="FFFFFF"/>
            <w:vAlign w:val="center"/>
            <w:hideMark/>
          </w:tcPr>
          <w:p w14:paraId="04FA6B0F" w14:textId="77777777" w:rsidR="007850A0" w:rsidRPr="003F0900" w:rsidRDefault="007850A0" w:rsidP="00E43EDE">
            <w:pPr>
              <w:rPr>
                <w:rFonts w:ascii="Calibri" w:hAnsi="Calibri" w:cs="Calibri"/>
                <w:b/>
                <w:bCs/>
                <w:color w:val="000000"/>
                <w:sz w:val="22"/>
                <w:szCs w:val="22"/>
                <w:lang w:eastAsia="en-IE"/>
              </w:rPr>
            </w:pPr>
          </w:p>
        </w:tc>
        <w:tc>
          <w:tcPr>
            <w:tcW w:w="1134" w:type="dxa"/>
            <w:shd w:val="clear" w:color="auto" w:fill="FFFF00"/>
            <w:vAlign w:val="center"/>
            <w:hideMark/>
          </w:tcPr>
          <w:p w14:paraId="15E9D719" w14:textId="77777777" w:rsidR="007850A0" w:rsidRPr="003F0900" w:rsidRDefault="007850A0" w:rsidP="005E03B5">
            <w:pPr>
              <w:ind w:right="27"/>
              <w:jc w:val="right"/>
              <w:rPr>
                <w:rFonts w:ascii="Calibri" w:hAnsi="Calibri" w:cs="Calibri"/>
                <w:b/>
                <w:bCs/>
                <w:color w:val="000000"/>
                <w:sz w:val="22"/>
                <w:szCs w:val="22"/>
                <w:lang w:eastAsia="en-IE"/>
              </w:rPr>
            </w:pPr>
            <w:r>
              <w:rPr>
                <w:rFonts w:ascii="Calibri" w:hAnsi="Calibri" w:cs="Calibri"/>
                <w:b/>
                <w:bCs/>
                <w:color w:val="000000"/>
                <w:sz w:val="22"/>
                <w:szCs w:val="22"/>
                <w:lang w:eastAsia="en-IE"/>
              </w:rPr>
              <w:t>Nine Months</w:t>
            </w:r>
          </w:p>
        </w:tc>
        <w:tc>
          <w:tcPr>
            <w:tcW w:w="1133" w:type="dxa"/>
            <w:shd w:val="clear" w:color="auto" w:fill="FFFFFF"/>
            <w:vAlign w:val="center"/>
            <w:hideMark/>
          </w:tcPr>
          <w:p w14:paraId="46ED99D9" w14:textId="77777777" w:rsidR="007850A0" w:rsidRPr="003F0900" w:rsidRDefault="007850A0" w:rsidP="005E03B5">
            <w:pPr>
              <w:ind w:right="33"/>
              <w:jc w:val="right"/>
              <w:rPr>
                <w:rFonts w:ascii="Calibri" w:hAnsi="Calibri" w:cs="Calibri"/>
                <w:color w:val="000000"/>
                <w:sz w:val="22"/>
                <w:szCs w:val="22"/>
                <w:lang w:eastAsia="en-IE"/>
              </w:rPr>
            </w:pPr>
            <w:r>
              <w:rPr>
                <w:rFonts w:ascii="Calibri" w:hAnsi="Calibri" w:cs="Calibri"/>
                <w:color w:val="000000"/>
                <w:sz w:val="22"/>
                <w:szCs w:val="22"/>
                <w:lang w:eastAsia="en-IE"/>
              </w:rPr>
              <w:t>Nine Months</w:t>
            </w:r>
          </w:p>
        </w:tc>
      </w:tr>
      <w:tr w:rsidR="007850A0" w:rsidRPr="003F0900" w14:paraId="62F1E30C" w14:textId="77777777" w:rsidTr="00E43EDE">
        <w:trPr>
          <w:trHeight w:val="297"/>
        </w:trPr>
        <w:tc>
          <w:tcPr>
            <w:tcW w:w="8397" w:type="dxa"/>
            <w:shd w:val="clear" w:color="auto" w:fill="FFFFFF"/>
            <w:vAlign w:val="center"/>
            <w:hideMark/>
          </w:tcPr>
          <w:p w14:paraId="75A81B38" w14:textId="77777777" w:rsidR="007850A0" w:rsidRPr="003F0900" w:rsidRDefault="007850A0" w:rsidP="00E43EDE">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center"/>
            <w:hideMark/>
          </w:tcPr>
          <w:p w14:paraId="4D2918A5" w14:textId="77777777" w:rsidR="007850A0" w:rsidRPr="003F0900" w:rsidRDefault="007850A0" w:rsidP="005E03B5">
            <w:pPr>
              <w:ind w:right="27"/>
              <w:jc w:val="right"/>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Ended</w:t>
            </w:r>
          </w:p>
        </w:tc>
        <w:tc>
          <w:tcPr>
            <w:tcW w:w="1133" w:type="dxa"/>
            <w:shd w:val="clear" w:color="auto" w:fill="FFFFFF"/>
            <w:vAlign w:val="center"/>
            <w:hideMark/>
          </w:tcPr>
          <w:p w14:paraId="3CA361F6" w14:textId="77777777" w:rsidR="007850A0" w:rsidRPr="003F0900" w:rsidRDefault="007850A0" w:rsidP="005E03B5">
            <w:pPr>
              <w:ind w:right="33"/>
              <w:jc w:val="right"/>
              <w:rPr>
                <w:rFonts w:ascii="Calibri" w:hAnsi="Calibri" w:cs="Calibri"/>
                <w:color w:val="000000"/>
                <w:sz w:val="22"/>
                <w:szCs w:val="22"/>
                <w:lang w:eastAsia="en-IE"/>
              </w:rPr>
            </w:pPr>
            <w:r w:rsidRPr="003F0900">
              <w:rPr>
                <w:rFonts w:ascii="Calibri" w:hAnsi="Calibri" w:cs="Calibri"/>
                <w:color w:val="000000"/>
                <w:sz w:val="22"/>
                <w:szCs w:val="22"/>
                <w:lang w:eastAsia="en-IE"/>
              </w:rPr>
              <w:t>Ended</w:t>
            </w:r>
          </w:p>
        </w:tc>
      </w:tr>
      <w:tr w:rsidR="007850A0" w:rsidRPr="003F0900" w14:paraId="6C5D5977" w14:textId="77777777" w:rsidTr="00E43EDE">
        <w:trPr>
          <w:trHeight w:val="278"/>
        </w:trPr>
        <w:tc>
          <w:tcPr>
            <w:tcW w:w="8397" w:type="dxa"/>
            <w:vMerge w:val="restart"/>
            <w:shd w:val="clear" w:color="auto" w:fill="FFFFFF"/>
            <w:vAlign w:val="center"/>
            <w:hideMark/>
          </w:tcPr>
          <w:p w14:paraId="74A0248A" w14:textId="77777777" w:rsidR="007850A0" w:rsidRPr="003F0900" w:rsidRDefault="007850A0" w:rsidP="00E43EDE">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center"/>
            <w:hideMark/>
          </w:tcPr>
          <w:p w14:paraId="3EA6B287" w14:textId="77777777" w:rsidR="007850A0" w:rsidRPr="003F0900" w:rsidRDefault="007850A0" w:rsidP="005E03B5">
            <w:pPr>
              <w:ind w:right="27"/>
              <w:jc w:val="right"/>
              <w:rPr>
                <w:rFonts w:ascii="Calibri" w:hAnsi="Calibri" w:cs="Calibri"/>
                <w:b/>
                <w:bCs/>
                <w:color w:val="000000"/>
                <w:sz w:val="22"/>
                <w:szCs w:val="22"/>
                <w:lang w:eastAsia="en-IE"/>
              </w:rPr>
            </w:pPr>
            <w:r>
              <w:rPr>
                <w:rFonts w:ascii="Calibri" w:hAnsi="Calibri" w:cs="Calibri"/>
                <w:b/>
                <w:bCs/>
                <w:color w:val="000000"/>
                <w:sz w:val="22"/>
                <w:szCs w:val="22"/>
                <w:lang w:eastAsia="en-IE"/>
              </w:rPr>
              <w:t>Dec 31</w:t>
            </w:r>
            <w:r w:rsidRPr="003F0900">
              <w:rPr>
                <w:rFonts w:ascii="Calibri" w:hAnsi="Calibri" w:cs="Calibri"/>
                <w:b/>
                <w:bCs/>
                <w:color w:val="000000"/>
                <w:sz w:val="22"/>
                <w:szCs w:val="22"/>
                <w:lang w:eastAsia="en-IE"/>
              </w:rPr>
              <w:t xml:space="preserve">, </w:t>
            </w:r>
          </w:p>
        </w:tc>
        <w:tc>
          <w:tcPr>
            <w:tcW w:w="1133" w:type="dxa"/>
            <w:shd w:val="clear" w:color="auto" w:fill="FFFFFF"/>
            <w:vAlign w:val="center"/>
            <w:hideMark/>
          </w:tcPr>
          <w:p w14:paraId="1C1BAA34" w14:textId="77777777" w:rsidR="007850A0" w:rsidRPr="003F0900" w:rsidRDefault="007850A0" w:rsidP="005E03B5">
            <w:pPr>
              <w:ind w:right="33"/>
              <w:jc w:val="right"/>
              <w:rPr>
                <w:rFonts w:ascii="Calibri" w:hAnsi="Calibri" w:cs="Calibri"/>
                <w:color w:val="000000"/>
                <w:sz w:val="22"/>
                <w:szCs w:val="22"/>
                <w:lang w:eastAsia="en-IE"/>
              </w:rPr>
            </w:pPr>
            <w:r>
              <w:rPr>
                <w:rFonts w:ascii="Calibri" w:hAnsi="Calibri" w:cs="Calibri"/>
                <w:color w:val="000000"/>
                <w:sz w:val="22"/>
                <w:szCs w:val="22"/>
                <w:lang w:eastAsia="en-IE"/>
              </w:rPr>
              <w:t>Dec 31</w:t>
            </w:r>
            <w:r w:rsidRPr="003F0900">
              <w:rPr>
                <w:rFonts w:ascii="Calibri" w:hAnsi="Calibri" w:cs="Calibri"/>
                <w:color w:val="000000"/>
                <w:sz w:val="22"/>
                <w:szCs w:val="22"/>
                <w:lang w:eastAsia="en-IE"/>
              </w:rPr>
              <w:t xml:space="preserve">, </w:t>
            </w:r>
          </w:p>
        </w:tc>
      </w:tr>
      <w:tr w:rsidR="007850A0" w:rsidRPr="003F0900" w14:paraId="42DBEBF2" w14:textId="77777777" w:rsidTr="00E43EDE">
        <w:trPr>
          <w:trHeight w:val="278"/>
        </w:trPr>
        <w:tc>
          <w:tcPr>
            <w:tcW w:w="8397" w:type="dxa"/>
            <w:vMerge/>
            <w:vAlign w:val="center"/>
            <w:hideMark/>
          </w:tcPr>
          <w:p w14:paraId="543E1C7F" w14:textId="77777777" w:rsidR="007850A0" w:rsidRPr="003F0900" w:rsidRDefault="007850A0" w:rsidP="00E43EDE">
            <w:pPr>
              <w:rPr>
                <w:rFonts w:ascii="Calibri" w:hAnsi="Calibri" w:cs="Calibri"/>
                <w:b/>
                <w:bCs/>
                <w:color w:val="000000"/>
                <w:sz w:val="22"/>
                <w:szCs w:val="22"/>
                <w:lang w:eastAsia="en-IE"/>
              </w:rPr>
            </w:pPr>
          </w:p>
        </w:tc>
        <w:tc>
          <w:tcPr>
            <w:tcW w:w="1134" w:type="dxa"/>
            <w:shd w:val="clear" w:color="auto" w:fill="FFFF00"/>
            <w:vAlign w:val="center"/>
            <w:hideMark/>
          </w:tcPr>
          <w:p w14:paraId="6DD80E20" w14:textId="77777777" w:rsidR="007850A0" w:rsidRPr="003F0900" w:rsidRDefault="007850A0" w:rsidP="005E03B5">
            <w:pPr>
              <w:ind w:right="27"/>
              <w:jc w:val="right"/>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2023</w:t>
            </w:r>
          </w:p>
        </w:tc>
        <w:tc>
          <w:tcPr>
            <w:tcW w:w="1133" w:type="dxa"/>
            <w:shd w:val="clear" w:color="auto" w:fill="FFFFFF"/>
            <w:vAlign w:val="center"/>
            <w:hideMark/>
          </w:tcPr>
          <w:p w14:paraId="14A2C13D" w14:textId="77777777" w:rsidR="007850A0" w:rsidRPr="003F0900" w:rsidRDefault="007850A0" w:rsidP="005E03B5">
            <w:pPr>
              <w:ind w:right="33"/>
              <w:jc w:val="right"/>
              <w:rPr>
                <w:rFonts w:ascii="Calibri" w:hAnsi="Calibri" w:cs="Calibri"/>
                <w:color w:val="000000"/>
                <w:sz w:val="22"/>
                <w:szCs w:val="22"/>
                <w:lang w:eastAsia="en-IE"/>
              </w:rPr>
            </w:pPr>
            <w:r w:rsidRPr="003F0900">
              <w:rPr>
                <w:rFonts w:ascii="Calibri" w:hAnsi="Calibri" w:cs="Calibri"/>
                <w:color w:val="000000"/>
                <w:sz w:val="22"/>
                <w:szCs w:val="22"/>
                <w:lang w:eastAsia="en-IE"/>
              </w:rPr>
              <w:t>2022</w:t>
            </w:r>
          </w:p>
        </w:tc>
      </w:tr>
      <w:tr w:rsidR="007850A0" w:rsidRPr="003F0900" w14:paraId="625305F7" w14:textId="77777777" w:rsidTr="00E43EDE">
        <w:trPr>
          <w:trHeight w:val="297"/>
        </w:trPr>
        <w:tc>
          <w:tcPr>
            <w:tcW w:w="8397" w:type="dxa"/>
            <w:shd w:val="clear" w:color="auto" w:fill="FFFFFF"/>
            <w:vAlign w:val="center"/>
            <w:hideMark/>
          </w:tcPr>
          <w:p w14:paraId="09F771E4" w14:textId="77777777" w:rsidR="007850A0" w:rsidRPr="003F0900" w:rsidRDefault="007850A0" w:rsidP="00E43EDE">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center"/>
            <w:hideMark/>
          </w:tcPr>
          <w:p w14:paraId="74D8FC89" w14:textId="77777777" w:rsidR="007850A0" w:rsidRPr="003F0900" w:rsidRDefault="007850A0" w:rsidP="005E03B5">
            <w:pPr>
              <w:ind w:right="27"/>
              <w:jc w:val="right"/>
              <w:rPr>
                <w:rFonts w:ascii="Calibri" w:hAnsi="Calibri" w:cs="Calibri"/>
                <w:b/>
                <w:bCs/>
                <w:color w:val="000000"/>
                <w:sz w:val="22"/>
                <w:szCs w:val="22"/>
                <w:u w:val="single"/>
                <w:lang w:eastAsia="en-IE"/>
              </w:rPr>
            </w:pPr>
            <w:r w:rsidRPr="003F0900">
              <w:rPr>
                <w:rFonts w:ascii="Calibri" w:hAnsi="Calibri" w:cs="Calibri"/>
                <w:b/>
                <w:bCs/>
                <w:color w:val="000000"/>
                <w:sz w:val="22"/>
                <w:szCs w:val="22"/>
                <w:u w:val="single"/>
                <w:lang w:eastAsia="en-IE"/>
              </w:rPr>
              <w:t>€M</w:t>
            </w:r>
          </w:p>
        </w:tc>
        <w:tc>
          <w:tcPr>
            <w:tcW w:w="1133" w:type="dxa"/>
            <w:shd w:val="clear" w:color="auto" w:fill="FFFFFF"/>
            <w:vAlign w:val="center"/>
            <w:hideMark/>
          </w:tcPr>
          <w:p w14:paraId="435D0343" w14:textId="77777777" w:rsidR="007850A0" w:rsidRPr="003F0900" w:rsidRDefault="007850A0" w:rsidP="005E03B5">
            <w:pPr>
              <w:ind w:right="33"/>
              <w:jc w:val="right"/>
              <w:rPr>
                <w:rFonts w:ascii="Calibri" w:hAnsi="Calibri" w:cs="Calibri"/>
                <w:color w:val="000000"/>
                <w:sz w:val="22"/>
                <w:szCs w:val="22"/>
                <w:u w:val="single"/>
                <w:lang w:eastAsia="en-IE"/>
              </w:rPr>
            </w:pPr>
            <w:r w:rsidRPr="003F0900">
              <w:rPr>
                <w:rFonts w:ascii="Calibri" w:hAnsi="Calibri" w:cs="Calibri"/>
                <w:color w:val="000000"/>
                <w:sz w:val="22"/>
                <w:szCs w:val="22"/>
                <w:u w:val="single"/>
                <w:lang w:eastAsia="en-IE"/>
              </w:rPr>
              <w:t>€M</w:t>
            </w:r>
          </w:p>
        </w:tc>
      </w:tr>
      <w:tr w:rsidR="007850A0" w:rsidRPr="003F0900" w14:paraId="505C0663" w14:textId="77777777" w:rsidTr="00E43EDE">
        <w:trPr>
          <w:trHeight w:val="297"/>
        </w:trPr>
        <w:tc>
          <w:tcPr>
            <w:tcW w:w="8397" w:type="dxa"/>
            <w:shd w:val="clear" w:color="auto" w:fill="FFFFFF"/>
            <w:vAlign w:val="center"/>
            <w:hideMark/>
          </w:tcPr>
          <w:p w14:paraId="2618D2C3" w14:textId="77777777" w:rsidR="007850A0" w:rsidRPr="003F0900" w:rsidRDefault="007850A0" w:rsidP="00E43EDE">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bottom"/>
            <w:hideMark/>
          </w:tcPr>
          <w:p w14:paraId="215A4A40" w14:textId="77777777" w:rsidR="007850A0" w:rsidRPr="003F0900" w:rsidRDefault="007850A0" w:rsidP="005E03B5">
            <w:pPr>
              <w:ind w:right="27"/>
              <w:rPr>
                <w:rFonts w:ascii="Calibri" w:hAnsi="Calibri" w:cs="Calibri"/>
                <w:b/>
                <w:bCs/>
                <w:color w:val="000000"/>
                <w:sz w:val="22"/>
                <w:szCs w:val="22"/>
                <w:lang w:eastAsia="en-IE"/>
              </w:rPr>
            </w:pPr>
          </w:p>
        </w:tc>
        <w:tc>
          <w:tcPr>
            <w:tcW w:w="1133" w:type="dxa"/>
            <w:shd w:val="clear" w:color="auto" w:fill="FFFFFF"/>
            <w:vAlign w:val="center"/>
            <w:hideMark/>
          </w:tcPr>
          <w:p w14:paraId="1FDF30B3" w14:textId="77777777" w:rsidR="007850A0" w:rsidRPr="003F0900" w:rsidRDefault="007850A0" w:rsidP="005E03B5">
            <w:pPr>
              <w:ind w:right="33"/>
              <w:rPr>
                <w:rFonts w:ascii="Calibri" w:eastAsia="Calibri" w:hAnsi="Calibri" w:cs="Calibri"/>
                <w:sz w:val="22"/>
                <w:szCs w:val="22"/>
                <w:lang w:eastAsia="en-IE"/>
              </w:rPr>
            </w:pPr>
          </w:p>
        </w:tc>
      </w:tr>
      <w:tr w:rsidR="007850A0" w:rsidRPr="003F0900" w14:paraId="616BAF1C" w14:textId="77777777" w:rsidTr="00E43EDE">
        <w:trPr>
          <w:trHeight w:val="308"/>
        </w:trPr>
        <w:tc>
          <w:tcPr>
            <w:tcW w:w="8397" w:type="dxa"/>
            <w:shd w:val="clear" w:color="auto" w:fill="FFFFFF"/>
            <w:vAlign w:val="center"/>
            <w:hideMark/>
          </w:tcPr>
          <w:p w14:paraId="756DE91D" w14:textId="77777777" w:rsidR="007850A0" w:rsidRPr="003F0900" w:rsidRDefault="007850A0" w:rsidP="00E43EDE">
            <w:pPr>
              <w:ind w:firstLine="37"/>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xml:space="preserve">Profit for the </w:t>
            </w:r>
            <w:r>
              <w:rPr>
                <w:rFonts w:ascii="Calibri" w:hAnsi="Calibri" w:cs="Calibri"/>
                <w:b/>
                <w:bCs/>
                <w:color w:val="000000"/>
                <w:sz w:val="22"/>
                <w:szCs w:val="22"/>
                <w:lang w:eastAsia="en-IE"/>
              </w:rPr>
              <w:t>nine months</w:t>
            </w:r>
          </w:p>
        </w:tc>
        <w:tc>
          <w:tcPr>
            <w:tcW w:w="1134" w:type="dxa"/>
            <w:tcBorders>
              <w:top w:val="nil"/>
              <w:left w:val="nil"/>
              <w:bottom w:val="single" w:sz="8" w:space="0" w:color="auto"/>
              <w:right w:val="nil"/>
            </w:tcBorders>
            <w:shd w:val="clear" w:color="auto" w:fill="FFFF00"/>
          </w:tcPr>
          <w:p w14:paraId="149505FC" w14:textId="77777777" w:rsidR="007850A0" w:rsidRPr="003F0900" w:rsidRDefault="007850A0" w:rsidP="005E03B5">
            <w:pPr>
              <w:ind w:right="27"/>
              <w:jc w:val="right"/>
              <w:rPr>
                <w:rFonts w:ascii="Calibri" w:hAnsi="Calibri" w:cs="Calibri"/>
                <w:b/>
                <w:bCs/>
                <w:color w:val="000000"/>
                <w:sz w:val="22"/>
                <w:szCs w:val="22"/>
                <w:lang w:eastAsia="en-IE"/>
              </w:rPr>
            </w:pPr>
            <w:r>
              <w:rPr>
                <w:rFonts w:ascii="Calibri" w:hAnsi="Calibri" w:cs="Calibri"/>
                <w:b/>
                <w:bCs/>
                <w:color w:val="000000"/>
                <w:sz w:val="22"/>
                <w:szCs w:val="22"/>
                <w:lang w:eastAsia="en-IE"/>
              </w:rPr>
              <w:t>2,192.9</w:t>
            </w:r>
          </w:p>
        </w:tc>
        <w:tc>
          <w:tcPr>
            <w:tcW w:w="1133" w:type="dxa"/>
            <w:tcBorders>
              <w:top w:val="nil"/>
              <w:left w:val="nil"/>
              <w:bottom w:val="single" w:sz="8" w:space="0" w:color="auto"/>
              <w:right w:val="nil"/>
            </w:tcBorders>
            <w:shd w:val="clear" w:color="auto" w:fill="FFFFFF"/>
            <w:hideMark/>
          </w:tcPr>
          <w:p w14:paraId="34133F2F" w14:textId="77777777" w:rsidR="007850A0" w:rsidRPr="003F0900" w:rsidRDefault="007850A0" w:rsidP="005E03B5">
            <w:pPr>
              <w:ind w:right="33"/>
              <w:jc w:val="right"/>
              <w:rPr>
                <w:rFonts w:ascii="Calibri" w:hAnsi="Calibri" w:cs="Calibri"/>
                <w:color w:val="000000"/>
                <w:sz w:val="22"/>
                <w:szCs w:val="22"/>
                <w:lang w:eastAsia="en-IE"/>
              </w:rPr>
            </w:pPr>
            <w:r w:rsidRPr="003F0900">
              <w:rPr>
                <w:rFonts w:ascii="Calibri" w:hAnsi="Calibri" w:cs="Calibri"/>
                <w:color w:val="000000"/>
                <w:sz w:val="22"/>
                <w:szCs w:val="22"/>
              </w:rPr>
              <w:t>1,</w:t>
            </w:r>
            <w:r>
              <w:rPr>
                <w:rFonts w:ascii="Calibri" w:hAnsi="Calibri" w:cs="Calibri"/>
                <w:color w:val="000000"/>
                <w:sz w:val="22"/>
                <w:szCs w:val="22"/>
              </w:rPr>
              <w:t>46</w:t>
            </w:r>
            <w:r w:rsidRPr="003F0900">
              <w:rPr>
                <w:rFonts w:ascii="Calibri" w:hAnsi="Calibri" w:cs="Calibri"/>
                <w:color w:val="000000"/>
                <w:sz w:val="22"/>
                <w:szCs w:val="22"/>
              </w:rPr>
              <w:t>5.</w:t>
            </w:r>
            <w:r>
              <w:rPr>
                <w:rFonts w:ascii="Calibri" w:hAnsi="Calibri" w:cs="Calibri"/>
                <w:color w:val="000000"/>
                <w:sz w:val="22"/>
                <w:szCs w:val="22"/>
              </w:rPr>
              <w:t>5</w:t>
            </w:r>
          </w:p>
        </w:tc>
      </w:tr>
      <w:tr w:rsidR="007850A0" w:rsidRPr="003F0900" w14:paraId="5710F357" w14:textId="77777777" w:rsidTr="00E43EDE">
        <w:trPr>
          <w:trHeight w:val="297"/>
        </w:trPr>
        <w:tc>
          <w:tcPr>
            <w:tcW w:w="8397" w:type="dxa"/>
            <w:shd w:val="clear" w:color="auto" w:fill="FFFFFF"/>
            <w:vAlign w:val="center"/>
            <w:hideMark/>
          </w:tcPr>
          <w:p w14:paraId="7B29B87C" w14:textId="77777777" w:rsidR="007850A0" w:rsidRPr="003F0900" w:rsidRDefault="007850A0" w:rsidP="00E43EDE">
            <w:pPr>
              <w:ind w:firstLine="37"/>
              <w:rPr>
                <w:rFonts w:ascii="Calibri" w:hAnsi="Calibri" w:cs="Calibri"/>
                <w:color w:val="000000"/>
                <w:sz w:val="22"/>
                <w:szCs w:val="22"/>
                <w:lang w:eastAsia="en-IE"/>
              </w:rPr>
            </w:pPr>
            <w:r w:rsidRPr="003F0900">
              <w:rPr>
                <w:rFonts w:ascii="Calibri" w:hAnsi="Calibri" w:cs="Calibri"/>
                <w:color w:val="000000"/>
                <w:sz w:val="22"/>
                <w:szCs w:val="22"/>
                <w:lang w:eastAsia="en-IE"/>
              </w:rPr>
              <w:t> </w:t>
            </w:r>
          </w:p>
        </w:tc>
        <w:tc>
          <w:tcPr>
            <w:tcW w:w="1134" w:type="dxa"/>
            <w:tcBorders>
              <w:top w:val="single" w:sz="8" w:space="0" w:color="auto"/>
              <w:left w:val="nil"/>
              <w:bottom w:val="nil"/>
              <w:right w:val="nil"/>
            </w:tcBorders>
            <w:shd w:val="clear" w:color="auto" w:fill="FFFF00"/>
            <w:vAlign w:val="bottom"/>
          </w:tcPr>
          <w:p w14:paraId="0A975BCB" w14:textId="77777777" w:rsidR="007850A0" w:rsidRPr="003F0900" w:rsidRDefault="007850A0" w:rsidP="005E03B5">
            <w:pPr>
              <w:ind w:right="27"/>
              <w:jc w:val="right"/>
              <w:rPr>
                <w:rFonts w:ascii="Calibri" w:hAnsi="Calibri" w:cs="Calibri"/>
                <w:b/>
                <w:color w:val="000000"/>
                <w:sz w:val="22"/>
                <w:szCs w:val="22"/>
                <w:lang w:eastAsia="en-IE"/>
              </w:rPr>
            </w:pPr>
          </w:p>
        </w:tc>
        <w:tc>
          <w:tcPr>
            <w:tcW w:w="1133" w:type="dxa"/>
            <w:tcBorders>
              <w:top w:val="single" w:sz="8" w:space="0" w:color="auto"/>
              <w:left w:val="nil"/>
              <w:bottom w:val="nil"/>
              <w:right w:val="nil"/>
            </w:tcBorders>
            <w:shd w:val="clear" w:color="auto" w:fill="FFFFFF"/>
            <w:vAlign w:val="center"/>
            <w:hideMark/>
          </w:tcPr>
          <w:p w14:paraId="6BA94034" w14:textId="77777777" w:rsidR="007850A0" w:rsidRPr="003F0900" w:rsidRDefault="007850A0" w:rsidP="005E03B5">
            <w:pPr>
              <w:ind w:right="33"/>
              <w:rPr>
                <w:rFonts w:ascii="Calibri" w:eastAsia="Calibri" w:hAnsi="Calibri" w:cs="Calibri"/>
                <w:sz w:val="22"/>
                <w:szCs w:val="22"/>
                <w:lang w:eastAsia="en-IE"/>
              </w:rPr>
            </w:pPr>
          </w:p>
        </w:tc>
      </w:tr>
      <w:tr w:rsidR="007850A0" w:rsidRPr="003F0900" w14:paraId="1122F5CE" w14:textId="77777777" w:rsidTr="00E43EDE">
        <w:trPr>
          <w:trHeight w:val="297"/>
        </w:trPr>
        <w:tc>
          <w:tcPr>
            <w:tcW w:w="8397" w:type="dxa"/>
            <w:shd w:val="clear" w:color="auto" w:fill="FFFFFF"/>
            <w:vAlign w:val="center"/>
            <w:hideMark/>
          </w:tcPr>
          <w:p w14:paraId="40543289" w14:textId="77777777" w:rsidR="007850A0" w:rsidRPr="003F0900" w:rsidRDefault="007850A0" w:rsidP="00E43EDE">
            <w:pPr>
              <w:ind w:firstLine="37"/>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Other comprehensive income/(loss):</w:t>
            </w:r>
          </w:p>
        </w:tc>
        <w:tc>
          <w:tcPr>
            <w:tcW w:w="1134" w:type="dxa"/>
            <w:shd w:val="clear" w:color="auto" w:fill="FFFF00"/>
            <w:vAlign w:val="bottom"/>
          </w:tcPr>
          <w:p w14:paraId="79239B1E" w14:textId="77777777" w:rsidR="007850A0" w:rsidRPr="003F0900" w:rsidRDefault="007850A0" w:rsidP="005E03B5">
            <w:pPr>
              <w:ind w:right="27"/>
              <w:jc w:val="right"/>
              <w:rPr>
                <w:rFonts w:ascii="Calibri" w:hAnsi="Calibri" w:cs="Calibri"/>
                <w:b/>
                <w:bCs/>
                <w:color w:val="000000"/>
                <w:sz w:val="22"/>
                <w:szCs w:val="22"/>
                <w:lang w:eastAsia="en-IE"/>
              </w:rPr>
            </w:pPr>
          </w:p>
        </w:tc>
        <w:tc>
          <w:tcPr>
            <w:tcW w:w="1133" w:type="dxa"/>
            <w:shd w:val="clear" w:color="auto" w:fill="FFFFFF"/>
            <w:vAlign w:val="center"/>
            <w:hideMark/>
          </w:tcPr>
          <w:p w14:paraId="6602B692" w14:textId="77777777" w:rsidR="007850A0" w:rsidRPr="003F0900" w:rsidRDefault="007850A0" w:rsidP="005E03B5">
            <w:pPr>
              <w:ind w:right="33"/>
              <w:rPr>
                <w:rFonts w:ascii="Calibri" w:eastAsia="Calibri" w:hAnsi="Calibri" w:cs="Calibri"/>
                <w:sz w:val="22"/>
                <w:szCs w:val="22"/>
                <w:lang w:eastAsia="en-IE"/>
              </w:rPr>
            </w:pPr>
          </w:p>
        </w:tc>
      </w:tr>
      <w:tr w:rsidR="007850A0" w:rsidRPr="003F0900" w14:paraId="462EA1F9" w14:textId="77777777" w:rsidTr="00E43EDE">
        <w:trPr>
          <w:trHeight w:val="297"/>
        </w:trPr>
        <w:tc>
          <w:tcPr>
            <w:tcW w:w="8397" w:type="dxa"/>
            <w:shd w:val="clear" w:color="auto" w:fill="FFFFFF"/>
            <w:vAlign w:val="center"/>
            <w:hideMark/>
          </w:tcPr>
          <w:p w14:paraId="053C8F7F" w14:textId="77777777" w:rsidR="007850A0" w:rsidRPr="003F0900" w:rsidRDefault="007850A0" w:rsidP="00E43EDE">
            <w:pPr>
              <w:ind w:firstLine="37"/>
              <w:rPr>
                <w:rFonts w:ascii="Calibri" w:hAnsi="Calibri" w:cs="Calibri"/>
                <w:b/>
                <w:bCs/>
                <w:i/>
                <w:iCs/>
                <w:color w:val="000000"/>
                <w:sz w:val="22"/>
                <w:szCs w:val="22"/>
                <w:lang w:eastAsia="en-IE"/>
              </w:rPr>
            </w:pPr>
            <w:r w:rsidRPr="003F0900">
              <w:rPr>
                <w:rFonts w:ascii="Calibri" w:hAnsi="Calibri" w:cs="Calibri"/>
                <w:b/>
                <w:bCs/>
                <w:i/>
                <w:iCs/>
                <w:color w:val="000000"/>
                <w:sz w:val="22"/>
                <w:szCs w:val="22"/>
                <w:lang w:eastAsia="en-IE"/>
              </w:rPr>
              <w:t>Items that are or may be reclassified subsequently to profit or loss:</w:t>
            </w:r>
          </w:p>
        </w:tc>
        <w:tc>
          <w:tcPr>
            <w:tcW w:w="1134" w:type="dxa"/>
            <w:shd w:val="clear" w:color="auto" w:fill="FFFF00"/>
            <w:vAlign w:val="bottom"/>
          </w:tcPr>
          <w:p w14:paraId="7F599C54" w14:textId="77777777" w:rsidR="007850A0" w:rsidRPr="003F0900" w:rsidRDefault="007850A0" w:rsidP="005E03B5">
            <w:pPr>
              <w:ind w:right="27"/>
              <w:jc w:val="right"/>
              <w:rPr>
                <w:rFonts w:ascii="Calibri" w:hAnsi="Calibri" w:cs="Calibri"/>
                <w:b/>
                <w:bCs/>
                <w:i/>
                <w:iCs/>
                <w:color w:val="000000"/>
                <w:sz w:val="22"/>
                <w:szCs w:val="22"/>
                <w:lang w:eastAsia="en-IE"/>
              </w:rPr>
            </w:pPr>
          </w:p>
        </w:tc>
        <w:tc>
          <w:tcPr>
            <w:tcW w:w="1133" w:type="dxa"/>
            <w:shd w:val="clear" w:color="auto" w:fill="FFFFFF"/>
            <w:vAlign w:val="center"/>
            <w:hideMark/>
          </w:tcPr>
          <w:p w14:paraId="2BCF2E44" w14:textId="77777777" w:rsidR="007850A0" w:rsidRPr="003F0900" w:rsidRDefault="007850A0" w:rsidP="005E03B5">
            <w:pPr>
              <w:ind w:right="33"/>
              <w:rPr>
                <w:rFonts w:ascii="Calibri" w:eastAsia="Calibri" w:hAnsi="Calibri" w:cs="Calibri"/>
                <w:sz w:val="22"/>
                <w:szCs w:val="22"/>
                <w:lang w:eastAsia="en-IE"/>
              </w:rPr>
            </w:pPr>
          </w:p>
        </w:tc>
      </w:tr>
      <w:tr w:rsidR="007850A0" w:rsidRPr="003F0900" w14:paraId="0A802EA2" w14:textId="77777777" w:rsidTr="00E43EDE">
        <w:trPr>
          <w:trHeight w:val="297"/>
        </w:trPr>
        <w:tc>
          <w:tcPr>
            <w:tcW w:w="8397" w:type="dxa"/>
            <w:shd w:val="clear" w:color="auto" w:fill="FFFFFF"/>
            <w:vAlign w:val="center"/>
            <w:hideMark/>
          </w:tcPr>
          <w:p w14:paraId="06089AF0" w14:textId="77777777" w:rsidR="007850A0" w:rsidRPr="003F0900" w:rsidRDefault="007850A0" w:rsidP="00E43EDE">
            <w:pPr>
              <w:ind w:firstLine="37"/>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Movements in hedging reserve, net of tax:</w:t>
            </w:r>
          </w:p>
        </w:tc>
        <w:tc>
          <w:tcPr>
            <w:tcW w:w="1134" w:type="dxa"/>
            <w:shd w:val="clear" w:color="auto" w:fill="FFFF00"/>
            <w:vAlign w:val="bottom"/>
          </w:tcPr>
          <w:p w14:paraId="132C959F" w14:textId="77777777" w:rsidR="007850A0" w:rsidRPr="003F0900" w:rsidRDefault="007850A0" w:rsidP="005E03B5">
            <w:pPr>
              <w:ind w:right="27"/>
              <w:jc w:val="right"/>
              <w:rPr>
                <w:rFonts w:ascii="Calibri" w:hAnsi="Calibri" w:cs="Calibri"/>
                <w:b/>
                <w:bCs/>
                <w:color w:val="000000"/>
                <w:sz w:val="22"/>
                <w:szCs w:val="22"/>
                <w:lang w:eastAsia="en-IE"/>
              </w:rPr>
            </w:pPr>
          </w:p>
        </w:tc>
        <w:tc>
          <w:tcPr>
            <w:tcW w:w="1133" w:type="dxa"/>
            <w:shd w:val="clear" w:color="auto" w:fill="FFFFFF"/>
            <w:vAlign w:val="center"/>
            <w:hideMark/>
          </w:tcPr>
          <w:p w14:paraId="3074C396" w14:textId="77777777" w:rsidR="007850A0" w:rsidRPr="003F0900" w:rsidRDefault="007850A0" w:rsidP="005E03B5">
            <w:pPr>
              <w:ind w:right="33"/>
              <w:rPr>
                <w:rFonts w:ascii="Calibri" w:eastAsia="Calibri" w:hAnsi="Calibri" w:cs="Calibri"/>
                <w:sz w:val="22"/>
                <w:szCs w:val="22"/>
                <w:lang w:eastAsia="en-IE"/>
              </w:rPr>
            </w:pPr>
          </w:p>
        </w:tc>
      </w:tr>
      <w:tr w:rsidR="007850A0" w:rsidRPr="003F0900" w14:paraId="752EC632" w14:textId="77777777" w:rsidTr="00E43EDE">
        <w:trPr>
          <w:trHeight w:val="308"/>
        </w:trPr>
        <w:tc>
          <w:tcPr>
            <w:tcW w:w="8397" w:type="dxa"/>
            <w:shd w:val="clear" w:color="auto" w:fill="FFFFFF"/>
            <w:vAlign w:val="center"/>
            <w:hideMark/>
          </w:tcPr>
          <w:p w14:paraId="7289A7DC" w14:textId="77777777" w:rsidR="007850A0" w:rsidRPr="003F0900" w:rsidRDefault="007850A0" w:rsidP="00E43EDE">
            <w:pPr>
              <w:ind w:firstLine="37"/>
              <w:rPr>
                <w:rFonts w:ascii="Calibri" w:hAnsi="Calibri" w:cs="Calibri"/>
                <w:color w:val="000000"/>
                <w:sz w:val="22"/>
                <w:szCs w:val="22"/>
                <w:lang w:eastAsia="en-IE"/>
              </w:rPr>
            </w:pPr>
            <w:r w:rsidRPr="003F0900">
              <w:rPr>
                <w:rFonts w:ascii="Calibri" w:hAnsi="Calibri" w:cs="Calibri"/>
                <w:color w:val="000000"/>
                <w:sz w:val="22"/>
                <w:szCs w:val="22"/>
                <w:lang w:eastAsia="en-IE"/>
              </w:rPr>
              <w:t>Net movement in cash-flow hedge reserve</w:t>
            </w:r>
          </w:p>
        </w:tc>
        <w:tc>
          <w:tcPr>
            <w:tcW w:w="1134" w:type="dxa"/>
            <w:tcBorders>
              <w:top w:val="nil"/>
              <w:left w:val="nil"/>
              <w:bottom w:val="single" w:sz="8" w:space="0" w:color="auto"/>
              <w:right w:val="nil"/>
            </w:tcBorders>
            <w:shd w:val="clear" w:color="auto" w:fill="FFFF00"/>
          </w:tcPr>
          <w:p w14:paraId="25F986CE" w14:textId="77777777" w:rsidR="007850A0" w:rsidRPr="003F0900" w:rsidRDefault="007850A0" w:rsidP="005E03B5">
            <w:pPr>
              <w:ind w:right="27"/>
              <w:jc w:val="right"/>
              <w:rPr>
                <w:rFonts w:ascii="Calibri" w:hAnsi="Calibri" w:cs="Calibri"/>
                <w:b/>
                <w:color w:val="000000"/>
                <w:sz w:val="22"/>
                <w:szCs w:val="22"/>
                <w:lang w:eastAsia="en-IE"/>
              </w:rPr>
            </w:pPr>
            <w:r>
              <w:rPr>
                <w:rFonts w:ascii="Calibri" w:hAnsi="Calibri" w:cs="Calibri"/>
                <w:b/>
                <w:color w:val="000000"/>
                <w:sz w:val="22"/>
                <w:szCs w:val="22"/>
                <w:lang w:eastAsia="en-IE"/>
              </w:rPr>
              <w:t>12.1</w:t>
            </w:r>
          </w:p>
        </w:tc>
        <w:tc>
          <w:tcPr>
            <w:tcW w:w="1133" w:type="dxa"/>
            <w:tcBorders>
              <w:top w:val="nil"/>
              <w:left w:val="nil"/>
              <w:bottom w:val="single" w:sz="8" w:space="0" w:color="auto"/>
              <w:right w:val="nil"/>
            </w:tcBorders>
            <w:shd w:val="clear" w:color="auto" w:fill="FFFFFF"/>
            <w:hideMark/>
          </w:tcPr>
          <w:p w14:paraId="70B54541" w14:textId="77777777" w:rsidR="007850A0" w:rsidRPr="003F0900" w:rsidRDefault="007850A0" w:rsidP="005E03B5">
            <w:pPr>
              <w:ind w:right="33"/>
              <w:jc w:val="right"/>
              <w:rPr>
                <w:rFonts w:ascii="Calibri" w:hAnsi="Calibri" w:cs="Calibri"/>
                <w:color w:val="000000"/>
                <w:sz w:val="22"/>
                <w:szCs w:val="22"/>
                <w:lang w:eastAsia="en-IE"/>
              </w:rPr>
            </w:pPr>
            <w:r w:rsidRPr="003F0900">
              <w:rPr>
                <w:rFonts w:ascii="Calibri" w:hAnsi="Calibri" w:cs="Calibri"/>
                <w:color w:val="000000"/>
                <w:sz w:val="22"/>
                <w:szCs w:val="22"/>
              </w:rPr>
              <w:t>(</w:t>
            </w:r>
            <w:r>
              <w:rPr>
                <w:rFonts w:ascii="Calibri" w:hAnsi="Calibri" w:cs="Calibri"/>
                <w:color w:val="000000"/>
                <w:sz w:val="22"/>
                <w:szCs w:val="22"/>
              </w:rPr>
              <w:t>761.5</w:t>
            </w:r>
            <w:r w:rsidRPr="003F0900">
              <w:rPr>
                <w:rFonts w:ascii="Calibri" w:hAnsi="Calibri" w:cs="Calibri"/>
                <w:color w:val="000000"/>
                <w:sz w:val="22"/>
                <w:szCs w:val="22"/>
              </w:rPr>
              <w:t>)</w:t>
            </w:r>
          </w:p>
        </w:tc>
      </w:tr>
      <w:tr w:rsidR="007850A0" w:rsidRPr="003F0900" w14:paraId="6F66E8C8" w14:textId="77777777" w:rsidTr="00E43EDE">
        <w:trPr>
          <w:trHeight w:val="308"/>
        </w:trPr>
        <w:tc>
          <w:tcPr>
            <w:tcW w:w="8397" w:type="dxa"/>
            <w:shd w:val="clear" w:color="auto" w:fill="FFFFFF"/>
            <w:vAlign w:val="center"/>
            <w:hideMark/>
          </w:tcPr>
          <w:p w14:paraId="1E766879" w14:textId="77777777" w:rsidR="007850A0" w:rsidRPr="003F0900" w:rsidRDefault="007850A0" w:rsidP="00E43EDE">
            <w:pPr>
              <w:ind w:firstLine="37"/>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xml:space="preserve">Other comprehensive income/(loss) for the </w:t>
            </w:r>
            <w:r>
              <w:rPr>
                <w:rFonts w:ascii="Calibri" w:hAnsi="Calibri" w:cs="Calibri"/>
                <w:b/>
                <w:bCs/>
                <w:color w:val="000000"/>
                <w:sz w:val="22"/>
                <w:szCs w:val="22"/>
                <w:lang w:eastAsia="en-IE"/>
              </w:rPr>
              <w:t>nine months</w:t>
            </w:r>
            <w:r w:rsidRPr="003F0900">
              <w:rPr>
                <w:rFonts w:ascii="Calibri" w:hAnsi="Calibri" w:cs="Calibri"/>
                <w:b/>
                <w:bCs/>
                <w:color w:val="000000"/>
                <w:sz w:val="22"/>
                <w:szCs w:val="22"/>
                <w:lang w:eastAsia="en-IE"/>
              </w:rPr>
              <w:t xml:space="preserve">, net of income tax </w:t>
            </w:r>
          </w:p>
        </w:tc>
        <w:tc>
          <w:tcPr>
            <w:tcW w:w="1134" w:type="dxa"/>
            <w:tcBorders>
              <w:top w:val="single" w:sz="8" w:space="0" w:color="auto"/>
              <w:left w:val="nil"/>
              <w:bottom w:val="single" w:sz="8" w:space="0" w:color="auto"/>
              <w:right w:val="nil"/>
            </w:tcBorders>
            <w:shd w:val="clear" w:color="auto" w:fill="FFFF00"/>
          </w:tcPr>
          <w:p w14:paraId="3F92AA9F" w14:textId="77777777" w:rsidR="007850A0" w:rsidRPr="003F0900" w:rsidRDefault="007850A0" w:rsidP="005E03B5">
            <w:pPr>
              <w:ind w:right="27"/>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12.1</w:t>
            </w:r>
          </w:p>
        </w:tc>
        <w:tc>
          <w:tcPr>
            <w:tcW w:w="1133" w:type="dxa"/>
            <w:tcBorders>
              <w:top w:val="single" w:sz="8" w:space="0" w:color="auto"/>
              <w:left w:val="nil"/>
              <w:bottom w:val="single" w:sz="8" w:space="0" w:color="auto"/>
              <w:right w:val="nil"/>
            </w:tcBorders>
            <w:shd w:val="clear" w:color="auto" w:fill="FFFFFF"/>
            <w:hideMark/>
          </w:tcPr>
          <w:p w14:paraId="78A8663B" w14:textId="77777777" w:rsidR="007850A0" w:rsidRPr="003F0900" w:rsidRDefault="007850A0" w:rsidP="005E03B5">
            <w:pPr>
              <w:ind w:right="33"/>
              <w:jc w:val="right"/>
              <w:rPr>
                <w:rFonts w:ascii="Calibri" w:hAnsi="Calibri" w:cs="Calibri"/>
                <w:color w:val="000000"/>
                <w:sz w:val="22"/>
                <w:szCs w:val="22"/>
                <w:lang w:eastAsia="en-IE"/>
              </w:rPr>
            </w:pPr>
            <w:r w:rsidRPr="003F0900">
              <w:rPr>
                <w:rFonts w:ascii="Calibri" w:hAnsi="Calibri" w:cs="Calibri"/>
                <w:color w:val="000000"/>
                <w:sz w:val="22"/>
                <w:szCs w:val="22"/>
              </w:rPr>
              <w:t>(</w:t>
            </w:r>
            <w:r>
              <w:rPr>
                <w:rFonts w:ascii="Calibri" w:hAnsi="Calibri" w:cs="Calibri"/>
                <w:color w:val="000000"/>
                <w:sz w:val="22"/>
                <w:szCs w:val="22"/>
              </w:rPr>
              <w:t>761</w:t>
            </w:r>
            <w:r w:rsidRPr="003F0900">
              <w:rPr>
                <w:rFonts w:ascii="Calibri" w:hAnsi="Calibri" w:cs="Calibri"/>
                <w:color w:val="000000"/>
                <w:sz w:val="22"/>
                <w:szCs w:val="22"/>
              </w:rPr>
              <w:t>.5)</w:t>
            </w:r>
          </w:p>
        </w:tc>
      </w:tr>
      <w:tr w:rsidR="007850A0" w:rsidRPr="003F0900" w14:paraId="4F906D5D" w14:textId="77777777" w:rsidTr="00E43EDE">
        <w:trPr>
          <w:trHeight w:val="278"/>
        </w:trPr>
        <w:tc>
          <w:tcPr>
            <w:tcW w:w="8397" w:type="dxa"/>
            <w:vMerge w:val="restart"/>
            <w:shd w:val="clear" w:color="auto" w:fill="FFFFFF"/>
            <w:vAlign w:val="bottom"/>
            <w:hideMark/>
          </w:tcPr>
          <w:p w14:paraId="59FD2A87" w14:textId="77777777" w:rsidR="007850A0" w:rsidRPr="003F0900" w:rsidRDefault="007850A0" w:rsidP="00E43EDE">
            <w:pPr>
              <w:ind w:firstLine="37"/>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xml:space="preserve">Total comprehensive income for the </w:t>
            </w:r>
            <w:r>
              <w:rPr>
                <w:rFonts w:ascii="Calibri" w:hAnsi="Calibri" w:cs="Calibri"/>
                <w:b/>
                <w:bCs/>
                <w:color w:val="000000"/>
                <w:sz w:val="22"/>
                <w:szCs w:val="22"/>
                <w:lang w:eastAsia="en-IE"/>
              </w:rPr>
              <w:t>nine months</w:t>
            </w:r>
            <w:r w:rsidRPr="003F0900">
              <w:rPr>
                <w:rFonts w:ascii="Calibri" w:hAnsi="Calibri" w:cs="Calibri"/>
                <w:b/>
                <w:bCs/>
                <w:color w:val="000000"/>
                <w:sz w:val="22"/>
                <w:szCs w:val="22"/>
                <w:lang w:eastAsia="en-IE"/>
              </w:rPr>
              <w:t xml:space="preserve"> – attributable to equity holders of parent</w:t>
            </w:r>
          </w:p>
        </w:tc>
        <w:tc>
          <w:tcPr>
            <w:tcW w:w="1134" w:type="dxa"/>
            <w:tcBorders>
              <w:top w:val="single" w:sz="8" w:space="0" w:color="auto"/>
              <w:left w:val="nil"/>
              <w:right w:val="nil"/>
            </w:tcBorders>
            <w:shd w:val="clear" w:color="auto" w:fill="FFFF00"/>
            <w:vAlign w:val="center"/>
          </w:tcPr>
          <w:p w14:paraId="60557035" w14:textId="77777777" w:rsidR="007850A0" w:rsidRPr="003F0900" w:rsidRDefault="007850A0" w:rsidP="005E03B5">
            <w:pPr>
              <w:ind w:right="27"/>
              <w:jc w:val="right"/>
              <w:rPr>
                <w:rFonts w:ascii="Calibri" w:hAnsi="Calibri" w:cs="Calibri"/>
                <w:b/>
                <w:bCs/>
                <w:color w:val="000000"/>
                <w:sz w:val="22"/>
                <w:szCs w:val="22"/>
                <w:lang w:eastAsia="en-IE"/>
              </w:rPr>
            </w:pPr>
          </w:p>
        </w:tc>
        <w:tc>
          <w:tcPr>
            <w:tcW w:w="1133" w:type="dxa"/>
            <w:tcBorders>
              <w:top w:val="single" w:sz="8" w:space="0" w:color="auto"/>
              <w:left w:val="nil"/>
              <w:right w:val="nil"/>
            </w:tcBorders>
            <w:shd w:val="clear" w:color="auto" w:fill="FFFFFF"/>
            <w:vAlign w:val="bottom"/>
            <w:hideMark/>
          </w:tcPr>
          <w:p w14:paraId="48BE8210" w14:textId="77777777" w:rsidR="007850A0" w:rsidRPr="003F0900" w:rsidRDefault="007850A0" w:rsidP="005E03B5">
            <w:pPr>
              <w:ind w:right="33"/>
              <w:rPr>
                <w:rFonts w:ascii="Calibri" w:eastAsia="Calibri" w:hAnsi="Calibri" w:cs="Calibri"/>
                <w:sz w:val="22"/>
                <w:szCs w:val="22"/>
                <w:lang w:eastAsia="en-IE"/>
              </w:rPr>
            </w:pPr>
          </w:p>
        </w:tc>
      </w:tr>
      <w:tr w:rsidR="007850A0" w:rsidRPr="003F0900" w14:paraId="2792B865" w14:textId="77777777" w:rsidTr="00E43EDE">
        <w:trPr>
          <w:trHeight w:val="313"/>
        </w:trPr>
        <w:tc>
          <w:tcPr>
            <w:tcW w:w="8397" w:type="dxa"/>
            <w:vMerge/>
            <w:vAlign w:val="center"/>
            <w:hideMark/>
          </w:tcPr>
          <w:p w14:paraId="72C0628C" w14:textId="77777777" w:rsidR="007850A0" w:rsidRPr="003F0900" w:rsidRDefault="007850A0" w:rsidP="00E43EDE">
            <w:pPr>
              <w:rPr>
                <w:rFonts w:ascii="Calibri" w:hAnsi="Calibri" w:cs="Calibri"/>
                <w:b/>
                <w:bCs/>
                <w:color w:val="000000"/>
                <w:sz w:val="22"/>
                <w:szCs w:val="22"/>
                <w:lang w:eastAsia="en-IE"/>
              </w:rPr>
            </w:pPr>
          </w:p>
        </w:tc>
        <w:tc>
          <w:tcPr>
            <w:tcW w:w="1134" w:type="dxa"/>
            <w:tcBorders>
              <w:top w:val="nil"/>
              <w:left w:val="nil"/>
              <w:bottom w:val="single" w:sz="12" w:space="0" w:color="auto"/>
              <w:right w:val="nil"/>
            </w:tcBorders>
            <w:shd w:val="clear" w:color="auto" w:fill="FFFF00"/>
          </w:tcPr>
          <w:p w14:paraId="599185ED" w14:textId="77777777" w:rsidR="007850A0" w:rsidRPr="003F0900" w:rsidRDefault="007850A0" w:rsidP="005E03B5">
            <w:pPr>
              <w:ind w:right="27"/>
              <w:jc w:val="right"/>
              <w:rPr>
                <w:rFonts w:ascii="Calibri" w:hAnsi="Calibri" w:cs="Calibri"/>
                <w:b/>
                <w:bCs/>
                <w:color w:val="000000"/>
                <w:sz w:val="22"/>
                <w:szCs w:val="22"/>
                <w:lang w:eastAsia="en-IE"/>
              </w:rPr>
            </w:pPr>
            <w:r>
              <w:rPr>
                <w:rFonts w:ascii="Calibri" w:hAnsi="Calibri" w:cs="Calibri"/>
                <w:b/>
                <w:bCs/>
                <w:color w:val="000000"/>
                <w:sz w:val="22"/>
                <w:szCs w:val="22"/>
                <w:lang w:eastAsia="en-IE"/>
              </w:rPr>
              <w:t>2,205.0</w:t>
            </w:r>
          </w:p>
        </w:tc>
        <w:tc>
          <w:tcPr>
            <w:tcW w:w="1133" w:type="dxa"/>
            <w:tcBorders>
              <w:top w:val="nil"/>
              <w:left w:val="nil"/>
              <w:bottom w:val="single" w:sz="12" w:space="0" w:color="auto"/>
              <w:right w:val="nil"/>
            </w:tcBorders>
            <w:shd w:val="clear" w:color="auto" w:fill="FFFFFF"/>
            <w:hideMark/>
          </w:tcPr>
          <w:p w14:paraId="3ECBB2AF" w14:textId="77777777" w:rsidR="007850A0" w:rsidRPr="003F0900" w:rsidRDefault="007850A0" w:rsidP="005E03B5">
            <w:pPr>
              <w:ind w:right="33"/>
              <w:jc w:val="right"/>
              <w:rPr>
                <w:rFonts w:ascii="Calibri" w:hAnsi="Calibri" w:cs="Calibri"/>
                <w:color w:val="000000"/>
                <w:sz w:val="22"/>
                <w:szCs w:val="22"/>
                <w:lang w:eastAsia="en-IE"/>
              </w:rPr>
            </w:pPr>
            <w:r>
              <w:rPr>
                <w:rFonts w:ascii="Calibri" w:hAnsi="Calibri" w:cs="Calibri"/>
                <w:color w:val="000000"/>
                <w:sz w:val="22"/>
                <w:szCs w:val="22"/>
              </w:rPr>
              <w:t>704</w:t>
            </w:r>
            <w:r w:rsidRPr="003F0900">
              <w:rPr>
                <w:rFonts w:ascii="Calibri" w:hAnsi="Calibri" w:cs="Calibri"/>
                <w:color w:val="000000"/>
                <w:sz w:val="22"/>
                <w:szCs w:val="22"/>
              </w:rPr>
              <w:t>.</w:t>
            </w:r>
            <w:r>
              <w:rPr>
                <w:rFonts w:ascii="Calibri" w:hAnsi="Calibri" w:cs="Calibri"/>
                <w:color w:val="000000"/>
                <w:sz w:val="22"/>
                <w:szCs w:val="22"/>
              </w:rPr>
              <w:t>0</w:t>
            </w:r>
          </w:p>
        </w:tc>
      </w:tr>
    </w:tbl>
    <w:p w14:paraId="42B8C5D8" w14:textId="77777777" w:rsidR="007850A0" w:rsidRPr="003F0900" w:rsidRDefault="007850A0" w:rsidP="007850A0">
      <w:pPr>
        <w:autoSpaceDE w:val="0"/>
        <w:autoSpaceDN w:val="0"/>
        <w:adjustRightInd w:val="0"/>
        <w:rPr>
          <w:rFonts w:ascii="Calibri" w:hAnsi="Calibri" w:cs="Calibri"/>
          <w:b/>
          <w:bCs/>
          <w:color w:val="000000"/>
          <w:sz w:val="22"/>
          <w:szCs w:val="22"/>
        </w:rPr>
      </w:pPr>
    </w:p>
    <w:p w14:paraId="458AD06D" w14:textId="77777777" w:rsidR="007850A0" w:rsidRDefault="007850A0" w:rsidP="007850A0">
      <w:pPr>
        <w:autoSpaceDE w:val="0"/>
        <w:autoSpaceDN w:val="0"/>
        <w:adjustRightInd w:val="0"/>
        <w:ind w:left="142"/>
        <w:rPr>
          <w:rFonts w:ascii="Calibri" w:hAnsi="Calibri" w:cs="Calibri"/>
          <w:b/>
          <w:bCs/>
          <w:color w:val="000000"/>
        </w:rPr>
      </w:pPr>
    </w:p>
    <w:p w14:paraId="796AC115" w14:textId="77777777" w:rsidR="00A5357B" w:rsidRPr="00835E4A" w:rsidRDefault="00A5357B" w:rsidP="007850A0">
      <w:pPr>
        <w:autoSpaceDE w:val="0"/>
        <w:autoSpaceDN w:val="0"/>
        <w:adjustRightInd w:val="0"/>
        <w:ind w:left="142"/>
        <w:rPr>
          <w:rFonts w:ascii="Calibri" w:hAnsi="Calibri" w:cs="Calibri"/>
          <w:b/>
          <w:bCs/>
          <w:color w:val="000000"/>
        </w:rPr>
      </w:pPr>
      <w:r w:rsidRPr="00835E4A">
        <w:rPr>
          <w:rFonts w:ascii="Calibri" w:hAnsi="Calibri" w:cs="Calibri"/>
          <w:b/>
          <w:bCs/>
          <w:color w:val="000000"/>
        </w:rPr>
        <w:t xml:space="preserve">Ryanair Holdings plc and Subsidiaries </w:t>
      </w:r>
    </w:p>
    <w:p w14:paraId="0F7E3A84" w14:textId="77777777" w:rsidR="00A5357B" w:rsidRPr="00394DE2" w:rsidRDefault="00A5357B" w:rsidP="001C4A45">
      <w:pPr>
        <w:widowControl w:val="0"/>
        <w:ind w:left="142" w:right="-284"/>
        <w:jc w:val="both"/>
        <w:rPr>
          <w:rFonts w:ascii="Calibri" w:hAnsi="Calibri" w:cs="Calibri"/>
          <w:b/>
          <w:bCs/>
          <w:i/>
          <w:iCs/>
          <w:color w:val="000000"/>
        </w:rPr>
      </w:pPr>
      <w:r w:rsidRPr="00394DE2">
        <w:rPr>
          <w:rFonts w:ascii="Calibri" w:hAnsi="Calibri" w:cs="Calibri"/>
          <w:b/>
          <w:bCs/>
          <w:i/>
          <w:iCs/>
          <w:color w:val="000000"/>
        </w:rPr>
        <w:t xml:space="preserve">Condensed Consolidated Interim Statement of Comprehensive Income for </w:t>
      </w:r>
      <w:r>
        <w:rPr>
          <w:rFonts w:ascii="Calibri" w:hAnsi="Calibri" w:cs="Calibri"/>
          <w:b/>
          <w:bCs/>
          <w:i/>
          <w:iCs/>
          <w:color w:val="000000"/>
        </w:rPr>
        <w:t>Quarter</w:t>
      </w:r>
      <w:r w:rsidRPr="00394DE2">
        <w:rPr>
          <w:rFonts w:ascii="Calibri" w:hAnsi="Calibri" w:cs="Calibri"/>
          <w:b/>
          <w:bCs/>
          <w:i/>
          <w:iCs/>
          <w:color w:val="000000"/>
        </w:rPr>
        <w:t xml:space="preserve"> Ended </w:t>
      </w:r>
      <w:r>
        <w:rPr>
          <w:rFonts w:ascii="Calibri" w:hAnsi="Calibri" w:cs="Calibri"/>
          <w:b/>
          <w:bCs/>
          <w:i/>
          <w:iCs/>
          <w:color w:val="000000"/>
        </w:rPr>
        <w:t xml:space="preserve">December </w:t>
      </w:r>
      <w:r w:rsidRPr="00394DE2">
        <w:rPr>
          <w:rFonts w:ascii="Calibri" w:hAnsi="Calibri" w:cs="Calibri"/>
          <w:b/>
          <w:bCs/>
          <w:i/>
          <w:iCs/>
          <w:color w:val="000000"/>
        </w:rPr>
        <w:t>3</w:t>
      </w:r>
      <w:r>
        <w:rPr>
          <w:rFonts w:ascii="Calibri" w:hAnsi="Calibri" w:cs="Calibri"/>
          <w:b/>
          <w:bCs/>
          <w:i/>
          <w:iCs/>
          <w:color w:val="000000"/>
        </w:rPr>
        <w:t>1</w:t>
      </w:r>
      <w:r w:rsidRPr="00394DE2">
        <w:rPr>
          <w:rFonts w:ascii="Calibri" w:hAnsi="Calibri" w:cs="Calibri"/>
          <w:b/>
          <w:bCs/>
          <w:i/>
          <w:iCs/>
          <w:color w:val="000000"/>
        </w:rPr>
        <w:t>,</w:t>
      </w:r>
      <w:r w:rsidR="00FF40A6">
        <w:rPr>
          <w:rFonts w:ascii="Calibri" w:hAnsi="Calibri" w:cs="Calibri"/>
          <w:b/>
          <w:bCs/>
          <w:i/>
          <w:iCs/>
          <w:color w:val="000000"/>
        </w:rPr>
        <w:t xml:space="preserve"> </w:t>
      </w:r>
      <w:r w:rsidRPr="00394DE2">
        <w:rPr>
          <w:rFonts w:ascii="Calibri" w:hAnsi="Calibri" w:cs="Calibri"/>
          <w:b/>
          <w:bCs/>
          <w:i/>
          <w:iCs/>
          <w:color w:val="000000"/>
        </w:rPr>
        <w:t>2023 (unaudited)</w:t>
      </w:r>
    </w:p>
    <w:p w14:paraId="7897A567" w14:textId="77777777" w:rsidR="00A5357B" w:rsidRPr="00190BE6" w:rsidRDefault="00A5357B" w:rsidP="00A5357B">
      <w:pPr>
        <w:widowControl w:val="0"/>
        <w:rPr>
          <w:rFonts w:ascii="Calibri" w:hAnsi="Calibri" w:cs="Calibri"/>
          <w:b/>
          <w:bCs/>
          <w:i/>
          <w:iCs/>
          <w:color w:val="000000"/>
          <w:sz w:val="20"/>
          <w:szCs w:val="22"/>
        </w:rPr>
      </w:pPr>
    </w:p>
    <w:tbl>
      <w:tblPr>
        <w:tblW w:w="10773" w:type="dxa"/>
        <w:tblInd w:w="-34" w:type="dxa"/>
        <w:tblLook w:val="04A0" w:firstRow="1" w:lastRow="0" w:firstColumn="1" w:lastColumn="0" w:noHBand="0" w:noVBand="1"/>
      </w:tblPr>
      <w:tblGrid>
        <w:gridCol w:w="8506"/>
        <w:gridCol w:w="1134"/>
        <w:gridCol w:w="1133"/>
      </w:tblGrid>
      <w:tr w:rsidR="00A5357B" w:rsidRPr="00135F6B" w14:paraId="6852F14E" w14:textId="77777777" w:rsidTr="008310D5">
        <w:trPr>
          <w:trHeight w:val="297"/>
        </w:trPr>
        <w:tc>
          <w:tcPr>
            <w:tcW w:w="8506" w:type="dxa"/>
            <w:shd w:val="clear" w:color="auto" w:fill="FFFFFF"/>
            <w:vAlign w:val="center"/>
            <w:hideMark/>
          </w:tcPr>
          <w:p w14:paraId="6CB15D3F" w14:textId="77777777" w:rsidR="00A5357B" w:rsidRPr="003F0900" w:rsidRDefault="00A5357B" w:rsidP="008310D5">
            <w:pPr>
              <w:rPr>
                <w:rFonts w:ascii="Calibri" w:hAnsi="Calibri" w:cs="Calibri"/>
                <w:b/>
                <w:bCs/>
                <w:color w:val="000000"/>
                <w:sz w:val="22"/>
                <w:szCs w:val="22"/>
                <w:lang w:eastAsia="en-IE"/>
              </w:rPr>
            </w:pPr>
          </w:p>
        </w:tc>
        <w:tc>
          <w:tcPr>
            <w:tcW w:w="1134" w:type="dxa"/>
            <w:shd w:val="clear" w:color="auto" w:fill="FFFF00"/>
            <w:vAlign w:val="center"/>
            <w:hideMark/>
          </w:tcPr>
          <w:p w14:paraId="6B532B67" w14:textId="77777777" w:rsidR="00A5357B" w:rsidRPr="003F0900" w:rsidRDefault="00A5357B" w:rsidP="008310D5">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Quarter</w:t>
            </w:r>
          </w:p>
        </w:tc>
        <w:tc>
          <w:tcPr>
            <w:tcW w:w="1133" w:type="dxa"/>
            <w:shd w:val="clear" w:color="auto" w:fill="FFFFFF"/>
            <w:vAlign w:val="center"/>
            <w:hideMark/>
          </w:tcPr>
          <w:p w14:paraId="70B4EF73" w14:textId="77777777" w:rsidR="00A5357B" w:rsidRPr="003F0900" w:rsidRDefault="00A5357B" w:rsidP="008310D5">
            <w:pPr>
              <w:jc w:val="right"/>
              <w:rPr>
                <w:rFonts w:ascii="Calibri" w:hAnsi="Calibri" w:cs="Calibri"/>
                <w:color w:val="000000"/>
                <w:sz w:val="22"/>
                <w:szCs w:val="22"/>
                <w:lang w:eastAsia="en-IE"/>
              </w:rPr>
            </w:pPr>
            <w:r>
              <w:rPr>
                <w:rFonts w:ascii="Calibri" w:hAnsi="Calibri" w:cs="Calibri"/>
                <w:color w:val="000000"/>
                <w:sz w:val="22"/>
                <w:szCs w:val="22"/>
                <w:lang w:eastAsia="en-IE"/>
              </w:rPr>
              <w:t>Quarter</w:t>
            </w:r>
          </w:p>
        </w:tc>
      </w:tr>
      <w:tr w:rsidR="00A5357B" w:rsidRPr="00135F6B" w14:paraId="5E89B0B2" w14:textId="77777777" w:rsidTr="008310D5">
        <w:trPr>
          <w:trHeight w:val="297"/>
        </w:trPr>
        <w:tc>
          <w:tcPr>
            <w:tcW w:w="8506" w:type="dxa"/>
            <w:shd w:val="clear" w:color="auto" w:fill="FFFFFF"/>
            <w:vAlign w:val="center"/>
            <w:hideMark/>
          </w:tcPr>
          <w:p w14:paraId="51003825" w14:textId="77777777" w:rsidR="00A5357B" w:rsidRPr="003F0900" w:rsidRDefault="00A5357B" w:rsidP="008310D5">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center"/>
            <w:hideMark/>
          </w:tcPr>
          <w:p w14:paraId="1076B21F" w14:textId="77777777" w:rsidR="00A5357B" w:rsidRPr="003F0900" w:rsidRDefault="00A5357B" w:rsidP="008310D5">
            <w:pPr>
              <w:jc w:val="right"/>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Ended</w:t>
            </w:r>
          </w:p>
        </w:tc>
        <w:tc>
          <w:tcPr>
            <w:tcW w:w="1133" w:type="dxa"/>
            <w:shd w:val="clear" w:color="auto" w:fill="FFFFFF"/>
            <w:vAlign w:val="center"/>
            <w:hideMark/>
          </w:tcPr>
          <w:p w14:paraId="349BF819" w14:textId="77777777" w:rsidR="00A5357B" w:rsidRPr="003F0900" w:rsidRDefault="00A5357B" w:rsidP="008310D5">
            <w:pPr>
              <w:jc w:val="right"/>
              <w:rPr>
                <w:rFonts w:ascii="Calibri" w:hAnsi="Calibri" w:cs="Calibri"/>
                <w:color w:val="000000"/>
                <w:sz w:val="22"/>
                <w:szCs w:val="22"/>
                <w:lang w:eastAsia="en-IE"/>
              </w:rPr>
            </w:pPr>
            <w:r w:rsidRPr="003F0900">
              <w:rPr>
                <w:rFonts w:ascii="Calibri" w:hAnsi="Calibri" w:cs="Calibri"/>
                <w:color w:val="000000"/>
                <w:sz w:val="22"/>
                <w:szCs w:val="22"/>
                <w:lang w:eastAsia="en-IE"/>
              </w:rPr>
              <w:t>Ended</w:t>
            </w:r>
          </w:p>
        </w:tc>
      </w:tr>
      <w:tr w:rsidR="00A5357B" w:rsidRPr="00135F6B" w14:paraId="548A2D43" w14:textId="77777777" w:rsidTr="008310D5">
        <w:trPr>
          <w:trHeight w:val="278"/>
        </w:trPr>
        <w:tc>
          <w:tcPr>
            <w:tcW w:w="8506" w:type="dxa"/>
            <w:vMerge w:val="restart"/>
            <w:shd w:val="clear" w:color="auto" w:fill="FFFFFF"/>
            <w:vAlign w:val="center"/>
            <w:hideMark/>
          </w:tcPr>
          <w:p w14:paraId="634C7FCB" w14:textId="77777777" w:rsidR="00A5357B" w:rsidRPr="003F0900" w:rsidRDefault="00A5357B" w:rsidP="008310D5">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center"/>
            <w:hideMark/>
          </w:tcPr>
          <w:p w14:paraId="08CF7481" w14:textId="77777777" w:rsidR="00A5357B" w:rsidRPr="003F0900" w:rsidRDefault="00A5357B" w:rsidP="008310D5">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Dec</w:t>
            </w:r>
            <w:r w:rsidRPr="003F0900">
              <w:rPr>
                <w:rFonts w:ascii="Calibri" w:hAnsi="Calibri" w:cs="Calibri"/>
                <w:b/>
                <w:bCs/>
                <w:color w:val="000000"/>
                <w:sz w:val="22"/>
                <w:szCs w:val="22"/>
                <w:lang w:eastAsia="en-IE"/>
              </w:rPr>
              <w:t xml:space="preserve"> 3</w:t>
            </w:r>
            <w:r>
              <w:rPr>
                <w:rFonts w:ascii="Calibri" w:hAnsi="Calibri" w:cs="Calibri"/>
                <w:b/>
                <w:bCs/>
                <w:color w:val="000000"/>
                <w:sz w:val="22"/>
                <w:szCs w:val="22"/>
                <w:lang w:eastAsia="en-IE"/>
              </w:rPr>
              <w:t>1</w:t>
            </w:r>
            <w:r w:rsidRPr="003F0900">
              <w:rPr>
                <w:rFonts w:ascii="Calibri" w:hAnsi="Calibri" w:cs="Calibri"/>
                <w:b/>
                <w:bCs/>
                <w:color w:val="000000"/>
                <w:sz w:val="22"/>
                <w:szCs w:val="22"/>
                <w:lang w:eastAsia="en-IE"/>
              </w:rPr>
              <w:t xml:space="preserve">, </w:t>
            </w:r>
          </w:p>
        </w:tc>
        <w:tc>
          <w:tcPr>
            <w:tcW w:w="1133" w:type="dxa"/>
            <w:shd w:val="clear" w:color="auto" w:fill="FFFFFF"/>
            <w:vAlign w:val="center"/>
            <w:hideMark/>
          </w:tcPr>
          <w:p w14:paraId="19B51F9B" w14:textId="77777777" w:rsidR="00A5357B" w:rsidRPr="003F0900" w:rsidRDefault="00A5357B" w:rsidP="008310D5">
            <w:pPr>
              <w:jc w:val="right"/>
              <w:rPr>
                <w:rFonts w:ascii="Calibri" w:hAnsi="Calibri" w:cs="Calibri"/>
                <w:color w:val="000000"/>
                <w:sz w:val="22"/>
                <w:szCs w:val="22"/>
                <w:lang w:eastAsia="en-IE"/>
              </w:rPr>
            </w:pPr>
            <w:r>
              <w:rPr>
                <w:rFonts w:ascii="Calibri" w:hAnsi="Calibri" w:cs="Calibri"/>
                <w:color w:val="000000"/>
                <w:sz w:val="22"/>
                <w:szCs w:val="22"/>
                <w:lang w:eastAsia="en-IE"/>
              </w:rPr>
              <w:t>Dec 31</w:t>
            </w:r>
            <w:r w:rsidRPr="003F0900">
              <w:rPr>
                <w:rFonts w:ascii="Calibri" w:hAnsi="Calibri" w:cs="Calibri"/>
                <w:color w:val="000000"/>
                <w:sz w:val="22"/>
                <w:szCs w:val="22"/>
                <w:lang w:eastAsia="en-IE"/>
              </w:rPr>
              <w:t xml:space="preserve">, </w:t>
            </w:r>
          </w:p>
        </w:tc>
      </w:tr>
      <w:tr w:rsidR="00A5357B" w:rsidRPr="00135F6B" w14:paraId="5CDF7774" w14:textId="77777777" w:rsidTr="008310D5">
        <w:trPr>
          <w:trHeight w:val="278"/>
        </w:trPr>
        <w:tc>
          <w:tcPr>
            <w:tcW w:w="8506" w:type="dxa"/>
            <w:vMerge/>
            <w:vAlign w:val="center"/>
            <w:hideMark/>
          </w:tcPr>
          <w:p w14:paraId="53F746C5" w14:textId="77777777" w:rsidR="00A5357B" w:rsidRPr="003F0900" w:rsidRDefault="00A5357B" w:rsidP="008310D5">
            <w:pPr>
              <w:rPr>
                <w:rFonts w:ascii="Calibri" w:hAnsi="Calibri" w:cs="Calibri"/>
                <w:b/>
                <w:bCs/>
                <w:color w:val="000000"/>
                <w:sz w:val="22"/>
                <w:szCs w:val="22"/>
                <w:lang w:eastAsia="en-IE"/>
              </w:rPr>
            </w:pPr>
          </w:p>
        </w:tc>
        <w:tc>
          <w:tcPr>
            <w:tcW w:w="1134" w:type="dxa"/>
            <w:shd w:val="clear" w:color="auto" w:fill="FFFF00"/>
            <w:vAlign w:val="center"/>
            <w:hideMark/>
          </w:tcPr>
          <w:p w14:paraId="5062CED4" w14:textId="77777777" w:rsidR="00A5357B" w:rsidRPr="003F0900" w:rsidRDefault="00A5357B" w:rsidP="008310D5">
            <w:pPr>
              <w:jc w:val="right"/>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2023</w:t>
            </w:r>
          </w:p>
        </w:tc>
        <w:tc>
          <w:tcPr>
            <w:tcW w:w="1133" w:type="dxa"/>
            <w:shd w:val="clear" w:color="auto" w:fill="FFFFFF"/>
            <w:vAlign w:val="center"/>
            <w:hideMark/>
          </w:tcPr>
          <w:p w14:paraId="79A57DFE" w14:textId="77777777" w:rsidR="00A5357B" w:rsidRPr="003F0900" w:rsidRDefault="00A5357B" w:rsidP="008310D5">
            <w:pPr>
              <w:jc w:val="right"/>
              <w:rPr>
                <w:rFonts w:ascii="Calibri" w:hAnsi="Calibri" w:cs="Calibri"/>
                <w:color w:val="000000"/>
                <w:sz w:val="22"/>
                <w:szCs w:val="22"/>
                <w:lang w:eastAsia="en-IE"/>
              </w:rPr>
            </w:pPr>
            <w:r w:rsidRPr="003F0900">
              <w:rPr>
                <w:rFonts w:ascii="Calibri" w:hAnsi="Calibri" w:cs="Calibri"/>
                <w:color w:val="000000"/>
                <w:sz w:val="22"/>
                <w:szCs w:val="22"/>
                <w:lang w:eastAsia="en-IE"/>
              </w:rPr>
              <w:t>2022</w:t>
            </w:r>
          </w:p>
        </w:tc>
      </w:tr>
      <w:tr w:rsidR="00A5357B" w:rsidRPr="00135F6B" w14:paraId="05EFDA57" w14:textId="77777777" w:rsidTr="008310D5">
        <w:trPr>
          <w:trHeight w:val="297"/>
        </w:trPr>
        <w:tc>
          <w:tcPr>
            <w:tcW w:w="8506" w:type="dxa"/>
            <w:shd w:val="clear" w:color="auto" w:fill="FFFFFF"/>
            <w:vAlign w:val="center"/>
            <w:hideMark/>
          </w:tcPr>
          <w:p w14:paraId="03F6727D" w14:textId="77777777" w:rsidR="00A5357B" w:rsidRPr="003F0900" w:rsidRDefault="00A5357B" w:rsidP="008310D5">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center"/>
            <w:hideMark/>
          </w:tcPr>
          <w:p w14:paraId="2092D49E" w14:textId="77777777" w:rsidR="00A5357B" w:rsidRPr="003F0900" w:rsidRDefault="00A5357B" w:rsidP="008310D5">
            <w:pPr>
              <w:jc w:val="right"/>
              <w:rPr>
                <w:rFonts w:ascii="Calibri" w:hAnsi="Calibri" w:cs="Calibri"/>
                <w:b/>
                <w:bCs/>
                <w:color w:val="000000"/>
                <w:sz w:val="22"/>
                <w:szCs w:val="22"/>
                <w:u w:val="single"/>
                <w:lang w:eastAsia="en-IE"/>
              </w:rPr>
            </w:pPr>
            <w:r w:rsidRPr="003F0900">
              <w:rPr>
                <w:rFonts w:ascii="Calibri" w:hAnsi="Calibri" w:cs="Calibri"/>
                <w:b/>
                <w:bCs/>
                <w:color w:val="000000"/>
                <w:sz w:val="22"/>
                <w:szCs w:val="22"/>
                <w:u w:val="single"/>
                <w:lang w:eastAsia="en-IE"/>
              </w:rPr>
              <w:t>€M</w:t>
            </w:r>
          </w:p>
        </w:tc>
        <w:tc>
          <w:tcPr>
            <w:tcW w:w="1133" w:type="dxa"/>
            <w:shd w:val="clear" w:color="auto" w:fill="FFFFFF"/>
            <w:vAlign w:val="center"/>
            <w:hideMark/>
          </w:tcPr>
          <w:p w14:paraId="3BF37582" w14:textId="77777777" w:rsidR="00A5357B" w:rsidRPr="003F0900" w:rsidRDefault="00A5357B" w:rsidP="008310D5">
            <w:pPr>
              <w:jc w:val="right"/>
              <w:rPr>
                <w:rFonts w:ascii="Calibri" w:hAnsi="Calibri" w:cs="Calibri"/>
                <w:color w:val="000000"/>
                <w:sz w:val="22"/>
                <w:szCs w:val="22"/>
                <w:u w:val="single"/>
                <w:lang w:eastAsia="en-IE"/>
              </w:rPr>
            </w:pPr>
            <w:r w:rsidRPr="003F0900">
              <w:rPr>
                <w:rFonts w:ascii="Calibri" w:hAnsi="Calibri" w:cs="Calibri"/>
                <w:color w:val="000000"/>
                <w:sz w:val="22"/>
                <w:szCs w:val="22"/>
                <w:u w:val="single"/>
                <w:lang w:eastAsia="en-IE"/>
              </w:rPr>
              <w:t>€M</w:t>
            </w:r>
          </w:p>
        </w:tc>
      </w:tr>
      <w:tr w:rsidR="00A5357B" w:rsidRPr="00135F6B" w14:paraId="54B2DD9C" w14:textId="77777777" w:rsidTr="008310D5">
        <w:trPr>
          <w:trHeight w:val="297"/>
        </w:trPr>
        <w:tc>
          <w:tcPr>
            <w:tcW w:w="8506" w:type="dxa"/>
            <w:shd w:val="clear" w:color="auto" w:fill="FFFFFF"/>
            <w:vAlign w:val="center"/>
            <w:hideMark/>
          </w:tcPr>
          <w:p w14:paraId="5D97F479" w14:textId="77777777" w:rsidR="00A5357B" w:rsidRPr="003F0900" w:rsidRDefault="00A5357B" w:rsidP="008310D5">
            <w:pPr>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w:t>
            </w:r>
          </w:p>
        </w:tc>
        <w:tc>
          <w:tcPr>
            <w:tcW w:w="1134" w:type="dxa"/>
            <w:shd w:val="clear" w:color="auto" w:fill="FFFF00"/>
            <w:vAlign w:val="bottom"/>
            <w:hideMark/>
          </w:tcPr>
          <w:p w14:paraId="298AC0FE" w14:textId="77777777" w:rsidR="00A5357B" w:rsidRPr="003F0900" w:rsidRDefault="00A5357B" w:rsidP="008310D5">
            <w:pPr>
              <w:rPr>
                <w:rFonts w:ascii="Calibri" w:hAnsi="Calibri" w:cs="Calibri"/>
                <w:b/>
                <w:bCs/>
                <w:color w:val="000000"/>
                <w:sz w:val="22"/>
                <w:szCs w:val="22"/>
                <w:lang w:eastAsia="en-IE"/>
              </w:rPr>
            </w:pPr>
          </w:p>
        </w:tc>
        <w:tc>
          <w:tcPr>
            <w:tcW w:w="1133" w:type="dxa"/>
            <w:shd w:val="clear" w:color="auto" w:fill="FFFFFF"/>
            <w:vAlign w:val="center"/>
            <w:hideMark/>
          </w:tcPr>
          <w:p w14:paraId="4B1A8D7D" w14:textId="77777777" w:rsidR="00A5357B" w:rsidRPr="003F0900" w:rsidRDefault="00A5357B" w:rsidP="008310D5">
            <w:pPr>
              <w:rPr>
                <w:rFonts w:ascii="Calibri" w:eastAsia="Calibri" w:hAnsi="Calibri" w:cs="Calibri"/>
                <w:sz w:val="22"/>
                <w:szCs w:val="22"/>
                <w:lang w:eastAsia="en-IE"/>
              </w:rPr>
            </w:pPr>
          </w:p>
        </w:tc>
      </w:tr>
      <w:tr w:rsidR="00A5357B" w:rsidRPr="00135F6B" w14:paraId="6E1CA755" w14:textId="77777777" w:rsidTr="008310D5">
        <w:trPr>
          <w:trHeight w:val="308"/>
        </w:trPr>
        <w:tc>
          <w:tcPr>
            <w:tcW w:w="8506" w:type="dxa"/>
            <w:shd w:val="clear" w:color="auto" w:fill="FFFFFF"/>
            <w:vAlign w:val="center"/>
            <w:hideMark/>
          </w:tcPr>
          <w:p w14:paraId="6CEC8468" w14:textId="77777777" w:rsidR="00A5357B" w:rsidRPr="003F0900" w:rsidRDefault="00A5357B" w:rsidP="008310D5">
            <w:pPr>
              <w:ind w:left="172"/>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xml:space="preserve">Profit for the </w:t>
            </w:r>
            <w:r>
              <w:rPr>
                <w:rFonts w:ascii="Calibri" w:hAnsi="Calibri" w:cs="Calibri"/>
                <w:b/>
                <w:bCs/>
                <w:color w:val="000000"/>
                <w:sz w:val="22"/>
                <w:szCs w:val="22"/>
                <w:lang w:eastAsia="en-IE"/>
              </w:rPr>
              <w:t>quarter</w:t>
            </w:r>
          </w:p>
        </w:tc>
        <w:tc>
          <w:tcPr>
            <w:tcW w:w="1134" w:type="dxa"/>
            <w:tcBorders>
              <w:top w:val="nil"/>
              <w:left w:val="nil"/>
              <w:bottom w:val="single" w:sz="8" w:space="0" w:color="auto"/>
              <w:right w:val="nil"/>
            </w:tcBorders>
            <w:shd w:val="clear" w:color="auto" w:fill="FFFF00"/>
          </w:tcPr>
          <w:p w14:paraId="48A088B6" w14:textId="77777777" w:rsidR="00A5357B" w:rsidRPr="003F0900" w:rsidRDefault="00A5357B" w:rsidP="008310D5">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14.8</w:t>
            </w:r>
          </w:p>
        </w:tc>
        <w:tc>
          <w:tcPr>
            <w:tcW w:w="1133" w:type="dxa"/>
            <w:tcBorders>
              <w:top w:val="nil"/>
              <w:left w:val="nil"/>
              <w:bottom w:val="single" w:sz="8" w:space="0" w:color="auto"/>
              <w:right w:val="nil"/>
            </w:tcBorders>
            <w:shd w:val="clear" w:color="auto" w:fill="FFFFFF"/>
            <w:hideMark/>
          </w:tcPr>
          <w:p w14:paraId="51A97C91" w14:textId="77777777" w:rsidR="00A5357B" w:rsidRPr="00872D2C" w:rsidRDefault="00A5357B" w:rsidP="008310D5">
            <w:pPr>
              <w:jc w:val="right"/>
              <w:rPr>
                <w:rFonts w:ascii="Calibri" w:hAnsi="Calibri" w:cs="Calibri"/>
                <w:color w:val="000000"/>
                <w:sz w:val="22"/>
                <w:szCs w:val="22"/>
                <w:lang w:eastAsia="en-IE"/>
              </w:rPr>
            </w:pPr>
            <w:r w:rsidRPr="00872D2C">
              <w:rPr>
                <w:rFonts w:ascii="Calibri" w:hAnsi="Calibri" w:cs="Calibri"/>
                <w:color w:val="000000"/>
                <w:sz w:val="22"/>
                <w:szCs w:val="22"/>
              </w:rPr>
              <w:t>202.1</w:t>
            </w:r>
          </w:p>
        </w:tc>
      </w:tr>
      <w:tr w:rsidR="00A5357B" w:rsidRPr="00135F6B" w14:paraId="063B6EF0" w14:textId="77777777" w:rsidTr="008310D5">
        <w:trPr>
          <w:trHeight w:val="297"/>
        </w:trPr>
        <w:tc>
          <w:tcPr>
            <w:tcW w:w="8506" w:type="dxa"/>
            <w:shd w:val="clear" w:color="auto" w:fill="FFFFFF"/>
            <w:vAlign w:val="center"/>
            <w:hideMark/>
          </w:tcPr>
          <w:p w14:paraId="5C4C4DDB" w14:textId="77777777" w:rsidR="00A5357B" w:rsidRPr="003F0900" w:rsidRDefault="00A5357B" w:rsidP="008310D5">
            <w:pPr>
              <w:ind w:left="172"/>
              <w:rPr>
                <w:rFonts w:ascii="Calibri" w:hAnsi="Calibri" w:cs="Calibri"/>
                <w:color w:val="000000"/>
                <w:sz w:val="22"/>
                <w:szCs w:val="22"/>
                <w:lang w:eastAsia="en-IE"/>
              </w:rPr>
            </w:pPr>
            <w:r w:rsidRPr="003F0900">
              <w:rPr>
                <w:rFonts w:ascii="Calibri" w:hAnsi="Calibri" w:cs="Calibri"/>
                <w:color w:val="000000"/>
                <w:sz w:val="22"/>
                <w:szCs w:val="22"/>
                <w:lang w:eastAsia="en-IE"/>
              </w:rPr>
              <w:t> </w:t>
            </w:r>
          </w:p>
        </w:tc>
        <w:tc>
          <w:tcPr>
            <w:tcW w:w="1134" w:type="dxa"/>
            <w:tcBorders>
              <w:top w:val="single" w:sz="8" w:space="0" w:color="auto"/>
              <w:left w:val="nil"/>
              <w:bottom w:val="nil"/>
              <w:right w:val="nil"/>
            </w:tcBorders>
            <w:shd w:val="clear" w:color="auto" w:fill="FFFF00"/>
            <w:vAlign w:val="bottom"/>
          </w:tcPr>
          <w:p w14:paraId="7653ACA3" w14:textId="77777777" w:rsidR="00A5357B" w:rsidRPr="003F0900" w:rsidRDefault="00A5357B" w:rsidP="008310D5">
            <w:pPr>
              <w:jc w:val="right"/>
              <w:rPr>
                <w:rFonts w:ascii="Calibri" w:hAnsi="Calibri" w:cs="Calibri"/>
                <w:b/>
                <w:color w:val="000000"/>
                <w:sz w:val="22"/>
                <w:szCs w:val="22"/>
                <w:lang w:eastAsia="en-IE"/>
              </w:rPr>
            </w:pPr>
          </w:p>
        </w:tc>
        <w:tc>
          <w:tcPr>
            <w:tcW w:w="1133" w:type="dxa"/>
            <w:tcBorders>
              <w:top w:val="single" w:sz="8" w:space="0" w:color="auto"/>
              <w:left w:val="nil"/>
              <w:bottom w:val="nil"/>
              <w:right w:val="nil"/>
            </w:tcBorders>
            <w:shd w:val="clear" w:color="auto" w:fill="FFFFFF"/>
            <w:hideMark/>
          </w:tcPr>
          <w:p w14:paraId="0312E081" w14:textId="77777777" w:rsidR="00A5357B" w:rsidRPr="00872D2C" w:rsidRDefault="00A5357B" w:rsidP="008310D5">
            <w:pPr>
              <w:rPr>
                <w:rFonts w:ascii="Calibri" w:eastAsia="Calibri" w:hAnsi="Calibri" w:cs="Calibri"/>
                <w:sz w:val="22"/>
                <w:szCs w:val="22"/>
                <w:lang w:eastAsia="en-IE"/>
              </w:rPr>
            </w:pPr>
          </w:p>
        </w:tc>
      </w:tr>
      <w:tr w:rsidR="00A5357B" w:rsidRPr="00135F6B" w14:paraId="74221260" w14:textId="77777777" w:rsidTr="008310D5">
        <w:trPr>
          <w:trHeight w:val="297"/>
        </w:trPr>
        <w:tc>
          <w:tcPr>
            <w:tcW w:w="8506" w:type="dxa"/>
            <w:shd w:val="clear" w:color="auto" w:fill="FFFFFF"/>
            <w:vAlign w:val="center"/>
            <w:hideMark/>
          </w:tcPr>
          <w:p w14:paraId="311B97E6" w14:textId="77777777" w:rsidR="00A5357B" w:rsidRPr="003F0900" w:rsidRDefault="00A5357B" w:rsidP="008310D5">
            <w:pPr>
              <w:ind w:left="172"/>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Other comprehensive (loss):</w:t>
            </w:r>
          </w:p>
        </w:tc>
        <w:tc>
          <w:tcPr>
            <w:tcW w:w="1134" w:type="dxa"/>
            <w:shd w:val="clear" w:color="auto" w:fill="FFFF00"/>
            <w:vAlign w:val="bottom"/>
          </w:tcPr>
          <w:p w14:paraId="0A9F318F" w14:textId="77777777" w:rsidR="00A5357B" w:rsidRPr="003F0900" w:rsidRDefault="00A5357B" w:rsidP="008310D5">
            <w:pPr>
              <w:jc w:val="right"/>
              <w:rPr>
                <w:rFonts w:ascii="Calibri" w:hAnsi="Calibri" w:cs="Calibri"/>
                <w:b/>
                <w:bCs/>
                <w:color w:val="000000"/>
                <w:sz w:val="22"/>
                <w:szCs w:val="22"/>
                <w:lang w:eastAsia="en-IE"/>
              </w:rPr>
            </w:pPr>
          </w:p>
        </w:tc>
        <w:tc>
          <w:tcPr>
            <w:tcW w:w="1133" w:type="dxa"/>
            <w:shd w:val="clear" w:color="auto" w:fill="FFFFFF"/>
            <w:hideMark/>
          </w:tcPr>
          <w:p w14:paraId="183CEB78" w14:textId="77777777" w:rsidR="00A5357B" w:rsidRPr="00872D2C" w:rsidRDefault="00A5357B" w:rsidP="008310D5">
            <w:pPr>
              <w:rPr>
                <w:rFonts w:ascii="Calibri" w:eastAsia="Calibri" w:hAnsi="Calibri" w:cs="Calibri"/>
                <w:sz w:val="22"/>
                <w:szCs w:val="22"/>
                <w:lang w:eastAsia="en-IE"/>
              </w:rPr>
            </w:pPr>
          </w:p>
        </w:tc>
      </w:tr>
      <w:tr w:rsidR="00A5357B" w:rsidRPr="00135F6B" w14:paraId="534E9E0E" w14:textId="77777777" w:rsidTr="008310D5">
        <w:trPr>
          <w:trHeight w:val="297"/>
        </w:trPr>
        <w:tc>
          <w:tcPr>
            <w:tcW w:w="8506" w:type="dxa"/>
            <w:shd w:val="clear" w:color="auto" w:fill="FFFFFF"/>
            <w:vAlign w:val="center"/>
            <w:hideMark/>
          </w:tcPr>
          <w:p w14:paraId="5A27E2C6" w14:textId="77777777" w:rsidR="00A5357B" w:rsidRPr="003F0900" w:rsidRDefault="00A5357B" w:rsidP="008310D5">
            <w:pPr>
              <w:ind w:left="172"/>
              <w:rPr>
                <w:rFonts w:ascii="Calibri" w:hAnsi="Calibri" w:cs="Calibri"/>
                <w:b/>
                <w:bCs/>
                <w:i/>
                <w:iCs/>
                <w:color w:val="000000"/>
                <w:sz w:val="22"/>
                <w:szCs w:val="22"/>
                <w:lang w:eastAsia="en-IE"/>
              </w:rPr>
            </w:pPr>
            <w:r w:rsidRPr="003F0900">
              <w:rPr>
                <w:rFonts w:ascii="Calibri" w:hAnsi="Calibri" w:cs="Calibri"/>
                <w:b/>
                <w:bCs/>
                <w:i/>
                <w:iCs/>
                <w:color w:val="000000"/>
                <w:sz w:val="22"/>
                <w:szCs w:val="22"/>
                <w:lang w:eastAsia="en-IE"/>
              </w:rPr>
              <w:t>Items that are or may be reclassified subsequently to profit or loss:</w:t>
            </w:r>
          </w:p>
        </w:tc>
        <w:tc>
          <w:tcPr>
            <w:tcW w:w="1134" w:type="dxa"/>
            <w:shd w:val="clear" w:color="auto" w:fill="FFFF00"/>
            <w:vAlign w:val="bottom"/>
          </w:tcPr>
          <w:p w14:paraId="4733ABC2" w14:textId="77777777" w:rsidR="00A5357B" w:rsidRPr="003F0900" w:rsidRDefault="00A5357B" w:rsidP="008310D5">
            <w:pPr>
              <w:jc w:val="right"/>
              <w:rPr>
                <w:rFonts w:ascii="Calibri" w:hAnsi="Calibri" w:cs="Calibri"/>
                <w:b/>
                <w:bCs/>
                <w:i/>
                <w:iCs/>
                <w:color w:val="000000"/>
                <w:sz w:val="22"/>
                <w:szCs w:val="22"/>
                <w:lang w:eastAsia="en-IE"/>
              </w:rPr>
            </w:pPr>
          </w:p>
        </w:tc>
        <w:tc>
          <w:tcPr>
            <w:tcW w:w="1133" w:type="dxa"/>
            <w:shd w:val="clear" w:color="auto" w:fill="FFFFFF"/>
            <w:hideMark/>
          </w:tcPr>
          <w:p w14:paraId="2451058C" w14:textId="77777777" w:rsidR="00A5357B" w:rsidRPr="00872D2C" w:rsidRDefault="00A5357B" w:rsidP="008310D5">
            <w:pPr>
              <w:rPr>
                <w:rFonts w:ascii="Calibri" w:eastAsia="Calibri" w:hAnsi="Calibri" w:cs="Calibri"/>
                <w:sz w:val="22"/>
                <w:szCs w:val="22"/>
                <w:lang w:eastAsia="en-IE"/>
              </w:rPr>
            </w:pPr>
          </w:p>
        </w:tc>
      </w:tr>
      <w:tr w:rsidR="00A5357B" w:rsidRPr="00135F6B" w14:paraId="7BFECB58" w14:textId="77777777" w:rsidTr="008310D5">
        <w:trPr>
          <w:trHeight w:val="297"/>
        </w:trPr>
        <w:tc>
          <w:tcPr>
            <w:tcW w:w="8506" w:type="dxa"/>
            <w:shd w:val="clear" w:color="auto" w:fill="FFFFFF"/>
            <w:vAlign w:val="center"/>
            <w:hideMark/>
          </w:tcPr>
          <w:p w14:paraId="0A1262E5" w14:textId="77777777" w:rsidR="00A5357B" w:rsidRPr="003F0900" w:rsidRDefault="00A5357B" w:rsidP="008310D5">
            <w:pPr>
              <w:ind w:left="172"/>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Movements in hedging reserve, net of tax:</w:t>
            </w:r>
          </w:p>
        </w:tc>
        <w:tc>
          <w:tcPr>
            <w:tcW w:w="1134" w:type="dxa"/>
            <w:shd w:val="clear" w:color="auto" w:fill="FFFF00"/>
            <w:vAlign w:val="bottom"/>
          </w:tcPr>
          <w:p w14:paraId="7E689C91" w14:textId="77777777" w:rsidR="00A5357B" w:rsidRPr="003F0900" w:rsidRDefault="00A5357B" w:rsidP="008310D5">
            <w:pPr>
              <w:jc w:val="right"/>
              <w:rPr>
                <w:rFonts w:ascii="Calibri" w:hAnsi="Calibri" w:cs="Calibri"/>
                <w:b/>
                <w:bCs/>
                <w:color w:val="000000"/>
                <w:sz w:val="22"/>
                <w:szCs w:val="22"/>
                <w:lang w:eastAsia="en-IE"/>
              </w:rPr>
            </w:pPr>
          </w:p>
        </w:tc>
        <w:tc>
          <w:tcPr>
            <w:tcW w:w="1133" w:type="dxa"/>
            <w:shd w:val="clear" w:color="auto" w:fill="FFFFFF"/>
            <w:hideMark/>
          </w:tcPr>
          <w:p w14:paraId="0E4B5B6B" w14:textId="77777777" w:rsidR="00A5357B" w:rsidRPr="00872D2C" w:rsidRDefault="00A5357B" w:rsidP="008310D5">
            <w:pPr>
              <w:rPr>
                <w:rFonts w:ascii="Calibri" w:eastAsia="Calibri" w:hAnsi="Calibri" w:cs="Calibri"/>
                <w:sz w:val="22"/>
                <w:szCs w:val="22"/>
                <w:lang w:eastAsia="en-IE"/>
              </w:rPr>
            </w:pPr>
          </w:p>
        </w:tc>
      </w:tr>
      <w:tr w:rsidR="00A5357B" w:rsidRPr="00135F6B" w14:paraId="2B58D503" w14:textId="77777777" w:rsidTr="008310D5">
        <w:trPr>
          <w:trHeight w:val="308"/>
        </w:trPr>
        <w:tc>
          <w:tcPr>
            <w:tcW w:w="8506" w:type="dxa"/>
            <w:shd w:val="clear" w:color="auto" w:fill="FFFFFF"/>
            <w:vAlign w:val="center"/>
            <w:hideMark/>
          </w:tcPr>
          <w:p w14:paraId="78CBE700" w14:textId="77777777" w:rsidR="00A5357B" w:rsidRPr="003F0900" w:rsidRDefault="00A5357B" w:rsidP="008310D5">
            <w:pPr>
              <w:ind w:left="172"/>
              <w:rPr>
                <w:rFonts w:ascii="Calibri" w:hAnsi="Calibri" w:cs="Calibri"/>
                <w:color w:val="000000"/>
                <w:sz w:val="22"/>
                <w:szCs w:val="22"/>
                <w:lang w:eastAsia="en-IE"/>
              </w:rPr>
            </w:pPr>
            <w:r w:rsidRPr="003F0900">
              <w:rPr>
                <w:rFonts w:ascii="Calibri" w:hAnsi="Calibri" w:cs="Calibri"/>
                <w:color w:val="000000"/>
                <w:sz w:val="22"/>
                <w:szCs w:val="22"/>
                <w:lang w:eastAsia="en-IE"/>
              </w:rPr>
              <w:t>Net movement in cash-flow hedge reserve</w:t>
            </w:r>
          </w:p>
        </w:tc>
        <w:tc>
          <w:tcPr>
            <w:tcW w:w="1134" w:type="dxa"/>
            <w:tcBorders>
              <w:top w:val="nil"/>
              <w:left w:val="nil"/>
              <w:bottom w:val="single" w:sz="8" w:space="0" w:color="auto"/>
              <w:right w:val="nil"/>
            </w:tcBorders>
            <w:shd w:val="clear" w:color="auto" w:fill="FFFF00"/>
          </w:tcPr>
          <w:p w14:paraId="4169EAE7" w14:textId="77777777" w:rsidR="00A5357B" w:rsidRPr="003F0900" w:rsidRDefault="00A5357B" w:rsidP="008310D5">
            <w:pPr>
              <w:jc w:val="right"/>
              <w:rPr>
                <w:rFonts w:ascii="Calibri" w:hAnsi="Calibri" w:cs="Calibri"/>
                <w:b/>
                <w:color w:val="000000"/>
                <w:sz w:val="22"/>
                <w:szCs w:val="22"/>
                <w:lang w:eastAsia="en-IE"/>
              </w:rPr>
            </w:pPr>
            <w:r>
              <w:rPr>
                <w:rFonts w:ascii="Calibri" w:hAnsi="Calibri" w:cs="Calibri"/>
                <w:b/>
                <w:color w:val="000000"/>
                <w:sz w:val="22"/>
                <w:szCs w:val="22"/>
                <w:lang w:eastAsia="en-IE"/>
              </w:rPr>
              <w:t>(582.5)</w:t>
            </w:r>
          </w:p>
        </w:tc>
        <w:tc>
          <w:tcPr>
            <w:tcW w:w="1133" w:type="dxa"/>
            <w:tcBorders>
              <w:top w:val="nil"/>
              <w:left w:val="nil"/>
              <w:bottom w:val="single" w:sz="8" w:space="0" w:color="auto"/>
              <w:right w:val="nil"/>
            </w:tcBorders>
            <w:shd w:val="clear" w:color="auto" w:fill="FFFFFF"/>
            <w:hideMark/>
          </w:tcPr>
          <w:p w14:paraId="17657C28" w14:textId="77777777" w:rsidR="00A5357B" w:rsidRPr="00872D2C" w:rsidRDefault="00A5357B" w:rsidP="008310D5">
            <w:pPr>
              <w:jc w:val="right"/>
              <w:rPr>
                <w:rFonts w:ascii="Calibri" w:hAnsi="Calibri" w:cs="Calibri"/>
                <w:color w:val="000000"/>
                <w:sz w:val="22"/>
                <w:szCs w:val="22"/>
                <w:lang w:eastAsia="en-IE"/>
              </w:rPr>
            </w:pPr>
            <w:r w:rsidRPr="00872D2C">
              <w:rPr>
                <w:rFonts w:ascii="Calibri" w:hAnsi="Calibri" w:cs="Calibri"/>
                <w:color w:val="000000"/>
                <w:sz w:val="22"/>
                <w:szCs w:val="22"/>
              </w:rPr>
              <w:t>(591.3)</w:t>
            </w:r>
          </w:p>
        </w:tc>
      </w:tr>
      <w:tr w:rsidR="00A5357B" w:rsidRPr="00135F6B" w14:paraId="1C5C82B1" w14:textId="77777777" w:rsidTr="008310D5">
        <w:trPr>
          <w:trHeight w:val="308"/>
        </w:trPr>
        <w:tc>
          <w:tcPr>
            <w:tcW w:w="8506" w:type="dxa"/>
            <w:shd w:val="clear" w:color="auto" w:fill="FFFFFF"/>
            <w:vAlign w:val="center"/>
            <w:hideMark/>
          </w:tcPr>
          <w:p w14:paraId="09F09CB3" w14:textId="77777777" w:rsidR="00A5357B" w:rsidRPr="003F0900" w:rsidRDefault="00A5357B" w:rsidP="008310D5">
            <w:pPr>
              <w:ind w:left="172"/>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xml:space="preserve">Other comprehensive (loss) for the </w:t>
            </w:r>
            <w:r>
              <w:rPr>
                <w:rFonts w:ascii="Calibri" w:hAnsi="Calibri" w:cs="Calibri"/>
                <w:b/>
                <w:bCs/>
                <w:color w:val="000000"/>
                <w:sz w:val="22"/>
                <w:szCs w:val="22"/>
                <w:lang w:eastAsia="en-IE"/>
              </w:rPr>
              <w:t>quarter</w:t>
            </w:r>
            <w:r w:rsidRPr="003F0900">
              <w:rPr>
                <w:rFonts w:ascii="Calibri" w:hAnsi="Calibri" w:cs="Calibri"/>
                <w:b/>
                <w:bCs/>
                <w:color w:val="000000"/>
                <w:sz w:val="22"/>
                <w:szCs w:val="22"/>
                <w:lang w:eastAsia="en-IE"/>
              </w:rPr>
              <w:t xml:space="preserve">, net of income tax </w:t>
            </w:r>
          </w:p>
        </w:tc>
        <w:tc>
          <w:tcPr>
            <w:tcW w:w="1134" w:type="dxa"/>
            <w:tcBorders>
              <w:top w:val="single" w:sz="8" w:space="0" w:color="auto"/>
              <w:left w:val="nil"/>
              <w:bottom w:val="single" w:sz="8" w:space="0" w:color="auto"/>
              <w:right w:val="nil"/>
            </w:tcBorders>
            <w:shd w:val="clear" w:color="auto" w:fill="FFFF00"/>
          </w:tcPr>
          <w:p w14:paraId="6EB832E0" w14:textId="77777777" w:rsidR="00A5357B" w:rsidRPr="003F0900" w:rsidRDefault="00A5357B" w:rsidP="008310D5">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(582.5)</w:t>
            </w:r>
          </w:p>
        </w:tc>
        <w:tc>
          <w:tcPr>
            <w:tcW w:w="1133" w:type="dxa"/>
            <w:tcBorders>
              <w:top w:val="single" w:sz="8" w:space="0" w:color="auto"/>
              <w:left w:val="nil"/>
              <w:bottom w:val="single" w:sz="8" w:space="0" w:color="auto"/>
              <w:right w:val="nil"/>
            </w:tcBorders>
            <w:shd w:val="clear" w:color="auto" w:fill="FFFFFF"/>
            <w:hideMark/>
          </w:tcPr>
          <w:p w14:paraId="2B84AFE4" w14:textId="77777777" w:rsidR="00A5357B" w:rsidRPr="00872D2C" w:rsidRDefault="00A5357B" w:rsidP="008310D5">
            <w:pPr>
              <w:jc w:val="right"/>
              <w:rPr>
                <w:rFonts w:ascii="Calibri" w:hAnsi="Calibri" w:cs="Calibri"/>
                <w:color w:val="000000"/>
                <w:sz w:val="22"/>
                <w:szCs w:val="22"/>
                <w:lang w:eastAsia="en-IE"/>
              </w:rPr>
            </w:pPr>
            <w:r w:rsidRPr="00872D2C">
              <w:rPr>
                <w:rFonts w:ascii="Calibri" w:hAnsi="Calibri" w:cs="Calibri"/>
                <w:color w:val="000000"/>
                <w:sz w:val="22"/>
                <w:szCs w:val="22"/>
              </w:rPr>
              <w:t>(591.3)</w:t>
            </w:r>
          </w:p>
        </w:tc>
      </w:tr>
      <w:tr w:rsidR="00A5357B" w:rsidRPr="00135F6B" w14:paraId="1BE65EFD" w14:textId="77777777" w:rsidTr="008310D5">
        <w:trPr>
          <w:trHeight w:val="278"/>
        </w:trPr>
        <w:tc>
          <w:tcPr>
            <w:tcW w:w="8506" w:type="dxa"/>
            <w:vMerge w:val="restart"/>
            <w:shd w:val="clear" w:color="auto" w:fill="FFFFFF"/>
            <w:vAlign w:val="bottom"/>
            <w:hideMark/>
          </w:tcPr>
          <w:p w14:paraId="240E7102" w14:textId="77777777" w:rsidR="00A5357B" w:rsidRPr="003F0900" w:rsidRDefault="00A5357B" w:rsidP="008310D5">
            <w:pPr>
              <w:ind w:left="172"/>
              <w:rPr>
                <w:rFonts w:ascii="Calibri" w:hAnsi="Calibri" w:cs="Calibri"/>
                <w:b/>
                <w:bCs/>
                <w:color w:val="000000"/>
                <w:sz w:val="22"/>
                <w:szCs w:val="22"/>
                <w:lang w:eastAsia="en-IE"/>
              </w:rPr>
            </w:pPr>
            <w:r w:rsidRPr="003F0900">
              <w:rPr>
                <w:rFonts w:ascii="Calibri" w:hAnsi="Calibri" w:cs="Calibri"/>
                <w:b/>
                <w:bCs/>
                <w:color w:val="000000"/>
                <w:sz w:val="22"/>
                <w:szCs w:val="22"/>
                <w:lang w:eastAsia="en-IE"/>
              </w:rPr>
              <w:t xml:space="preserve">Total comprehensive </w:t>
            </w:r>
            <w:r>
              <w:rPr>
                <w:rFonts w:ascii="Calibri" w:hAnsi="Calibri" w:cs="Calibri"/>
                <w:b/>
                <w:bCs/>
                <w:color w:val="000000"/>
                <w:sz w:val="22"/>
                <w:szCs w:val="22"/>
                <w:lang w:eastAsia="en-IE"/>
              </w:rPr>
              <w:t>(loss)</w:t>
            </w:r>
            <w:r w:rsidRPr="003F0900">
              <w:rPr>
                <w:rFonts w:ascii="Calibri" w:hAnsi="Calibri" w:cs="Calibri"/>
                <w:b/>
                <w:bCs/>
                <w:color w:val="000000"/>
                <w:sz w:val="22"/>
                <w:szCs w:val="22"/>
                <w:lang w:eastAsia="en-IE"/>
              </w:rPr>
              <w:t xml:space="preserve"> for the </w:t>
            </w:r>
            <w:r>
              <w:rPr>
                <w:rFonts w:ascii="Calibri" w:hAnsi="Calibri" w:cs="Calibri"/>
                <w:b/>
                <w:bCs/>
                <w:color w:val="000000"/>
                <w:sz w:val="22"/>
                <w:szCs w:val="22"/>
                <w:lang w:eastAsia="en-IE"/>
              </w:rPr>
              <w:t>quarter</w:t>
            </w:r>
            <w:r w:rsidRPr="003F0900">
              <w:rPr>
                <w:rFonts w:ascii="Calibri" w:hAnsi="Calibri" w:cs="Calibri"/>
                <w:b/>
                <w:bCs/>
                <w:color w:val="000000"/>
                <w:sz w:val="22"/>
                <w:szCs w:val="22"/>
                <w:lang w:eastAsia="en-IE"/>
              </w:rPr>
              <w:t xml:space="preserve"> – attributable to equity holders of parent</w:t>
            </w:r>
          </w:p>
        </w:tc>
        <w:tc>
          <w:tcPr>
            <w:tcW w:w="1134" w:type="dxa"/>
            <w:tcBorders>
              <w:top w:val="single" w:sz="8" w:space="0" w:color="auto"/>
              <w:left w:val="nil"/>
              <w:right w:val="nil"/>
            </w:tcBorders>
            <w:shd w:val="clear" w:color="auto" w:fill="FFFF00"/>
            <w:vAlign w:val="center"/>
          </w:tcPr>
          <w:p w14:paraId="59120FC0" w14:textId="77777777" w:rsidR="00A5357B" w:rsidRPr="003F0900" w:rsidRDefault="00A5357B" w:rsidP="008310D5">
            <w:pPr>
              <w:jc w:val="right"/>
              <w:rPr>
                <w:rFonts w:ascii="Calibri" w:hAnsi="Calibri" w:cs="Calibri"/>
                <w:b/>
                <w:bCs/>
                <w:color w:val="000000"/>
                <w:sz w:val="22"/>
                <w:szCs w:val="22"/>
                <w:lang w:eastAsia="en-IE"/>
              </w:rPr>
            </w:pPr>
          </w:p>
        </w:tc>
        <w:tc>
          <w:tcPr>
            <w:tcW w:w="1133" w:type="dxa"/>
            <w:tcBorders>
              <w:top w:val="single" w:sz="8" w:space="0" w:color="auto"/>
              <w:left w:val="nil"/>
              <w:right w:val="nil"/>
            </w:tcBorders>
            <w:shd w:val="clear" w:color="auto" w:fill="FFFFFF"/>
            <w:hideMark/>
          </w:tcPr>
          <w:p w14:paraId="24F3112B" w14:textId="77777777" w:rsidR="00A5357B" w:rsidRPr="00872D2C" w:rsidRDefault="00A5357B" w:rsidP="008310D5">
            <w:pPr>
              <w:rPr>
                <w:rFonts w:ascii="Calibri" w:eastAsia="Calibri" w:hAnsi="Calibri" w:cs="Calibri"/>
                <w:sz w:val="22"/>
                <w:szCs w:val="22"/>
                <w:lang w:eastAsia="en-IE"/>
              </w:rPr>
            </w:pPr>
          </w:p>
        </w:tc>
      </w:tr>
      <w:tr w:rsidR="00A5357B" w:rsidRPr="00135F6B" w14:paraId="2E18F773" w14:textId="77777777" w:rsidTr="008310D5">
        <w:trPr>
          <w:trHeight w:val="337"/>
        </w:trPr>
        <w:tc>
          <w:tcPr>
            <w:tcW w:w="8506" w:type="dxa"/>
            <w:vMerge/>
            <w:vAlign w:val="center"/>
            <w:hideMark/>
          </w:tcPr>
          <w:p w14:paraId="6FD6C482" w14:textId="77777777" w:rsidR="00A5357B" w:rsidRPr="003F0900" w:rsidRDefault="00A5357B" w:rsidP="008310D5">
            <w:pPr>
              <w:rPr>
                <w:rFonts w:ascii="Calibri" w:hAnsi="Calibri" w:cs="Calibri"/>
                <w:b/>
                <w:bCs/>
                <w:color w:val="000000"/>
                <w:sz w:val="22"/>
                <w:szCs w:val="22"/>
                <w:lang w:eastAsia="en-IE"/>
              </w:rPr>
            </w:pPr>
          </w:p>
        </w:tc>
        <w:tc>
          <w:tcPr>
            <w:tcW w:w="1134" w:type="dxa"/>
            <w:tcBorders>
              <w:top w:val="nil"/>
              <w:left w:val="nil"/>
              <w:bottom w:val="single" w:sz="12" w:space="0" w:color="auto"/>
              <w:right w:val="nil"/>
            </w:tcBorders>
            <w:shd w:val="clear" w:color="auto" w:fill="FFFF00"/>
          </w:tcPr>
          <w:p w14:paraId="1D3D9CB3" w14:textId="77777777" w:rsidR="00A5357B" w:rsidRPr="003F0900" w:rsidRDefault="00A5357B" w:rsidP="008310D5">
            <w:pPr>
              <w:jc w:val="right"/>
              <w:rPr>
                <w:rFonts w:ascii="Calibri" w:hAnsi="Calibri" w:cs="Calibri"/>
                <w:b/>
                <w:bCs/>
                <w:color w:val="000000"/>
                <w:sz w:val="22"/>
                <w:szCs w:val="22"/>
              </w:rPr>
            </w:pPr>
            <w:r>
              <w:rPr>
                <w:rFonts w:ascii="Calibri" w:hAnsi="Calibri" w:cs="Calibri"/>
                <w:b/>
                <w:bCs/>
                <w:color w:val="000000"/>
                <w:sz w:val="22"/>
                <w:szCs w:val="22"/>
              </w:rPr>
              <w:t>(567.7)</w:t>
            </w:r>
          </w:p>
        </w:tc>
        <w:tc>
          <w:tcPr>
            <w:tcW w:w="1133" w:type="dxa"/>
            <w:tcBorders>
              <w:top w:val="nil"/>
              <w:left w:val="nil"/>
              <w:bottom w:val="single" w:sz="12" w:space="0" w:color="auto"/>
              <w:right w:val="nil"/>
            </w:tcBorders>
            <w:shd w:val="clear" w:color="auto" w:fill="FFFFFF"/>
            <w:hideMark/>
          </w:tcPr>
          <w:p w14:paraId="5FB1410A" w14:textId="77777777" w:rsidR="00A5357B" w:rsidRPr="00872D2C" w:rsidRDefault="00A5357B" w:rsidP="008310D5">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(389.2)</w:t>
            </w:r>
          </w:p>
        </w:tc>
      </w:tr>
    </w:tbl>
    <w:p w14:paraId="0ED9AFF3" w14:textId="77777777" w:rsidR="00CA3F18" w:rsidRPr="00135F6B" w:rsidRDefault="008C4A6F" w:rsidP="00CA3F18">
      <w:pPr>
        <w:autoSpaceDE w:val="0"/>
        <w:autoSpaceDN w:val="0"/>
        <w:adjustRightInd w:val="0"/>
        <w:rPr>
          <w:rFonts w:ascii="Calibri" w:hAnsi="Calibri" w:cs="Calibri"/>
          <w:b/>
          <w:bCs/>
          <w:color w:val="000000"/>
        </w:rPr>
      </w:pPr>
      <w:bookmarkStart w:id="1" w:name="_Hlk54970304"/>
      <w:r>
        <w:rPr>
          <w:rFonts w:ascii="Calibri" w:hAnsi="Calibri" w:cs="Calibri"/>
          <w:b/>
          <w:bCs/>
          <w:color w:val="000000"/>
        </w:rPr>
        <w:br w:type="page"/>
      </w:r>
      <w:r w:rsidR="00CA3F18" w:rsidRPr="00135F6B">
        <w:rPr>
          <w:rFonts w:ascii="Calibri" w:hAnsi="Calibri" w:cs="Calibri"/>
          <w:b/>
          <w:bCs/>
          <w:color w:val="000000"/>
        </w:rPr>
        <w:lastRenderedPageBreak/>
        <w:t>Ryanair Holdings plc and Subsidiaries</w:t>
      </w:r>
    </w:p>
    <w:p w14:paraId="503FC775" w14:textId="77777777" w:rsidR="00CA3F18" w:rsidRPr="00E648C7" w:rsidRDefault="00CA3F18" w:rsidP="00FF40A6">
      <w:pPr>
        <w:ind w:right="-284"/>
        <w:jc w:val="both"/>
        <w:rPr>
          <w:rFonts w:ascii="Calibri" w:hAnsi="Calibri" w:cs="Calibri"/>
          <w:b/>
          <w:bCs/>
          <w:i/>
          <w:iCs/>
          <w:color w:val="000000"/>
          <w:szCs w:val="28"/>
        </w:rPr>
      </w:pPr>
      <w:r w:rsidRPr="00610CDB">
        <w:rPr>
          <w:rFonts w:ascii="Calibri" w:hAnsi="Calibri" w:cs="Calibri"/>
          <w:b/>
          <w:bCs/>
          <w:i/>
          <w:iCs/>
          <w:color w:val="000000"/>
          <w:szCs w:val="28"/>
        </w:rPr>
        <w:t xml:space="preserve">Condensed Consolidated </w:t>
      </w:r>
      <w:r w:rsidRPr="004B1610">
        <w:rPr>
          <w:rFonts w:ascii="Calibri" w:hAnsi="Calibri" w:cs="Calibri"/>
          <w:b/>
          <w:bCs/>
          <w:i/>
          <w:iCs/>
          <w:color w:val="000000"/>
          <w:szCs w:val="28"/>
        </w:rPr>
        <w:t>Interim Statement of Cash Flows for the</w:t>
      </w:r>
      <w:r w:rsidRPr="00610CDB">
        <w:rPr>
          <w:rFonts w:ascii="Calibri" w:hAnsi="Calibri" w:cs="Calibri"/>
          <w:b/>
          <w:bCs/>
          <w:i/>
          <w:iCs/>
          <w:color w:val="000000"/>
          <w:szCs w:val="28"/>
        </w:rPr>
        <w:t xml:space="preserve"> </w:t>
      </w:r>
      <w:r w:rsidR="0095024A">
        <w:rPr>
          <w:rFonts w:ascii="Calibri" w:hAnsi="Calibri" w:cs="Calibri"/>
          <w:b/>
          <w:bCs/>
          <w:i/>
          <w:iCs/>
          <w:color w:val="000000"/>
          <w:szCs w:val="28"/>
        </w:rPr>
        <w:t>Nine Months</w:t>
      </w:r>
      <w:r w:rsidRPr="00610CDB">
        <w:rPr>
          <w:rFonts w:ascii="Calibri" w:hAnsi="Calibri" w:cs="Calibri"/>
          <w:b/>
          <w:bCs/>
          <w:i/>
          <w:iCs/>
          <w:color w:val="000000"/>
          <w:szCs w:val="28"/>
        </w:rPr>
        <w:t xml:space="preserve"> Ended </w:t>
      </w:r>
      <w:r w:rsidR="0095024A">
        <w:rPr>
          <w:rFonts w:ascii="Calibri" w:hAnsi="Calibri" w:cs="Calibri"/>
          <w:b/>
          <w:bCs/>
          <w:i/>
          <w:iCs/>
          <w:color w:val="000000"/>
          <w:szCs w:val="28"/>
        </w:rPr>
        <w:t>Dec</w:t>
      </w:r>
      <w:r w:rsidRPr="00610CDB">
        <w:rPr>
          <w:rFonts w:ascii="Calibri" w:hAnsi="Calibri" w:cs="Calibri"/>
          <w:b/>
          <w:bCs/>
          <w:i/>
          <w:iCs/>
          <w:color w:val="000000"/>
          <w:szCs w:val="28"/>
        </w:rPr>
        <w:t>ember 3</w:t>
      </w:r>
      <w:r w:rsidR="0095024A">
        <w:rPr>
          <w:rFonts w:ascii="Calibri" w:hAnsi="Calibri" w:cs="Calibri"/>
          <w:b/>
          <w:bCs/>
          <w:i/>
          <w:iCs/>
          <w:color w:val="000000"/>
          <w:szCs w:val="28"/>
        </w:rPr>
        <w:t>1</w:t>
      </w:r>
      <w:r w:rsidRPr="00610CDB">
        <w:rPr>
          <w:rFonts w:ascii="Calibri" w:hAnsi="Calibri" w:cs="Calibri"/>
          <w:b/>
          <w:bCs/>
          <w:i/>
          <w:iCs/>
          <w:color w:val="000000"/>
          <w:szCs w:val="28"/>
        </w:rPr>
        <w:t>, 2023</w:t>
      </w:r>
      <w:r w:rsidR="00E648C7">
        <w:rPr>
          <w:rFonts w:ascii="Calibri" w:hAnsi="Calibri" w:cs="Calibri"/>
          <w:b/>
          <w:bCs/>
          <w:i/>
          <w:iCs/>
          <w:color w:val="000000"/>
          <w:szCs w:val="28"/>
        </w:rPr>
        <w:t xml:space="preserve"> </w:t>
      </w:r>
      <w:r w:rsidRPr="00610CDB">
        <w:rPr>
          <w:rFonts w:ascii="Calibri" w:hAnsi="Calibri" w:cs="Calibri"/>
          <w:b/>
          <w:bCs/>
          <w:i/>
          <w:iCs/>
          <w:color w:val="000000"/>
          <w:szCs w:val="28"/>
        </w:rPr>
        <w:t>(unaudited)</w:t>
      </w:r>
    </w:p>
    <w:tbl>
      <w:tblPr>
        <w:tblW w:w="12329" w:type="dxa"/>
        <w:tblInd w:w="108" w:type="dxa"/>
        <w:tblLayout w:type="fixed"/>
        <w:tblLook w:val="04A0" w:firstRow="1" w:lastRow="0" w:firstColumn="1" w:lastColumn="0" w:noHBand="0" w:noVBand="1"/>
      </w:tblPr>
      <w:tblGrid>
        <w:gridCol w:w="295"/>
        <w:gridCol w:w="7252"/>
        <w:gridCol w:w="850"/>
        <w:gridCol w:w="1134"/>
        <w:gridCol w:w="1133"/>
        <w:gridCol w:w="1665"/>
      </w:tblGrid>
      <w:tr w:rsidR="00CA3F18" w:rsidRPr="00D964B7" w14:paraId="0F7C89E6" w14:textId="77777777" w:rsidTr="005E03B5">
        <w:trPr>
          <w:gridAfter w:val="1"/>
          <w:wAfter w:w="1665" w:type="dxa"/>
          <w:trHeight w:val="272"/>
        </w:trPr>
        <w:tc>
          <w:tcPr>
            <w:tcW w:w="295" w:type="dxa"/>
            <w:shd w:val="clear" w:color="auto" w:fill="FFFFFF"/>
            <w:vAlign w:val="center"/>
            <w:hideMark/>
          </w:tcPr>
          <w:p w14:paraId="39D3A69A"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07AB2649"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850" w:type="dxa"/>
            <w:shd w:val="clear" w:color="auto" w:fill="FFFFFF"/>
            <w:vAlign w:val="center"/>
            <w:hideMark/>
          </w:tcPr>
          <w:p w14:paraId="4BE864CF"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134" w:type="dxa"/>
            <w:shd w:val="clear" w:color="auto" w:fill="FFFF00"/>
            <w:vAlign w:val="center"/>
            <w:hideMark/>
          </w:tcPr>
          <w:p w14:paraId="2D702C12" w14:textId="77777777" w:rsidR="00CA3F18" w:rsidRPr="00D964B7" w:rsidRDefault="0095024A" w:rsidP="001C5897">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Nine Months</w:t>
            </w:r>
          </w:p>
        </w:tc>
        <w:tc>
          <w:tcPr>
            <w:tcW w:w="1133" w:type="dxa"/>
            <w:shd w:val="clear" w:color="auto" w:fill="FFFFFF"/>
            <w:vAlign w:val="center"/>
            <w:hideMark/>
          </w:tcPr>
          <w:p w14:paraId="43578455" w14:textId="77777777" w:rsidR="00CA3F18" w:rsidRPr="0095024A" w:rsidRDefault="0095024A" w:rsidP="001C5897">
            <w:pPr>
              <w:jc w:val="right"/>
              <w:rPr>
                <w:rFonts w:ascii="Calibri" w:hAnsi="Calibri" w:cs="Calibri"/>
                <w:color w:val="000000"/>
                <w:sz w:val="22"/>
                <w:szCs w:val="22"/>
                <w:lang w:eastAsia="en-IE"/>
              </w:rPr>
            </w:pPr>
            <w:r w:rsidRPr="0095024A">
              <w:rPr>
                <w:rFonts w:ascii="Calibri" w:hAnsi="Calibri" w:cs="Calibri"/>
                <w:color w:val="000000"/>
                <w:sz w:val="22"/>
                <w:szCs w:val="22"/>
                <w:lang w:eastAsia="en-IE"/>
              </w:rPr>
              <w:t>Nine Months</w:t>
            </w:r>
          </w:p>
        </w:tc>
      </w:tr>
      <w:tr w:rsidR="00CA3F18" w:rsidRPr="00D964B7" w14:paraId="4765D284" w14:textId="77777777" w:rsidTr="005E03B5">
        <w:trPr>
          <w:gridAfter w:val="1"/>
          <w:wAfter w:w="1665" w:type="dxa"/>
          <w:trHeight w:val="272"/>
        </w:trPr>
        <w:tc>
          <w:tcPr>
            <w:tcW w:w="295" w:type="dxa"/>
            <w:shd w:val="clear" w:color="auto" w:fill="FFFFFF"/>
            <w:vAlign w:val="center"/>
            <w:hideMark/>
          </w:tcPr>
          <w:p w14:paraId="37C2E7F0"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4B48C28B"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850" w:type="dxa"/>
            <w:shd w:val="clear" w:color="auto" w:fill="FFFFFF"/>
            <w:vAlign w:val="center"/>
            <w:hideMark/>
          </w:tcPr>
          <w:p w14:paraId="415C3EF7"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134" w:type="dxa"/>
            <w:shd w:val="clear" w:color="auto" w:fill="FFFF00"/>
            <w:vAlign w:val="center"/>
            <w:hideMark/>
          </w:tcPr>
          <w:p w14:paraId="0AE855DC"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Ended</w:t>
            </w:r>
          </w:p>
        </w:tc>
        <w:tc>
          <w:tcPr>
            <w:tcW w:w="1133" w:type="dxa"/>
            <w:shd w:val="clear" w:color="auto" w:fill="FFFFFF"/>
            <w:vAlign w:val="center"/>
            <w:hideMark/>
          </w:tcPr>
          <w:p w14:paraId="0E32A162" w14:textId="77777777" w:rsidR="00CA3F18" w:rsidRPr="00CA3F18" w:rsidRDefault="00CA3F18" w:rsidP="001C5897">
            <w:pPr>
              <w:jc w:val="right"/>
              <w:rPr>
                <w:rFonts w:ascii="Calibri" w:hAnsi="Calibri" w:cs="Calibri"/>
                <w:bCs/>
                <w:color w:val="000000"/>
                <w:sz w:val="22"/>
                <w:szCs w:val="22"/>
                <w:lang w:eastAsia="en-IE"/>
              </w:rPr>
            </w:pPr>
            <w:r w:rsidRPr="00CA3F18">
              <w:rPr>
                <w:rFonts w:ascii="Calibri" w:hAnsi="Calibri" w:cs="Calibri"/>
                <w:bCs/>
                <w:color w:val="000000"/>
                <w:sz w:val="22"/>
                <w:szCs w:val="22"/>
                <w:lang w:eastAsia="en-IE"/>
              </w:rPr>
              <w:t>Ended</w:t>
            </w:r>
          </w:p>
        </w:tc>
      </w:tr>
      <w:tr w:rsidR="00CA3F18" w:rsidRPr="00D964B7" w14:paraId="3F8E4E3E" w14:textId="77777777" w:rsidTr="005E03B5">
        <w:trPr>
          <w:gridAfter w:val="1"/>
          <w:wAfter w:w="1665" w:type="dxa"/>
          <w:trHeight w:val="272"/>
        </w:trPr>
        <w:tc>
          <w:tcPr>
            <w:tcW w:w="295" w:type="dxa"/>
            <w:vMerge w:val="restart"/>
            <w:shd w:val="clear" w:color="auto" w:fill="FFFFFF"/>
            <w:vAlign w:val="center"/>
            <w:hideMark/>
          </w:tcPr>
          <w:p w14:paraId="2849E859"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3663625E"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850" w:type="dxa"/>
            <w:vMerge w:val="restart"/>
            <w:shd w:val="clear" w:color="auto" w:fill="FFFFFF"/>
            <w:vAlign w:val="center"/>
            <w:hideMark/>
          </w:tcPr>
          <w:p w14:paraId="1DC1874B"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134" w:type="dxa"/>
            <w:shd w:val="clear" w:color="auto" w:fill="FFFF00"/>
            <w:vAlign w:val="center"/>
            <w:hideMark/>
          </w:tcPr>
          <w:p w14:paraId="2470053D" w14:textId="77777777" w:rsidR="00CA3F18" w:rsidRPr="00D964B7" w:rsidRDefault="0095024A" w:rsidP="001C5897">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Dec 31</w:t>
            </w:r>
            <w:r w:rsidR="00CA3F18" w:rsidRPr="00D964B7">
              <w:rPr>
                <w:rFonts w:ascii="Calibri" w:hAnsi="Calibri" w:cs="Calibri"/>
                <w:b/>
                <w:bCs/>
                <w:color w:val="000000"/>
                <w:sz w:val="22"/>
                <w:szCs w:val="22"/>
                <w:lang w:eastAsia="en-IE"/>
              </w:rPr>
              <w:t xml:space="preserve">, </w:t>
            </w:r>
          </w:p>
        </w:tc>
        <w:tc>
          <w:tcPr>
            <w:tcW w:w="1133" w:type="dxa"/>
            <w:shd w:val="clear" w:color="auto" w:fill="FFFFFF"/>
            <w:vAlign w:val="center"/>
            <w:hideMark/>
          </w:tcPr>
          <w:p w14:paraId="7885C974" w14:textId="77777777" w:rsidR="00CA3F18" w:rsidRPr="00CA3F18" w:rsidRDefault="0095024A" w:rsidP="001C5897">
            <w:pPr>
              <w:jc w:val="right"/>
              <w:rPr>
                <w:rFonts w:ascii="Calibri" w:hAnsi="Calibri" w:cs="Calibri"/>
                <w:bCs/>
                <w:color w:val="000000"/>
                <w:sz w:val="22"/>
                <w:szCs w:val="22"/>
                <w:lang w:eastAsia="en-IE"/>
              </w:rPr>
            </w:pPr>
            <w:r>
              <w:rPr>
                <w:rFonts w:ascii="Calibri" w:hAnsi="Calibri" w:cs="Calibri"/>
                <w:bCs/>
                <w:color w:val="000000"/>
                <w:sz w:val="22"/>
                <w:szCs w:val="22"/>
                <w:lang w:eastAsia="en-IE"/>
              </w:rPr>
              <w:t>Dec 31</w:t>
            </w:r>
            <w:r w:rsidR="00CA3F18" w:rsidRPr="00CA3F18">
              <w:rPr>
                <w:rFonts w:ascii="Calibri" w:hAnsi="Calibri" w:cs="Calibri"/>
                <w:bCs/>
                <w:color w:val="000000"/>
                <w:sz w:val="22"/>
                <w:szCs w:val="22"/>
                <w:lang w:eastAsia="en-IE"/>
              </w:rPr>
              <w:t xml:space="preserve">, </w:t>
            </w:r>
          </w:p>
        </w:tc>
      </w:tr>
      <w:tr w:rsidR="00CA3F18" w:rsidRPr="00D964B7" w14:paraId="55432C2C" w14:textId="77777777" w:rsidTr="005E03B5">
        <w:trPr>
          <w:gridAfter w:val="1"/>
          <w:wAfter w:w="1665" w:type="dxa"/>
          <w:trHeight w:val="272"/>
        </w:trPr>
        <w:tc>
          <w:tcPr>
            <w:tcW w:w="295" w:type="dxa"/>
            <w:vMerge/>
            <w:vAlign w:val="center"/>
            <w:hideMark/>
          </w:tcPr>
          <w:p w14:paraId="515C77F7" w14:textId="77777777" w:rsidR="00CA3F18" w:rsidRPr="00D964B7" w:rsidRDefault="00CA3F18" w:rsidP="001C5897">
            <w:pPr>
              <w:rPr>
                <w:rFonts w:ascii="Calibri" w:hAnsi="Calibri" w:cs="Calibri"/>
                <w:color w:val="000000"/>
                <w:sz w:val="22"/>
                <w:szCs w:val="22"/>
                <w:lang w:eastAsia="en-IE"/>
              </w:rPr>
            </w:pPr>
          </w:p>
        </w:tc>
        <w:tc>
          <w:tcPr>
            <w:tcW w:w="7252" w:type="dxa"/>
            <w:shd w:val="clear" w:color="auto" w:fill="FFFFFF"/>
            <w:vAlign w:val="center"/>
            <w:hideMark/>
          </w:tcPr>
          <w:p w14:paraId="63731798" w14:textId="77777777" w:rsidR="00CA3F18" w:rsidRPr="00D964B7" w:rsidRDefault="00CA3F18" w:rsidP="001C5897">
            <w:pPr>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850" w:type="dxa"/>
            <w:vMerge/>
            <w:vAlign w:val="center"/>
            <w:hideMark/>
          </w:tcPr>
          <w:p w14:paraId="515D0C64" w14:textId="77777777" w:rsidR="00CA3F18" w:rsidRPr="00D964B7" w:rsidRDefault="00CA3F18" w:rsidP="001C5897">
            <w:pPr>
              <w:rPr>
                <w:rFonts w:ascii="Calibri" w:hAnsi="Calibri" w:cs="Calibri"/>
                <w:b/>
                <w:bCs/>
                <w:color w:val="000000"/>
                <w:sz w:val="22"/>
                <w:szCs w:val="22"/>
                <w:lang w:eastAsia="en-IE"/>
              </w:rPr>
            </w:pPr>
          </w:p>
        </w:tc>
        <w:tc>
          <w:tcPr>
            <w:tcW w:w="1134" w:type="dxa"/>
            <w:shd w:val="clear" w:color="auto" w:fill="FFFF00"/>
            <w:hideMark/>
          </w:tcPr>
          <w:p w14:paraId="79B140ED"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2023</w:t>
            </w:r>
          </w:p>
        </w:tc>
        <w:tc>
          <w:tcPr>
            <w:tcW w:w="1133" w:type="dxa"/>
            <w:shd w:val="clear" w:color="auto" w:fill="FFFFFF"/>
            <w:vAlign w:val="center"/>
            <w:hideMark/>
          </w:tcPr>
          <w:p w14:paraId="2014B3D1" w14:textId="77777777" w:rsidR="00CA3F18" w:rsidRPr="00CA3F18" w:rsidRDefault="00CA3F18" w:rsidP="001C5897">
            <w:pPr>
              <w:jc w:val="right"/>
              <w:rPr>
                <w:rFonts w:ascii="Calibri" w:hAnsi="Calibri" w:cs="Calibri"/>
                <w:bCs/>
                <w:color w:val="000000"/>
                <w:sz w:val="22"/>
                <w:szCs w:val="22"/>
                <w:lang w:eastAsia="en-IE"/>
              </w:rPr>
            </w:pPr>
            <w:r w:rsidRPr="00CA3F18">
              <w:rPr>
                <w:rFonts w:ascii="Calibri" w:hAnsi="Calibri" w:cs="Calibri"/>
                <w:bCs/>
                <w:color w:val="000000"/>
                <w:sz w:val="22"/>
                <w:szCs w:val="22"/>
                <w:lang w:eastAsia="en-IE"/>
              </w:rPr>
              <w:t>2022</w:t>
            </w:r>
          </w:p>
        </w:tc>
      </w:tr>
      <w:tr w:rsidR="00CA3F18" w:rsidRPr="00D964B7" w14:paraId="59542FCB" w14:textId="77777777" w:rsidTr="005E03B5">
        <w:trPr>
          <w:gridAfter w:val="1"/>
          <w:wAfter w:w="1665" w:type="dxa"/>
          <w:trHeight w:val="272"/>
        </w:trPr>
        <w:tc>
          <w:tcPr>
            <w:tcW w:w="295" w:type="dxa"/>
            <w:shd w:val="clear" w:color="auto" w:fill="FFFFFF"/>
            <w:vAlign w:val="center"/>
            <w:hideMark/>
          </w:tcPr>
          <w:p w14:paraId="0D026642"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3019B663" w14:textId="77777777" w:rsidR="00CA3F18" w:rsidRPr="00D964B7" w:rsidRDefault="00CA3F18" w:rsidP="001C5897">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850" w:type="dxa"/>
            <w:shd w:val="clear" w:color="auto" w:fill="FFFFFF"/>
            <w:vAlign w:val="center"/>
            <w:hideMark/>
          </w:tcPr>
          <w:p w14:paraId="6576C795" w14:textId="77777777" w:rsidR="00CA3F18" w:rsidRPr="00D964B7" w:rsidRDefault="00CA3F18" w:rsidP="001C5897">
            <w:pPr>
              <w:jc w:val="right"/>
              <w:rPr>
                <w:rFonts w:ascii="Calibri" w:hAnsi="Calibri" w:cs="Calibri"/>
                <w:b/>
                <w:bCs/>
                <w:color w:val="000000"/>
                <w:sz w:val="22"/>
                <w:szCs w:val="22"/>
                <w:u w:val="single"/>
                <w:lang w:eastAsia="en-IE"/>
              </w:rPr>
            </w:pPr>
            <w:r w:rsidRPr="00D964B7">
              <w:rPr>
                <w:rFonts w:ascii="Calibri" w:hAnsi="Calibri" w:cs="Calibri"/>
                <w:b/>
                <w:bCs/>
                <w:color w:val="000000"/>
                <w:sz w:val="22"/>
                <w:szCs w:val="22"/>
                <w:u w:val="single"/>
                <w:lang w:eastAsia="en-IE"/>
              </w:rPr>
              <w:t>Note</w:t>
            </w:r>
          </w:p>
        </w:tc>
        <w:tc>
          <w:tcPr>
            <w:tcW w:w="1134" w:type="dxa"/>
            <w:shd w:val="clear" w:color="auto" w:fill="FFFF00"/>
            <w:vAlign w:val="center"/>
            <w:hideMark/>
          </w:tcPr>
          <w:p w14:paraId="18D3943F" w14:textId="77777777" w:rsidR="00CA3F18" w:rsidRPr="00D964B7" w:rsidRDefault="00CA3F18" w:rsidP="001C5897">
            <w:pPr>
              <w:jc w:val="right"/>
              <w:rPr>
                <w:rFonts w:ascii="Calibri" w:hAnsi="Calibri" w:cs="Calibri"/>
                <w:b/>
                <w:bCs/>
                <w:color w:val="000000"/>
                <w:sz w:val="22"/>
                <w:szCs w:val="22"/>
                <w:u w:val="single"/>
                <w:lang w:eastAsia="en-IE"/>
              </w:rPr>
            </w:pPr>
            <w:r w:rsidRPr="00D964B7">
              <w:rPr>
                <w:rFonts w:ascii="Calibri" w:hAnsi="Calibri" w:cs="Calibri"/>
                <w:b/>
                <w:bCs/>
                <w:color w:val="000000"/>
                <w:sz w:val="22"/>
                <w:szCs w:val="22"/>
                <w:u w:val="single"/>
                <w:lang w:eastAsia="en-IE"/>
              </w:rPr>
              <w:t>€M</w:t>
            </w:r>
          </w:p>
        </w:tc>
        <w:tc>
          <w:tcPr>
            <w:tcW w:w="1133" w:type="dxa"/>
            <w:shd w:val="clear" w:color="auto" w:fill="FFFFFF"/>
            <w:vAlign w:val="center"/>
            <w:hideMark/>
          </w:tcPr>
          <w:p w14:paraId="07EAE4B2" w14:textId="77777777" w:rsidR="00CA3F18" w:rsidRPr="00CA3F18" w:rsidRDefault="00CA3F18" w:rsidP="001C5897">
            <w:pPr>
              <w:jc w:val="right"/>
              <w:rPr>
                <w:rFonts w:ascii="Calibri" w:hAnsi="Calibri" w:cs="Calibri"/>
                <w:bCs/>
                <w:color w:val="000000"/>
                <w:sz w:val="22"/>
                <w:szCs w:val="22"/>
                <w:u w:val="single"/>
                <w:lang w:eastAsia="en-IE"/>
              </w:rPr>
            </w:pPr>
            <w:r w:rsidRPr="00CA3F18">
              <w:rPr>
                <w:rFonts w:ascii="Calibri" w:hAnsi="Calibri" w:cs="Calibri"/>
                <w:bCs/>
                <w:color w:val="000000"/>
                <w:sz w:val="22"/>
                <w:szCs w:val="22"/>
                <w:u w:val="single"/>
                <w:lang w:eastAsia="en-IE"/>
              </w:rPr>
              <w:t>€M</w:t>
            </w:r>
          </w:p>
        </w:tc>
      </w:tr>
      <w:tr w:rsidR="00CA3F18" w:rsidRPr="00D964B7" w14:paraId="13E781C3" w14:textId="77777777" w:rsidTr="005E03B5">
        <w:trPr>
          <w:gridAfter w:val="1"/>
          <w:wAfter w:w="1665" w:type="dxa"/>
          <w:trHeight w:val="272"/>
        </w:trPr>
        <w:tc>
          <w:tcPr>
            <w:tcW w:w="7547" w:type="dxa"/>
            <w:gridSpan w:val="2"/>
            <w:shd w:val="clear" w:color="auto" w:fill="FFFFFF"/>
            <w:vAlign w:val="center"/>
            <w:hideMark/>
          </w:tcPr>
          <w:p w14:paraId="0DBA6241" w14:textId="77777777" w:rsidR="00CA3F18" w:rsidRPr="00D964B7" w:rsidRDefault="00CA3F18" w:rsidP="001C5897">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Operating activities</w:t>
            </w:r>
          </w:p>
        </w:tc>
        <w:tc>
          <w:tcPr>
            <w:tcW w:w="850" w:type="dxa"/>
            <w:shd w:val="clear" w:color="auto" w:fill="FFFFFF"/>
            <w:vAlign w:val="center"/>
            <w:hideMark/>
          </w:tcPr>
          <w:p w14:paraId="4258137B" w14:textId="77777777" w:rsidR="00CA3F18" w:rsidRPr="00D964B7" w:rsidRDefault="00CA3F18" w:rsidP="001C5897">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134" w:type="dxa"/>
            <w:shd w:val="clear" w:color="auto" w:fill="FFFF00"/>
            <w:vAlign w:val="center"/>
            <w:hideMark/>
          </w:tcPr>
          <w:p w14:paraId="47F0348B" w14:textId="77777777" w:rsidR="00CA3F18" w:rsidRPr="00D964B7" w:rsidRDefault="00CA3F18" w:rsidP="001C5897">
            <w:pPr>
              <w:rPr>
                <w:rFonts w:ascii="Calibri" w:hAnsi="Calibri" w:cs="Calibri"/>
                <w:b/>
                <w:bCs/>
                <w:color w:val="000000"/>
                <w:sz w:val="22"/>
                <w:szCs w:val="22"/>
                <w:lang w:eastAsia="en-IE"/>
              </w:rPr>
            </w:pPr>
          </w:p>
        </w:tc>
        <w:tc>
          <w:tcPr>
            <w:tcW w:w="1133" w:type="dxa"/>
            <w:shd w:val="clear" w:color="auto" w:fill="FFFFFF"/>
            <w:vAlign w:val="center"/>
            <w:hideMark/>
          </w:tcPr>
          <w:p w14:paraId="651C90AF" w14:textId="77777777" w:rsidR="00CA3F18" w:rsidRPr="00D964B7" w:rsidRDefault="00CA3F18" w:rsidP="001C5897">
            <w:pPr>
              <w:rPr>
                <w:rFonts w:ascii="Calibri" w:eastAsia="Calibri" w:hAnsi="Calibri" w:cs="Calibri"/>
                <w:sz w:val="22"/>
                <w:szCs w:val="22"/>
                <w:lang w:eastAsia="en-IE"/>
              </w:rPr>
            </w:pPr>
          </w:p>
        </w:tc>
      </w:tr>
      <w:tr w:rsidR="0095024A" w:rsidRPr="00D964B7" w14:paraId="625E460B" w14:textId="77777777" w:rsidTr="005E03B5">
        <w:trPr>
          <w:gridAfter w:val="1"/>
          <w:wAfter w:w="1665" w:type="dxa"/>
          <w:trHeight w:val="272"/>
        </w:trPr>
        <w:tc>
          <w:tcPr>
            <w:tcW w:w="295" w:type="dxa"/>
            <w:shd w:val="clear" w:color="auto" w:fill="FFFFFF"/>
            <w:vAlign w:val="center"/>
            <w:hideMark/>
          </w:tcPr>
          <w:p w14:paraId="3369D6CE" w14:textId="77777777" w:rsidR="0095024A" w:rsidRPr="00D964B7" w:rsidRDefault="0095024A" w:rsidP="0095024A">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7E6262D1" w14:textId="77777777" w:rsidR="0095024A" w:rsidRPr="00D964B7" w:rsidRDefault="0095024A" w:rsidP="0095024A">
            <w:pPr>
              <w:rPr>
                <w:rFonts w:ascii="Calibri" w:hAnsi="Calibri" w:cs="Calibri"/>
                <w:color w:val="000000"/>
                <w:sz w:val="22"/>
                <w:szCs w:val="22"/>
                <w:lang w:eastAsia="en-IE"/>
              </w:rPr>
            </w:pPr>
            <w:r w:rsidRPr="00D964B7">
              <w:rPr>
                <w:rFonts w:ascii="Calibri" w:hAnsi="Calibri" w:cs="Calibri"/>
                <w:color w:val="000000"/>
                <w:sz w:val="22"/>
                <w:szCs w:val="22"/>
                <w:lang w:eastAsia="en-IE"/>
              </w:rPr>
              <w:t>Profit after tax</w:t>
            </w:r>
          </w:p>
        </w:tc>
        <w:tc>
          <w:tcPr>
            <w:tcW w:w="850" w:type="dxa"/>
            <w:shd w:val="clear" w:color="auto" w:fill="FFFFFF"/>
            <w:vAlign w:val="center"/>
            <w:hideMark/>
          </w:tcPr>
          <w:p w14:paraId="1F75DECB" w14:textId="77777777" w:rsidR="0095024A" w:rsidRPr="00D964B7" w:rsidRDefault="0095024A" w:rsidP="0095024A">
            <w:pPr>
              <w:rPr>
                <w:rFonts w:ascii="Calibri" w:hAnsi="Calibri" w:cs="Calibri"/>
                <w:color w:val="000000"/>
                <w:sz w:val="22"/>
                <w:szCs w:val="22"/>
                <w:lang w:eastAsia="en-IE"/>
              </w:rPr>
            </w:pPr>
          </w:p>
        </w:tc>
        <w:tc>
          <w:tcPr>
            <w:tcW w:w="1134" w:type="dxa"/>
            <w:shd w:val="clear" w:color="auto" w:fill="FFFF00"/>
          </w:tcPr>
          <w:p w14:paraId="07F0D6C2" w14:textId="77777777" w:rsidR="0095024A" w:rsidRPr="00B3763D" w:rsidRDefault="00E30D63" w:rsidP="0095024A">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2,192.</w:t>
            </w:r>
            <w:r w:rsidR="00273F9A">
              <w:rPr>
                <w:rFonts w:ascii="Calibri" w:eastAsia="Calibri" w:hAnsi="Calibri" w:cs="Calibri"/>
                <w:b/>
                <w:sz w:val="22"/>
                <w:szCs w:val="22"/>
                <w:lang w:eastAsia="en-IE"/>
              </w:rPr>
              <w:t>9</w:t>
            </w:r>
          </w:p>
        </w:tc>
        <w:tc>
          <w:tcPr>
            <w:tcW w:w="1133" w:type="dxa"/>
            <w:shd w:val="clear" w:color="auto" w:fill="FFFFFF"/>
          </w:tcPr>
          <w:p w14:paraId="3D6B8F1E" w14:textId="77777777" w:rsidR="0095024A" w:rsidRPr="00B3763D" w:rsidRDefault="0095024A" w:rsidP="0095024A">
            <w:pPr>
              <w:jc w:val="right"/>
              <w:rPr>
                <w:rFonts w:ascii="Calibri" w:hAnsi="Calibri" w:cs="Calibri"/>
                <w:color w:val="000000"/>
                <w:sz w:val="22"/>
                <w:szCs w:val="22"/>
                <w:lang w:eastAsia="en-IE"/>
              </w:rPr>
            </w:pPr>
            <w:r w:rsidRPr="00B3763D">
              <w:rPr>
                <w:rFonts w:ascii="Calibri" w:hAnsi="Calibri" w:cs="Calibri"/>
                <w:color w:val="000000"/>
                <w:sz w:val="22"/>
                <w:szCs w:val="22"/>
              </w:rPr>
              <w:t>1,465.5</w:t>
            </w:r>
          </w:p>
        </w:tc>
      </w:tr>
      <w:tr w:rsidR="0095024A" w:rsidRPr="00D964B7" w14:paraId="4F99F21D" w14:textId="77777777" w:rsidTr="005E03B5">
        <w:trPr>
          <w:gridAfter w:val="1"/>
          <w:wAfter w:w="1665" w:type="dxa"/>
          <w:trHeight w:val="113"/>
        </w:trPr>
        <w:tc>
          <w:tcPr>
            <w:tcW w:w="295" w:type="dxa"/>
            <w:shd w:val="clear" w:color="auto" w:fill="FFFFFF"/>
            <w:vAlign w:val="center"/>
            <w:hideMark/>
          </w:tcPr>
          <w:p w14:paraId="55B1ED29" w14:textId="77777777" w:rsidR="0095024A" w:rsidRPr="00D964B7" w:rsidRDefault="0095024A" w:rsidP="0095024A">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25E41D94" w14:textId="77777777" w:rsidR="0095024A" w:rsidRPr="00D964B7" w:rsidRDefault="0095024A" w:rsidP="0095024A">
            <w:pPr>
              <w:ind w:right="-395"/>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850" w:type="dxa"/>
            <w:shd w:val="clear" w:color="auto" w:fill="FFFFFF"/>
            <w:vAlign w:val="center"/>
            <w:hideMark/>
          </w:tcPr>
          <w:p w14:paraId="3B4F8EE2" w14:textId="77777777" w:rsidR="0095024A" w:rsidRPr="00D964B7" w:rsidRDefault="0095024A" w:rsidP="0095024A">
            <w:pPr>
              <w:rPr>
                <w:rFonts w:ascii="Calibri" w:hAnsi="Calibri" w:cs="Calibri"/>
                <w:color w:val="000000"/>
                <w:sz w:val="22"/>
                <w:szCs w:val="22"/>
                <w:lang w:eastAsia="en-IE"/>
              </w:rPr>
            </w:pPr>
          </w:p>
        </w:tc>
        <w:tc>
          <w:tcPr>
            <w:tcW w:w="1134" w:type="dxa"/>
            <w:shd w:val="clear" w:color="auto" w:fill="FFFF00"/>
            <w:vAlign w:val="center"/>
          </w:tcPr>
          <w:p w14:paraId="76293EF4" w14:textId="77777777" w:rsidR="0095024A" w:rsidRPr="00B3763D" w:rsidRDefault="0095024A" w:rsidP="0095024A">
            <w:pPr>
              <w:jc w:val="right"/>
              <w:rPr>
                <w:rFonts w:ascii="Calibri" w:eastAsia="Calibri" w:hAnsi="Calibri" w:cs="Calibri"/>
                <w:b/>
                <w:sz w:val="22"/>
                <w:szCs w:val="22"/>
                <w:lang w:eastAsia="en-IE"/>
              </w:rPr>
            </w:pPr>
          </w:p>
        </w:tc>
        <w:tc>
          <w:tcPr>
            <w:tcW w:w="1133" w:type="dxa"/>
            <w:shd w:val="clear" w:color="auto" w:fill="FFFFFF"/>
          </w:tcPr>
          <w:p w14:paraId="27610217" w14:textId="77777777" w:rsidR="0095024A" w:rsidRPr="00B3763D" w:rsidRDefault="0095024A" w:rsidP="0095024A">
            <w:pPr>
              <w:jc w:val="right"/>
              <w:rPr>
                <w:rFonts w:ascii="Calibri" w:eastAsia="Calibri" w:hAnsi="Calibri" w:cs="Calibri"/>
                <w:sz w:val="22"/>
                <w:szCs w:val="22"/>
                <w:lang w:eastAsia="en-IE"/>
              </w:rPr>
            </w:pPr>
          </w:p>
        </w:tc>
      </w:tr>
      <w:tr w:rsidR="0095024A" w:rsidRPr="00D964B7" w14:paraId="4D2719BC" w14:textId="77777777" w:rsidTr="005E03B5">
        <w:trPr>
          <w:trHeight w:val="272"/>
        </w:trPr>
        <w:tc>
          <w:tcPr>
            <w:tcW w:w="7547" w:type="dxa"/>
            <w:gridSpan w:val="2"/>
            <w:shd w:val="clear" w:color="auto" w:fill="FFFFFF"/>
            <w:vAlign w:val="center"/>
            <w:hideMark/>
          </w:tcPr>
          <w:p w14:paraId="5FEA207E" w14:textId="77777777" w:rsidR="0095024A" w:rsidRPr="00D964B7" w:rsidRDefault="0095024A" w:rsidP="0095024A">
            <w:pPr>
              <w:ind w:right="-111"/>
              <w:rPr>
                <w:rFonts w:ascii="Calibri" w:hAnsi="Calibri" w:cs="Calibri"/>
                <w:b/>
                <w:bCs/>
                <w:i/>
                <w:iCs/>
                <w:color w:val="000000"/>
                <w:sz w:val="22"/>
                <w:szCs w:val="22"/>
                <w:lang w:eastAsia="en-IE"/>
              </w:rPr>
            </w:pPr>
            <w:r w:rsidRPr="00D964B7">
              <w:rPr>
                <w:rFonts w:ascii="Calibri" w:hAnsi="Calibri" w:cs="Calibri"/>
                <w:b/>
                <w:bCs/>
                <w:i/>
                <w:iCs/>
                <w:color w:val="000000"/>
                <w:sz w:val="22"/>
                <w:szCs w:val="22"/>
                <w:lang w:eastAsia="en-IE"/>
              </w:rPr>
              <w:t>Adjustments to reconcile profit after tax to net cash from operating activities</w:t>
            </w:r>
          </w:p>
        </w:tc>
        <w:tc>
          <w:tcPr>
            <w:tcW w:w="850" w:type="dxa"/>
            <w:shd w:val="clear" w:color="auto" w:fill="FFFFFF"/>
            <w:vAlign w:val="center"/>
            <w:hideMark/>
          </w:tcPr>
          <w:p w14:paraId="33ED796F" w14:textId="77777777" w:rsidR="0095024A" w:rsidRPr="00D964B7" w:rsidRDefault="0095024A" w:rsidP="0095024A">
            <w:pPr>
              <w:jc w:val="right"/>
              <w:rPr>
                <w:rFonts w:ascii="Calibri" w:hAnsi="Calibri" w:cs="Calibri"/>
                <w:bCs/>
                <w:color w:val="000000"/>
                <w:sz w:val="22"/>
                <w:szCs w:val="22"/>
                <w:lang w:eastAsia="en-IE"/>
              </w:rPr>
            </w:pPr>
            <w:r w:rsidRPr="00D964B7">
              <w:rPr>
                <w:rFonts w:ascii="Calibri" w:hAnsi="Calibri" w:cs="Calibri"/>
                <w:bCs/>
                <w:color w:val="000000"/>
                <w:sz w:val="22"/>
                <w:szCs w:val="22"/>
                <w:lang w:eastAsia="en-IE"/>
              </w:rPr>
              <w:t> </w:t>
            </w:r>
          </w:p>
        </w:tc>
        <w:tc>
          <w:tcPr>
            <w:tcW w:w="1134" w:type="dxa"/>
            <w:shd w:val="clear" w:color="auto" w:fill="FFFF00"/>
            <w:vAlign w:val="center"/>
          </w:tcPr>
          <w:p w14:paraId="3858743C" w14:textId="77777777" w:rsidR="0095024A" w:rsidRPr="00B3763D" w:rsidRDefault="0095024A" w:rsidP="0095024A">
            <w:pPr>
              <w:jc w:val="right"/>
              <w:rPr>
                <w:rFonts w:ascii="Calibri" w:hAnsi="Calibri" w:cs="Calibri"/>
                <w:b/>
                <w:bCs/>
                <w:color w:val="000000"/>
                <w:sz w:val="22"/>
                <w:szCs w:val="22"/>
                <w:lang w:eastAsia="en-IE"/>
              </w:rPr>
            </w:pPr>
          </w:p>
        </w:tc>
        <w:tc>
          <w:tcPr>
            <w:tcW w:w="1133" w:type="dxa"/>
            <w:shd w:val="clear" w:color="auto" w:fill="FFFFFF"/>
            <w:vAlign w:val="center"/>
          </w:tcPr>
          <w:p w14:paraId="347004A1" w14:textId="77777777" w:rsidR="0095024A" w:rsidRPr="00B3763D" w:rsidRDefault="0095024A" w:rsidP="0095024A">
            <w:pPr>
              <w:jc w:val="right"/>
              <w:rPr>
                <w:rFonts w:ascii="Calibri" w:eastAsia="Calibri" w:hAnsi="Calibri" w:cs="Calibri"/>
                <w:sz w:val="22"/>
                <w:szCs w:val="22"/>
                <w:lang w:eastAsia="en-IE"/>
              </w:rPr>
            </w:pPr>
          </w:p>
        </w:tc>
        <w:tc>
          <w:tcPr>
            <w:tcW w:w="1665" w:type="dxa"/>
          </w:tcPr>
          <w:p w14:paraId="486E5E5E" w14:textId="77777777" w:rsidR="0095024A" w:rsidRPr="00D964B7" w:rsidRDefault="0095024A" w:rsidP="0095024A">
            <w:pPr>
              <w:rPr>
                <w:sz w:val="22"/>
                <w:szCs w:val="22"/>
              </w:rPr>
            </w:pPr>
          </w:p>
        </w:tc>
      </w:tr>
      <w:tr w:rsidR="0095024A" w:rsidRPr="00D964B7" w14:paraId="0C4CA162" w14:textId="77777777" w:rsidTr="005E03B5">
        <w:trPr>
          <w:gridAfter w:val="1"/>
          <w:wAfter w:w="1665" w:type="dxa"/>
          <w:trHeight w:val="272"/>
        </w:trPr>
        <w:tc>
          <w:tcPr>
            <w:tcW w:w="295" w:type="dxa"/>
            <w:shd w:val="clear" w:color="auto" w:fill="FFFFFF"/>
            <w:vAlign w:val="center"/>
            <w:hideMark/>
          </w:tcPr>
          <w:p w14:paraId="7013161D" w14:textId="77777777" w:rsidR="0095024A" w:rsidRPr="00D964B7" w:rsidRDefault="0095024A" w:rsidP="0095024A">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2744480E" w14:textId="77777777" w:rsidR="0095024A" w:rsidRPr="00D964B7" w:rsidRDefault="0095024A" w:rsidP="0095024A">
            <w:pPr>
              <w:rPr>
                <w:rFonts w:ascii="Calibri" w:hAnsi="Calibri" w:cs="Calibri"/>
                <w:color w:val="000000"/>
                <w:sz w:val="22"/>
                <w:szCs w:val="22"/>
                <w:lang w:eastAsia="en-IE"/>
              </w:rPr>
            </w:pPr>
            <w:r w:rsidRPr="00D964B7">
              <w:rPr>
                <w:rFonts w:ascii="Calibri" w:hAnsi="Calibri" w:cs="Calibri"/>
                <w:color w:val="000000"/>
                <w:sz w:val="22"/>
                <w:szCs w:val="22"/>
                <w:lang w:eastAsia="en-IE"/>
              </w:rPr>
              <w:t>Depreciation</w:t>
            </w:r>
          </w:p>
        </w:tc>
        <w:tc>
          <w:tcPr>
            <w:tcW w:w="850" w:type="dxa"/>
            <w:shd w:val="clear" w:color="auto" w:fill="FFFFFF"/>
            <w:vAlign w:val="center"/>
            <w:hideMark/>
          </w:tcPr>
          <w:p w14:paraId="018CFBC2" w14:textId="77777777" w:rsidR="0095024A" w:rsidRPr="00D964B7" w:rsidRDefault="0095024A" w:rsidP="0095024A">
            <w:pPr>
              <w:rPr>
                <w:rFonts w:ascii="Calibri" w:hAnsi="Calibri" w:cs="Calibri"/>
                <w:color w:val="000000"/>
                <w:sz w:val="22"/>
                <w:szCs w:val="22"/>
                <w:lang w:eastAsia="en-IE"/>
              </w:rPr>
            </w:pPr>
          </w:p>
        </w:tc>
        <w:tc>
          <w:tcPr>
            <w:tcW w:w="1134" w:type="dxa"/>
            <w:shd w:val="clear" w:color="auto" w:fill="FFFF00"/>
          </w:tcPr>
          <w:p w14:paraId="18A2FD92" w14:textId="77777777" w:rsidR="0095024A" w:rsidRPr="00B3763D" w:rsidRDefault="00E30D63" w:rsidP="0095024A">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822.2</w:t>
            </w:r>
          </w:p>
        </w:tc>
        <w:tc>
          <w:tcPr>
            <w:tcW w:w="1133" w:type="dxa"/>
            <w:shd w:val="clear" w:color="auto" w:fill="FFFFFF"/>
          </w:tcPr>
          <w:p w14:paraId="3FE69771" w14:textId="77777777" w:rsidR="0095024A" w:rsidRPr="00B3763D" w:rsidRDefault="0095024A" w:rsidP="0095024A">
            <w:pPr>
              <w:jc w:val="right"/>
              <w:rPr>
                <w:rFonts w:ascii="Calibri" w:hAnsi="Calibri" w:cs="Calibri"/>
                <w:color w:val="000000"/>
                <w:sz w:val="22"/>
                <w:szCs w:val="22"/>
                <w:lang w:eastAsia="en-IE"/>
              </w:rPr>
            </w:pPr>
            <w:r w:rsidRPr="00B3763D">
              <w:rPr>
                <w:rFonts w:ascii="Calibri" w:hAnsi="Calibri" w:cs="Calibri"/>
                <w:color w:val="000000"/>
                <w:sz w:val="22"/>
                <w:szCs w:val="22"/>
              </w:rPr>
              <w:t>665.8</w:t>
            </w:r>
          </w:p>
        </w:tc>
      </w:tr>
      <w:tr w:rsidR="0095024A" w:rsidRPr="00D964B7" w14:paraId="3DCE5316" w14:textId="77777777" w:rsidTr="005E03B5">
        <w:trPr>
          <w:gridAfter w:val="1"/>
          <w:wAfter w:w="1665" w:type="dxa"/>
          <w:trHeight w:val="272"/>
        </w:trPr>
        <w:tc>
          <w:tcPr>
            <w:tcW w:w="295" w:type="dxa"/>
            <w:shd w:val="clear" w:color="auto" w:fill="FFFFFF"/>
            <w:vAlign w:val="center"/>
            <w:hideMark/>
          </w:tcPr>
          <w:p w14:paraId="72D7E7CB" w14:textId="77777777" w:rsidR="0095024A" w:rsidRPr="00D964B7" w:rsidRDefault="0095024A" w:rsidP="0095024A">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5FE4439E" w14:textId="77777777" w:rsidR="0095024A" w:rsidRPr="00D964B7" w:rsidRDefault="0095024A" w:rsidP="0095024A">
            <w:pPr>
              <w:rPr>
                <w:rFonts w:ascii="Calibri" w:hAnsi="Calibri" w:cs="Calibri"/>
                <w:color w:val="000000"/>
                <w:sz w:val="22"/>
                <w:szCs w:val="22"/>
                <w:lang w:eastAsia="en-IE"/>
              </w:rPr>
            </w:pPr>
            <w:r w:rsidRPr="00D964B7">
              <w:rPr>
                <w:rFonts w:ascii="Calibri" w:hAnsi="Calibri" w:cs="Calibri"/>
                <w:color w:val="000000"/>
                <w:sz w:val="22"/>
                <w:szCs w:val="22"/>
                <w:lang w:eastAsia="en-IE"/>
              </w:rPr>
              <w:t>(</w:t>
            </w:r>
            <w:r w:rsidR="00AB1DD8">
              <w:rPr>
                <w:rFonts w:ascii="Calibri" w:hAnsi="Calibri" w:cs="Calibri"/>
                <w:color w:val="000000"/>
                <w:sz w:val="22"/>
                <w:szCs w:val="22"/>
                <w:lang w:eastAsia="en-IE"/>
              </w:rPr>
              <w:t>I</w:t>
            </w:r>
            <w:r w:rsidRPr="00D964B7">
              <w:rPr>
                <w:rFonts w:ascii="Calibri" w:hAnsi="Calibri" w:cs="Calibri"/>
                <w:color w:val="000000"/>
                <w:sz w:val="22"/>
                <w:szCs w:val="22"/>
                <w:lang w:eastAsia="en-IE"/>
              </w:rPr>
              <w:t>ncrease) in inventories</w:t>
            </w:r>
          </w:p>
        </w:tc>
        <w:tc>
          <w:tcPr>
            <w:tcW w:w="850" w:type="dxa"/>
            <w:shd w:val="clear" w:color="auto" w:fill="FFFFFF"/>
            <w:vAlign w:val="center"/>
            <w:hideMark/>
          </w:tcPr>
          <w:p w14:paraId="5302DB64" w14:textId="77777777" w:rsidR="0095024A" w:rsidRPr="00D964B7" w:rsidRDefault="0095024A" w:rsidP="0095024A">
            <w:pPr>
              <w:rPr>
                <w:rFonts w:ascii="Calibri" w:hAnsi="Calibri" w:cs="Calibri"/>
                <w:color w:val="000000"/>
                <w:sz w:val="22"/>
                <w:szCs w:val="22"/>
                <w:lang w:eastAsia="en-IE"/>
              </w:rPr>
            </w:pPr>
          </w:p>
        </w:tc>
        <w:tc>
          <w:tcPr>
            <w:tcW w:w="1134" w:type="dxa"/>
            <w:shd w:val="clear" w:color="auto" w:fill="FFFF00"/>
          </w:tcPr>
          <w:p w14:paraId="2FA760BF" w14:textId="77777777" w:rsidR="0095024A" w:rsidRPr="00B3763D" w:rsidRDefault="00E30D63" w:rsidP="0095024A">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(0.2)</w:t>
            </w:r>
          </w:p>
        </w:tc>
        <w:tc>
          <w:tcPr>
            <w:tcW w:w="1133" w:type="dxa"/>
            <w:shd w:val="clear" w:color="auto" w:fill="FFFFFF"/>
          </w:tcPr>
          <w:p w14:paraId="43375BEC" w14:textId="77777777" w:rsidR="0095024A" w:rsidRPr="00B3763D" w:rsidRDefault="0095024A" w:rsidP="0095024A">
            <w:pPr>
              <w:jc w:val="right"/>
              <w:rPr>
                <w:rFonts w:ascii="Calibri" w:hAnsi="Calibri" w:cs="Calibri"/>
                <w:color w:val="000000"/>
                <w:sz w:val="22"/>
                <w:szCs w:val="22"/>
                <w:lang w:eastAsia="en-IE"/>
              </w:rPr>
            </w:pPr>
            <w:r w:rsidRPr="00B3763D">
              <w:rPr>
                <w:rFonts w:ascii="Calibri" w:hAnsi="Calibri" w:cs="Calibri"/>
                <w:color w:val="000000"/>
                <w:sz w:val="22"/>
                <w:szCs w:val="22"/>
              </w:rPr>
              <w:t>(0.2)</w:t>
            </w:r>
          </w:p>
        </w:tc>
      </w:tr>
      <w:tr w:rsidR="0095024A" w:rsidRPr="00D964B7" w14:paraId="6737B665" w14:textId="77777777" w:rsidTr="005E03B5">
        <w:trPr>
          <w:gridAfter w:val="1"/>
          <w:wAfter w:w="1665" w:type="dxa"/>
          <w:trHeight w:val="272"/>
        </w:trPr>
        <w:tc>
          <w:tcPr>
            <w:tcW w:w="295" w:type="dxa"/>
            <w:shd w:val="clear" w:color="auto" w:fill="FFFFFF"/>
            <w:vAlign w:val="center"/>
            <w:hideMark/>
          </w:tcPr>
          <w:p w14:paraId="2F56517A" w14:textId="77777777" w:rsidR="0095024A" w:rsidRPr="00D964B7" w:rsidRDefault="0095024A" w:rsidP="0095024A">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1D809109" w14:textId="77777777" w:rsidR="0095024A" w:rsidRPr="00D964B7" w:rsidRDefault="0095024A" w:rsidP="0095024A">
            <w:pPr>
              <w:rPr>
                <w:rFonts w:ascii="Calibri" w:hAnsi="Calibri" w:cs="Calibri"/>
                <w:color w:val="000000"/>
                <w:sz w:val="22"/>
                <w:szCs w:val="22"/>
                <w:lang w:eastAsia="en-IE"/>
              </w:rPr>
            </w:pPr>
            <w:r w:rsidRPr="00D964B7">
              <w:rPr>
                <w:rFonts w:ascii="Calibri" w:hAnsi="Calibri" w:cs="Calibri"/>
                <w:color w:val="000000"/>
                <w:sz w:val="22"/>
                <w:szCs w:val="22"/>
                <w:lang w:eastAsia="en-IE"/>
              </w:rPr>
              <w:t>Tax expense</w:t>
            </w:r>
          </w:p>
        </w:tc>
        <w:tc>
          <w:tcPr>
            <w:tcW w:w="850" w:type="dxa"/>
            <w:shd w:val="clear" w:color="auto" w:fill="FFFFFF"/>
            <w:vAlign w:val="center"/>
            <w:hideMark/>
          </w:tcPr>
          <w:p w14:paraId="6848C655" w14:textId="77777777" w:rsidR="0095024A" w:rsidRPr="00D964B7" w:rsidRDefault="0095024A" w:rsidP="0095024A">
            <w:pPr>
              <w:rPr>
                <w:rFonts w:ascii="Calibri" w:hAnsi="Calibri" w:cs="Calibri"/>
                <w:color w:val="000000"/>
                <w:sz w:val="22"/>
                <w:szCs w:val="22"/>
                <w:lang w:eastAsia="en-IE"/>
              </w:rPr>
            </w:pPr>
          </w:p>
        </w:tc>
        <w:tc>
          <w:tcPr>
            <w:tcW w:w="1134" w:type="dxa"/>
            <w:shd w:val="clear" w:color="auto" w:fill="FFFF00"/>
          </w:tcPr>
          <w:p w14:paraId="4AED9055" w14:textId="77777777" w:rsidR="0095024A" w:rsidRPr="00B3763D" w:rsidRDefault="00E30D63" w:rsidP="0095024A">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268.3</w:t>
            </w:r>
          </w:p>
        </w:tc>
        <w:tc>
          <w:tcPr>
            <w:tcW w:w="1133" w:type="dxa"/>
            <w:shd w:val="clear" w:color="auto" w:fill="FFFFFF"/>
          </w:tcPr>
          <w:p w14:paraId="16C6E479" w14:textId="77777777" w:rsidR="0095024A" w:rsidRPr="00B3763D" w:rsidRDefault="0095024A" w:rsidP="0095024A">
            <w:pPr>
              <w:jc w:val="right"/>
              <w:rPr>
                <w:rFonts w:ascii="Calibri" w:hAnsi="Calibri" w:cs="Calibri"/>
                <w:color w:val="000000"/>
                <w:sz w:val="22"/>
                <w:szCs w:val="22"/>
                <w:lang w:eastAsia="en-IE"/>
              </w:rPr>
            </w:pPr>
            <w:r w:rsidRPr="00B3763D">
              <w:rPr>
                <w:rFonts w:ascii="Calibri" w:hAnsi="Calibri" w:cs="Calibri"/>
                <w:color w:val="000000"/>
                <w:sz w:val="22"/>
                <w:szCs w:val="22"/>
              </w:rPr>
              <w:t>170.1</w:t>
            </w:r>
          </w:p>
        </w:tc>
      </w:tr>
      <w:tr w:rsidR="0095024A" w:rsidRPr="00D964B7" w14:paraId="219D9ECF" w14:textId="77777777" w:rsidTr="005E03B5">
        <w:trPr>
          <w:gridAfter w:val="1"/>
          <w:wAfter w:w="1665" w:type="dxa"/>
          <w:trHeight w:val="272"/>
        </w:trPr>
        <w:tc>
          <w:tcPr>
            <w:tcW w:w="295" w:type="dxa"/>
            <w:shd w:val="clear" w:color="auto" w:fill="FFFFFF"/>
            <w:vAlign w:val="center"/>
            <w:hideMark/>
          </w:tcPr>
          <w:p w14:paraId="5F5D229F" w14:textId="77777777" w:rsidR="0095024A" w:rsidRPr="00D964B7" w:rsidRDefault="0095024A" w:rsidP="0095024A">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1306171D" w14:textId="77777777" w:rsidR="0095024A" w:rsidRPr="00D964B7" w:rsidRDefault="0095024A" w:rsidP="0095024A">
            <w:pPr>
              <w:rPr>
                <w:rFonts w:ascii="Calibri" w:hAnsi="Calibri" w:cs="Calibri"/>
                <w:color w:val="000000"/>
                <w:sz w:val="22"/>
                <w:szCs w:val="22"/>
                <w:lang w:eastAsia="en-IE"/>
              </w:rPr>
            </w:pPr>
            <w:r w:rsidRPr="00D964B7">
              <w:rPr>
                <w:rFonts w:ascii="Calibri" w:hAnsi="Calibri" w:cs="Calibri"/>
                <w:color w:val="000000"/>
                <w:sz w:val="22"/>
                <w:szCs w:val="22"/>
                <w:lang w:eastAsia="en-IE"/>
              </w:rPr>
              <w:t>Share based payments</w:t>
            </w:r>
          </w:p>
        </w:tc>
        <w:tc>
          <w:tcPr>
            <w:tcW w:w="850" w:type="dxa"/>
            <w:shd w:val="clear" w:color="auto" w:fill="FFFFFF"/>
            <w:vAlign w:val="center"/>
            <w:hideMark/>
          </w:tcPr>
          <w:p w14:paraId="6BB175D8" w14:textId="77777777" w:rsidR="0095024A" w:rsidRPr="00D964B7" w:rsidRDefault="0095024A" w:rsidP="0095024A">
            <w:pPr>
              <w:jc w:val="right"/>
              <w:rPr>
                <w:rFonts w:ascii="Calibri" w:hAnsi="Calibri" w:cs="Calibri"/>
                <w:b/>
                <w:bCs/>
                <w:color w:val="000000"/>
                <w:sz w:val="22"/>
                <w:szCs w:val="22"/>
                <w:lang w:eastAsia="en-IE"/>
              </w:rPr>
            </w:pPr>
          </w:p>
        </w:tc>
        <w:tc>
          <w:tcPr>
            <w:tcW w:w="1134" w:type="dxa"/>
            <w:shd w:val="clear" w:color="auto" w:fill="FFFF00"/>
          </w:tcPr>
          <w:p w14:paraId="1202D629" w14:textId="77777777" w:rsidR="0095024A" w:rsidRPr="00B3763D" w:rsidRDefault="00E30D63" w:rsidP="0095024A">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9.9</w:t>
            </w:r>
          </w:p>
        </w:tc>
        <w:tc>
          <w:tcPr>
            <w:tcW w:w="1133" w:type="dxa"/>
            <w:shd w:val="clear" w:color="auto" w:fill="FFFFFF"/>
          </w:tcPr>
          <w:p w14:paraId="11DE8B95" w14:textId="77777777" w:rsidR="0095024A" w:rsidRPr="00B3763D" w:rsidRDefault="0095024A" w:rsidP="0095024A">
            <w:pPr>
              <w:jc w:val="right"/>
              <w:rPr>
                <w:rFonts w:ascii="Calibri" w:hAnsi="Calibri" w:cs="Calibri"/>
                <w:color w:val="000000"/>
                <w:sz w:val="22"/>
                <w:szCs w:val="22"/>
                <w:lang w:eastAsia="en-IE"/>
              </w:rPr>
            </w:pPr>
            <w:r w:rsidRPr="00B3763D">
              <w:rPr>
                <w:rFonts w:ascii="Calibri" w:hAnsi="Calibri" w:cs="Calibri"/>
                <w:color w:val="000000"/>
                <w:sz w:val="22"/>
                <w:szCs w:val="22"/>
              </w:rPr>
              <w:t>11.3</w:t>
            </w:r>
          </w:p>
        </w:tc>
      </w:tr>
      <w:tr w:rsidR="0095024A" w:rsidRPr="00D964B7" w14:paraId="2F4E4F17" w14:textId="77777777" w:rsidTr="005E03B5">
        <w:trPr>
          <w:gridAfter w:val="1"/>
          <w:wAfter w:w="1665" w:type="dxa"/>
          <w:trHeight w:val="272"/>
        </w:trPr>
        <w:tc>
          <w:tcPr>
            <w:tcW w:w="295" w:type="dxa"/>
            <w:shd w:val="clear" w:color="auto" w:fill="FFFFFF"/>
            <w:vAlign w:val="center"/>
            <w:hideMark/>
          </w:tcPr>
          <w:p w14:paraId="36E23036" w14:textId="77777777" w:rsidR="0095024A" w:rsidRPr="00D964B7" w:rsidRDefault="0095024A" w:rsidP="0095024A">
            <w:pPr>
              <w:jc w:val="center"/>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1E604642" w14:textId="77777777" w:rsidR="0095024A" w:rsidRPr="00D964B7" w:rsidRDefault="004B1610" w:rsidP="0095024A">
            <w:pPr>
              <w:rPr>
                <w:rFonts w:ascii="Calibri" w:hAnsi="Calibri" w:cs="Calibri"/>
                <w:color w:val="000000"/>
                <w:sz w:val="22"/>
                <w:szCs w:val="22"/>
                <w:lang w:eastAsia="en-IE"/>
              </w:rPr>
            </w:pPr>
            <w:r>
              <w:rPr>
                <w:rFonts w:ascii="Calibri" w:hAnsi="Calibri" w:cs="Calibri"/>
                <w:color w:val="000000"/>
                <w:sz w:val="22"/>
                <w:szCs w:val="22"/>
                <w:lang w:eastAsia="en-IE"/>
              </w:rPr>
              <w:t>(Increase</w:t>
            </w:r>
            <w:r w:rsidR="00D86648">
              <w:rPr>
                <w:rFonts w:ascii="Calibri" w:hAnsi="Calibri" w:cs="Calibri"/>
                <w:color w:val="000000"/>
                <w:sz w:val="22"/>
                <w:szCs w:val="22"/>
                <w:lang w:eastAsia="en-IE"/>
              </w:rPr>
              <w:t>)</w:t>
            </w:r>
            <w:r w:rsidR="00A8604B">
              <w:rPr>
                <w:rFonts w:ascii="Calibri" w:hAnsi="Calibri" w:cs="Calibri"/>
                <w:color w:val="000000"/>
                <w:sz w:val="22"/>
                <w:szCs w:val="22"/>
                <w:lang w:eastAsia="en-IE"/>
              </w:rPr>
              <w:t>/decrease</w:t>
            </w:r>
            <w:r w:rsidR="00D86648">
              <w:rPr>
                <w:rFonts w:ascii="Calibri" w:hAnsi="Calibri" w:cs="Calibri"/>
                <w:color w:val="000000"/>
                <w:sz w:val="22"/>
                <w:szCs w:val="22"/>
                <w:lang w:eastAsia="en-IE"/>
              </w:rPr>
              <w:t xml:space="preserve"> </w:t>
            </w:r>
            <w:r w:rsidR="0095024A" w:rsidRPr="00D964B7">
              <w:rPr>
                <w:rFonts w:ascii="Calibri" w:hAnsi="Calibri" w:cs="Calibri"/>
                <w:color w:val="000000"/>
                <w:sz w:val="22"/>
                <w:szCs w:val="22"/>
                <w:lang w:eastAsia="en-IE"/>
              </w:rPr>
              <w:t>in trade receivables</w:t>
            </w:r>
          </w:p>
        </w:tc>
        <w:tc>
          <w:tcPr>
            <w:tcW w:w="850" w:type="dxa"/>
            <w:shd w:val="clear" w:color="auto" w:fill="FFFFFF"/>
            <w:vAlign w:val="center"/>
            <w:hideMark/>
          </w:tcPr>
          <w:p w14:paraId="6E74261E" w14:textId="77777777" w:rsidR="0095024A" w:rsidRPr="00D964B7" w:rsidRDefault="0095024A" w:rsidP="0095024A">
            <w:pPr>
              <w:rPr>
                <w:rFonts w:ascii="Calibri" w:hAnsi="Calibri" w:cs="Calibri"/>
                <w:color w:val="000000"/>
                <w:sz w:val="22"/>
                <w:szCs w:val="22"/>
                <w:lang w:eastAsia="en-IE"/>
              </w:rPr>
            </w:pPr>
          </w:p>
        </w:tc>
        <w:tc>
          <w:tcPr>
            <w:tcW w:w="1134" w:type="dxa"/>
            <w:shd w:val="clear" w:color="auto" w:fill="FFFF00"/>
          </w:tcPr>
          <w:p w14:paraId="78E74C6C" w14:textId="77777777" w:rsidR="0095024A" w:rsidRPr="00B3763D" w:rsidRDefault="00E30D63" w:rsidP="0095024A">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(16.8)</w:t>
            </w:r>
          </w:p>
        </w:tc>
        <w:tc>
          <w:tcPr>
            <w:tcW w:w="1133" w:type="dxa"/>
            <w:shd w:val="clear" w:color="auto" w:fill="FFFFFF"/>
          </w:tcPr>
          <w:p w14:paraId="5C6BD16E" w14:textId="77777777" w:rsidR="0095024A" w:rsidRPr="00B3763D" w:rsidRDefault="0095024A" w:rsidP="0095024A">
            <w:pPr>
              <w:jc w:val="right"/>
              <w:rPr>
                <w:rFonts w:ascii="Calibri" w:hAnsi="Calibri" w:cs="Calibri"/>
                <w:color w:val="000000"/>
                <w:sz w:val="22"/>
                <w:szCs w:val="22"/>
                <w:lang w:eastAsia="en-IE"/>
              </w:rPr>
            </w:pPr>
            <w:r w:rsidRPr="00B3763D">
              <w:rPr>
                <w:rFonts w:ascii="Calibri" w:hAnsi="Calibri" w:cs="Calibri"/>
                <w:color w:val="000000"/>
                <w:sz w:val="22"/>
                <w:szCs w:val="22"/>
              </w:rPr>
              <w:t>4.7</w:t>
            </w:r>
          </w:p>
        </w:tc>
      </w:tr>
      <w:tr w:rsidR="0095024A" w:rsidRPr="00D964B7" w14:paraId="4A8A37BF" w14:textId="77777777" w:rsidTr="005E03B5">
        <w:trPr>
          <w:gridAfter w:val="1"/>
          <w:wAfter w:w="1665" w:type="dxa"/>
          <w:trHeight w:val="272"/>
        </w:trPr>
        <w:tc>
          <w:tcPr>
            <w:tcW w:w="295" w:type="dxa"/>
            <w:shd w:val="clear" w:color="auto" w:fill="FFFFFF"/>
            <w:vAlign w:val="center"/>
            <w:hideMark/>
          </w:tcPr>
          <w:p w14:paraId="6A3CEEEF" w14:textId="77777777" w:rsidR="0095024A" w:rsidRPr="00D964B7" w:rsidRDefault="0095024A" w:rsidP="0095024A">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3EA72EE6" w14:textId="77777777" w:rsidR="0095024A" w:rsidRPr="00D964B7" w:rsidRDefault="00AB1DD8" w:rsidP="0095024A">
            <w:pPr>
              <w:rPr>
                <w:rFonts w:ascii="Calibri" w:hAnsi="Calibri" w:cs="Calibri"/>
                <w:color w:val="000000"/>
                <w:sz w:val="22"/>
                <w:szCs w:val="22"/>
                <w:lang w:eastAsia="en-IE"/>
              </w:rPr>
            </w:pPr>
            <w:r>
              <w:rPr>
                <w:rFonts w:ascii="Calibri" w:hAnsi="Calibri" w:cs="Calibri"/>
                <w:color w:val="000000"/>
                <w:sz w:val="22"/>
                <w:szCs w:val="22"/>
                <w:lang w:eastAsia="en-IE"/>
              </w:rPr>
              <w:t>(</w:t>
            </w:r>
            <w:r w:rsidR="0095024A" w:rsidRPr="00D964B7">
              <w:rPr>
                <w:rFonts w:ascii="Calibri" w:hAnsi="Calibri" w:cs="Calibri"/>
                <w:color w:val="000000"/>
                <w:sz w:val="22"/>
                <w:szCs w:val="22"/>
                <w:lang w:eastAsia="en-IE"/>
              </w:rPr>
              <w:t>Increase</w:t>
            </w:r>
            <w:r>
              <w:rPr>
                <w:rFonts w:ascii="Calibri" w:hAnsi="Calibri" w:cs="Calibri"/>
                <w:color w:val="000000"/>
                <w:sz w:val="22"/>
                <w:szCs w:val="22"/>
                <w:lang w:eastAsia="en-IE"/>
              </w:rPr>
              <w:t>)</w:t>
            </w:r>
            <w:r w:rsidR="0095024A" w:rsidRPr="00D964B7">
              <w:rPr>
                <w:rFonts w:ascii="Calibri" w:hAnsi="Calibri" w:cs="Calibri"/>
                <w:color w:val="000000"/>
                <w:sz w:val="22"/>
                <w:szCs w:val="22"/>
                <w:lang w:eastAsia="en-IE"/>
              </w:rPr>
              <w:t xml:space="preserve"> in other assets</w:t>
            </w:r>
          </w:p>
        </w:tc>
        <w:tc>
          <w:tcPr>
            <w:tcW w:w="850" w:type="dxa"/>
            <w:shd w:val="clear" w:color="auto" w:fill="FFFFFF"/>
            <w:vAlign w:val="center"/>
            <w:hideMark/>
          </w:tcPr>
          <w:p w14:paraId="2EBF12DC" w14:textId="77777777" w:rsidR="0095024A" w:rsidRPr="00D964B7" w:rsidRDefault="0095024A" w:rsidP="0095024A">
            <w:pPr>
              <w:rPr>
                <w:rFonts w:ascii="Calibri" w:hAnsi="Calibri" w:cs="Calibri"/>
                <w:color w:val="000000"/>
                <w:sz w:val="22"/>
                <w:szCs w:val="22"/>
                <w:lang w:eastAsia="en-IE"/>
              </w:rPr>
            </w:pPr>
          </w:p>
        </w:tc>
        <w:tc>
          <w:tcPr>
            <w:tcW w:w="1134" w:type="dxa"/>
            <w:shd w:val="clear" w:color="auto" w:fill="FFFF00"/>
          </w:tcPr>
          <w:p w14:paraId="73434B93" w14:textId="77777777" w:rsidR="0095024A" w:rsidRPr="00B3763D" w:rsidRDefault="00E30D63" w:rsidP="0095024A">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w:t>
            </w:r>
            <w:r w:rsidR="007F56F8">
              <w:rPr>
                <w:rFonts w:ascii="Calibri" w:eastAsia="Calibri" w:hAnsi="Calibri" w:cs="Calibri"/>
                <w:b/>
                <w:sz w:val="22"/>
                <w:szCs w:val="22"/>
                <w:lang w:eastAsia="en-IE"/>
              </w:rPr>
              <w:t>2</w:t>
            </w:r>
            <w:r w:rsidR="002E3127">
              <w:rPr>
                <w:rFonts w:ascii="Calibri" w:eastAsia="Calibri" w:hAnsi="Calibri" w:cs="Calibri"/>
                <w:b/>
                <w:sz w:val="22"/>
                <w:szCs w:val="22"/>
                <w:lang w:eastAsia="en-IE"/>
              </w:rPr>
              <w:t>31.5</w:t>
            </w:r>
            <w:r w:rsidRPr="00B3763D">
              <w:rPr>
                <w:rFonts w:ascii="Calibri" w:eastAsia="Calibri" w:hAnsi="Calibri" w:cs="Calibri"/>
                <w:b/>
                <w:sz w:val="22"/>
                <w:szCs w:val="22"/>
                <w:lang w:eastAsia="en-IE"/>
              </w:rPr>
              <w:t>)</w:t>
            </w:r>
          </w:p>
        </w:tc>
        <w:tc>
          <w:tcPr>
            <w:tcW w:w="1133" w:type="dxa"/>
            <w:shd w:val="clear" w:color="auto" w:fill="FFFFFF"/>
          </w:tcPr>
          <w:p w14:paraId="77B73571" w14:textId="77777777" w:rsidR="0095024A" w:rsidRPr="00B3763D" w:rsidRDefault="0095024A" w:rsidP="0095024A">
            <w:pPr>
              <w:jc w:val="right"/>
              <w:rPr>
                <w:rFonts w:ascii="Calibri" w:hAnsi="Calibri" w:cs="Calibri"/>
                <w:color w:val="000000"/>
                <w:sz w:val="22"/>
                <w:szCs w:val="22"/>
                <w:lang w:eastAsia="en-IE"/>
              </w:rPr>
            </w:pPr>
            <w:r w:rsidRPr="00B3763D">
              <w:rPr>
                <w:rFonts w:ascii="Calibri" w:hAnsi="Calibri" w:cs="Calibri"/>
                <w:color w:val="000000"/>
                <w:sz w:val="22"/>
                <w:szCs w:val="22"/>
              </w:rPr>
              <w:t>(420.6)</w:t>
            </w:r>
          </w:p>
        </w:tc>
      </w:tr>
      <w:tr w:rsidR="0095024A" w:rsidRPr="00D964B7" w14:paraId="74CCE104" w14:textId="77777777" w:rsidTr="005E03B5">
        <w:trPr>
          <w:gridAfter w:val="1"/>
          <w:wAfter w:w="1665" w:type="dxa"/>
          <w:trHeight w:val="272"/>
        </w:trPr>
        <w:tc>
          <w:tcPr>
            <w:tcW w:w="295" w:type="dxa"/>
            <w:shd w:val="clear" w:color="auto" w:fill="FFFFFF"/>
            <w:vAlign w:val="center"/>
            <w:hideMark/>
          </w:tcPr>
          <w:p w14:paraId="3389726E" w14:textId="77777777" w:rsidR="0095024A" w:rsidRPr="00D964B7" w:rsidRDefault="0095024A" w:rsidP="0095024A">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3AF7A9D9" w14:textId="77777777" w:rsidR="0095024A" w:rsidRPr="00D964B7" w:rsidRDefault="00AB1DD8" w:rsidP="0095024A">
            <w:pPr>
              <w:rPr>
                <w:rFonts w:ascii="Calibri" w:hAnsi="Calibri" w:cs="Calibri"/>
                <w:color w:val="000000"/>
                <w:sz w:val="22"/>
                <w:szCs w:val="22"/>
                <w:lang w:eastAsia="en-IE"/>
              </w:rPr>
            </w:pPr>
            <w:r>
              <w:rPr>
                <w:rFonts w:ascii="Calibri" w:hAnsi="Calibri" w:cs="Calibri"/>
                <w:color w:val="000000"/>
                <w:sz w:val="22"/>
                <w:szCs w:val="22"/>
                <w:lang w:eastAsia="en-IE"/>
              </w:rPr>
              <w:t>(</w:t>
            </w:r>
            <w:r w:rsidR="00D86648">
              <w:rPr>
                <w:rFonts w:ascii="Calibri" w:hAnsi="Calibri" w:cs="Calibri"/>
                <w:color w:val="000000"/>
                <w:sz w:val="22"/>
                <w:szCs w:val="22"/>
                <w:lang w:eastAsia="en-IE"/>
              </w:rPr>
              <w:t>D</w:t>
            </w:r>
            <w:r>
              <w:rPr>
                <w:rFonts w:ascii="Calibri" w:hAnsi="Calibri" w:cs="Calibri"/>
                <w:color w:val="000000"/>
                <w:sz w:val="22"/>
                <w:szCs w:val="22"/>
                <w:lang w:eastAsia="en-IE"/>
              </w:rPr>
              <w:t>e</w:t>
            </w:r>
            <w:r w:rsidR="0095024A" w:rsidRPr="00D964B7">
              <w:rPr>
                <w:rFonts w:ascii="Calibri" w:hAnsi="Calibri" w:cs="Calibri"/>
                <w:color w:val="000000"/>
                <w:sz w:val="22"/>
                <w:szCs w:val="22"/>
                <w:lang w:eastAsia="en-IE"/>
              </w:rPr>
              <w:t>crease</w:t>
            </w:r>
            <w:r>
              <w:rPr>
                <w:rFonts w:ascii="Calibri" w:hAnsi="Calibri" w:cs="Calibri"/>
                <w:color w:val="000000"/>
                <w:sz w:val="22"/>
                <w:szCs w:val="22"/>
                <w:lang w:eastAsia="en-IE"/>
              </w:rPr>
              <w:t>)</w:t>
            </w:r>
            <w:r w:rsidR="0095024A" w:rsidRPr="00D964B7">
              <w:rPr>
                <w:rFonts w:ascii="Calibri" w:hAnsi="Calibri" w:cs="Calibri"/>
                <w:color w:val="000000"/>
                <w:sz w:val="22"/>
                <w:szCs w:val="22"/>
                <w:lang w:eastAsia="en-IE"/>
              </w:rPr>
              <w:t xml:space="preserve"> in trade payables</w:t>
            </w:r>
          </w:p>
        </w:tc>
        <w:tc>
          <w:tcPr>
            <w:tcW w:w="850" w:type="dxa"/>
            <w:shd w:val="clear" w:color="auto" w:fill="FFFFFF"/>
            <w:vAlign w:val="center"/>
            <w:hideMark/>
          </w:tcPr>
          <w:p w14:paraId="4A3BB309" w14:textId="77777777" w:rsidR="0095024A" w:rsidRPr="00D964B7" w:rsidRDefault="0095024A" w:rsidP="0095024A">
            <w:pPr>
              <w:jc w:val="right"/>
              <w:rPr>
                <w:rFonts w:ascii="Calibri" w:hAnsi="Calibri" w:cs="Calibri"/>
                <w:b/>
                <w:color w:val="000000"/>
                <w:sz w:val="22"/>
                <w:szCs w:val="22"/>
                <w:lang w:eastAsia="en-IE"/>
              </w:rPr>
            </w:pPr>
          </w:p>
        </w:tc>
        <w:tc>
          <w:tcPr>
            <w:tcW w:w="1134" w:type="dxa"/>
            <w:shd w:val="clear" w:color="auto" w:fill="FFFF00"/>
          </w:tcPr>
          <w:p w14:paraId="6F504BDD" w14:textId="77777777" w:rsidR="0095024A" w:rsidRPr="00B3763D" w:rsidRDefault="00D86648" w:rsidP="0095024A">
            <w:pPr>
              <w:jc w:val="right"/>
              <w:rPr>
                <w:rFonts w:ascii="Calibri" w:eastAsia="Calibri" w:hAnsi="Calibri" w:cs="Calibri"/>
                <w:b/>
                <w:sz w:val="22"/>
                <w:szCs w:val="22"/>
                <w:lang w:eastAsia="en-IE"/>
              </w:rPr>
            </w:pPr>
            <w:r>
              <w:rPr>
                <w:rFonts w:ascii="Calibri" w:eastAsia="Calibri" w:hAnsi="Calibri" w:cs="Calibri"/>
                <w:b/>
                <w:sz w:val="22"/>
                <w:szCs w:val="22"/>
                <w:lang w:eastAsia="en-IE"/>
              </w:rPr>
              <w:t>(81.6)</w:t>
            </w:r>
          </w:p>
        </w:tc>
        <w:tc>
          <w:tcPr>
            <w:tcW w:w="1133" w:type="dxa"/>
            <w:shd w:val="clear" w:color="auto" w:fill="FFFFFF"/>
          </w:tcPr>
          <w:p w14:paraId="767B5731" w14:textId="77777777" w:rsidR="0095024A" w:rsidRPr="00B3763D" w:rsidRDefault="0095024A" w:rsidP="0095024A">
            <w:pPr>
              <w:jc w:val="right"/>
              <w:rPr>
                <w:rFonts w:ascii="Calibri" w:hAnsi="Calibri" w:cs="Calibri"/>
                <w:color w:val="000000"/>
                <w:sz w:val="22"/>
                <w:szCs w:val="22"/>
                <w:lang w:eastAsia="en-IE"/>
              </w:rPr>
            </w:pPr>
            <w:r w:rsidRPr="00B3763D">
              <w:rPr>
                <w:rFonts w:ascii="Calibri" w:hAnsi="Calibri" w:cs="Calibri"/>
                <w:color w:val="000000"/>
                <w:sz w:val="22"/>
                <w:szCs w:val="22"/>
              </w:rPr>
              <w:t>(22.6)</w:t>
            </w:r>
          </w:p>
        </w:tc>
      </w:tr>
      <w:tr w:rsidR="0095024A" w:rsidRPr="00D964B7" w14:paraId="13ABD8C1" w14:textId="77777777" w:rsidTr="005E03B5">
        <w:trPr>
          <w:gridAfter w:val="1"/>
          <w:wAfter w:w="1665" w:type="dxa"/>
          <w:trHeight w:val="272"/>
        </w:trPr>
        <w:tc>
          <w:tcPr>
            <w:tcW w:w="295" w:type="dxa"/>
            <w:shd w:val="clear" w:color="auto" w:fill="FFFFFF"/>
            <w:vAlign w:val="center"/>
            <w:hideMark/>
          </w:tcPr>
          <w:p w14:paraId="72E15E25" w14:textId="77777777" w:rsidR="0095024A" w:rsidRPr="00D964B7" w:rsidRDefault="0095024A" w:rsidP="0095024A">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4AE5AFD8" w14:textId="77777777" w:rsidR="0095024A" w:rsidRPr="00D964B7" w:rsidRDefault="00AB1DD8" w:rsidP="0095024A">
            <w:pPr>
              <w:rPr>
                <w:rFonts w:ascii="Calibri" w:hAnsi="Calibri" w:cs="Calibri"/>
                <w:color w:val="000000"/>
                <w:sz w:val="22"/>
                <w:szCs w:val="22"/>
                <w:lang w:eastAsia="en-IE"/>
              </w:rPr>
            </w:pPr>
            <w:r>
              <w:rPr>
                <w:rFonts w:ascii="Calibri" w:hAnsi="Calibri" w:cs="Calibri"/>
                <w:color w:val="000000"/>
                <w:sz w:val="22"/>
                <w:szCs w:val="22"/>
                <w:lang w:eastAsia="en-IE"/>
              </w:rPr>
              <w:t>(</w:t>
            </w:r>
            <w:r w:rsidR="0095024A">
              <w:rPr>
                <w:rFonts w:ascii="Calibri" w:hAnsi="Calibri" w:cs="Calibri"/>
                <w:color w:val="000000"/>
                <w:sz w:val="22"/>
                <w:szCs w:val="22"/>
                <w:lang w:eastAsia="en-IE"/>
              </w:rPr>
              <w:t>De</w:t>
            </w:r>
            <w:r w:rsidR="0095024A" w:rsidRPr="00D964B7">
              <w:rPr>
                <w:rFonts w:ascii="Calibri" w:hAnsi="Calibri" w:cs="Calibri"/>
                <w:color w:val="000000"/>
                <w:sz w:val="22"/>
                <w:szCs w:val="22"/>
                <w:lang w:eastAsia="en-IE"/>
              </w:rPr>
              <w:t>crease</w:t>
            </w:r>
            <w:r>
              <w:rPr>
                <w:rFonts w:ascii="Calibri" w:hAnsi="Calibri" w:cs="Calibri"/>
                <w:color w:val="000000"/>
                <w:sz w:val="22"/>
                <w:szCs w:val="22"/>
                <w:lang w:eastAsia="en-IE"/>
              </w:rPr>
              <w:t>)</w:t>
            </w:r>
            <w:r w:rsidR="0095024A" w:rsidRPr="00D964B7">
              <w:rPr>
                <w:rFonts w:ascii="Calibri" w:hAnsi="Calibri" w:cs="Calibri"/>
                <w:color w:val="000000"/>
                <w:sz w:val="22"/>
                <w:szCs w:val="22"/>
                <w:lang w:eastAsia="en-IE"/>
              </w:rPr>
              <w:t xml:space="preserve"> in accrued expenses and other liabilities</w:t>
            </w:r>
          </w:p>
        </w:tc>
        <w:tc>
          <w:tcPr>
            <w:tcW w:w="850" w:type="dxa"/>
            <w:shd w:val="clear" w:color="auto" w:fill="FFFFFF"/>
            <w:vAlign w:val="center"/>
            <w:hideMark/>
          </w:tcPr>
          <w:p w14:paraId="6897DBCA" w14:textId="77777777" w:rsidR="0095024A" w:rsidRPr="00D964B7" w:rsidRDefault="0095024A" w:rsidP="0095024A">
            <w:pPr>
              <w:rPr>
                <w:rFonts w:ascii="Calibri" w:hAnsi="Calibri" w:cs="Calibri"/>
                <w:color w:val="000000"/>
                <w:sz w:val="22"/>
                <w:szCs w:val="22"/>
                <w:lang w:eastAsia="en-IE"/>
              </w:rPr>
            </w:pPr>
          </w:p>
        </w:tc>
        <w:tc>
          <w:tcPr>
            <w:tcW w:w="1134" w:type="dxa"/>
            <w:shd w:val="clear" w:color="auto" w:fill="FFFF00"/>
          </w:tcPr>
          <w:p w14:paraId="24D7CAEC" w14:textId="77777777" w:rsidR="0095024A" w:rsidRPr="00B3763D" w:rsidRDefault="00E30D63" w:rsidP="0095024A">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(1,6</w:t>
            </w:r>
            <w:r w:rsidR="007F56F8">
              <w:rPr>
                <w:rFonts w:ascii="Calibri" w:eastAsia="Calibri" w:hAnsi="Calibri" w:cs="Calibri"/>
                <w:b/>
                <w:sz w:val="22"/>
                <w:szCs w:val="22"/>
                <w:lang w:eastAsia="en-IE"/>
              </w:rPr>
              <w:t>61.3</w:t>
            </w:r>
            <w:r w:rsidRPr="00B3763D">
              <w:rPr>
                <w:rFonts w:ascii="Calibri" w:eastAsia="Calibri" w:hAnsi="Calibri" w:cs="Calibri"/>
                <w:b/>
                <w:sz w:val="22"/>
                <w:szCs w:val="22"/>
                <w:lang w:eastAsia="en-IE"/>
              </w:rPr>
              <w:t>)</w:t>
            </w:r>
          </w:p>
        </w:tc>
        <w:tc>
          <w:tcPr>
            <w:tcW w:w="1133" w:type="dxa"/>
            <w:shd w:val="clear" w:color="auto" w:fill="FFFFFF"/>
          </w:tcPr>
          <w:p w14:paraId="059080DA" w14:textId="77777777" w:rsidR="0095024A" w:rsidRPr="00B3763D" w:rsidRDefault="0095024A" w:rsidP="0095024A">
            <w:pPr>
              <w:jc w:val="right"/>
              <w:rPr>
                <w:rFonts w:ascii="Calibri" w:hAnsi="Calibri" w:cs="Calibri"/>
                <w:color w:val="000000"/>
                <w:sz w:val="22"/>
                <w:szCs w:val="22"/>
                <w:lang w:eastAsia="en-IE"/>
              </w:rPr>
            </w:pPr>
            <w:r w:rsidRPr="00B3763D">
              <w:rPr>
                <w:rFonts w:ascii="Calibri" w:hAnsi="Calibri" w:cs="Calibri"/>
                <w:sz w:val="22"/>
                <w:szCs w:val="22"/>
              </w:rPr>
              <w:t>(376.1)</w:t>
            </w:r>
          </w:p>
        </w:tc>
      </w:tr>
      <w:tr w:rsidR="0095024A" w:rsidRPr="00D964B7" w14:paraId="007C3AD8" w14:textId="77777777" w:rsidTr="005E03B5">
        <w:trPr>
          <w:gridAfter w:val="1"/>
          <w:wAfter w:w="1665" w:type="dxa"/>
          <w:trHeight w:val="272"/>
        </w:trPr>
        <w:tc>
          <w:tcPr>
            <w:tcW w:w="295" w:type="dxa"/>
            <w:shd w:val="clear" w:color="auto" w:fill="FFFFFF"/>
            <w:vAlign w:val="center"/>
            <w:hideMark/>
          </w:tcPr>
          <w:p w14:paraId="42A72860" w14:textId="77777777" w:rsidR="0095024A" w:rsidRPr="00D964B7" w:rsidRDefault="0095024A" w:rsidP="0095024A">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21C4B08F" w14:textId="77777777" w:rsidR="0095024A" w:rsidRPr="00D964B7" w:rsidRDefault="004B1610" w:rsidP="0095024A">
            <w:pPr>
              <w:rPr>
                <w:rFonts w:ascii="Calibri" w:hAnsi="Calibri" w:cs="Calibri"/>
                <w:color w:val="000000"/>
                <w:sz w:val="22"/>
                <w:szCs w:val="22"/>
                <w:lang w:eastAsia="en-IE"/>
              </w:rPr>
            </w:pPr>
            <w:r>
              <w:rPr>
                <w:rFonts w:ascii="Calibri" w:hAnsi="Calibri" w:cs="Calibri"/>
                <w:color w:val="000000"/>
                <w:sz w:val="22"/>
                <w:szCs w:val="22"/>
                <w:lang w:eastAsia="en-IE"/>
              </w:rPr>
              <w:t>(Decrease)</w:t>
            </w:r>
            <w:r w:rsidR="00A8604B">
              <w:rPr>
                <w:rFonts w:ascii="Calibri" w:hAnsi="Calibri" w:cs="Calibri"/>
                <w:color w:val="000000"/>
                <w:sz w:val="22"/>
                <w:szCs w:val="22"/>
                <w:lang w:eastAsia="en-IE"/>
              </w:rPr>
              <w:t>/increase</w:t>
            </w:r>
            <w:r w:rsidR="0095024A" w:rsidRPr="00D964B7">
              <w:rPr>
                <w:rFonts w:ascii="Calibri" w:hAnsi="Calibri" w:cs="Calibri"/>
                <w:color w:val="000000"/>
                <w:sz w:val="22"/>
                <w:szCs w:val="22"/>
                <w:lang w:eastAsia="en-IE"/>
              </w:rPr>
              <w:t xml:space="preserve"> in provisions</w:t>
            </w:r>
          </w:p>
        </w:tc>
        <w:tc>
          <w:tcPr>
            <w:tcW w:w="850" w:type="dxa"/>
            <w:shd w:val="clear" w:color="auto" w:fill="FFFFFF"/>
            <w:vAlign w:val="center"/>
            <w:hideMark/>
          </w:tcPr>
          <w:p w14:paraId="11B634F2" w14:textId="77777777" w:rsidR="0095024A" w:rsidRPr="00D964B7" w:rsidRDefault="0095024A" w:rsidP="0095024A">
            <w:pPr>
              <w:rPr>
                <w:rFonts w:ascii="Calibri" w:hAnsi="Calibri" w:cs="Calibri"/>
                <w:color w:val="000000"/>
                <w:sz w:val="22"/>
                <w:szCs w:val="22"/>
                <w:lang w:eastAsia="en-IE"/>
              </w:rPr>
            </w:pPr>
          </w:p>
        </w:tc>
        <w:tc>
          <w:tcPr>
            <w:tcW w:w="1134" w:type="dxa"/>
            <w:shd w:val="clear" w:color="auto" w:fill="FFFF00"/>
          </w:tcPr>
          <w:p w14:paraId="1619D6F9" w14:textId="77777777" w:rsidR="0095024A" w:rsidRPr="00B3763D" w:rsidRDefault="00E30D63" w:rsidP="0095024A">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(0.4)</w:t>
            </w:r>
          </w:p>
        </w:tc>
        <w:tc>
          <w:tcPr>
            <w:tcW w:w="1133" w:type="dxa"/>
            <w:shd w:val="clear" w:color="auto" w:fill="FFFFFF"/>
          </w:tcPr>
          <w:p w14:paraId="7858C4A1" w14:textId="77777777" w:rsidR="0095024A" w:rsidRPr="00B3763D" w:rsidRDefault="0095024A" w:rsidP="0095024A">
            <w:pPr>
              <w:jc w:val="right"/>
              <w:rPr>
                <w:rFonts w:ascii="Calibri" w:hAnsi="Calibri" w:cs="Calibri"/>
                <w:color w:val="000000"/>
                <w:sz w:val="22"/>
                <w:szCs w:val="22"/>
                <w:lang w:eastAsia="en-IE"/>
              </w:rPr>
            </w:pPr>
            <w:r w:rsidRPr="00B3763D">
              <w:rPr>
                <w:rFonts w:ascii="Calibri" w:hAnsi="Calibri" w:cs="Calibri"/>
                <w:color w:val="000000"/>
                <w:sz w:val="22"/>
                <w:szCs w:val="22"/>
              </w:rPr>
              <w:t>60.1</w:t>
            </w:r>
          </w:p>
        </w:tc>
      </w:tr>
      <w:tr w:rsidR="0095024A" w:rsidRPr="00D964B7" w14:paraId="73307CF2" w14:textId="77777777" w:rsidTr="005E03B5">
        <w:trPr>
          <w:gridAfter w:val="1"/>
          <w:wAfter w:w="1665" w:type="dxa"/>
          <w:trHeight w:val="272"/>
        </w:trPr>
        <w:tc>
          <w:tcPr>
            <w:tcW w:w="295" w:type="dxa"/>
            <w:shd w:val="clear" w:color="auto" w:fill="FFFFFF"/>
            <w:vAlign w:val="center"/>
            <w:hideMark/>
          </w:tcPr>
          <w:p w14:paraId="38EA28BE" w14:textId="77777777" w:rsidR="0095024A" w:rsidRPr="00D964B7" w:rsidRDefault="0095024A" w:rsidP="0095024A">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0A29C450" w14:textId="77777777" w:rsidR="0095024A" w:rsidRPr="00D964B7" w:rsidRDefault="00AB1DD8" w:rsidP="0095024A">
            <w:pPr>
              <w:rPr>
                <w:rFonts w:ascii="Calibri" w:hAnsi="Calibri" w:cs="Calibri"/>
                <w:color w:val="000000"/>
                <w:sz w:val="22"/>
                <w:szCs w:val="22"/>
                <w:lang w:eastAsia="en-IE"/>
              </w:rPr>
            </w:pPr>
            <w:r>
              <w:rPr>
                <w:rFonts w:ascii="Calibri" w:hAnsi="Calibri" w:cs="Calibri"/>
                <w:color w:val="000000"/>
                <w:sz w:val="22"/>
                <w:szCs w:val="22"/>
                <w:lang w:eastAsia="en-IE"/>
              </w:rPr>
              <w:t>I</w:t>
            </w:r>
            <w:r w:rsidR="0095024A" w:rsidRPr="00D964B7">
              <w:rPr>
                <w:rFonts w:ascii="Calibri" w:hAnsi="Calibri" w:cs="Calibri"/>
                <w:color w:val="000000"/>
                <w:sz w:val="22"/>
                <w:szCs w:val="22"/>
                <w:lang w:eastAsia="en-IE"/>
              </w:rPr>
              <w:t>ncrease in finance income</w:t>
            </w:r>
          </w:p>
        </w:tc>
        <w:tc>
          <w:tcPr>
            <w:tcW w:w="850" w:type="dxa"/>
            <w:shd w:val="clear" w:color="auto" w:fill="FFFFFF"/>
            <w:vAlign w:val="center"/>
            <w:hideMark/>
          </w:tcPr>
          <w:p w14:paraId="7F5CF458" w14:textId="77777777" w:rsidR="0095024A" w:rsidRPr="00D964B7" w:rsidRDefault="0095024A" w:rsidP="0095024A">
            <w:pPr>
              <w:rPr>
                <w:rFonts w:ascii="Calibri" w:hAnsi="Calibri" w:cs="Calibri"/>
                <w:color w:val="000000"/>
                <w:sz w:val="22"/>
                <w:szCs w:val="22"/>
                <w:lang w:eastAsia="en-IE"/>
              </w:rPr>
            </w:pPr>
          </w:p>
        </w:tc>
        <w:tc>
          <w:tcPr>
            <w:tcW w:w="1134" w:type="dxa"/>
            <w:shd w:val="clear" w:color="auto" w:fill="FFFF00"/>
          </w:tcPr>
          <w:p w14:paraId="2C16D885" w14:textId="77777777" w:rsidR="0095024A" w:rsidRPr="00B3763D" w:rsidRDefault="00E30D63" w:rsidP="0095024A">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2.2</w:t>
            </w:r>
          </w:p>
        </w:tc>
        <w:tc>
          <w:tcPr>
            <w:tcW w:w="1133" w:type="dxa"/>
            <w:shd w:val="clear" w:color="auto" w:fill="FFFFFF"/>
          </w:tcPr>
          <w:p w14:paraId="037D263C" w14:textId="77777777" w:rsidR="0095024A" w:rsidRPr="00B3763D" w:rsidRDefault="0095024A" w:rsidP="0095024A">
            <w:pPr>
              <w:jc w:val="right"/>
              <w:rPr>
                <w:rFonts w:ascii="Calibri" w:hAnsi="Calibri" w:cs="Calibri"/>
                <w:color w:val="000000"/>
                <w:sz w:val="22"/>
                <w:szCs w:val="22"/>
                <w:lang w:eastAsia="en-IE"/>
              </w:rPr>
            </w:pPr>
            <w:r w:rsidRPr="00B3763D">
              <w:rPr>
                <w:rFonts w:ascii="Calibri" w:hAnsi="Calibri" w:cs="Calibri"/>
                <w:color w:val="000000"/>
                <w:sz w:val="22"/>
                <w:szCs w:val="22"/>
              </w:rPr>
              <w:t>7.3</w:t>
            </w:r>
          </w:p>
        </w:tc>
      </w:tr>
      <w:tr w:rsidR="0095024A" w:rsidRPr="00D964B7" w14:paraId="5973E8A9" w14:textId="77777777" w:rsidTr="005E03B5">
        <w:trPr>
          <w:gridAfter w:val="1"/>
          <w:wAfter w:w="1665" w:type="dxa"/>
          <w:trHeight w:val="272"/>
        </w:trPr>
        <w:tc>
          <w:tcPr>
            <w:tcW w:w="295" w:type="dxa"/>
            <w:shd w:val="clear" w:color="auto" w:fill="FFFFFF"/>
            <w:vAlign w:val="center"/>
          </w:tcPr>
          <w:p w14:paraId="2636561D" w14:textId="77777777" w:rsidR="0095024A" w:rsidRPr="00D964B7" w:rsidRDefault="0095024A" w:rsidP="0095024A">
            <w:pPr>
              <w:jc w:val="right"/>
              <w:rPr>
                <w:rFonts w:ascii="Calibri" w:hAnsi="Calibri" w:cs="Calibri"/>
                <w:color w:val="000000"/>
                <w:sz w:val="22"/>
                <w:szCs w:val="22"/>
                <w:lang w:eastAsia="en-IE"/>
              </w:rPr>
            </w:pPr>
          </w:p>
        </w:tc>
        <w:tc>
          <w:tcPr>
            <w:tcW w:w="7252" w:type="dxa"/>
            <w:shd w:val="clear" w:color="auto" w:fill="FFFFFF"/>
            <w:vAlign w:val="center"/>
          </w:tcPr>
          <w:p w14:paraId="0D92564D" w14:textId="77777777" w:rsidR="0095024A" w:rsidRPr="00D964B7" w:rsidRDefault="004B1610" w:rsidP="0095024A">
            <w:pPr>
              <w:rPr>
                <w:rFonts w:ascii="Calibri" w:hAnsi="Calibri" w:cs="Calibri"/>
                <w:color w:val="000000"/>
                <w:sz w:val="22"/>
                <w:szCs w:val="22"/>
                <w:lang w:eastAsia="en-IE"/>
              </w:rPr>
            </w:pPr>
            <w:r>
              <w:rPr>
                <w:rFonts w:ascii="Calibri" w:hAnsi="Calibri" w:cs="Calibri"/>
                <w:color w:val="000000"/>
                <w:sz w:val="22"/>
                <w:szCs w:val="22"/>
                <w:lang w:eastAsia="en-IE"/>
              </w:rPr>
              <w:t>(</w:t>
            </w:r>
            <w:r w:rsidR="000B43EE">
              <w:rPr>
                <w:rFonts w:ascii="Calibri" w:hAnsi="Calibri" w:cs="Calibri"/>
                <w:color w:val="000000"/>
                <w:sz w:val="22"/>
                <w:szCs w:val="22"/>
                <w:lang w:eastAsia="en-IE"/>
              </w:rPr>
              <w:t>In</w:t>
            </w:r>
            <w:r>
              <w:rPr>
                <w:rFonts w:ascii="Calibri" w:hAnsi="Calibri" w:cs="Calibri"/>
                <w:color w:val="000000"/>
                <w:sz w:val="22"/>
                <w:szCs w:val="22"/>
                <w:lang w:eastAsia="en-IE"/>
              </w:rPr>
              <w:t>crease)</w:t>
            </w:r>
            <w:r w:rsidR="000B43EE">
              <w:rPr>
                <w:rFonts w:ascii="Calibri" w:hAnsi="Calibri" w:cs="Calibri"/>
                <w:color w:val="000000"/>
                <w:sz w:val="22"/>
                <w:szCs w:val="22"/>
                <w:lang w:eastAsia="en-IE"/>
              </w:rPr>
              <w:t>/decrease</w:t>
            </w:r>
            <w:r w:rsidR="0095024A" w:rsidRPr="00D964B7">
              <w:rPr>
                <w:rFonts w:ascii="Calibri" w:hAnsi="Calibri" w:cs="Calibri"/>
                <w:color w:val="000000"/>
                <w:sz w:val="22"/>
                <w:szCs w:val="22"/>
                <w:lang w:eastAsia="en-IE"/>
              </w:rPr>
              <w:t xml:space="preserve"> in finance expense</w:t>
            </w:r>
          </w:p>
        </w:tc>
        <w:tc>
          <w:tcPr>
            <w:tcW w:w="850" w:type="dxa"/>
            <w:shd w:val="clear" w:color="auto" w:fill="FFFFFF"/>
            <w:vAlign w:val="center"/>
          </w:tcPr>
          <w:p w14:paraId="4205918D" w14:textId="77777777" w:rsidR="0095024A" w:rsidRPr="00D964B7" w:rsidRDefault="0095024A" w:rsidP="0095024A">
            <w:pPr>
              <w:rPr>
                <w:rFonts w:ascii="Calibri" w:hAnsi="Calibri" w:cs="Calibri"/>
                <w:color w:val="000000"/>
                <w:sz w:val="22"/>
                <w:szCs w:val="22"/>
                <w:lang w:eastAsia="en-IE"/>
              </w:rPr>
            </w:pPr>
          </w:p>
        </w:tc>
        <w:tc>
          <w:tcPr>
            <w:tcW w:w="1134" w:type="dxa"/>
            <w:shd w:val="clear" w:color="auto" w:fill="FFFF00"/>
          </w:tcPr>
          <w:p w14:paraId="6AADB64C" w14:textId="77777777" w:rsidR="0095024A" w:rsidRPr="00B3763D" w:rsidRDefault="00E30D63" w:rsidP="0095024A">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(5.3)</w:t>
            </w:r>
          </w:p>
        </w:tc>
        <w:tc>
          <w:tcPr>
            <w:tcW w:w="1133" w:type="dxa"/>
            <w:shd w:val="clear" w:color="auto" w:fill="FFFFFF"/>
          </w:tcPr>
          <w:p w14:paraId="253766EA" w14:textId="77777777" w:rsidR="0095024A" w:rsidRPr="00B3763D" w:rsidRDefault="0095024A" w:rsidP="0095024A">
            <w:pPr>
              <w:jc w:val="right"/>
              <w:rPr>
                <w:rFonts w:ascii="Calibri" w:eastAsia="Calibri" w:hAnsi="Calibri" w:cs="Calibri"/>
                <w:sz w:val="22"/>
                <w:szCs w:val="22"/>
                <w:lang w:eastAsia="en-IE"/>
              </w:rPr>
            </w:pPr>
            <w:r w:rsidRPr="00B3763D">
              <w:rPr>
                <w:rFonts w:ascii="Calibri" w:hAnsi="Calibri" w:cs="Calibri"/>
                <w:color w:val="000000"/>
                <w:sz w:val="22"/>
                <w:szCs w:val="22"/>
              </w:rPr>
              <w:t>4.7</w:t>
            </w:r>
          </w:p>
        </w:tc>
      </w:tr>
      <w:tr w:rsidR="0095024A" w:rsidRPr="00D964B7" w14:paraId="7D918412" w14:textId="77777777" w:rsidTr="005E03B5">
        <w:trPr>
          <w:gridAfter w:val="1"/>
          <w:wAfter w:w="1665" w:type="dxa"/>
          <w:trHeight w:val="272"/>
        </w:trPr>
        <w:tc>
          <w:tcPr>
            <w:tcW w:w="295" w:type="dxa"/>
            <w:shd w:val="clear" w:color="auto" w:fill="FFFFFF"/>
            <w:vAlign w:val="center"/>
            <w:hideMark/>
          </w:tcPr>
          <w:p w14:paraId="4EB18A70" w14:textId="77777777" w:rsidR="0095024A" w:rsidRPr="00D964B7" w:rsidRDefault="0095024A" w:rsidP="0095024A">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0C18CBDF" w14:textId="77777777" w:rsidR="0095024A" w:rsidRPr="00D964B7" w:rsidRDefault="0095024A" w:rsidP="0095024A">
            <w:pPr>
              <w:rPr>
                <w:rFonts w:ascii="Calibri" w:hAnsi="Calibri" w:cs="Calibri"/>
                <w:color w:val="000000"/>
                <w:sz w:val="22"/>
                <w:szCs w:val="22"/>
                <w:lang w:eastAsia="en-IE"/>
              </w:rPr>
            </w:pPr>
            <w:r w:rsidRPr="00D964B7">
              <w:rPr>
                <w:rFonts w:ascii="Calibri" w:hAnsi="Calibri" w:cs="Calibri"/>
                <w:color w:val="000000"/>
                <w:sz w:val="22"/>
                <w:szCs w:val="22"/>
                <w:lang w:eastAsia="en-IE"/>
              </w:rPr>
              <w:t>Foreign exchange and fair value*</w:t>
            </w:r>
          </w:p>
        </w:tc>
        <w:tc>
          <w:tcPr>
            <w:tcW w:w="850" w:type="dxa"/>
            <w:shd w:val="clear" w:color="auto" w:fill="FFFFFF"/>
            <w:vAlign w:val="center"/>
            <w:hideMark/>
          </w:tcPr>
          <w:p w14:paraId="2E51F40B" w14:textId="77777777" w:rsidR="0095024A" w:rsidRPr="00D964B7" w:rsidRDefault="0095024A" w:rsidP="0095024A">
            <w:pPr>
              <w:rPr>
                <w:rFonts w:ascii="Calibri" w:hAnsi="Calibri" w:cs="Calibri"/>
                <w:color w:val="000000"/>
                <w:sz w:val="22"/>
                <w:szCs w:val="22"/>
                <w:lang w:eastAsia="en-IE"/>
              </w:rPr>
            </w:pPr>
          </w:p>
        </w:tc>
        <w:tc>
          <w:tcPr>
            <w:tcW w:w="1134" w:type="dxa"/>
            <w:shd w:val="clear" w:color="auto" w:fill="FFFF00"/>
          </w:tcPr>
          <w:p w14:paraId="190C0F28" w14:textId="77777777" w:rsidR="0095024A" w:rsidRPr="00B3763D" w:rsidRDefault="002E3127" w:rsidP="0095024A">
            <w:pPr>
              <w:jc w:val="right"/>
              <w:rPr>
                <w:rFonts w:ascii="Calibri" w:eastAsia="Calibri" w:hAnsi="Calibri" w:cs="Calibri"/>
                <w:b/>
                <w:sz w:val="22"/>
                <w:szCs w:val="22"/>
                <w:lang w:eastAsia="en-IE"/>
              </w:rPr>
            </w:pPr>
            <w:r>
              <w:rPr>
                <w:rFonts w:ascii="Calibri" w:eastAsia="Calibri" w:hAnsi="Calibri" w:cs="Calibri"/>
                <w:b/>
                <w:sz w:val="22"/>
                <w:szCs w:val="22"/>
                <w:lang w:eastAsia="en-IE"/>
              </w:rPr>
              <w:t>24.4</w:t>
            </w:r>
          </w:p>
        </w:tc>
        <w:tc>
          <w:tcPr>
            <w:tcW w:w="1133" w:type="dxa"/>
            <w:shd w:val="clear" w:color="auto" w:fill="FFFFFF"/>
          </w:tcPr>
          <w:p w14:paraId="7EAE3E1B" w14:textId="77777777" w:rsidR="0095024A" w:rsidRPr="00B3763D" w:rsidRDefault="0095024A" w:rsidP="0095024A">
            <w:pPr>
              <w:jc w:val="right"/>
              <w:rPr>
                <w:rFonts w:ascii="Calibri" w:hAnsi="Calibri" w:cs="Calibri"/>
                <w:color w:val="000000"/>
                <w:sz w:val="22"/>
                <w:szCs w:val="22"/>
                <w:lang w:eastAsia="en-IE"/>
              </w:rPr>
            </w:pPr>
            <w:r w:rsidRPr="00B3763D">
              <w:rPr>
                <w:rFonts w:ascii="Calibri" w:hAnsi="Calibri" w:cs="Calibri"/>
                <w:color w:val="000000"/>
                <w:sz w:val="22"/>
                <w:szCs w:val="22"/>
              </w:rPr>
              <w:t>147.2</w:t>
            </w:r>
          </w:p>
        </w:tc>
      </w:tr>
      <w:tr w:rsidR="0095024A" w:rsidRPr="00D964B7" w14:paraId="572F3815" w14:textId="77777777" w:rsidTr="005E03B5">
        <w:trPr>
          <w:gridAfter w:val="1"/>
          <w:wAfter w:w="1665" w:type="dxa"/>
          <w:trHeight w:val="281"/>
        </w:trPr>
        <w:tc>
          <w:tcPr>
            <w:tcW w:w="295" w:type="dxa"/>
            <w:shd w:val="clear" w:color="auto" w:fill="FFFFFF"/>
            <w:vAlign w:val="center"/>
            <w:hideMark/>
          </w:tcPr>
          <w:p w14:paraId="5284A6E4" w14:textId="77777777" w:rsidR="0095024A" w:rsidRPr="00D964B7" w:rsidRDefault="0095024A" w:rsidP="0095024A">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46035883" w14:textId="77777777" w:rsidR="0095024A" w:rsidRPr="00D964B7" w:rsidRDefault="0095024A" w:rsidP="0095024A">
            <w:pPr>
              <w:rPr>
                <w:rFonts w:ascii="Calibri" w:hAnsi="Calibri" w:cs="Calibri"/>
                <w:color w:val="000000"/>
                <w:sz w:val="22"/>
                <w:szCs w:val="22"/>
                <w:lang w:eastAsia="en-IE"/>
              </w:rPr>
            </w:pPr>
            <w:r w:rsidRPr="00D964B7">
              <w:rPr>
                <w:rFonts w:ascii="Calibri" w:hAnsi="Calibri" w:cs="Calibri"/>
                <w:color w:val="000000"/>
                <w:sz w:val="22"/>
                <w:szCs w:val="22"/>
                <w:lang w:eastAsia="en-IE"/>
              </w:rPr>
              <w:t xml:space="preserve">Income tax </w:t>
            </w:r>
            <w:r w:rsidR="004B1610">
              <w:rPr>
                <w:rFonts w:ascii="Calibri" w:hAnsi="Calibri" w:cs="Calibri"/>
                <w:color w:val="000000"/>
                <w:sz w:val="22"/>
                <w:szCs w:val="22"/>
                <w:lang w:eastAsia="en-IE"/>
              </w:rPr>
              <w:t>(paid</w:t>
            </w:r>
            <w:r w:rsidR="00D86648">
              <w:rPr>
                <w:rFonts w:ascii="Calibri" w:hAnsi="Calibri" w:cs="Calibri"/>
                <w:color w:val="000000"/>
                <w:sz w:val="22"/>
                <w:szCs w:val="22"/>
                <w:lang w:eastAsia="en-IE"/>
              </w:rPr>
              <w:t>)</w:t>
            </w:r>
            <w:r w:rsidR="00A8604B">
              <w:rPr>
                <w:rFonts w:ascii="Calibri" w:hAnsi="Calibri" w:cs="Calibri"/>
                <w:color w:val="000000"/>
                <w:sz w:val="22"/>
                <w:szCs w:val="22"/>
                <w:lang w:eastAsia="en-IE"/>
              </w:rPr>
              <w:t>/received</w:t>
            </w:r>
          </w:p>
        </w:tc>
        <w:tc>
          <w:tcPr>
            <w:tcW w:w="850" w:type="dxa"/>
            <w:shd w:val="clear" w:color="auto" w:fill="FFFFFF"/>
            <w:vAlign w:val="center"/>
            <w:hideMark/>
          </w:tcPr>
          <w:p w14:paraId="096771B6" w14:textId="77777777" w:rsidR="0095024A" w:rsidRPr="00D964B7" w:rsidRDefault="0095024A" w:rsidP="0095024A">
            <w:pPr>
              <w:rPr>
                <w:rFonts w:ascii="Calibri" w:hAnsi="Calibri" w:cs="Calibri"/>
                <w:color w:val="000000"/>
                <w:sz w:val="22"/>
                <w:szCs w:val="22"/>
                <w:lang w:eastAsia="en-IE"/>
              </w:rPr>
            </w:pPr>
          </w:p>
        </w:tc>
        <w:tc>
          <w:tcPr>
            <w:tcW w:w="1134" w:type="dxa"/>
            <w:shd w:val="clear" w:color="auto" w:fill="FFFF00"/>
          </w:tcPr>
          <w:p w14:paraId="6081F79B" w14:textId="77777777" w:rsidR="0095024A" w:rsidRPr="00B3763D" w:rsidRDefault="00E30D63" w:rsidP="0095024A">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(37.1)</w:t>
            </w:r>
          </w:p>
        </w:tc>
        <w:tc>
          <w:tcPr>
            <w:tcW w:w="1133" w:type="dxa"/>
            <w:shd w:val="clear" w:color="auto" w:fill="FFFFFF"/>
          </w:tcPr>
          <w:p w14:paraId="7504E0C1" w14:textId="77777777" w:rsidR="0095024A" w:rsidRPr="00B3763D" w:rsidRDefault="0095024A" w:rsidP="0095024A">
            <w:pPr>
              <w:jc w:val="right"/>
              <w:rPr>
                <w:rFonts w:ascii="Calibri" w:hAnsi="Calibri" w:cs="Calibri"/>
                <w:color w:val="000000"/>
                <w:sz w:val="22"/>
                <w:szCs w:val="22"/>
                <w:lang w:eastAsia="en-IE"/>
              </w:rPr>
            </w:pPr>
            <w:r w:rsidRPr="00B3763D">
              <w:rPr>
                <w:rFonts w:ascii="Calibri" w:hAnsi="Calibri" w:cs="Calibri"/>
                <w:color w:val="000000"/>
                <w:sz w:val="22"/>
                <w:szCs w:val="22"/>
              </w:rPr>
              <w:t>1.8</w:t>
            </w:r>
          </w:p>
        </w:tc>
      </w:tr>
      <w:tr w:rsidR="0095024A" w:rsidRPr="00D964B7" w14:paraId="6B083E7E" w14:textId="77777777" w:rsidTr="005E03B5">
        <w:trPr>
          <w:gridAfter w:val="1"/>
          <w:wAfter w:w="1665" w:type="dxa"/>
          <w:trHeight w:val="281"/>
        </w:trPr>
        <w:tc>
          <w:tcPr>
            <w:tcW w:w="7547" w:type="dxa"/>
            <w:gridSpan w:val="2"/>
            <w:shd w:val="clear" w:color="auto" w:fill="FFFFFF"/>
            <w:vAlign w:val="center"/>
            <w:hideMark/>
          </w:tcPr>
          <w:p w14:paraId="49877417" w14:textId="77777777" w:rsidR="0095024A" w:rsidRPr="00D964B7" w:rsidRDefault="0095024A" w:rsidP="0095024A">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Net cash inflow from operating activities</w:t>
            </w:r>
          </w:p>
        </w:tc>
        <w:tc>
          <w:tcPr>
            <w:tcW w:w="850" w:type="dxa"/>
            <w:shd w:val="clear" w:color="auto" w:fill="FFFFFF"/>
            <w:vAlign w:val="center"/>
            <w:hideMark/>
          </w:tcPr>
          <w:p w14:paraId="6C7D76DC" w14:textId="77777777" w:rsidR="0095024A" w:rsidRPr="00D964B7" w:rsidRDefault="0095024A" w:rsidP="0095024A">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134" w:type="dxa"/>
            <w:tcBorders>
              <w:top w:val="single" w:sz="8" w:space="0" w:color="auto"/>
              <w:left w:val="nil"/>
              <w:bottom w:val="single" w:sz="8" w:space="0" w:color="auto"/>
              <w:right w:val="nil"/>
            </w:tcBorders>
            <w:shd w:val="clear" w:color="auto" w:fill="FFFF00"/>
            <w:vAlign w:val="center"/>
          </w:tcPr>
          <w:p w14:paraId="2445D454" w14:textId="77777777" w:rsidR="0095024A" w:rsidRPr="00B3763D" w:rsidRDefault="00D86648" w:rsidP="0095024A">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1,285.7</w:t>
            </w:r>
          </w:p>
        </w:tc>
        <w:tc>
          <w:tcPr>
            <w:tcW w:w="1133" w:type="dxa"/>
            <w:tcBorders>
              <w:top w:val="single" w:sz="8" w:space="0" w:color="auto"/>
              <w:left w:val="nil"/>
              <w:bottom w:val="single" w:sz="8" w:space="0" w:color="auto"/>
              <w:right w:val="nil"/>
            </w:tcBorders>
            <w:shd w:val="clear" w:color="auto" w:fill="FFFFFF"/>
          </w:tcPr>
          <w:p w14:paraId="25EF5E7A" w14:textId="77777777" w:rsidR="0095024A" w:rsidRPr="00B3763D" w:rsidRDefault="0095024A" w:rsidP="0095024A">
            <w:pPr>
              <w:jc w:val="right"/>
              <w:rPr>
                <w:rFonts w:ascii="Calibri" w:hAnsi="Calibri" w:cs="Calibri"/>
                <w:color w:val="000000"/>
                <w:sz w:val="22"/>
                <w:szCs w:val="22"/>
                <w:lang w:eastAsia="en-IE"/>
              </w:rPr>
            </w:pPr>
            <w:r w:rsidRPr="00B3763D">
              <w:rPr>
                <w:rFonts w:ascii="Calibri" w:hAnsi="Calibri" w:cs="Calibri"/>
                <w:color w:val="000000"/>
                <w:sz w:val="22"/>
                <w:szCs w:val="22"/>
                <w:lang w:eastAsia="en-IE"/>
              </w:rPr>
              <w:t>1,719.0</w:t>
            </w:r>
          </w:p>
        </w:tc>
      </w:tr>
      <w:tr w:rsidR="0095024A" w:rsidRPr="00D964B7" w14:paraId="04BC67B3" w14:textId="77777777" w:rsidTr="005E03B5">
        <w:trPr>
          <w:gridAfter w:val="1"/>
          <w:wAfter w:w="1665" w:type="dxa"/>
          <w:trHeight w:val="113"/>
        </w:trPr>
        <w:tc>
          <w:tcPr>
            <w:tcW w:w="295" w:type="dxa"/>
            <w:shd w:val="clear" w:color="auto" w:fill="FFFFFF"/>
            <w:vAlign w:val="center"/>
          </w:tcPr>
          <w:p w14:paraId="36524F40" w14:textId="77777777" w:rsidR="0095024A" w:rsidRPr="00D964B7" w:rsidRDefault="0095024A" w:rsidP="0095024A">
            <w:pPr>
              <w:jc w:val="right"/>
              <w:rPr>
                <w:rFonts w:ascii="Calibri" w:hAnsi="Calibri" w:cs="Calibri"/>
                <w:color w:val="000000"/>
                <w:sz w:val="22"/>
                <w:szCs w:val="22"/>
                <w:lang w:eastAsia="en-IE"/>
              </w:rPr>
            </w:pPr>
          </w:p>
        </w:tc>
        <w:tc>
          <w:tcPr>
            <w:tcW w:w="7252" w:type="dxa"/>
            <w:shd w:val="clear" w:color="auto" w:fill="FFFFFF"/>
            <w:vAlign w:val="center"/>
            <w:hideMark/>
          </w:tcPr>
          <w:p w14:paraId="0EB71E3F" w14:textId="77777777" w:rsidR="0095024A" w:rsidRPr="00D964B7" w:rsidRDefault="0095024A" w:rsidP="0095024A">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850" w:type="dxa"/>
            <w:shd w:val="clear" w:color="auto" w:fill="FFFFFF"/>
            <w:vAlign w:val="center"/>
            <w:hideMark/>
          </w:tcPr>
          <w:p w14:paraId="2210221E" w14:textId="77777777" w:rsidR="0095024A" w:rsidRPr="00D964B7" w:rsidRDefault="0095024A" w:rsidP="0095024A">
            <w:pPr>
              <w:rPr>
                <w:rFonts w:ascii="Calibri" w:hAnsi="Calibri" w:cs="Calibri"/>
                <w:color w:val="000000"/>
                <w:sz w:val="22"/>
                <w:szCs w:val="22"/>
                <w:lang w:eastAsia="en-IE"/>
              </w:rPr>
            </w:pPr>
          </w:p>
        </w:tc>
        <w:tc>
          <w:tcPr>
            <w:tcW w:w="1134" w:type="dxa"/>
            <w:shd w:val="clear" w:color="auto" w:fill="FFFF00"/>
            <w:vAlign w:val="center"/>
          </w:tcPr>
          <w:p w14:paraId="5FF99A76" w14:textId="77777777" w:rsidR="0095024A" w:rsidRPr="00B3763D" w:rsidRDefault="0095024A" w:rsidP="0095024A">
            <w:pPr>
              <w:jc w:val="right"/>
              <w:rPr>
                <w:rFonts w:ascii="Calibri" w:eastAsia="Calibri" w:hAnsi="Calibri" w:cs="Calibri"/>
                <w:b/>
                <w:sz w:val="22"/>
                <w:szCs w:val="22"/>
                <w:lang w:eastAsia="en-IE"/>
              </w:rPr>
            </w:pPr>
          </w:p>
        </w:tc>
        <w:tc>
          <w:tcPr>
            <w:tcW w:w="1133" w:type="dxa"/>
            <w:shd w:val="clear" w:color="auto" w:fill="FFFFFF"/>
            <w:vAlign w:val="center"/>
            <w:hideMark/>
          </w:tcPr>
          <w:p w14:paraId="05A7783D" w14:textId="77777777" w:rsidR="0095024A" w:rsidRPr="00B3763D" w:rsidRDefault="0095024A" w:rsidP="0095024A">
            <w:pPr>
              <w:jc w:val="right"/>
              <w:rPr>
                <w:rFonts w:ascii="Calibri" w:eastAsia="Calibri" w:hAnsi="Calibri" w:cs="Calibri"/>
                <w:sz w:val="22"/>
                <w:szCs w:val="22"/>
                <w:lang w:eastAsia="en-IE"/>
              </w:rPr>
            </w:pPr>
          </w:p>
        </w:tc>
      </w:tr>
      <w:tr w:rsidR="0095024A" w:rsidRPr="00D964B7" w14:paraId="6B430EA3" w14:textId="77777777" w:rsidTr="005E03B5">
        <w:trPr>
          <w:gridAfter w:val="1"/>
          <w:wAfter w:w="1665" w:type="dxa"/>
          <w:trHeight w:val="272"/>
        </w:trPr>
        <w:tc>
          <w:tcPr>
            <w:tcW w:w="7547" w:type="dxa"/>
            <w:gridSpan w:val="2"/>
            <w:shd w:val="clear" w:color="auto" w:fill="FFFFFF"/>
            <w:vAlign w:val="center"/>
            <w:hideMark/>
          </w:tcPr>
          <w:p w14:paraId="4AE2DF98" w14:textId="77777777" w:rsidR="0095024A" w:rsidRPr="00D964B7" w:rsidRDefault="0095024A" w:rsidP="0095024A">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Investing activities</w:t>
            </w:r>
          </w:p>
        </w:tc>
        <w:tc>
          <w:tcPr>
            <w:tcW w:w="850" w:type="dxa"/>
            <w:shd w:val="clear" w:color="auto" w:fill="FFFFFF"/>
            <w:vAlign w:val="center"/>
            <w:hideMark/>
          </w:tcPr>
          <w:p w14:paraId="7CA8B271" w14:textId="77777777" w:rsidR="0095024A" w:rsidRPr="00D964B7" w:rsidRDefault="0095024A" w:rsidP="0095024A">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134" w:type="dxa"/>
            <w:shd w:val="clear" w:color="auto" w:fill="FFFF00"/>
            <w:vAlign w:val="center"/>
          </w:tcPr>
          <w:p w14:paraId="6ED28C4A" w14:textId="77777777" w:rsidR="0095024A" w:rsidRPr="00B3763D" w:rsidRDefault="0095024A" w:rsidP="0095024A">
            <w:pPr>
              <w:jc w:val="right"/>
              <w:rPr>
                <w:rFonts w:ascii="Calibri" w:hAnsi="Calibri" w:cs="Calibri"/>
                <w:b/>
                <w:bCs/>
                <w:color w:val="000000"/>
                <w:sz w:val="22"/>
                <w:szCs w:val="22"/>
                <w:lang w:eastAsia="en-IE"/>
              </w:rPr>
            </w:pPr>
          </w:p>
        </w:tc>
        <w:tc>
          <w:tcPr>
            <w:tcW w:w="1133" w:type="dxa"/>
            <w:shd w:val="clear" w:color="auto" w:fill="FFFFFF"/>
            <w:vAlign w:val="center"/>
            <w:hideMark/>
          </w:tcPr>
          <w:p w14:paraId="1E5CDAD0" w14:textId="77777777" w:rsidR="0095024A" w:rsidRPr="00B3763D" w:rsidRDefault="0095024A" w:rsidP="0095024A">
            <w:pPr>
              <w:jc w:val="right"/>
              <w:rPr>
                <w:rFonts w:ascii="Calibri" w:eastAsia="Calibri" w:hAnsi="Calibri" w:cs="Calibri"/>
                <w:sz w:val="22"/>
                <w:szCs w:val="22"/>
                <w:lang w:eastAsia="en-IE"/>
              </w:rPr>
            </w:pPr>
          </w:p>
        </w:tc>
      </w:tr>
      <w:tr w:rsidR="00057CA1" w:rsidRPr="00D964B7" w14:paraId="20165BE4" w14:textId="77777777" w:rsidTr="005E03B5">
        <w:trPr>
          <w:gridAfter w:val="1"/>
          <w:wAfter w:w="1665" w:type="dxa"/>
          <w:trHeight w:val="272"/>
        </w:trPr>
        <w:tc>
          <w:tcPr>
            <w:tcW w:w="295" w:type="dxa"/>
            <w:shd w:val="clear" w:color="auto" w:fill="FFFFFF"/>
            <w:vAlign w:val="center"/>
            <w:hideMark/>
          </w:tcPr>
          <w:p w14:paraId="06958272" w14:textId="77777777" w:rsidR="00057CA1" w:rsidRPr="00D964B7" w:rsidRDefault="00057CA1" w:rsidP="00057CA1">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30BA1360" w14:textId="77777777" w:rsidR="00057CA1" w:rsidRPr="00D964B7" w:rsidRDefault="00057CA1" w:rsidP="00057CA1">
            <w:pPr>
              <w:rPr>
                <w:rFonts w:ascii="Calibri" w:hAnsi="Calibri" w:cs="Calibri"/>
                <w:color w:val="000000"/>
                <w:sz w:val="22"/>
                <w:szCs w:val="22"/>
                <w:lang w:eastAsia="en-IE"/>
              </w:rPr>
            </w:pPr>
            <w:r w:rsidRPr="00D964B7">
              <w:rPr>
                <w:rFonts w:ascii="Calibri" w:hAnsi="Calibri" w:cs="Calibri"/>
                <w:color w:val="000000"/>
                <w:sz w:val="22"/>
                <w:szCs w:val="22"/>
                <w:lang w:eastAsia="en-IE"/>
              </w:rPr>
              <w:t>Capital expenditure - purchase of property, plant and equipment</w:t>
            </w:r>
          </w:p>
        </w:tc>
        <w:tc>
          <w:tcPr>
            <w:tcW w:w="850" w:type="dxa"/>
            <w:shd w:val="clear" w:color="auto" w:fill="FFFFFF"/>
            <w:vAlign w:val="center"/>
            <w:hideMark/>
          </w:tcPr>
          <w:p w14:paraId="6D861A0C" w14:textId="77777777" w:rsidR="00057CA1" w:rsidRPr="00D964B7" w:rsidRDefault="00057CA1" w:rsidP="00057CA1">
            <w:pPr>
              <w:jc w:val="right"/>
              <w:rPr>
                <w:rFonts w:ascii="Calibri" w:hAnsi="Calibri" w:cs="Calibri"/>
                <w:b/>
                <w:color w:val="000000"/>
                <w:sz w:val="22"/>
                <w:szCs w:val="22"/>
                <w:lang w:eastAsia="en-IE"/>
              </w:rPr>
            </w:pPr>
          </w:p>
        </w:tc>
        <w:tc>
          <w:tcPr>
            <w:tcW w:w="1134" w:type="dxa"/>
            <w:shd w:val="clear" w:color="auto" w:fill="FFFF00"/>
          </w:tcPr>
          <w:p w14:paraId="4CA225D6" w14:textId="77777777" w:rsidR="00057CA1" w:rsidRPr="00B3763D" w:rsidRDefault="00D86648" w:rsidP="00057CA1">
            <w:pPr>
              <w:jc w:val="right"/>
              <w:rPr>
                <w:rFonts w:ascii="Calibri" w:eastAsia="Calibri" w:hAnsi="Calibri" w:cs="Calibri"/>
                <w:b/>
                <w:sz w:val="22"/>
                <w:szCs w:val="22"/>
                <w:lang w:eastAsia="en-IE"/>
              </w:rPr>
            </w:pPr>
            <w:r>
              <w:rPr>
                <w:rFonts w:ascii="Calibri" w:eastAsia="Calibri" w:hAnsi="Calibri" w:cs="Calibri"/>
                <w:b/>
                <w:sz w:val="22"/>
                <w:szCs w:val="22"/>
                <w:lang w:eastAsia="en-IE"/>
              </w:rPr>
              <w:t>(1,933.6)</w:t>
            </w:r>
          </w:p>
        </w:tc>
        <w:tc>
          <w:tcPr>
            <w:tcW w:w="1133" w:type="dxa"/>
            <w:shd w:val="clear" w:color="auto" w:fill="FFFFFF"/>
          </w:tcPr>
          <w:p w14:paraId="039256BE" w14:textId="77777777" w:rsidR="00057CA1" w:rsidRPr="00B3763D" w:rsidRDefault="00057CA1" w:rsidP="00057CA1">
            <w:pPr>
              <w:jc w:val="right"/>
              <w:rPr>
                <w:rFonts w:ascii="Calibri" w:hAnsi="Calibri" w:cs="Calibri"/>
                <w:color w:val="000000"/>
                <w:sz w:val="22"/>
                <w:szCs w:val="22"/>
                <w:lang w:eastAsia="en-IE"/>
              </w:rPr>
            </w:pPr>
            <w:r w:rsidRPr="00B3763D">
              <w:rPr>
                <w:rFonts w:ascii="Calibri" w:hAnsi="Calibri" w:cs="Calibri"/>
                <w:color w:val="000000"/>
                <w:sz w:val="22"/>
                <w:szCs w:val="22"/>
              </w:rPr>
              <w:t>(1,270.5)</w:t>
            </w:r>
          </w:p>
        </w:tc>
      </w:tr>
      <w:tr w:rsidR="00057CA1" w:rsidRPr="00D964B7" w14:paraId="183D10A1" w14:textId="77777777" w:rsidTr="005E03B5">
        <w:trPr>
          <w:gridAfter w:val="1"/>
          <w:wAfter w:w="1665" w:type="dxa"/>
          <w:trHeight w:val="272"/>
        </w:trPr>
        <w:tc>
          <w:tcPr>
            <w:tcW w:w="295" w:type="dxa"/>
            <w:shd w:val="clear" w:color="auto" w:fill="FFFFFF"/>
            <w:vAlign w:val="center"/>
          </w:tcPr>
          <w:p w14:paraId="14CFFB65" w14:textId="77777777" w:rsidR="00057CA1" w:rsidRPr="00D964B7" w:rsidRDefault="00057CA1" w:rsidP="00057CA1">
            <w:pPr>
              <w:jc w:val="right"/>
              <w:rPr>
                <w:rFonts w:ascii="Calibri" w:hAnsi="Calibri" w:cs="Calibri"/>
                <w:color w:val="000000"/>
                <w:sz w:val="22"/>
                <w:szCs w:val="22"/>
                <w:lang w:eastAsia="en-IE"/>
              </w:rPr>
            </w:pPr>
          </w:p>
        </w:tc>
        <w:tc>
          <w:tcPr>
            <w:tcW w:w="7252" w:type="dxa"/>
            <w:shd w:val="clear" w:color="auto" w:fill="FFFFFF"/>
            <w:vAlign w:val="center"/>
          </w:tcPr>
          <w:p w14:paraId="09EC02B3" w14:textId="77777777" w:rsidR="00057CA1" w:rsidRPr="00D964B7" w:rsidRDefault="00057CA1" w:rsidP="00057CA1">
            <w:pPr>
              <w:rPr>
                <w:rFonts w:ascii="Calibri" w:hAnsi="Calibri" w:cs="Calibri"/>
                <w:color w:val="000000"/>
                <w:sz w:val="22"/>
                <w:szCs w:val="22"/>
                <w:lang w:eastAsia="en-IE"/>
              </w:rPr>
            </w:pPr>
            <w:r>
              <w:rPr>
                <w:rFonts w:ascii="Calibri" w:hAnsi="Calibri" w:cs="Calibri"/>
                <w:color w:val="000000"/>
                <w:sz w:val="22"/>
                <w:szCs w:val="22"/>
                <w:lang w:eastAsia="en-IE"/>
              </w:rPr>
              <w:t>Disposal proceeds</w:t>
            </w:r>
          </w:p>
        </w:tc>
        <w:tc>
          <w:tcPr>
            <w:tcW w:w="850" w:type="dxa"/>
            <w:shd w:val="clear" w:color="auto" w:fill="FFFFFF"/>
            <w:vAlign w:val="center"/>
          </w:tcPr>
          <w:p w14:paraId="3E303890" w14:textId="77777777" w:rsidR="00057CA1" w:rsidRPr="00D964B7" w:rsidRDefault="00057CA1" w:rsidP="00057CA1">
            <w:pPr>
              <w:jc w:val="right"/>
              <w:rPr>
                <w:rFonts w:ascii="Calibri" w:hAnsi="Calibri" w:cs="Calibri"/>
                <w:b/>
                <w:color w:val="000000"/>
                <w:sz w:val="22"/>
                <w:szCs w:val="22"/>
                <w:lang w:eastAsia="en-IE"/>
              </w:rPr>
            </w:pPr>
          </w:p>
        </w:tc>
        <w:tc>
          <w:tcPr>
            <w:tcW w:w="1134" w:type="dxa"/>
            <w:shd w:val="clear" w:color="auto" w:fill="FFFF00"/>
          </w:tcPr>
          <w:p w14:paraId="5AF6B43E" w14:textId="77777777" w:rsidR="00057CA1" w:rsidRPr="00B3763D" w:rsidRDefault="004B1610" w:rsidP="00057CA1">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w:t>
            </w:r>
          </w:p>
        </w:tc>
        <w:tc>
          <w:tcPr>
            <w:tcW w:w="1133" w:type="dxa"/>
            <w:shd w:val="clear" w:color="auto" w:fill="FFFFFF"/>
          </w:tcPr>
          <w:p w14:paraId="456D96C0" w14:textId="77777777" w:rsidR="00057CA1" w:rsidRPr="00B3763D" w:rsidRDefault="00057CA1" w:rsidP="00057CA1">
            <w:pPr>
              <w:jc w:val="right"/>
              <w:rPr>
                <w:rFonts w:ascii="Calibri" w:eastAsia="Calibri" w:hAnsi="Calibri" w:cs="Calibri"/>
                <w:sz w:val="22"/>
                <w:szCs w:val="22"/>
                <w:lang w:eastAsia="en-IE"/>
              </w:rPr>
            </w:pPr>
            <w:r w:rsidRPr="00B3763D">
              <w:rPr>
                <w:rFonts w:ascii="Calibri" w:hAnsi="Calibri" w:cs="Calibri"/>
                <w:color w:val="000000"/>
                <w:sz w:val="22"/>
                <w:szCs w:val="22"/>
              </w:rPr>
              <w:t>4.9</w:t>
            </w:r>
          </w:p>
        </w:tc>
      </w:tr>
      <w:tr w:rsidR="00057CA1" w:rsidRPr="00D964B7" w14:paraId="26892B2A" w14:textId="77777777" w:rsidTr="005E03B5">
        <w:trPr>
          <w:gridAfter w:val="1"/>
          <w:wAfter w:w="1665" w:type="dxa"/>
          <w:trHeight w:val="272"/>
        </w:trPr>
        <w:tc>
          <w:tcPr>
            <w:tcW w:w="295" w:type="dxa"/>
            <w:shd w:val="clear" w:color="auto" w:fill="FFFFFF"/>
            <w:vAlign w:val="center"/>
          </w:tcPr>
          <w:p w14:paraId="79B3B1E6" w14:textId="77777777" w:rsidR="00057CA1" w:rsidRPr="00D964B7" w:rsidRDefault="00057CA1" w:rsidP="00057CA1">
            <w:pPr>
              <w:jc w:val="right"/>
              <w:rPr>
                <w:rFonts w:ascii="Calibri" w:hAnsi="Calibri" w:cs="Calibri"/>
                <w:color w:val="000000"/>
                <w:sz w:val="22"/>
                <w:szCs w:val="22"/>
                <w:lang w:eastAsia="en-IE"/>
              </w:rPr>
            </w:pPr>
          </w:p>
        </w:tc>
        <w:tc>
          <w:tcPr>
            <w:tcW w:w="7252" w:type="dxa"/>
            <w:shd w:val="clear" w:color="auto" w:fill="FFFFFF"/>
            <w:vAlign w:val="center"/>
          </w:tcPr>
          <w:p w14:paraId="7DBCB458" w14:textId="77777777" w:rsidR="00057CA1" w:rsidRPr="00D964B7" w:rsidRDefault="00057CA1" w:rsidP="00057CA1">
            <w:pPr>
              <w:rPr>
                <w:rFonts w:ascii="Calibri" w:hAnsi="Calibri" w:cs="Calibri"/>
                <w:color w:val="000000"/>
                <w:sz w:val="22"/>
                <w:szCs w:val="22"/>
                <w:lang w:eastAsia="en-IE"/>
              </w:rPr>
            </w:pPr>
            <w:r w:rsidRPr="00D964B7">
              <w:rPr>
                <w:rFonts w:ascii="Calibri" w:hAnsi="Calibri" w:cs="Calibri"/>
                <w:color w:val="000000"/>
                <w:sz w:val="22"/>
                <w:szCs w:val="22"/>
                <w:lang w:eastAsia="en-IE"/>
              </w:rPr>
              <w:t>Supplier reimbursements</w:t>
            </w:r>
          </w:p>
        </w:tc>
        <w:tc>
          <w:tcPr>
            <w:tcW w:w="850" w:type="dxa"/>
            <w:shd w:val="clear" w:color="auto" w:fill="FFFFFF"/>
            <w:vAlign w:val="center"/>
          </w:tcPr>
          <w:p w14:paraId="4B5F9478" w14:textId="77777777" w:rsidR="00057CA1" w:rsidRPr="00D964B7" w:rsidRDefault="00057CA1" w:rsidP="00057CA1">
            <w:pPr>
              <w:jc w:val="right"/>
              <w:rPr>
                <w:rFonts w:ascii="Calibri" w:hAnsi="Calibri" w:cs="Calibri"/>
                <w:b/>
                <w:color w:val="000000"/>
                <w:sz w:val="22"/>
                <w:szCs w:val="22"/>
                <w:lang w:eastAsia="en-IE"/>
              </w:rPr>
            </w:pPr>
          </w:p>
        </w:tc>
        <w:tc>
          <w:tcPr>
            <w:tcW w:w="1134" w:type="dxa"/>
            <w:shd w:val="clear" w:color="auto" w:fill="FFFF00"/>
          </w:tcPr>
          <w:p w14:paraId="2CCFAD37" w14:textId="77777777" w:rsidR="00057CA1" w:rsidRPr="00B3763D" w:rsidRDefault="004B1610" w:rsidP="00057CA1">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w:t>
            </w:r>
          </w:p>
        </w:tc>
        <w:tc>
          <w:tcPr>
            <w:tcW w:w="1133" w:type="dxa"/>
            <w:shd w:val="clear" w:color="auto" w:fill="FFFFFF"/>
          </w:tcPr>
          <w:p w14:paraId="3634E6DB" w14:textId="77777777" w:rsidR="00057CA1" w:rsidRPr="00B3763D" w:rsidRDefault="00057CA1" w:rsidP="00057CA1">
            <w:pPr>
              <w:jc w:val="right"/>
              <w:rPr>
                <w:rFonts w:ascii="Calibri" w:hAnsi="Calibri" w:cs="Calibri"/>
                <w:color w:val="000000"/>
                <w:sz w:val="22"/>
                <w:szCs w:val="22"/>
                <w:lang w:eastAsia="en-IE"/>
              </w:rPr>
            </w:pPr>
            <w:r w:rsidRPr="00B3763D">
              <w:rPr>
                <w:rFonts w:ascii="Calibri" w:hAnsi="Calibri" w:cs="Calibri"/>
                <w:color w:val="000000"/>
                <w:sz w:val="22"/>
                <w:szCs w:val="22"/>
              </w:rPr>
              <w:t>127.5</w:t>
            </w:r>
          </w:p>
        </w:tc>
      </w:tr>
      <w:tr w:rsidR="003D5EE4" w:rsidRPr="00D964B7" w14:paraId="31C5F5CE" w14:textId="77777777" w:rsidTr="005E03B5">
        <w:trPr>
          <w:gridAfter w:val="1"/>
          <w:wAfter w:w="1665" w:type="dxa"/>
          <w:trHeight w:val="272"/>
        </w:trPr>
        <w:tc>
          <w:tcPr>
            <w:tcW w:w="295" w:type="dxa"/>
            <w:shd w:val="clear" w:color="auto" w:fill="FFFFFF"/>
            <w:vAlign w:val="center"/>
          </w:tcPr>
          <w:p w14:paraId="7749A84C" w14:textId="77777777" w:rsidR="003D5EE4" w:rsidRPr="00D964B7" w:rsidRDefault="003D5EE4" w:rsidP="00057CA1">
            <w:pPr>
              <w:jc w:val="right"/>
              <w:rPr>
                <w:rFonts w:ascii="Calibri" w:hAnsi="Calibri" w:cs="Calibri"/>
                <w:color w:val="000000"/>
                <w:sz w:val="22"/>
                <w:szCs w:val="22"/>
                <w:lang w:eastAsia="en-IE"/>
              </w:rPr>
            </w:pPr>
          </w:p>
        </w:tc>
        <w:tc>
          <w:tcPr>
            <w:tcW w:w="7252" w:type="dxa"/>
            <w:shd w:val="clear" w:color="auto" w:fill="FFFFFF"/>
            <w:vAlign w:val="center"/>
          </w:tcPr>
          <w:p w14:paraId="5FCA54BB" w14:textId="77777777" w:rsidR="003D5EE4" w:rsidRPr="00D964B7" w:rsidRDefault="000A7EE4" w:rsidP="00057CA1">
            <w:pPr>
              <w:rPr>
                <w:rFonts w:ascii="Calibri" w:hAnsi="Calibri" w:cs="Calibri"/>
                <w:color w:val="000000"/>
                <w:sz w:val="22"/>
                <w:szCs w:val="22"/>
                <w:lang w:eastAsia="en-IE"/>
              </w:rPr>
            </w:pPr>
            <w:r>
              <w:rPr>
                <w:rFonts w:ascii="Calibri" w:hAnsi="Calibri" w:cs="Calibri"/>
                <w:color w:val="000000"/>
                <w:sz w:val="22"/>
                <w:szCs w:val="22"/>
                <w:lang w:eastAsia="en-IE"/>
              </w:rPr>
              <w:t xml:space="preserve">Net </w:t>
            </w:r>
            <w:r w:rsidR="007D492D">
              <w:rPr>
                <w:rFonts w:ascii="Calibri" w:hAnsi="Calibri" w:cs="Calibri"/>
                <w:color w:val="000000"/>
                <w:sz w:val="22"/>
                <w:szCs w:val="22"/>
                <w:lang w:eastAsia="en-IE"/>
              </w:rPr>
              <w:t>(</w:t>
            </w:r>
            <w:r>
              <w:rPr>
                <w:rFonts w:ascii="Calibri" w:hAnsi="Calibri" w:cs="Calibri"/>
                <w:color w:val="000000"/>
                <w:sz w:val="22"/>
                <w:szCs w:val="22"/>
                <w:lang w:eastAsia="en-IE"/>
              </w:rPr>
              <w:t>i</w:t>
            </w:r>
            <w:r w:rsidR="001972B0">
              <w:rPr>
                <w:rFonts w:ascii="Calibri" w:hAnsi="Calibri" w:cs="Calibri"/>
                <w:color w:val="000000"/>
                <w:sz w:val="22"/>
                <w:szCs w:val="22"/>
                <w:lang w:eastAsia="en-IE"/>
              </w:rPr>
              <w:t>ncrease</w:t>
            </w:r>
            <w:r w:rsidR="007D492D">
              <w:rPr>
                <w:rFonts w:ascii="Calibri" w:hAnsi="Calibri" w:cs="Calibri"/>
                <w:color w:val="000000"/>
                <w:sz w:val="22"/>
                <w:szCs w:val="22"/>
                <w:lang w:eastAsia="en-IE"/>
              </w:rPr>
              <w:t>)</w:t>
            </w:r>
            <w:r w:rsidR="003D5EE4">
              <w:rPr>
                <w:rFonts w:ascii="Calibri" w:hAnsi="Calibri" w:cs="Calibri"/>
                <w:color w:val="000000"/>
                <w:sz w:val="22"/>
                <w:szCs w:val="22"/>
                <w:lang w:eastAsia="en-IE"/>
              </w:rPr>
              <w:t xml:space="preserve"> in restricted cash</w:t>
            </w:r>
          </w:p>
        </w:tc>
        <w:tc>
          <w:tcPr>
            <w:tcW w:w="850" w:type="dxa"/>
            <w:shd w:val="clear" w:color="auto" w:fill="FFFFFF"/>
            <w:vAlign w:val="center"/>
          </w:tcPr>
          <w:p w14:paraId="70218424" w14:textId="77777777" w:rsidR="003D5EE4" w:rsidRPr="00D964B7" w:rsidRDefault="003D5EE4" w:rsidP="00057CA1">
            <w:pPr>
              <w:jc w:val="right"/>
              <w:rPr>
                <w:rFonts w:ascii="Calibri" w:hAnsi="Calibri" w:cs="Calibri"/>
                <w:b/>
                <w:color w:val="000000"/>
                <w:sz w:val="22"/>
                <w:szCs w:val="22"/>
                <w:lang w:eastAsia="en-IE"/>
              </w:rPr>
            </w:pPr>
          </w:p>
        </w:tc>
        <w:tc>
          <w:tcPr>
            <w:tcW w:w="1134" w:type="dxa"/>
            <w:shd w:val="clear" w:color="auto" w:fill="FFFF00"/>
          </w:tcPr>
          <w:p w14:paraId="50D73CBB" w14:textId="77777777" w:rsidR="003D5EE4" w:rsidRPr="00B3763D" w:rsidRDefault="003D5EE4" w:rsidP="00057CA1">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(1.3)</w:t>
            </w:r>
          </w:p>
        </w:tc>
        <w:tc>
          <w:tcPr>
            <w:tcW w:w="1133" w:type="dxa"/>
            <w:shd w:val="clear" w:color="auto" w:fill="FFFFFF"/>
          </w:tcPr>
          <w:p w14:paraId="6C41C240" w14:textId="77777777" w:rsidR="003D5EE4" w:rsidRPr="00B3763D" w:rsidRDefault="004B1610" w:rsidP="00057CA1">
            <w:pPr>
              <w:jc w:val="right"/>
              <w:rPr>
                <w:rFonts w:ascii="Calibri" w:hAnsi="Calibri" w:cs="Calibri"/>
                <w:color w:val="000000"/>
                <w:sz w:val="22"/>
                <w:szCs w:val="22"/>
              </w:rPr>
            </w:pPr>
            <w:r w:rsidRPr="00B3763D">
              <w:rPr>
                <w:rFonts w:ascii="Calibri" w:hAnsi="Calibri" w:cs="Calibri"/>
                <w:color w:val="000000"/>
                <w:sz w:val="22"/>
                <w:szCs w:val="22"/>
              </w:rPr>
              <w:t>-</w:t>
            </w:r>
          </w:p>
        </w:tc>
      </w:tr>
      <w:tr w:rsidR="00057CA1" w:rsidRPr="00D964B7" w14:paraId="0DC9D328" w14:textId="77777777" w:rsidTr="005E03B5">
        <w:trPr>
          <w:gridAfter w:val="1"/>
          <w:wAfter w:w="1665" w:type="dxa"/>
          <w:trHeight w:val="272"/>
        </w:trPr>
        <w:tc>
          <w:tcPr>
            <w:tcW w:w="295" w:type="dxa"/>
            <w:shd w:val="clear" w:color="auto" w:fill="FFFFFF"/>
            <w:vAlign w:val="center"/>
            <w:hideMark/>
          </w:tcPr>
          <w:p w14:paraId="1273B0B0" w14:textId="77777777" w:rsidR="00057CA1" w:rsidRPr="00D964B7" w:rsidRDefault="00057CA1" w:rsidP="00057CA1">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7B4E0309" w14:textId="77777777" w:rsidR="00057CA1" w:rsidRPr="00D964B7" w:rsidRDefault="007D492D" w:rsidP="00057CA1">
            <w:pPr>
              <w:rPr>
                <w:rFonts w:ascii="Calibri" w:hAnsi="Calibri" w:cs="Calibri"/>
                <w:color w:val="000000"/>
                <w:sz w:val="22"/>
                <w:szCs w:val="22"/>
                <w:lang w:eastAsia="en-IE"/>
              </w:rPr>
            </w:pPr>
            <w:r>
              <w:rPr>
                <w:rFonts w:ascii="Calibri" w:hAnsi="Calibri" w:cs="Calibri"/>
                <w:color w:val="000000"/>
                <w:sz w:val="22"/>
                <w:szCs w:val="22"/>
                <w:lang w:eastAsia="en-IE"/>
              </w:rPr>
              <w:t>De</w:t>
            </w:r>
            <w:r w:rsidR="00057CA1" w:rsidRPr="00D964B7">
              <w:rPr>
                <w:rFonts w:ascii="Calibri" w:hAnsi="Calibri" w:cs="Calibri"/>
                <w:color w:val="000000"/>
                <w:sz w:val="22"/>
                <w:szCs w:val="22"/>
                <w:lang w:eastAsia="en-IE"/>
              </w:rPr>
              <w:t>crease</w:t>
            </w:r>
            <w:r w:rsidR="00A8604B">
              <w:rPr>
                <w:rFonts w:ascii="Calibri" w:hAnsi="Calibri" w:cs="Calibri"/>
                <w:color w:val="000000"/>
                <w:sz w:val="22"/>
                <w:szCs w:val="22"/>
                <w:lang w:eastAsia="en-IE"/>
              </w:rPr>
              <w:t>/(</w:t>
            </w:r>
            <w:r>
              <w:rPr>
                <w:rFonts w:ascii="Calibri" w:hAnsi="Calibri" w:cs="Calibri"/>
                <w:color w:val="000000"/>
                <w:sz w:val="22"/>
                <w:szCs w:val="22"/>
                <w:lang w:eastAsia="en-IE"/>
              </w:rPr>
              <w:t>in</w:t>
            </w:r>
            <w:r w:rsidR="00A8604B">
              <w:rPr>
                <w:rFonts w:ascii="Calibri" w:hAnsi="Calibri" w:cs="Calibri"/>
                <w:color w:val="000000"/>
                <w:sz w:val="22"/>
                <w:szCs w:val="22"/>
                <w:lang w:eastAsia="en-IE"/>
              </w:rPr>
              <w:t>crease)</w:t>
            </w:r>
            <w:r w:rsidR="00057CA1" w:rsidRPr="00D964B7">
              <w:rPr>
                <w:rFonts w:ascii="Calibri" w:hAnsi="Calibri" w:cs="Calibri"/>
                <w:color w:val="000000"/>
                <w:sz w:val="22"/>
                <w:szCs w:val="22"/>
                <w:lang w:eastAsia="en-IE"/>
              </w:rPr>
              <w:t xml:space="preserve"> in financial assets: cash &gt; 3 months</w:t>
            </w:r>
          </w:p>
        </w:tc>
        <w:tc>
          <w:tcPr>
            <w:tcW w:w="850" w:type="dxa"/>
            <w:shd w:val="clear" w:color="auto" w:fill="FFFFFF"/>
            <w:vAlign w:val="center"/>
            <w:hideMark/>
          </w:tcPr>
          <w:p w14:paraId="7AD76BD3" w14:textId="77777777" w:rsidR="00057CA1" w:rsidRPr="00D964B7" w:rsidRDefault="00057CA1" w:rsidP="00057CA1">
            <w:pPr>
              <w:rPr>
                <w:rFonts w:ascii="Calibri" w:hAnsi="Calibri" w:cs="Calibri"/>
                <w:color w:val="000000"/>
                <w:sz w:val="22"/>
                <w:szCs w:val="22"/>
                <w:lang w:eastAsia="en-IE"/>
              </w:rPr>
            </w:pPr>
          </w:p>
        </w:tc>
        <w:tc>
          <w:tcPr>
            <w:tcW w:w="1134" w:type="dxa"/>
            <w:shd w:val="clear" w:color="auto" w:fill="FFFF00"/>
          </w:tcPr>
          <w:p w14:paraId="35506BB9" w14:textId="77777777" w:rsidR="00057CA1" w:rsidRPr="00B3763D" w:rsidRDefault="00E30D63" w:rsidP="00057CA1">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676.7</w:t>
            </w:r>
          </w:p>
        </w:tc>
        <w:tc>
          <w:tcPr>
            <w:tcW w:w="1133" w:type="dxa"/>
            <w:shd w:val="clear" w:color="auto" w:fill="FFFFFF"/>
          </w:tcPr>
          <w:p w14:paraId="69416B9A" w14:textId="77777777" w:rsidR="00057CA1" w:rsidRPr="00B3763D" w:rsidRDefault="00057CA1" w:rsidP="00057CA1">
            <w:pPr>
              <w:jc w:val="right"/>
              <w:rPr>
                <w:rFonts w:ascii="Calibri" w:eastAsia="Calibri" w:hAnsi="Calibri" w:cs="Calibri"/>
                <w:sz w:val="22"/>
                <w:szCs w:val="22"/>
                <w:lang w:eastAsia="en-IE"/>
              </w:rPr>
            </w:pPr>
            <w:r w:rsidRPr="00B3763D">
              <w:rPr>
                <w:rFonts w:ascii="Calibri" w:hAnsi="Calibri" w:cs="Calibri"/>
                <w:color w:val="000000"/>
                <w:sz w:val="22"/>
                <w:szCs w:val="22"/>
              </w:rPr>
              <w:t>(834.9)</w:t>
            </w:r>
          </w:p>
        </w:tc>
      </w:tr>
      <w:tr w:rsidR="00057CA1" w:rsidRPr="00D964B7" w14:paraId="17273E02" w14:textId="77777777" w:rsidTr="005E03B5">
        <w:trPr>
          <w:gridAfter w:val="1"/>
          <w:wAfter w:w="1665" w:type="dxa"/>
          <w:trHeight w:val="281"/>
        </w:trPr>
        <w:tc>
          <w:tcPr>
            <w:tcW w:w="7547" w:type="dxa"/>
            <w:gridSpan w:val="2"/>
            <w:shd w:val="clear" w:color="auto" w:fill="FFFFFF"/>
            <w:vAlign w:val="center"/>
            <w:hideMark/>
          </w:tcPr>
          <w:p w14:paraId="12B661B4" w14:textId="77777777" w:rsidR="00057CA1" w:rsidRPr="00D964B7" w:rsidRDefault="00057CA1" w:rsidP="00057CA1">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Net cash used in investing activities</w:t>
            </w:r>
          </w:p>
        </w:tc>
        <w:tc>
          <w:tcPr>
            <w:tcW w:w="850" w:type="dxa"/>
            <w:shd w:val="clear" w:color="auto" w:fill="FFFFFF"/>
            <w:vAlign w:val="center"/>
            <w:hideMark/>
          </w:tcPr>
          <w:p w14:paraId="79CEE465" w14:textId="77777777" w:rsidR="00057CA1" w:rsidRPr="00D964B7" w:rsidRDefault="00057CA1" w:rsidP="00057CA1">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134" w:type="dxa"/>
            <w:tcBorders>
              <w:top w:val="single" w:sz="8" w:space="0" w:color="auto"/>
              <w:left w:val="nil"/>
              <w:bottom w:val="single" w:sz="8" w:space="0" w:color="auto"/>
              <w:right w:val="nil"/>
            </w:tcBorders>
            <w:shd w:val="clear" w:color="auto" w:fill="FFFF00"/>
            <w:vAlign w:val="center"/>
          </w:tcPr>
          <w:p w14:paraId="111CE4C4" w14:textId="77777777" w:rsidR="00057CA1" w:rsidRPr="00B3763D" w:rsidRDefault="00E30D63" w:rsidP="00057CA1">
            <w:pPr>
              <w:jc w:val="right"/>
              <w:rPr>
                <w:rFonts w:ascii="Calibri" w:hAnsi="Calibri" w:cs="Calibri"/>
                <w:b/>
                <w:bCs/>
                <w:color w:val="000000"/>
                <w:sz w:val="22"/>
                <w:szCs w:val="22"/>
                <w:lang w:eastAsia="en-IE"/>
              </w:rPr>
            </w:pPr>
            <w:r w:rsidRPr="00B3763D">
              <w:rPr>
                <w:rFonts w:ascii="Calibri" w:hAnsi="Calibri" w:cs="Calibri"/>
                <w:b/>
                <w:bCs/>
                <w:color w:val="000000"/>
                <w:sz w:val="22"/>
                <w:szCs w:val="22"/>
                <w:lang w:eastAsia="en-IE"/>
              </w:rPr>
              <w:t>(1</w:t>
            </w:r>
            <w:r w:rsidR="00D86648">
              <w:rPr>
                <w:rFonts w:ascii="Calibri" w:hAnsi="Calibri" w:cs="Calibri"/>
                <w:b/>
                <w:bCs/>
                <w:color w:val="000000"/>
                <w:sz w:val="22"/>
                <w:szCs w:val="22"/>
                <w:lang w:eastAsia="en-IE"/>
              </w:rPr>
              <w:t>,258.2)</w:t>
            </w:r>
          </w:p>
        </w:tc>
        <w:tc>
          <w:tcPr>
            <w:tcW w:w="1133" w:type="dxa"/>
            <w:tcBorders>
              <w:top w:val="single" w:sz="8" w:space="0" w:color="auto"/>
              <w:left w:val="nil"/>
              <w:bottom w:val="single" w:sz="8" w:space="0" w:color="auto"/>
              <w:right w:val="nil"/>
            </w:tcBorders>
            <w:shd w:val="clear" w:color="auto" w:fill="FFFFFF"/>
          </w:tcPr>
          <w:p w14:paraId="1C80E03D" w14:textId="77777777" w:rsidR="00057CA1" w:rsidRPr="00B3763D" w:rsidRDefault="00057CA1" w:rsidP="00057CA1">
            <w:pPr>
              <w:jc w:val="right"/>
              <w:rPr>
                <w:rFonts w:ascii="Calibri" w:hAnsi="Calibri" w:cs="Calibri"/>
                <w:color w:val="000000"/>
                <w:sz w:val="22"/>
                <w:szCs w:val="22"/>
                <w:lang w:eastAsia="en-IE"/>
              </w:rPr>
            </w:pPr>
            <w:r w:rsidRPr="00B3763D">
              <w:rPr>
                <w:rFonts w:ascii="Calibri" w:hAnsi="Calibri" w:cs="Calibri"/>
                <w:color w:val="000000"/>
                <w:sz w:val="22"/>
                <w:szCs w:val="22"/>
              </w:rPr>
              <w:t>(1,973.0)</w:t>
            </w:r>
          </w:p>
        </w:tc>
      </w:tr>
      <w:tr w:rsidR="00057CA1" w:rsidRPr="00D964B7" w14:paraId="756EB44A" w14:textId="77777777" w:rsidTr="005E03B5">
        <w:trPr>
          <w:gridAfter w:val="1"/>
          <w:wAfter w:w="1665" w:type="dxa"/>
          <w:trHeight w:val="113"/>
        </w:trPr>
        <w:tc>
          <w:tcPr>
            <w:tcW w:w="295" w:type="dxa"/>
            <w:shd w:val="clear" w:color="auto" w:fill="FFFFFF"/>
            <w:vAlign w:val="center"/>
            <w:hideMark/>
          </w:tcPr>
          <w:p w14:paraId="57828EE5" w14:textId="77777777" w:rsidR="00057CA1" w:rsidRPr="00D964B7" w:rsidRDefault="00057CA1" w:rsidP="00057CA1">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7252" w:type="dxa"/>
            <w:shd w:val="clear" w:color="auto" w:fill="FFFFFF"/>
            <w:vAlign w:val="center"/>
            <w:hideMark/>
          </w:tcPr>
          <w:p w14:paraId="46B0BB90" w14:textId="77777777" w:rsidR="00057CA1" w:rsidRPr="00D964B7" w:rsidRDefault="00057CA1" w:rsidP="00057CA1">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850" w:type="dxa"/>
            <w:shd w:val="clear" w:color="auto" w:fill="FFFFFF"/>
            <w:vAlign w:val="center"/>
            <w:hideMark/>
          </w:tcPr>
          <w:p w14:paraId="05184B06" w14:textId="77777777" w:rsidR="00057CA1" w:rsidRPr="00D964B7" w:rsidRDefault="00057CA1" w:rsidP="00057CA1">
            <w:pPr>
              <w:rPr>
                <w:rFonts w:ascii="Calibri" w:hAnsi="Calibri" w:cs="Calibri"/>
                <w:b/>
                <w:bCs/>
                <w:color w:val="000000"/>
                <w:sz w:val="22"/>
                <w:szCs w:val="22"/>
                <w:lang w:eastAsia="en-IE"/>
              </w:rPr>
            </w:pPr>
          </w:p>
        </w:tc>
        <w:tc>
          <w:tcPr>
            <w:tcW w:w="1134" w:type="dxa"/>
            <w:shd w:val="clear" w:color="auto" w:fill="FFFF00"/>
            <w:vAlign w:val="center"/>
          </w:tcPr>
          <w:p w14:paraId="1002D224" w14:textId="77777777" w:rsidR="00057CA1" w:rsidRPr="00B3763D" w:rsidRDefault="00057CA1" w:rsidP="00057CA1">
            <w:pPr>
              <w:jc w:val="right"/>
              <w:rPr>
                <w:rFonts w:ascii="Calibri" w:eastAsia="Calibri" w:hAnsi="Calibri" w:cs="Calibri"/>
                <w:sz w:val="22"/>
                <w:szCs w:val="22"/>
                <w:lang w:eastAsia="en-IE"/>
              </w:rPr>
            </w:pPr>
          </w:p>
        </w:tc>
        <w:tc>
          <w:tcPr>
            <w:tcW w:w="1133" w:type="dxa"/>
            <w:shd w:val="clear" w:color="auto" w:fill="FFFFFF"/>
            <w:vAlign w:val="center"/>
          </w:tcPr>
          <w:p w14:paraId="574461F4" w14:textId="77777777" w:rsidR="00057CA1" w:rsidRPr="00B3763D" w:rsidRDefault="00057CA1" w:rsidP="00057CA1">
            <w:pPr>
              <w:jc w:val="right"/>
              <w:rPr>
                <w:rFonts w:ascii="Calibri" w:eastAsia="Calibri" w:hAnsi="Calibri" w:cs="Calibri"/>
                <w:sz w:val="22"/>
                <w:szCs w:val="22"/>
                <w:lang w:eastAsia="en-IE"/>
              </w:rPr>
            </w:pPr>
          </w:p>
        </w:tc>
      </w:tr>
      <w:tr w:rsidR="00057CA1" w:rsidRPr="00D964B7" w14:paraId="48005714" w14:textId="77777777" w:rsidTr="005E03B5">
        <w:trPr>
          <w:gridAfter w:val="1"/>
          <w:wAfter w:w="1665" w:type="dxa"/>
          <w:trHeight w:val="272"/>
        </w:trPr>
        <w:tc>
          <w:tcPr>
            <w:tcW w:w="7547" w:type="dxa"/>
            <w:gridSpan w:val="2"/>
            <w:shd w:val="clear" w:color="auto" w:fill="FFFFFF"/>
            <w:vAlign w:val="center"/>
            <w:hideMark/>
          </w:tcPr>
          <w:p w14:paraId="3307753E" w14:textId="77777777" w:rsidR="00057CA1" w:rsidRPr="00D964B7" w:rsidRDefault="00057CA1" w:rsidP="00057CA1">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Financing activities</w:t>
            </w:r>
          </w:p>
        </w:tc>
        <w:tc>
          <w:tcPr>
            <w:tcW w:w="850" w:type="dxa"/>
            <w:shd w:val="clear" w:color="auto" w:fill="FFFFFF"/>
            <w:vAlign w:val="center"/>
            <w:hideMark/>
          </w:tcPr>
          <w:p w14:paraId="402996D4" w14:textId="77777777" w:rsidR="00057CA1" w:rsidRPr="00D964B7" w:rsidRDefault="00057CA1" w:rsidP="00057CA1">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134" w:type="dxa"/>
            <w:shd w:val="clear" w:color="auto" w:fill="FFFF00"/>
            <w:vAlign w:val="center"/>
          </w:tcPr>
          <w:p w14:paraId="168C0B8D" w14:textId="77777777" w:rsidR="00057CA1" w:rsidRPr="00B3763D" w:rsidRDefault="00057CA1" w:rsidP="00057CA1">
            <w:pPr>
              <w:jc w:val="right"/>
              <w:rPr>
                <w:rFonts w:ascii="Calibri" w:hAnsi="Calibri" w:cs="Calibri"/>
                <w:b/>
                <w:bCs/>
                <w:color w:val="000000"/>
                <w:sz w:val="22"/>
                <w:szCs w:val="22"/>
                <w:lang w:eastAsia="en-IE"/>
              </w:rPr>
            </w:pPr>
          </w:p>
        </w:tc>
        <w:tc>
          <w:tcPr>
            <w:tcW w:w="1133" w:type="dxa"/>
            <w:shd w:val="clear" w:color="auto" w:fill="FFFFFF"/>
            <w:vAlign w:val="center"/>
          </w:tcPr>
          <w:p w14:paraId="15A3CD1C" w14:textId="77777777" w:rsidR="00057CA1" w:rsidRPr="00B3763D" w:rsidRDefault="00057CA1" w:rsidP="00057CA1">
            <w:pPr>
              <w:jc w:val="right"/>
              <w:rPr>
                <w:rFonts w:ascii="Calibri" w:eastAsia="Calibri" w:hAnsi="Calibri" w:cs="Calibri"/>
                <w:sz w:val="22"/>
                <w:szCs w:val="22"/>
                <w:lang w:eastAsia="en-IE"/>
              </w:rPr>
            </w:pPr>
          </w:p>
        </w:tc>
      </w:tr>
      <w:tr w:rsidR="00057CA1" w:rsidRPr="00D964B7" w14:paraId="5417C0BF" w14:textId="77777777" w:rsidTr="005E03B5">
        <w:trPr>
          <w:gridAfter w:val="1"/>
          <w:wAfter w:w="1665" w:type="dxa"/>
          <w:trHeight w:val="272"/>
        </w:trPr>
        <w:tc>
          <w:tcPr>
            <w:tcW w:w="295" w:type="dxa"/>
            <w:shd w:val="clear" w:color="auto" w:fill="FFFFFF"/>
            <w:vAlign w:val="center"/>
            <w:hideMark/>
          </w:tcPr>
          <w:p w14:paraId="5019850A" w14:textId="77777777" w:rsidR="00057CA1" w:rsidRPr="00D964B7" w:rsidRDefault="00057CA1" w:rsidP="00057CA1">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7E11A440" w14:textId="77777777" w:rsidR="00057CA1" w:rsidRPr="00D964B7" w:rsidRDefault="00057CA1" w:rsidP="00057CA1">
            <w:pPr>
              <w:rPr>
                <w:rFonts w:ascii="Calibri" w:hAnsi="Calibri" w:cs="Calibri"/>
                <w:color w:val="000000"/>
                <w:sz w:val="22"/>
                <w:szCs w:val="22"/>
                <w:lang w:eastAsia="en-IE"/>
              </w:rPr>
            </w:pPr>
            <w:r w:rsidRPr="00D964B7">
              <w:rPr>
                <w:rFonts w:ascii="Calibri" w:hAnsi="Calibri" w:cs="Calibri"/>
                <w:color w:val="000000"/>
                <w:sz w:val="22"/>
                <w:szCs w:val="22"/>
                <w:lang w:eastAsia="en-IE"/>
              </w:rPr>
              <w:t>Net proceeds from shares issued</w:t>
            </w:r>
          </w:p>
        </w:tc>
        <w:tc>
          <w:tcPr>
            <w:tcW w:w="850" w:type="dxa"/>
            <w:shd w:val="clear" w:color="auto" w:fill="FFFFFF"/>
            <w:vAlign w:val="center"/>
            <w:hideMark/>
          </w:tcPr>
          <w:p w14:paraId="05D7205E" w14:textId="77777777" w:rsidR="00057CA1" w:rsidRPr="00D964B7" w:rsidRDefault="00057CA1" w:rsidP="00057CA1">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11</w:t>
            </w:r>
          </w:p>
        </w:tc>
        <w:tc>
          <w:tcPr>
            <w:tcW w:w="1134" w:type="dxa"/>
            <w:shd w:val="clear" w:color="auto" w:fill="FFFF00"/>
          </w:tcPr>
          <w:p w14:paraId="29016608" w14:textId="77777777" w:rsidR="00057CA1" w:rsidRPr="00B3763D" w:rsidRDefault="00E30D63" w:rsidP="00057CA1">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13.6</w:t>
            </w:r>
          </w:p>
        </w:tc>
        <w:tc>
          <w:tcPr>
            <w:tcW w:w="1133" w:type="dxa"/>
            <w:shd w:val="clear" w:color="auto" w:fill="FFFFFF"/>
          </w:tcPr>
          <w:p w14:paraId="35B3F701" w14:textId="77777777" w:rsidR="00057CA1" w:rsidRPr="00B3763D" w:rsidRDefault="00057CA1" w:rsidP="00057CA1">
            <w:pPr>
              <w:jc w:val="right"/>
              <w:rPr>
                <w:rFonts w:ascii="Calibri" w:hAnsi="Calibri" w:cs="Calibri"/>
                <w:color w:val="000000"/>
                <w:sz w:val="22"/>
                <w:szCs w:val="22"/>
                <w:lang w:eastAsia="en-IE"/>
              </w:rPr>
            </w:pPr>
            <w:r w:rsidRPr="00B3763D">
              <w:rPr>
                <w:rFonts w:ascii="Calibri" w:hAnsi="Calibri" w:cs="Calibri"/>
                <w:color w:val="000000"/>
                <w:sz w:val="22"/>
                <w:szCs w:val="22"/>
                <w:lang w:eastAsia="en-IE"/>
              </w:rPr>
              <w:t>31.7</w:t>
            </w:r>
          </w:p>
        </w:tc>
      </w:tr>
      <w:tr w:rsidR="00057CA1" w:rsidRPr="00D964B7" w14:paraId="4CCEEF89" w14:textId="77777777" w:rsidTr="005E03B5">
        <w:trPr>
          <w:gridAfter w:val="1"/>
          <w:wAfter w:w="1665" w:type="dxa"/>
          <w:trHeight w:val="272"/>
        </w:trPr>
        <w:tc>
          <w:tcPr>
            <w:tcW w:w="295" w:type="dxa"/>
            <w:shd w:val="clear" w:color="auto" w:fill="FFFFFF"/>
            <w:vAlign w:val="center"/>
            <w:hideMark/>
          </w:tcPr>
          <w:p w14:paraId="2E4A41FE" w14:textId="77777777" w:rsidR="00057CA1" w:rsidRPr="00D964B7" w:rsidRDefault="00057CA1" w:rsidP="00057CA1">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71D2889C" w14:textId="77777777" w:rsidR="00057CA1" w:rsidRPr="00D964B7" w:rsidRDefault="00057CA1" w:rsidP="00057CA1">
            <w:pPr>
              <w:rPr>
                <w:rFonts w:ascii="Calibri" w:hAnsi="Calibri" w:cs="Calibri"/>
                <w:color w:val="000000"/>
                <w:sz w:val="22"/>
                <w:szCs w:val="22"/>
                <w:lang w:eastAsia="en-IE"/>
              </w:rPr>
            </w:pPr>
            <w:r w:rsidRPr="00D964B7">
              <w:rPr>
                <w:rFonts w:ascii="Calibri" w:hAnsi="Calibri" w:cs="Calibri"/>
                <w:color w:val="000000"/>
                <w:sz w:val="22"/>
                <w:szCs w:val="22"/>
                <w:lang w:eastAsia="en-IE"/>
              </w:rPr>
              <w:t>Repayment of borrowings</w:t>
            </w:r>
          </w:p>
        </w:tc>
        <w:tc>
          <w:tcPr>
            <w:tcW w:w="850" w:type="dxa"/>
            <w:shd w:val="clear" w:color="auto" w:fill="FFFFFF"/>
            <w:vAlign w:val="center"/>
            <w:hideMark/>
          </w:tcPr>
          <w:p w14:paraId="34CFB29F" w14:textId="77777777" w:rsidR="00057CA1" w:rsidRPr="00D964B7" w:rsidRDefault="00057CA1" w:rsidP="00057CA1">
            <w:pPr>
              <w:rPr>
                <w:rFonts w:ascii="Calibri" w:hAnsi="Calibri" w:cs="Calibri"/>
                <w:color w:val="000000"/>
                <w:sz w:val="22"/>
                <w:szCs w:val="22"/>
                <w:lang w:eastAsia="en-IE"/>
              </w:rPr>
            </w:pPr>
          </w:p>
        </w:tc>
        <w:tc>
          <w:tcPr>
            <w:tcW w:w="1134" w:type="dxa"/>
            <w:shd w:val="clear" w:color="auto" w:fill="FFFF00"/>
          </w:tcPr>
          <w:p w14:paraId="1F04519C" w14:textId="77777777" w:rsidR="00057CA1" w:rsidRPr="00B3763D" w:rsidRDefault="00E30D63" w:rsidP="00057CA1">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(1,080.7)</w:t>
            </w:r>
          </w:p>
        </w:tc>
        <w:tc>
          <w:tcPr>
            <w:tcW w:w="1133" w:type="dxa"/>
            <w:shd w:val="clear" w:color="auto" w:fill="FFFFFF"/>
          </w:tcPr>
          <w:p w14:paraId="03BB8AF8" w14:textId="77777777" w:rsidR="00057CA1" w:rsidRPr="00B3763D" w:rsidRDefault="00057CA1" w:rsidP="00057CA1">
            <w:pPr>
              <w:jc w:val="right"/>
              <w:rPr>
                <w:rFonts w:ascii="Calibri" w:hAnsi="Calibri" w:cs="Calibri"/>
                <w:color w:val="000000"/>
                <w:sz w:val="22"/>
                <w:szCs w:val="22"/>
                <w:lang w:eastAsia="en-IE"/>
              </w:rPr>
            </w:pPr>
            <w:r w:rsidRPr="00B3763D">
              <w:rPr>
                <w:rFonts w:ascii="Calibri" w:hAnsi="Calibri" w:cs="Calibri"/>
                <w:color w:val="000000"/>
                <w:sz w:val="22"/>
                <w:szCs w:val="22"/>
              </w:rPr>
              <w:t>(144.3)</w:t>
            </w:r>
          </w:p>
        </w:tc>
      </w:tr>
      <w:tr w:rsidR="00057CA1" w:rsidRPr="00D964B7" w14:paraId="1731FC74" w14:textId="77777777" w:rsidTr="005E03B5">
        <w:trPr>
          <w:gridAfter w:val="1"/>
          <w:wAfter w:w="1665" w:type="dxa"/>
          <w:trHeight w:val="281"/>
        </w:trPr>
        <w:tc>
          <w:tcPr>
            <w:tcW w:w="295" w:type="dxa"/>
            <w:shd w:val="clear" w:color="auto" w:fill="FFFFFF"/>
            <w:vAlign w:val="center"/>
            <w:hideMark/>
          </w:tcPr>
          <w:p w14:paraId="39C83163" w14:textId="77777777" w:rsidR="00057CA1" w:rsidRPr="00D964B7" w:rsidRDefault="00057CA1" w:rsidP="00057CA1">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vAlign w:val="center"/>
            <w:hideMark/>
          </w:tcPr>
          <w:p w14:paraId="501B7BE7" w14:textId="77777777" w:rsidR="00057CA1" w:rsidRPr="00D964B7" w:rsidRDefault="00057CA1" w:rsidP="00057CA1">
            <w:pPr>
              <w:rPr>
                <w:rFonts w:ascii="Calibri" w:hAnsi="Calibri" w:cs="Calibri"/>
                <w:color w:val="000000"/>
                <w:sz w:val="22"/>
                <w:szCs w:val="22"/>
                <w:lang w:eastAsia="en-IE"/>
              </w:rPr>
            </w:pPr>
            <w:r w:rsidRPr="00D964B7">
              <w:rPr>
                <w:rFonts w:ascii="Calibri" w:hAnsi="Calibri" w:cs="Calibri"/>
                <w:color w:val="000000"/>
                <w:sz w:val="22"/>
                <w:szCs w:val="22"/>
                <w:lang w:eastAsia="en-IE"/>
              </w:rPr>
              <w:t>Lease liabilities paid</w:t>
            </w:r>
          </w:p>
        </w:tc>
        <w:tc>
          <w:tcPr>
            <w:tcW w:w="850" w:type="dxa"/>
            <w:shd w:val="clear" w:color="auto" w:fill="FFFFFF"/>
            <w:vAlign w:val="center"/>
            <w:hideMark/>
          </w:tcPr>
          <w:p w14:paraId="496D3E0F" w14:textId="77777777" w:rsidR="00057CA1" w:rsidRPr="00D964B7" w:rsidRDefault="00057CA1" w:rsidP="00057CA1">
            <w:pPr>
              <w:rPr>
                <w:rFonts w:ascii="Calibri" w:hAnsi="Calibri" w:cs="Calibri"/>
                <w:color w:val="000000"/>
                <w:sz w:val="22"/>
                <w:szCs w:val="22"/>
                <w:lang w:eastAsia="en-IE"/>
              </w:rPr>
            </w:pPr>
          </w:p>
        </w:tc>
        <w:tc>
          <w:tcPr>
            <w:tcW w:w="1134" w:type="dxa"/>
            <w:shd w:val="clear" w:color="auto" w:fill="FFFF00"/>
          </w:tcPr>
          <w:p w14:paraId="7EF2A9ED" w14:textId="77777777" w:rsidR="00057CA1" w:rsidRPr="00B3763D" w:rsidRDefault="00E30D63" w:rsidP="00057CA1">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(33.5)</w:t>
            </w:r>
          </w:p>
        </w:tc>
        <w:tc>
          <w:tcPr>
            <w:tcW w:w="1133" w:type="dxa"/>
            <w:shd w:val="clear" w:color="auto" w:fill="FFFFFF"/>
          </w:tcPr>
          <w:p w14:paraId="3E6DD931" w14:textId="77777777" w:rsidR="00057CA1" w:rsidRPr="00B3763D" w:rsidRDefault="00057CA1" w:rsidP="00057CA1">
            <w:pPr>
              <w:jc w:val="right"/>
              <w:rPr>
                <w:rFonts w:ascii="Calibri" w:hAnsi="Calibri" w:cs="Calibri"/>
                <w:color w:val="000000"/>
                <w:sz w:val="22"/>
                <w:szCs w:val="22"/>
                <w:lang w:eastAsia="en-IE"/>
              </w:rPr>
            </w:pPr>
            <w:r w:rsidRPr="00B3763D">
              <w:rPr>
                <w:rFonts w:ascii="Calibri" w:hAnsi="Calibri" w:cs="Calibri"/>
                <w:color w:val="000000"/>
                <w:sz w:val="22"/>
                <w:szCs w:val="22"/>
              </w:rPr>
              <w:t>(35.5)</w:t>
            </w:r>
          </w:p>
        </w:tc>
      </w:tr>
      <w:tr w:rsidR="00057CA1" w:rsidRPr="00D964B7" w14:paraId="32F76973" w14:textId="77777777" w:rsidTr="005E03B5">
        <w:trPr>
          <w:gridAfter w:val="1"/>
          <w:wAfter w:w="1665" w:type="dxa"/>
          <w:trHeight w:val="281"/>
        </w:trPr>
        <w:tc>
          <w:tcPr>
            <w:tcW w:w="7547" w:type="dxa"/>
            <w:gridSpan w:val="2"/>
            <w:shd w:val="clear" w:color="auto" w:fill="FFFFFF"/>
            <w:vAlign w:val="center"/>
            <w:hideMark/>
          </w:tcPr>
          <w:p w14:paraId="73AEA4D6" w14:textId="77777777" w:rsidR="00057CA1" w:rsidRPr="00D964B7" w:rsidRDefault="00057CA1" w:rsidP="00057CA1">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Net cash used in financing activities</w:t>
            </w:r>
          </w:p>
        </w:tc>
        <w:tc>
          <w:tcPr>
            <w:tcW w:w="850" w:type="dxa"/>
            <w:shd w:val="clear" w:color="auto" w:fill="FFFFFF"/>
            <w:vAlign w:val="center"/>
            <w:hideMark/>
          </w:tcPr>
          <w:p w14:paraId="0DF69683" w14:textId="77777777" w:rsidR="00057CA1" w:rsidRPr="00D964B7" w:rsidRDefault="00057CA1" w:rsidP="00057CA1">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134" w:type="dxa"/>
            <w:tcBorders>
              <w:top w:val="single" w:sz="8" w:space="0" w:color="auto"/>
              <w:left w:val="nil"/>
              <w:bottom w:val="single" w:sz="8" w:space="0" w:color="auto"/>
              <w:right w:val="nil"/>
            </w:tcBorders>
            <w:shd w:val="clear" w:color="auto" w:fill="FFFF00"/>
            <w:vAlign w:val="center"/>
          </w:tcPr>
          <w:p w14:paraId="47F8E14D" w14:textId="77777777" w:rsidR="00057CA1" w:rsidRPr="00B3763D" w:rsidRDefault="00E30D63" w:rsidP="00057CA1">
            <w:pPr>
              <w:jc w:val="right"/>
              <w:rPr>
                <w:rFonts w:ascii="Calibri" w:hAnsi="Calibri" w:cs="Calibri"/>
                <w:b/>
                <w:bCs/>
                <w:color w:val="000000"/>
                <w:sz w:val="22"/>
                <w:szCs w:val="22"/>
                <w:lang w:eastAsia="en-IE"/>
              </w:rPr>
            </w:pPr>
            <w:r w:rsidRPr="00B3763D">
              <w:rPr>
                <w:rFonts w:ascii="Calibri" w:hAnsi="Calibri" w:cs="Calibri"/>
                <w:b/>
                <w:bCs/>
                <w:color w:val="000000"/>
                <w:sz w:val="22"/>
                <w:szCs w:val="22"/>
                <w:lang w:eastAsia="en-IE"/>
              </w:rPr>
              <w:t>(1,100.</w:t>
            </w:r>
            <w:r w:rsidR="0077175A">
              <w:rPr>
                <w:rFonts w:ascii="Calibri" w:hAnsi="Calibri" w:cs="Calibri"/>
                <w:b/>
                <w:bCs/>
                <w:color w:val="000000"/>
                <w:sz w:val="22"/>
                <w:szCs w:val="22"/>
                <w:lang w:eastAsia="en-IE"/>
              </w:rPr>
              <w:t>6</w:t>
            </w:r>
            <w:r w:rsidRPr="00B3763D">
              <w:rPr>
                <w:rFonts w:ascii="Calibri" w:hAnsi="Calibri" w:cs="Calibri"/>
                <w:b/>
                <w:bCs/>
                <w:color w:val="000000"/>
                <w:sz w:val="22"/>
                <w:szCs w:val="22"/>
                <w:lang w:eastAsia="en-IE"/>
              </w:rPr>
              <w:t>)</w:t>
            </w:r>
          </w:p>
        </w:tc>
        <w:tc>
          <w:tcPr>
            <w:tcW w:w="1133" w:type="dxa"/>
            <w:tcBorders>
              <w:top w:val="single" w:sz="8" w:space="0" w:color="auto"/>
              <w:left w:val="nil"/>
              <w:bottom w:val="single" w:sz="8" w:space="0" w:color="auto"/>
              <w:right w:val="nil"/>
            </w:tcBorders>
            <w:shd w:val="clear" w:color="auto" w:fill="FFFFFF"/>
          </w:tcPr>
          <w:p w14:paraId="31E82C47" w14:textId="77777777" w:rsidR="00057CA1" w:rsidRPr="00B3763D" w:rsidRDefault="00057CA1" w:rsidP="00057CA1">
            <w:pPr>
              <w:jc w:val="right"/>
              <w:rPr>
                <w:rFonts w:ascii="Calibri" w:hAnsi="Calibri" w:cs="Calibri"/>
                <w:color w:val="000000"/>
                <w:sz w:val="22"/>
                <w:szCs w:val="22"/>
                <w:lang w:eastAsia="en-IE"/>
              </w:rPr>
            </w:pPr>
            <w:r w:rsidRPr="00B3763D">
              <w:rPr>
                <w:rFonts w:ascii="Calibri" w:hAnsi="Calibri" w:cs="Calibri"/>
                <w:color w:val="000000"/>
                <w:sz w:val="22"/>
                <w:szCs w:val="22"/>
                <w:lang w:eastAsia="en-IE"/>
              </w:rPr>
              <w:t>(148.1)</w:t>
            </w:r>
          </w:p>
        </w:tc>
      </w:tr>
      <w:tr w:rsidR="00057CA1" w:rsidRPr="00D964B7" w14:paraId="287967DB" w14:textId="77777777" w:rsidTr="005E03B5">
        <w:trPr>
          <w:gridAfter w:val="1"/>
          <w:wAfter w:w="1665" w:type="dxa"/>
          <w:trHeight w:val="113"/>
        </w:trPr>
        <w:tc>
          <w:tcPr>
            <w:tcW w:w="295" w:type="dxa"/>
            <w:shd w:val="clear" w:color="auto" w:fill="FFFFFF"/>
            <w:vAlign w:val="center"/>
            <w:hideMark/>
          </w:tcPr>
          <w:p w14:paraId="58952975" w14:textId="77777777" w:rsidR="00057CA1" w:rsidRPr="00D964B7" w:rsidRDefault="00057CA1" w:rsidP="00057CA1">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7252" w:type="dxa"/>
            <w:shd w:val="clear" w:color="auto" w:fill="FFFFFF"/>
            <w:vAlign w:val="center"/>
            <w:hideMark/>
          </w:tcPr>
          <w:p w14:paraId="6D644EAF" w14:textId="77777777" w:rsidR="00057CA1" w:rsidRPr="00D964B7" w:rsidRDefault="00057CA1" w:rsidP="00057CA1">
            <w:pPr>
              <w:jc w:val="right"/>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850" w:type="dxa"/>
            <w:shd w:val="clear" w:color="auto" w:fill="FFFFFF"/>
            <w:vAlign w:val="center"/>
            <w:hideMark/>
          </w:tcPr>
          <w:p w14:paraId="3C2B7FF8" w14:textId="77777777" w:rsidR="00057CA1" w:rsidRPr="00D964B7" w:rsidRDefault="00057CA1" w:rsidP="00057CA1">
            <w:pPr>
              <w:rPr>
                <w:rFonts w:ascii="Calibri" w:hAnsi="Calibri" w:cs="Calibri"/>
                <w:color w:val="000000"/>
                <w:sz w:val="22"/>
                <w:szCs w:val="22"/>
                <w:lang w:eastAsia="en-IE"/>
              </w:rPr>
            </w:pPr>
          </w:p>
        </w:tc>
        <w:tc>
          <w:tcPr>
            <w:tcW w:w="1134" w:type="dxa"/>
            <w:shd w:val="clear" w:color="auto" w:fill="FFFF00"/>
            <w:vAlign w:val="center"/>
          </w:tcPr>
          <w:p w14:paraId="6BD91240" w14:textId="77777777" w:rsidR="00057CA1" w:rsidRPr="00B3763D" w:rsidRDefault="00057CA1" w:rsidP="00057CA1">
            <w:pPr>
              <w:jc w:val="right"/>
              <w:rPr>
                <w:rFonts w:ascii="Calibri" w:eastAsia="Calibri" w:hAnsi="Calibri" w:cs="Calibri"/>
                <w:b/>
                <w:sz w:val="22"/>
                <w:szCs w:val="22"/>
                <w:lang w:eastAsia="en-IE"/>
              </w:rPr>
            </w:pPr>
          </w:p>
        </w:tc>
        <w:tc>
          <w:tcPr>
            <w:tcW w:w="1133" w:type="dxa"/>
            <w:shd w:val="clear" w:color="auto" w:fill="FFFFFF"/>
            <w:vAlign w:val="center"/>
          </w:tcPr>
          <w:p w14:paraId="019E1432" w14:textId="77777777" w:rsidR="00057CA1" w:rsidRPr="00B3763D" w:rsidRDefault="00057CA1" w:rsidP="00057CA1">
            <w:pPr>
              <w:jc w:val="right"/>
              <w:rPr>
                <w:rFonts w:ascii="Calibri" w:eastAsia="Calibri" w:hAnsi="Calibri" w:cs="Calibri"/>
                <w:bCs/>
                <w:sz w:val="22"/>
                <w:szCs w:val="22"/>
                <w:lang w:eastAsia="en-IE"/>
              </w:rPr>
            </w:pPr>
          </w:p>
        </w:tc>
      </w:tr>
      <w:tr w:rsidR="00057CA1" w:rsidRPr="00D964B7" w14:paraId="098F831F" w14:textId="77777777" w:rsidTr="005E03B5">
        <w:trPr>
          <w:gridAfter w:val="1"/>
          <w:wAfter w:w="1665" w:type="dxa"/>
          <w:trHeight w:val="272"/>
        </w:trPr>
        <w:tc>
          <w:tcPr>
            <w:tcW w:w="7547" w:type="dxa"/>
            <w:gridSpan w:val="2"/>
            <w:shd w:val="clear" w:color="auto" w:fill="FFFFFF"/>
            <w:vAlign w:val="center"/>
            <w:hideMark/>
          </w:tcPr>
          <w:p w14:paraId="5491FE0C" w14:textId="77777777" w:rsidR="00057CA1" w:rsidRPr="00D964B7" w:rsidRDefault="00057CA1" w:rsidP="00057CA1">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Decrease in cash and cash equivalents</w:t>
            </w:r>
          </w:p>
        </w:tc>
        <w:tc>
          <w:tcPr>
            <w:tcW w:w="850" w:type="dxa"/>
            <w:shd w:val="clear" w:color="auto" w:fill="FFFFFF"/>
            <w:vAlign w:val="center"/>
            <w:hideMark/>
          </w:tcPr>
          <w:p w14:paraId="7FCBEE41" w14:textId="77777777" w:rsidR="00057CA1" w:rsidRPr="00D964B7" w:rsidRDefault="00057CA1" w:rsidP="00057CA1">
            <w:pPr>
              <w:jc w:val="right"/>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1134" w:type="dxa"/>
            <w:shd w:val="clear" w:color="auto" w:fill="FFFF00"/>
            <w:vAlign w:val="center"/>
          </w:tcPr>
          <w:p w14:paraId="4D803EAE" w14:textId="77777777" w:rsidR="00057CA1" w:rsidRPr="00B3763D" w:rsidRDefault="00E30D63" w:rsidP="00057CA1">
            <w:pPr>
              <w:jc w:val="right"/>
              <w:rPr>
                <w:rFonts w:ascii="Calibri" w:hAnsi="Calibri" w:cs="Calibri"/>
                <w:b/>
                <w:bCs/>
                <w:color w:val="000000"/>
                <w:sz w:val="22"/>
                <w:szCs w:val="22"/>
                <w:lang w:eastAsia="en-IE"/>
              </w:rPr>
            </w:pPr>
            <w:r w:rsidRPr="00B3763D">
              <w:rPr>
                <w:rFonts w:ascii="Calibri" w:hAnsi="Calibri" w:cs="Calibri"/>
                <w:b/>
                <w:bCs/>
                <w:color w:val="000000"/>
                <w:sz w:val="22"/>
                <w:szCs w:val="22"/>
                <w:lang w:eastAsia="en-IE"/>
              </w:rPr>
              <w:t>(1,073.1)</w:t>
            </w:r>
          </w:p>
        </w:tc>
        <w:tc>
          <w:tcPr>
            <w:tcW w:w="1133" w:type="dxa"/>
            <w:shd w:val="clear" w:color="auto" w:fill="FFFFFF"/>
          </w:tcPr>
          <w:p w14:paraId="4BF177D8" w14:textId="77777777" w:rsidR="00057CA1" w:rsidRPr="00B3763D" w:rsidRDefault="00057CA1" w:rsidP="00057CA1">
            <w:pPr>
              <w:jc w:val="right"/>
              <w:rPr>
                <w:rFonts w:ascii="Calibri" w:hAnsi="Calibri" w:cs="Calibri"/>
                <w:bCs/>
                <w:color w:val="000000"/>
                <w:sz w:val="22"/>
                <w:szCs w:val="22"/>
                <w:lang w:eastAsia="en-IE"/>
              </w:rPr>
            </w:pPr>
            <w:r w:rsidRPr="00B3763D">
              <w:rPr>
                <w:rFonts w:ascii="Calibri" w:hAnsi="Calibri" w:cs="Calibri"/>
                <w:color w:val="000000"/>
                <w:sz w:val="22"/>
                <w:szCs w:val="22"/>
              </w:rPr>
              <w:t>(402.1)</w:t>
            </w:r>
          </w:p>
        </w:tc>
      </w:tr>
      <w:tr w:rsidR="00057CA1" w:rsidRPr="00D964B7" w14:paraId="76AADB8C" w14:textId="77777777" w:rsidTr="005E03B5">
        <w:trPr>
          <w:gridAfter w:val="1"/>
          <w:wAfter w:w="1665" w:type="dxa"/>
          <w:trHeight w:val="272"/>
        </w:trPr>
        <w:tc>
          <w:tcPr>
            <w:tcW w:w="295" w:type="dxa"/>
            <w:shd w:val="clear" w:color="auto" w:fill="FFFFFF"/>
            <w:vAlign w:val="center"/>
            <w:hideMark/>
          </w:tcPr>
          <w:p w14:paraId="61A5F415" w14:textId="77777777" w:rsidR="00057CA1" w:rsidRPr="00D964B7" w:rsidRDefault="00057CA1" w:rsidP="00057CA1">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w:t>
            </w:r>
          </w:p>
        </w:tc>
        <w:tc>
          <w:tcPr>
            <w:tcW w:w="7252" w:type="dxa"/>
            <w:shd w:val="clear" w:color="auto" w:fill="FFFFFF"/>
            <w:vAlign w:val="center"/>
            <w:hideMark/>
          </w:tcPr>
          <w:p w14:paraId="3691AFD5" w14:textId="77777777" w:rsidR="00057CA1" w:rsidRPr="00D964B7" w:rsidRDefault="00057CA1" w:rsidP="00057CA1">
            <w:pPr>
              <w:rPr>
                <w:rFonts w:ascii="Calibri" w:hAnsi="Calibri" w:cs="Calibri"/>
                <w:color w:val="000000"/>
                <w:sz w:val="22"/>
                <w:szCs w:val="22"/>
                <w:lang w:eastAsia="en-IE"/>
              </w:rPr>
            </w:pPr>
            <w:r w:rsidRPr="00D964B7">
              <w:rPr>
                <w:rFonts w:ascii="Calibri" w:hAnsi="Calibri" w:cs="Calibri"/>
                <w:color w:val="000000"/>
                <w:sz w:val="22"/>
                <w:szCs w:val="22"/>
                <w:lang w:eastAsia="en-IE"/>
              </w:rPr>
              <w:t xml:space="preserve">Net foreign exchange </w:t>
            </w:r>
            <w:r>
              <w:rPr>
                <w:rFonts w:ascii="Calibri" w:hAnsi="Calibri" w:cs="Calibri"/>
                <w:color w:val="000000"/>
                <w:sz w:val="22"/>
                <w:szCs w:val="22"/>
                <w:lang w:eastAsia="en-IE"/>
              </w:rPr>
              <w:t>differences</w:t>
            </w:r>
          </w:p>
        </w:tc>
        <w:tc>
          <w:tcPr>
            <w:tcW w:w="850" w:type="dxa"/>
            <w:shd w:val="clear" w:color="auto" w:fill="FFFFFF"/>
            <w:vAlign w:val="center"/>
            <w:hideMark/>
          </w:tcPr>
          <w:p w14:paraId="0E134EEE" w14:textId="77777777" w:rsidR="00057CA1" w:rsidRPr="00D964B7" w:rsidRDefault="00057CA1" w:rsidP="00057CA1">
            <w:pPr>
              <w:rPr>
                <w:rFonts w:ascii="Calibri" w:hAnsi="Calibri" w:cs="Calibri"/>
                <w:color w:val="000000"/>
                <w:sz w:val="22"/>
                <w:szCs w:val="22"/>
                <w:lang w:eastAsia="en-IE"/>
              </w:rPr>
            </w:pPr>
          </w:p>
        </w:tc>
        <w:tc>
          <w:tcPr>
            <w:tcW w:w="1134" w:type="dxa"/>
            <w:shd w:val="clear" w:color="auto" w:fill="FFFF00"/>
          </w:tcPr>
          <w:p w14:paraId="15C7BE0E" w14:textId="77777777" w:rsidR="00057CA1" w:rsidRPr="00B3763D" w:rsidRDefault="00E30D63" w:rsidP="00057CA1">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(7.6)</w:t>
            </w:r>
          </w:p>
        </w:tc>
        <w:tc>
          <w:tcPr>
            <w:tcW w:w="1133" w:type="dxa"/>
            <w:shd w:val="clear" w:color="auto" w:fill="FFFFFF"/>
          </w:tcPr>
          <w:p w14:paraId="2AD2DE67" w14:textId="77777777" w:rsidR="00057CA1" w:rsidRPr="00B3763D" w:rsidRDefault="00057CA1" w:rsidP="00057CA1">
            <w:pPr>
              <w:jc w:val="right"/>
              <w:rPr>
                <w:rFonts w:ascii="Calibri" w:hAnsi="Calibri" w:cs="Calibri"/>
                <w:color w:val="000000"/>
                <w:sz w:val="22"/>
                <w:szCs w:val="22"/>
                <w:lang w:eastAsia="en-IE"/>
              </w:rPr>
            </w:pPr>
            <w:r w:rsidRPr="00B3763D">
              <w:rPr>
                <w:rFonts w:ascii="Calibri" w:hAnsi="Calibri" w:cs="Calibri"/>
                <w:color w:val="000000"/>
                <w:sz w:val="22"/>
                <w:szCs w:val="22"/>
                <w:lang w:eastAsia="en-IE"/>
              </w:rPr>
              <w:t>12.6</w:t>
            </w:r>
          </w:p>
        </w:tc>
      </w:tr>
      <w:tr w:rsidR="00057CA1" w:rsidRPr="00D964B7" w14:paraId="1E837471" w14:textId="77777777" w:rsidTr="005E03B5">
        <w:trPr>
          <w:gridAfter w:val="1"/>
          <w:wAfter w:w="1665" w:type="dxa"/>
          <w:trHeight w:val="281"/>
        </w:trPr>
        <w:tc>
          <w:tcPr>
            <w:tcW w:w="295" w:type="dxa"/>
            <w:shd w:val="clear" w:color="auto" w:fill="FFFFFF"/>
            <w:noWrap/>
            <w:vAlign w:val="center"/>
            <w:hideMark/>
          </w:tcPr>
          <w:p w14:paraId="13B58AAA" w14:textId="77777777" w:rsidR="00057CA1" w:rsidRPr="00D964B7" w:rsidRDefault="00057CA1" w:rsidP="00057CA1">
            <w:pPr>
              <w:rPr>
                <w:rFonts w:ascii="Calibri" w:hAnsi="Calibri" w:cs="Calibri"/>
                <w:color w:val="000000"/>
                <w:sz w:val="22"/>
                <w:szCs w:val="22"/>
                <w:lang w:eastAsia="en-IE"/>
              </w:rPr>
            </w:pPr>
            <w:r w:rsidRPr="00D964B7">
              <w:rPr>
                <w:rFonts w:ascii="Calibri" w:hAnsi="Calibri" w:cs="Calibri"/>
                <w:color w:val="000000"/>
                <w:sz w:val="22"/>
                <w:szCs w:val="22"/>
                <w:lang w:eastAsia="en-IE"/>
              </w:rPr>
              <w:t> </w:t>
            </w:r>
          </w:p>
        </w:tc>
        <w:tc>
          <w:tcPr>
            <w:tcW w:w="7252" w:type="dxa"/>
            <w:shd w:val="clear" w:color="auto" w:fill="FFFFFF"/>
            <w:noWrap/>
            <w:vAlign w:val="bottom"/>
            <w:hideMark/>
          </w:tcPr>
          <w:p w14:paraId="36955887" w14:textId="77777777" w:rsidR="00057CA1" w:rsidRPr="00D964B7" w:rsidRDefault="00057CA1" w:rsidP="00057CA1">
            <w:pPr>
              <w:rPr>
                <w:rFonts w:ascii="Calibri" w:hAnsi="Calibri" w:cs="Calibri"/>
                <w:color w:val="000000"/>
                <w:sz w:val="22"/>
                <w:szCs w:val="22"/>
                <w:lang w:eastAsia="en-IE"/>
              </w:rPr>
            </w:pPr>
            <w:r w:rsidRPr="00D964B7">
              <w:rPr>
                <w:rFonts w:ascii="Calibri" w:hAnsi="Calibri" w:cs="Calibri"/>
                <w:color w:val="000000"/>
                <w:sz w:val="22"/>
                <w:szCs w:val="22"/>
                <w:lang w:eastAsia="en-IE"/>
              </w:rPr>
              <w:t xml:space="preserve">Cash and cash equivalents at beginning of the </w:t>
            </w:r>
            <w:r>
              <w:rPr>
                <w:rFonts w:ascii="Calibri" w:hAnsi="Calibri" w:cs="Calibri"/>
                <w:color w:val="000000"/>
                <w:sz w:val="22"/>
                <w:szCs w:val="22"/>
                <w:lang w:eastAsia="en-IE"/>
              </w:rPr>
              <w:t>period</w:t>
            </w:r>
          </w:p>
        </w:tc>
        <w:tc>
          <w:tcPr>
            <w:tcW w:w="850" w:type="dxa"/>
            <w:shd w:val="clear" w:color="auto" w:fill="FFFFFF"/>
            <w:vAlign w:val="center"/>
            <w:hideMark/>
          </w:tcPr>
          <w:p w14:paraId="1A71F26F" w14:textId="77777777" w:rsidR="00057CA1" w:rsidRPr="00D964B7" w:rsidRDefault="00057CA1" w:rsidP="00057CA1">
            <w:pPr>
              <w:rPr>
                <w:rFonts w:ascii="Calibri" w:hAnsi="Calibri" w:cs="Calibri"/>
                <w:color w:val="000000"/>
                <w:sz w:val="22"/>
                <w:szCs w:val="22"/>
                <w:lang w:eastAsia="en-IE"/>
              </w:rPr>
            </w:pPr>
          </w:p>
        </w:tc>
        <w:tc>
          <w:tcPr>
            <w:tcW w:w="1134" w:type="dxa"/>
            <w:tcBorders>
              <w:top w:val="nil"/>
              <w:left w:val="nil"/>
              <w:bottom w:val="single" w:sz="8" w:space="0" w:color="auto"/>
              <w:right w:val="nil"/>
            </w:tcBorders>
            <w:shd w:val="clear" w:color="auto" w:fill="FFFF00"/>
            <w:vAlign w:val="center"/>
          </w:tcPr>
          <w:p w14:paraId="206E596D" w14:textId="77777777" w:rsidR="00057CA1" w:rsidRPr="00B3763D" w:rsidRDefault="00E30D63" w:rsidP="00057CA1">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3,599.3</w:t>
            </w:r>
          </w:p>
        </w:tc>
        <w:tc>
          <w:tcPr>
            <w:tcW w:w="1133" w:type="dxa"/>
            <w:tcBorders>
              <w:top w:val="nil"/>
              <w:left w:val="nil"/>
              <w:bottom w:val="single" w:sz="8" w:space="0" w:color="auto"/>
              <w:right w:val="nil"/>
            </w:tcBorders>
            <w:shd w:val="clear" w:color="auto" w:fill="FFFFFF"/>
          </w:tcPr>
          <w:p w14:paraId="446980EA" w14:textId="77777777" w:rsidR="00057CA1" w:rsidRPr="00B3763D" w:rsidRDefault="00057CA1" w:rsidP="00057CA1">
            <w:pPr>
              <w:jc w:val="right"/>
              <w:rPr>
                <w:rFonts w:ascii="Calibri" w:eastAsia="Calibri" w:hAnsi="Calibri" w:cs="Calibri"/>
                <w:sz w:val="22"/>
                <w:szCs w:val="22"/>
                <w:lang w:eastAsia="en-IE"/>
              </w:rPr>
            </w:pPr>
            <w:r w:rsidRPr="00B3763D">
              <w:rPr>
                <w:rFonts w:ascii="Calibri" w:eastAsia="Calibri" w:hAnsi="Calibri" w:cs="Calibri"/>
                <w:sz w:val="22"/>
                <w:szCs w:val="22"/>
                <w:lang w:eastAsia="en-IE"/>
              </w:rPr>
              <w:t>2,669.0</w:t>
            </w:r>
          </w:p>
        </w:tc>
      </w:tr>
      <w:tr w:rsidR="00057CA1" w:rsidRPr="00D964B7" w14:paraId="0B1CB001" w14:textId="77777777" w:rsidTr="005E03B5">
        <w:trPr>
          <w:gridAfter w:val="1"/>
          <w:wAfter w:w="1665" w:type="dxa"/>
          <w:trHeight w:val="281"/>
        </w:trPr>
        <w:tc>
          <w:tcPr>
            <w:tcW w:w="7547" w:type="dxa"/>
            <w:gridSpan w:val="2"/>
            <w:shd w:val="clear" w:color="auto" w:fill="FFFFFF"/>
            <w:vAlign w:val="center"/>
            <w:hideMark/>
          </w:tcPr>
          <w:p w14:paraId="3416C7F4" w14:textId="77777777" w:rsidR="00057CA1" w:rsidRPr="00D964B7" w:rsidRDefault="00057CA1" w:rsidP="00057CA1">
            <w:pPr>
              <w:rPr>
                <w:rFonts w:ascii="Calibri" w:hAnsi="Calibri" w:cs="Calibri"/>
                <w:b/>
                <w:bCs/>
                <w:color w:val="000000"/>
                <w:sz w:val="22"/>
                <w:szCs w:val="22"/>
                <w:lang w:eastAsia="en-IE"/>
              </w:rPr>
            </w:pPr>
            <w:r w:rsidRPr="00D964B7">
              <w:rPr>
                <w:rFonts w:ascii="Calibri" w:hAnsi="Calibri" w:cs="Calibri"/>
                <w:b/>
                <w:bCs/>
                <w:color w:val="000000"/>
                <w:sz w:val="22"/>
                <w:szCs w:val="22"/>
                <w:lang w:eastAsia="en-IE"/>
              </w:rPr>
              <w:t xml:space="preserve">Cash and cash equivalents at end of the </w:t>
            </w:r>
            <w:r>
              <w:rPr>
                <w:rFonts w:ascii="Calibri" w:hAnsi="Calibri" w:cs="Calibri"/>
                <w:b/>
                <w:bCs/>
                <w:color w:val="000000"/>
                <w:sz w:val="22"/>
                <w:szCs w:val="22"/>
                <w:lang w:eastAsia="en-IE"/>
              </w:rPr>
              <w:t>period</w:t>
            </w:r>
          </w:p>
        </w:tc>
        <w:tc>
          <w:tcPr>
            <w:tcW w:w="850" w:type="dxa"/>
            <w:shd w:val="clear" w:color="auto" w:fill="FFFFFF"/>
            <w:vAlign w:val="center"/>
            <w:hideMark/>
          </w:tcPr>
          <w:p w14:paraId="69019841" w14:textId="77777777" w:rsidR="00057CA1" w:rsidRPr="00D964B7" w:rsidRDefault="00057CA1" w:rsidP="00057CA1">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10</w:t>
            </w:r>
            <w:r w:rsidRPr="00D964B7">
              <w:rPr>
                <w:rFonts w:ascii="Calibri" w:hAnsi="Calibri" w:cs="Calibri"/>
                <w:b/>
                <w:bCs/>
                <w:color w:val="000000"/>
                <w:sz w:val="22"/>
                <w:szCs w:val="22"/>
                <w:lang w:eastAsia="en-IE"/>
              </w:rPr>
              <w:t> </w:t>
            </w:r>
          </w:p>
        </w:tc>
        <w:tc>
          <w:tcPr>
            <w:tcW w:w="1134" w:type="dxa"/>
            <w:tcBorders>
              <w:top w:val="single" w:sz="8" w:space="0" w:color="auto"/>
              <w:left w:val="nil"/>
              <w:bottom w:val="single" w:sz="8" w:space="0" w:color="auto"/>
              <w:right w:val="nil"/>
            </w:tcBorders>
            <w:shd w:val="clear" w:color="auto" w:fill="FFFF00"/>
            <w:vAlign w:val="center"/>
          </w:tcPr>
          <w:p w14:paraId="7D3AF3CA" w14:textId="77777777" w:rsidR="00057CA1" w:rsidRPr="00B3763D" w:rsidRDefault="00E30D63" w:rsidP="00057CA1">
            <w:pPr>
              <w:jc w:val="right"/>
              <w:rPr>
                <w:rFonts w:ascii="Calibri" w:eastAsia="Calibri" w:hAnsi="Calibri" w:cs="Calibri"/>
                <w:b/>
                <w:sz w:val="22"/>
                <w:szCs w:val="22"/>
                <w:lang w:eastAsia="en-IE"/>
              </w:rPr>
            </w:pPr>
            <w:r w:rsidRPr="00B3763D">
              <w:rPr>
                <w:rFonts w:ascii="Calibri" w:eastAsia="Calibri" w:hAnsi="Calibri" w:cs="Calibri"/>
                <w:b/>
                <w:sz w:val="22"/>
                <w:szCs w:val="22"/>
                <w:lang w:eastAsia="en-IE"/>
              </w:rPr>
              <w:t>2,518.6</w:t>
            </w:r>
          </w:p>
        </w:tc>
        <w:tc>
          <w:tcPr>
            <w:tcW w:w="1133" w:type="dxa"/>
            <w:tcBorders>
              <w:top w:val="single" w:sz="8" w:space="0" w:color="auto"/>
              <w:left w:val="nil"/>
              <w:bottom w:val="single" w:sz="8" w:space="0" w:color="auto"/>
              <w:right w:val="nil"/>
            </w:tcBorders>
            <w:shd w:val="clear" w:color="auto" w:fill="FFFFFF"/>
            <w:vAlign w:val="center"/>
          </w:tcPr>
          <w:p w14:paraId="59A78817" w14:textId="77777777" w:rsidR="00057CA1" w:rsidRPr="00B3763D" w:rsidRDefault="00057CA1" w:rsidP="00057CA1">
            <w:pPr>
              <w:jc w:val="right"/>
              <w:rPr>
                <w:rFonts w:ascii="Calibri" w:eastAsia="Calibri" w:hAnsi="Calibri" w:cs="Calibri"/>
                <w:bCs/>
                <w:sz w:val="22"/>
                <w:szCs w:val="22"/>
                <w:lang w:eastAsia="en-IE"/>
              </w:rPr>
            </w:pPr>
            <w:r w:rsidRPr="00B3763D">
              <w:rPr>
                <w:rFonts w:ascii="Calibri" w:eastAsia="Calibri" w:hAnsi="Calibri" w:cs="Calibri"/>
                <w:bCs/>
                <w:sz w:val="22"/>
                <w:szCs w:val="22"/>
                <w:lang w:eastAsia="en-IE"/>
              </w:rPr>
              <w:t>2,279.5</w:t>
            </w:r>
          </w:p>
        </w:tc>
      </w:tr>
      <w:tr w:rsidR="00057CA1" w:rsidRPr="00D964B7" w14:paraId="10E0DC89" w14:textId="77777777" w:rsidTr="005E03B5">
        <w:trPr>
          <w:gridAfter w:val="1"/>
          <w:wAfter w:w="1665" w:type="dxa"/>
          <w:trHeight w:val="170"/>
        </w:trPr>
        <w:tc>
          <w:tcPr>
            <w:tcW w:w="7547" w:type="dxa"/>
            <w:gridSpan w:val="2"/>
            <w:shd w:val="clear" w:color="auto" w:fill="FFFFFF"/>
            <w:vAlign w:val="center"/>
          </w:tcPr>
          <w:p w14:paraId="6698BB13" w14:textId="77777777" w:rsidR="00057CA1" w:rsidRPr="00D964B7" w:rsidRDefault="00057CA1" w:rsidP="00057CA1">
            <w:pPr>
              <w:rPr>
                <w:rFonts w:ascii="Calibri" w:hAnsi="Calibri" w:cs="Calibri"/>
                <w:b/>
                <w:bCs/>
                <w:color w:val="000000"/>
                <w:sz w:val="22"/>
                <w:szCs w:val="22"/>
                <w:lang w:eastAsia="en-IE"/>
              </w:rPr>
            </w:pPr>
          </w:p>
        </w:tc>
        <w:tc>
          <w:tcPr>
            <w:tcW w:w="850" w:type="dxa"/>
            <w:shd w:val="clear" w:color="auto" w:fill="FFFFFF"/>
            <w:vAlign w:val="center"/>
          </w:tcPr>
          <w:p w14:paraId="0C4DC842" w14:textId="77777777" w:rsidR="00057CA1" w:rsidRPr="00D964B7" w:rsidRDefault="00057CA1" w:rsidP="00057CA1">
            <w:pPr>
              <w:jc w:val="right"/>
              <w:rPr>
                <w:rFonts w:ascii="Calibri" w:hAnsi="Calibri" w:cs="Calibri"/>
                <w:b/>
                <w:bCs/>
                <w:color w:val="000000"/>
                <w:sz w:val="22"/>
                <w:szCs w:val="22"/>
                <w:lang w:eastAsia="en-IE"/>
              </w:rPr>
            </w:pPr>
          </w:p>
        </w:tc>
        <w:tc>
          <w:tcPr>
            <w:tcW w:w="1134" w:type="dxa"/>
            <w:tcBorders>
              <w:left w:val="nil"/>
              <w:right w:val="nil"/>
            </w:tcBorders>
            <w:shd w:val="clear" w:color="auto" w:fill="FFFF00"/>
            <w:vAlign w:val="center"/>
          </w:tcPr>
          <w:p w14:paraId="1F084539" w14:textId="77777777" w:rsidR="00057CA1" w:rsidRPr="00D964B7" w:rsidRDefault="00057CA1" w:rsidP="00057CA1">
            <w:pPr>
              <w:jc w:val="right"/>
              <w:rPr>
                <w:rFonts w:ascii="Calibri" w:hAnsi="Calibri" w:cs="Calibri"/>
                <w:b/>
                <w:bCs/>
                <w:color w:val="000000"/>
                <w:sz w:val="22"/>
                <w:szCs w:val="22"/>
                <w:lang w:eastAsia="en-IE"/>
              </w:rPr>
            </w:pPr>
          </w:p>
        </w:tc>
        <w:tc>
          <w:tcPr>
            <w:tcW w:w="1133" w:type="dxa"/>
            <w:tcBorders>
              <w:top w:val="single" w:sz="8" w:space="0" w:color="auto"/>
              <w:left w:val="nil"/>
              <w:right w:val="nil"/>
            </w:tcBorders>
            <w:shd w:val="clear" w:color="auto" w:fill="FFFFFF"/>
            <w:vAlign w:val="center"/>
          </w:tcPr>
          <w:p w14:paraId="1B546CDB" w14:textId="77777777" w:rsidR="00057CA1" w:rsidRPr="00D964B7" w:rsidRDefault="00057CA1" w:rsidP="00057CA1">
            <w:pPr>
              <w:jc w:val="right"/>
              <w:rPr>
                <w:rFonts w:ascii="Calibri" w:hAnsi="Calibri" w:cs="Calibri"/>
                <w:b/>
                <w:bCs/>
                <w:color w:val="000000"/>
                <w:sz w:val="22"/>
                <w:szCs w:val="22"/>
                <w:lang w:eastAsia="en-IE"/>
              </w:rPr>
            </w:pPr>
          </w:p>
        </w:tc>
      </w:tr>
      <w:tr w:rsidR="00057CA1" w:rsidRPr="00D964B7" w14:paraId="52E93100" w14:textId="77777777" w:rsidTr="005E03B5">
        <w:trPr>
          <w:gridAfter w:val="1"/>
          <w:wAfter w:w="1665" w:type="dxa"/>
          <w:trHeight w:val="281"/>
        </w:trPr>
        <w:tc>
          <w:tcPr>
            <w:tcW w:w="7547" w:type="dxa"/>
            <w:gridSpan w:val="2"/>
            <w:shd w:val="clear" w:color="auto" w:fill="FFFFFF"/>
          </w:tcPr>
          <w:p w14:paraId="1D79387B" w14:textId="77777777" w:rsidR="00057CA1" w:rsidRPr="00D964B7" w:rsidRDefault="00057CA1" w:rsidP="00057CA1">
            <w:pPr>
              <w:autoSpaceDE w:val="0"/>
              <w:autoSpaceDN w:val="0"/>
              <w:adjustRightInd w:val="0"/>
              <w:ind w:right="4"/>
              <w:rPr>
                <w:rFonts w:ascii="Calibri" w:hAnsi="Calibri" w:cs="Calibri"/>
                <w:b/>
                <w:bCs/>
                <w:color w:val="000000"/>
                <w:sz w:val="22"/>
                <w:szCs w:val="22"/>
              </w:rPr>
            </w:pPr>
            <w:r w:rsidRPr="00D964B7">
              <w:rPr>
                <w:rFonts w:ascii="Calibri" w:hAnsi="Calibri" w:cs="Calibri"/>
                <w:b/>
                <w:bCs/>
                <w:color w:val="000000"/>
                <w:sz w:val="22"/>
                <w:szCs w:val="22"/>
              </w:rPr>
              <w:t xml:space="preserve">Included in the cash flows from operating activities for the </w:t>
            </w:r>
            <w:r>
              <w:rPr>
                <w:rFonts w:ascii="Calibri" w:hAnsi="Calibri" w:cs="Calibri"/>
                <w:b/>
                <w:bCs/>
                <w:color w:val="000000"/>
                <w:sz w:val="22"/>
                <w:szCs w:val="22"/>
              </w:rPr>
              <w:t>nine months</w:t>
            </w:r>
            <w:r w:rsidRPr="00D964B7">
              <w:rPr>
                <w:rFonts w:ascii="Calibri" w:hAnsi="Calibri" w:cs="Calibri"/>
                <w:b/>
                <w:bCs/>
                <w:color w:val="000000"/>
                <w:sz w:val="22"/>
                <w:szCs w:val="22"/>
              </w:rPr>
              <w:t xml:space="preserve"> are the following amounts:</w:t>
            </w:r>
          </w:p>
        </w:tc>
        <w:tc>
          <w:tcPr>
            <w:tcW w:w="850" w:type="dxa"/>
            <w:shd w:val="clear" w:color="auto" w:fill="FFFFFF"/>
            <w:vAlign w:val="center"/>
          </w:tcPr>
          <w:p w14:paraId="4E788FD0" w14:textId="77777777" w:rsidR="00057CA1" w:rsidRPr="00D964B7" w:rsidRDefault="00057CA1" w:rsidP="00057CA1">
            <w:pPr>
              <w:jc w:val="right"/>
              <w:rPr>
                <w:rFonts w:ascii="Calibri" w:hAnsi="Calibri" w:cs="Calibri"/>
                <w:b/>
                <w:bCs/>
                <w:color w:val="000000"/>
                <w:sz w:val="22"/>
                <w:szCs w:val="22"/>
                <w:lang w:eastAsia="en-IE"/>
              </w:rPr>
            </w:pPr>
          </w:p>
        </w:tc>
        <w:tc>
          <w:tcPr>
            <w:tcW w:w="1134" w:type="dxa"/>
            <w:tcBorders>
              <w:top w:val="nil"/>
              <w:left w:val="nil"/>
              <w:right w:val="nil"/>
            </w:tcBorders>
            <w:shd w:val="clear" w:color="auto" w:fill="FFFF00"/>
            <w:vAlign w:val="center"/>
          </w:tcPr>
          <w:p w14:paraId="02320332" w14:textId="77777777" w:rsidR="00057CA1" w:rsidRPr="00D964B7" w:rsidRDefault="00057CA1" w:rsidP="00057CA1">
            <w:pPr>
              <w:jc w:val="right"/>
              <w:rPr>
                <w:rFonts w:ascii="Calibri" w:hAnsi="Calibri" w:cs="Calibri"/>
                <w:b/>
                <w:bCs/>
                <w:color w:val="000000"/>
                <w:sz w:val="22"/>
                <w:szCs w:val="22"/>
                <w:lang w:eastAsia="en-IE"/>
              </w:rPr>
            </w:pPr>
          </w:p>
        </w:tc>
        <w:tc>
          <w:tcPr>
            <w:tcW w:w="1133" w:type="dxa"/>
            <w:tcBorders>
              <w:top w:val="nil"/>
              <w:left w:val="nil"/>
              <w:right w:val="nil"/>
            </w:tcBorders>
            <w:shd w:val="clear" w:color="auto" w:fill="FFFFFF"/>
            <w:vAlign w:val="center"/>
          </w:tcPr>
          <w:p w14:paraId="53B14677" w14:textId="77777777" w:rsidR="00057CA1" w:rsidRPr="00D964B7" w:rsidRDefault="00057CA1" w:rsidP="00057CA1">
            <w:pPr>
              <w:jc w:val="right"/>
              <w:rPr>
                <w:rFonts w:ascii="Calibri" w:hAnsi="Calibri" w:cs="Calibri"/>
                <w:b/>
                <w:bCs/>
                <w:color w:val="000000"/>
                <w:sz w:val="22"/>
                <w:szCs w:val="22"/>
                <w:lang w:eastAsia="en-IE"/>
              </w:rPr>
            </w:pPr>
          </w:p>
        </w:tc>
      </w:tr>
      <w:tr w:rsidR="00057CA1" w:rsidRPr="00D964B7" w14:paraId="51E4E210" w14:textId="77777777" w:rsidTr="005E03B5">
        <w:trPr>
          <w:gridAfter w:val="1"/>
          <w:wAfter w:w="1665" w:type="dxa"/>
          <w:trHeight w:val="281"/>
        </w:trPr>
        <w:tc>
          <w:tcPr>
            <w:tcW w:w="7547" w:type="dxa"/>
            <w:gridSpan w:val="2"/>
            <w:shd w:val="clear" w:color="auto" w:fill="FFFFFF"/>
          </w:tcPr>
          <w:p w14:paraId="5709C1D0" w14:textId="77777777" w:rsidR="00057CA1" w:rsidRPr="00D964B7" w:rsidRDefault="00057CA1" w:rsidP="00057CA1">
            <w:pPr>
              <w:ind w:firstLine="321"/>
              <w:rPr>
                <w:rFonts w:ascii="Calibri" w:hAnsi="Calibri" w:cs="Calibri"/>
                <w:b/>
                <w:bCs/>
                <w:color w:val="000000"/>
                <w:sz w:val="22"/>
                <w:szCs w:val="22"/>
                <w:lang w:eastAsia="en-IE"/>
              </w:rPr>
            </w:pPr>
            <w:r w:rsidRPr="00D964B7">
              <w:rPr>
                <w:rFonts w:ascii="Calibri" w:hAnsi="Calibri" w:cs="Calibri"/>
                <w:color w:val="000000"/>
                <w:sz w:val="22"/>
                <w:szCs w:val="22"/>
              </w:rPr>
              <w:t>Interest income received</w:t>
            </w:r>
          </w:p>
        </w:tc>
        <w:tc>
          <w:tcPr>
            <w:tcW w:w="850" w:type="dxa"/>
            <w:shd w:val="clear" w:color="auto" w:fill="FFFFFF"/>
            <w:vAlign w:val="center"/>
          </w:tcPr>
          <w:p w14:paraId="2C5D2939" w14:textId="77777777" w:rsidR="00057CA1" w:rsidRPr="00D964B7" w:rsidRDefault="00057CA1" w:rsidP="00057CA1">
            <w:pPr>
              <w:jc w:val="right"/>
              <w:rPr>
                <w:rFonts w:ascii="Calibri" w:hAnsi="Calibri" w:cs="Calibri"/>
                <w:b/>
                <w:bCs/>
                <w:color w:val="000000"/>
                <w:sz w:val="22"/>
                <w:szCs w:val="22"/>
                <w:lang w:eastAsia="en-IE"/>
              </w:rPr>
            </w:pPr>
          </w:p>
        </w:tc>
        <w:tc>
          <w:tcPr>
            <w:tcW w:w="1134" w:type="dxa"/>
            <w:tcBorders>
              <w:left w:val="nil"/>
              <w:right w:val="nil"/>
            </w:tcBorders>
            <w:shd w:val="clear" w:color="auto" w:fill="FFFF00"/>
          </w:tcPr>
          <w:p w14:paraId="0D032F53" w14:textId="77777777" w:rsidR="00057CA1" w:rsidRPr="00D964B7" w:rsidRDefault="00E30D63" w:rsidP="00057CA1">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111.9</w:t>
            </w:r>
          </w:p>
        </w:tc>
        <w:tc>
          <w:tcPr>
            <w:tcW w:w="1133" w:type="dxa"/>
            <w:tcBorders>
              <w:left w:val="nil"/>
              <w:right w:val="nil"/>
            </w:tcBorders>
            <w:shd w:val="clear" w:color="auto" w:fill="FFFFFF"/>
          </w:tcPr>
          <w:p w14:paraId="4E3B3ECB" w14:textId="77777777" w:rsidR="00057CA1" w:rsidRPr="00057CA1" w:rsidRDefault="00057CA1" w:rsidP="00057CA1">
            <w:pPr>
              <w:jc w:val="right"/>
              <w:rPr>
                <w:rFonts w:ascii="Calibri" w:eastAsia="Calibri" w:hAnsi="Calibri" w:cs="Calibri"/>
                <w:sz w:val="22"/>
                <w:szCs w:val="22"/>
                <w:lang w:eastAsia="en-IE"/>
              </w:rPr>
            </w:pPr>
            <w:r w:rsidRPr="00057CA1">
              <w:rPr>
                <w:rFonts w:ascii="Calibri" w:hAnsi="Calibri" w:cs="Calibri"/>
                <w:color w:val="000000"/>
                <w:sz w:val="22"/>
                <w:szCs w:val="22"/>
              </w:rPr>
              <w:t>22.7</w:t>
            </w:r>
          </w:p>
        </w:tc>
      </w:tr>
      <w:tr w:rsidR="00057CA1" w:rsidRPr="00D964B7" w14:paraId="0178FECF" w14:textId="77777777" w:rsidTr="005E03B5">
        <w:trPr>
          <w:gridAfter w:val="1"/>
          <w:wAfter w:w="1665" w:type="dxa"/>
          <w:trHeight w:val="281"/>
        </w:trPr>
        <w:tc>
          <w:tcPr>
            <w:tcW w:w="7547" w:type="dxa"/>
            <w:gridSpan w:val="2"/>
            <w:shd w:val="clear" w:color="auto" w:fill="FFFFFF"/>
          </w:tcPr>
          <w:p w14:paraId="54C1645E" w14:textId="77777777" w:rsidR="00057CA1" w:rsidRPr="00D964B7" w:rsidRDefault="00057CA1" w:rsidP="00057CA1">
            <w:pPr>
              <w:ind w:firstLine="321"/>
              <w:rPr>
                <w:rFonts w:ascii="Calibri" w:hAnsi="Calibri" w:cs="Calibri"/>
                <w:b/>
                <w:bCs/>
                <w:color w:val="000000"/>
                <w:sz w:val="22"/>
                <w:szCs w:val="22"/>
                <w:lang w:eastAsia="en-IE"/>
              </w:rPr>
            </w:pPr>
            <w:r w:rsidRPr="00D964B7">
              <w:rPr>
                <w:rFonts w:ascii="Calibri" w:hAnsi="Calibri" w:cs="Calibri"/>
                <w:color w:val="000000"/>
                <w:sz w:val="22"/>
                <w:szCs w:val="22"/>
              </w:rPr>
              <w:t>Interest expense paid</w:t>
            </w:r>
          </w:p>
        </w:tc>
        <w:tc>
          <w:tcPr>
            <w:tcW w:w="850" w:type="dxa"/>
            <w:shd w:val="clear" w:color="auto" w:fill="FFFFFF"/>
            <w:vAlign w:val="center"/>
          </w:tcPr>
          <w:p w14:paraId="1A343AD9" w14:textId="77777777" w:rsidR="00057CA1" w:rsidRPr="00D964B7" w:rsidRDefault="00057CA1" w:rsidP="00057CA1">
            <w:pPr>
              <w:jc w:val="right"/>
              <w:rPr>
                <w:rFonts w:ascii="Calibri" w:hAnsi="Calibri" w:cs="Calibri"/>
                <w:b/>
                <w:bCs/>
                <w:color w:val="000000"/>
                <w:sz w:val="22"/>
                <w:szCs w:val="22"/>
                <w:lang w:eastAsia="en-IE"/>
              </w:rPr>
            </w:pPr>
          </w:p>
        </w:tc>
        <w:tc>
          <w:tcPr>
            <w:tcW w:w="1134" w:type="dxa"/>
            <w:tcBorders>
              <w:left w:val="nil"/>
              <w:right w:val="nil"/>
            </w:tcBorders>
            <w:shd w:val="clear" w:color="auto" w:fill="FFFF00"/>
          </w:tcPr>
          <w:p w14:paraId="60C2625C" w14:textId="77777777" w:rsidR="00057CA1" w:rsidRPr="00D964B7" w:rsidRDefault="00E30D63" w:rsidP="00057CA1">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(76.9)</w:t>
            </w:r>
          </w:p>
        </w:tc>
        <w:tc>
          <w:tcPr>
            <w:tcW w:w="1133" w:type="dxa"/>
            <w:tcBorders>
              <w:left w:val="nil"/>
              <w:right w:val="nil"/>
            </w:tcBorders>
            <w:shd w:val="clear" w:color="auto" w:fill="FFFFFF"/>
          </w:tcPr>
          <w:p w14:paraId="1C4440DC" w14:textId="77777777" w:rsidR="00057CA1" w:rsidRPr="00057CA1" w:rsidRDefault="00057CA1" w:rsidP="00057CA1">
            <w:pPr>
              <w:jc w:val="right"/>
              <w:rPr>
                <w:rFonts w:ascii="Calibri" w:hAnsi="Calibri" w:cs="Calibri"/>
                <w:color w:val="000000"/>
                <w:sz w:val="22"/>
                <w:szCs w:val="22"/>
                <w:highlight w:val="yellow"/>
                <w:lang w:eastAsia="en-IE"/>
              </w:rPr>
            </w:pPr>
            <w:r w:rsidRPr="00057CA1">
              <w:rPr>
                <w:rFonts w:ascii="Calibri" w:hAnsi="Calibri" w:cs="Calibri"/>
                <w:color w:val="000000"/>
                <w:sz w:val="22"/>
                <w:szCs w:val="22"/>
              </w:rPr>
              <w:t>(59.5)</w:t>
            </w:r>
          </w:p>
        </w:tc>
      </w:tr>
    </w:tbl>
    <w:p w14:paraId="19D3F83C" w14:textId="77777777" w:rsidR="00CA3F18" w:rsidRDefault="00CA3F18" w:rsidP="00CA3F18">
      <w:pPr>
        <w:autoSpaceDE w:val="0"/>
        <w:autoSpaceDN w:val="0"/>
        <w:adjustRightInd w:val="0"/>
        <w:ind w:right="4"/>
        <w:rPr>
          <w:rFonts w:ascii="Calibri" w:hAnsi="Calibri" w:cs="Calibri"/>
          <w:i/>
          <w:iCs/>
          <w:sz w:val="21"/>
          <w:szCs w:val="21"/>
        </w:rPr>
      </w:pPr>
    </w:p>
    <w:p w14:paraId="73E6CFA4" w14:textId="77777777" w:rsidR="00CA3F18" w:rsidRPr="00F8167A" w:rsidRDefault="00CA3F18" w:rsidP="00CA3F18">
      <w:pPr>
        <w:autoSpaceDE w:val="0"/>
        <w:autoSpaceDN w:val="0"/>
        <w:adjustRightInd w:val="0"/>
        <w:ind w:right="-426"/>
        <w:rPr>
          <w:rFonts w:ascii="Calibri" w:hAnsi="Calibri" w:cs="Calibri"/>
          <w:b/>
          <w:bCs/>
          <w:i/>
          <w:iCs/>
          <w:color w:val="000000"/>
          <w:sz w:val="22"/>
          <w:szCs w:val="22"/>
        </w:rPr>
      </w:pPr>
      <w:r w:rsidRPr="00F8167A">
        <w:rPr>
          <w:rFonts w:ascii="Calibri" w:hAnsi="Calibri" w:cs="Calibri"/>
          <w:i/>
          <w:iCs/>
          <w:sz w:val="22"/>
          <w:szCs w:val="22"/>
        </w:rPr>
        <w:t xml:space="preserve">*The </w:t>
      </w:r>
      <w:r w:rsidR="00057CA1">
        <w:rPr>
          <w:rFonts w:ascii="Calibri" w:hAnsi="Calibri" w:cs="Calibri"/>
          <w:i/>
          <w:sz w:val="22"/>
          <w:szCs w:val="22"/>
        </w:rPr>
        <w:t>nine months ended December 31</w:t>
      </w:r>
      <w:r w:rsidRPr="00F8167A">
        <w:rPr>
          <w:rFonts w:ascii="Calibri" w:hAnsi="Calibri" w:cs="Calibri"/>
          <w:i/>
          <w:sz w:val="22"/>
          <w:szCs w:val="22"/>
        </w:rPr>
        <w:t>, 202</w:t>
      </w:r>
      <w:r w:rsidR="00C4444C">
        <w:rPr>
          <w:rFonts w:ascii="Calibri" w:hAnsi="Calibri" w:cs="Calibri"/>
          <w:i/>
          <w:sz w:val="22"/>
          <w:szCs w:val="22"/>
        </w:rPr>
        <w:t>2</w:t>
      </w:r>
      <w:r w:rsidR="00C0705A">
        <w:rPr>
          <w:rFonts w:ascii="Calibri" w:hAnsi="Calibri" w:cs="Calibri"/>
          <w:i/>
          <w:sz w:val="22"/>
          <w:szCs w:val="22"/>
        </w:rPr>
        <w:t>,</w:t>
      </w:r>
      <w:r w:rsidRPr="00F8167A">
        <w:rPr>
          <w:rFonts w:ascii="Calibri" w:hAnsi="Calibri" w:cs="Calibri"/>
          <w:i/>
          <w:iCs/>
          <w:sz w:val="22"/>
          <w:szCs w:val="22"/>
        </w:rPr>
        <w:t xml:space="preserve"> includes an exceptional loss of €1</w:t>
      </w:r>
      <w:r w:rsidR="00057CA1">
        <w:rPr>
          <w:rFonts w:ascii="Calibri" w:hAnsi="Calibri" w:cs="Calibri"/>
          <w:i/>
          <w:iCs/>
          <w:sz w:val="22"/>
          <w:szCs w:val="22"/>
        </w:rPr>
        <w:t>33</w:t>
      </w:r>
      <w:r w:rsidRPr="00F8167A">
        <w:rPr>
          <w:rFonts w:ascii="Calibri" w:hAnsi="Calibri" w:cs="Calibri"/>
          <w:i/>
          <w:iCs/>
          <w:sz w:val="22"/>
          <w:szCs w:val="22"/>
        </w:rPr>
        <w:t>.</w:t>
      </w:r>
      <w:r w:rsidR="00057CA1">
        <w:rPr>
          <w:rFonts w:ascii="Calibri" w:hAnsi="Calibri" w:cs="Calibri"/>
          <w:i/>
          <w:iCs/>
          <w:sz w:val="22"/>
          <w:szCs w:val="22"/>
        </w:rPr>
        <w:t>0</w:t>
      </w:r>
      <w:r w:rsidRPr="00F8167A">
        <w:rPr>
          <w:rFonts w:ascii="Calibri" w:hAnsi="Calibri" w:cs="Calibri"/>
          <w:i/>
          <w:iCs/>
          <w:sz w:val="22"/>
          <w:szCs w:val="22"/>
        </w:rPr>
        <w:t>M pre-tax, attributable to the fair value measurement of jet fuel call options.</w:t>
      </w:r>
    </w:p>
    <w:bookmarkEnd w:id="1"/>
    <w:p w14:paraId="78B8B49B" w14:textId="77777777" w:rsidR="00A32677" w:rsidRPr="00EA7F9B" w:rsidRDefault="00CA3F18" w:rsidP="00A32677">
      <w:pPr>
        <w:autoSpaceDE w:val="0"/>
        <w:autoSpaceDN w:val="0"/>
        <w:adjustRightInd w:val="0"/>
        <w:ind w:left="142" w:right="4"/>
        <w:rPr>
          <w:rFonts w:ascii="Calibri" w:hAnsi="Calibri" w:cs="Calibri"/>
          <w:b/>
          <w:bCs/>
          <w:color w:val="000000"/>
        </w:rPr>
      </w:pPr>
      <w:r>
        <w:rPr>
          <w:rFonts w:ascii="Calibri" w:hAnsi="Calibri" w:cs="Calibri"/>
          <w:b/>
          <w:bCs/>
          <w:color w:val="000000"/>
        </w:rPr>
        <w:br w:type="page"/>
      </w:r>
      <w:r w:rsidR="00A32677" w:rsidRPr="00EA7F9B">
        <w:rPr>
          <w:rFonts w:ascii="Calibri" w:hAnsi="Calibri" w:cs="Calibri"/>
          <w:b/>
          <w:bCs/>
          <w:color w:val="000000"/>
        </w:rPr>
        <w:lastRenderedPageBreak/>
        <w:t xml:space="preserve">Ryanair Holdings plc and Subsidiaries  </w:t>
      </w:r>
    </w:p>
    <w:p w14:paraId="60F5A7CD" w14:textId="77777777" w:rsidR="00A32677" w:rsidRPr="00BF0AD6" w:rsidRDefault="00A32677" w:rsidP="00E648C7">
      <w:pPr>
        <w:tabs>
          <w:tab w:val="left" w:pos="7655"/>
        </w:tabs>
        <w:ind w:left="142" w:right="-851"/>
        <w:rPr>
          <w:rFonts w:ascii="Calibri" w:hAnsi="Calibri" w:cs="Calibri"/>
          <w:b/>
          <w:bCs/>
          <w:i/>
          <w:iCs/>
          <w:color w:val="000000"/>
        </w:rPr>
      </w:pPr>
      <w:r w:rsidRPr="00BF0AD6">
        <w:rPr>
          <w:rFonts w:ascii="Calibri" w:hAnsi="Calibri" w:cs="Calibri"/>
          <w:b/>
          <w:bCs/>
          <w:i/>
          <w:iCs/>
          <w:color w:val="000000"/>
        </w:rPr>
        <w:t xml:space="preserve">Condensed Consolidated Interim Statement of Changes in Shareholders’ Equity for the </w:t>
      </w:r>
      <w:r w:rsidR="00057CA1">
        <w:rPr>
          <w:rFonts w:ascii="Calibri" w:hAnsi="Calibri" w:cs="Calibri"/>
          <w:b/>
          <w:bCs/>
          <w:i/>
          <w:iCs/>
          <w:color w:val="000000"/>
        </w:rPr>
        <w:t>Nine Months</w:t>
      </w:r>
      <w:r w:rsidRPr="00BF0AD6">
        <w:rPr>
          <w:rFonts w:ascii="Calibri" w:hAnsi="Calibri" w:cs="Calibri"/>
          <w:b/>
          <w:bCs/>
          <w:i/>
          <w:iCs/>
          <w:color w:val="000000"/>
        </w:rPr>
        <w:t xml:space="preserve"> Ended</w:t>
      </w:r>
      <w:r w:rsidR="00E648C7">
        <w:rPr>
          <w:rFonts w:ascii="Calibri" w:hAnsi="Calibri" w:cs="Calibri"/>
          <w:b/>
          <w:bCs/>
          <w:i/>
          <w:iCs/>
          <w:color w:val="000000"/>
        </w:rPr>
        <w:t xml:space="preserve"> </w:t>
      </w:r>
      <w:r w:rsidR="00057CA1">
        <w:rPr>
          <w:rFonts w:ascii="Calibri" w:hAnsi="Calibri" w:cs="Calibri"/>
          <w:b/>
          <w:bCs/>
          <w:i/>
          <w:iCs/>
          <w:color w:val="000000"/>
        </w:rPr>
        <w:t>Dec</w:t>
      </w:r>
      <w:r w:rsidRPr="00BF0AD6">
        <w:rPr>
          <w:rFonts w:ascii="Calibri" w:hAnsi="Calibri" w:cs="Calibri"/>
          <w:b/>
          <w:bCs/>
          <w:i/>
          <w:iCs/>
          <w:color w:val="000000"/>
        </w:rPr>
        <w:t>ember 3</w:t>
      </w:r>
      <w:r w:rsidR="00057CA1">
        <w:rPr>
          <w:rFonts w:ascii="Calibri" w:hAnsi="Calibri" w:cs="Calibri"/>
          <w:b/>
          <w:bCs/>
          <w:i/>
          <w:iCs/>
          <w:color w:val="000000"/>
        </w:rPr>
        <w:t>1</w:t>
      </w:r>
      <w:r w:rsidRPr="00BF0AD6">
        <w:rPr>
          <w:rFonts w:ascii="Calibri" w:hAnsi="Calibri" w:cs="Calibri"/>
          <w:b/>
          <w:bCs/>
          <w:i/>
          <w:iCs/>
          <w:color w:val="000000"/>
        </w:rPr>
        <w:t>, 2023 (unaudited)</w:t>
      </w:r>
    </w:p>
    <w:p w14:paraId="4B33494D" w14:textId="77777777" w:rsidR="00A32677" w:rsidRPr="00EA7F9B" w:rsidRDefault="00A32677" w:rsidP="00A32677">
      <w:pPr>
        <w:rPr>
          <w:rFonts w:ascii="Calibri" w:hAnsi="Calibri" w:cs="Calibri"/>
          <w:b/>
        </w:rPr>
      </w:pPr>
    </w:p>
    <w:tbl>
      <w:tblPr>
        <w:tblW w:w="10890" w:type="dxa"/>
        <w:tblInd w:w="108" w:type="dxa"/>
        <w:tblLayout w:type="fixed"/>
        <w:tblLook w:val="04A0" w:firstRow="1" w:lastRow="0" w:firstColumn="1" w:lastColumn="0" w:noHBand="0" w:noVBand="1"/>
      </w:tblPr>
      <w:tblGrid>
        <w:gridCol w:w="2977"/>
        <w:gridCol w:w="992"/>
        <w:gridCol w:w="827"/>
        <w:gridCol w:w="978"/>
        <w:gridCol w:w="14"/>
        <w:gridCol w:w="1016"/>
        <w:gridCol w:w="1110"/>
        <w:gridCol w:w="992"/>
        <w:gridCol w:w="992"/>
        <w:gridCol w:w="992"/>
      </w:tblGrid>
      <w:tr w:rsidR="00A32677" w:rsidRPr="00BF0AD6" w14:paraId="6F7201A1" w14:textId="77777777" w:rsidTr="001C72D4">
        <w:trPr>
          <w:trHeight w:val="227"/>
        </w:trPr>
        <w:tc>
          <w:tcPr>
            <w:tcW w:w="2977" w:type="dxa"/>
            <w:shd w:val="clear" w:color="auto" w:fill="FFFFFF"/>
            <w:vAlign w:val="bottom"/>
            <w:hideMark/>
          </w:tcPr>
          <w:p w14:paraId="098FE30C" w14:textId="77777777" w:rsidR="00A32677" w:rsidRPr="00BF0AD6" w:rsidRDefault="00A32677" w:rsidP="00EE6630">
            <w:pPr>
              <w:ind w:right="-112"/>
              <w:rPr>
                <w:rFonts w:ascii="Calibri" w:hAnsi="Calibri" w:cs="Calibri"/>
                <w:color w:val="000000"/>
                <w:sz w:val="18"/>
                <w:szCs w:val="18"/>
                <w:lang w:eastAsia="en-IE"/>
              </w:rPr>
            </w:pPr>
            <w:r w:rsidRPr="00BF0AD6">
              <w:rPr>
                <w:rFonts w:ascii="Calibri" w:hAnsi="Calibri" w:cs="Calibri"/>
                <w:color w:val="000000"/>
                <w:sz w:val="18"/>
                <w:szCs w:val="18"/>
                <w:lang w:eastAsia="en-IE"/>
              </w:rPr>
              <w:t> </w:t>
            </w:r>
          </w:p>
        </w:tc>
        <w:tc>
          <w:tcPr>
            <w:tcW w:w="992" w:type="dxa"/>
            <w:tcBorders>
              <w:top w:val="single" w:sz="8" w:space="0" w:color="auto"/>
              <w:left w:val="single" w:sz="8" w:space="0" w:color="auto"/>
              <w:bottom w:val="nil"/>
              <w:right w:val="single" w:sz="8" w:space="0" w:color="auto"/>
            </w:tcBorders>
            <w:shd w:val="clear" w:color="auto" w:fill="FFFFFF"/>
            <w:noWrap/>
            <w:vAlign w:val="center"/>
            <w:hideMark/>
          </w:tcPr>
          <w:p w14:paraId="7005EF31" w14:textId="77777777" w:rsidR="00A32677" w:rsidRPr="00BF0AD6" w:rsidRDefault="00A32677" w:rsidP="001C5897">
            <w:pPr>
              <w:jc w:val="center"/>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827" w:type="dxa"/>
            <w:shd w:val="clear" w:color="auto" w:fill="FFFFFF"/>
            <w:noWrap/>
            <w:vAlign w:val="center"/>
            <w:hideMark/>
          </w:tcPr>
          <w:p w14:paraId="2EB60E9B" w14:textId="77777777" w:rsidR="00A32677" w:rsidRPr="00BF0AD6" w:rsidRDefault="00A32677" w:rsidP="001C5897">
            <w:pPr>
              <w:jc w:val="center"/>
              <w:rPr>
                <w:rFonts w:ascii="Calibri" w:hAnsi="Calibri" w:cs="Calibri"/>
                <w:color w:val="000000"/>
                <w:sz w:val="18"/>
                <w:szCs w:val="18"/>
                <w:lang w:eastAsia="en-IE"/>
              </w:rPr>
            </w:pPr>
            <w:r w:rsidRPr="00BF0AD6">
              <w:rPr>
                <w:rFonts w:ascii="Calibri" w:hAnsi="Calibri" w:cs="Calibri"/>
                <w:color w:val="000000"/>
                <w:sz w:val="18"/>
                <w:szCs w:val="18"/>
                <w:lang w:eastAsia="en-IE"/>
              </w:rPr>
              <w:t> </w:t>
            </w:r>
          </w:p>
        </w:tc>
        <w:tc>
          <w:tcPr>
            <w:tcW w:w="978" w:type="dxa"/>
            <w:shd w:val="clear" w:color="auto" w:fill="FFFFFF"/>
            <w:noWrap/>
            <w:vAlign w:val="center"/>
            <w:hideMark/>
          </w:tcPr>
          <w:p w14:paraId="195B280D" w14:textId="77777777" w:rsidR="00A32677" w:rsidRPr="00BF0AD6" w:rsidRDefault="00A32677" w:rsidP="001C5897">
            <w:pPr>
              <w:jc w:val="center"/>
              <w:rPr>
                <w:rFonts w:ascii="Calibri" w:hAnsi="Calibri" w:cs="Calibri"/>
                <w:color w:val="000000"/>
                <w:sz w:val="18"/>
                <w:szCs w:val="18"/>
                <w:lang w:eastAsia="en-IE"/>
              </w:rPr>
            </w:pPr>
            <w:r w:rsidRPr="00BF0AD6">
              <w:rPr>
                <w:rFonts w:ascii="Calibri" w:hAnsi="Calibri" w:cs="Calibri"/>
                <w:color w:val="000000"/>
                <w:sz w:val="18"/>
                <w:szCs w:val="18"/>
                <w:lang w:eastAsia="en-IE"/>
              </w:rPr>
              <w:t> </w:t>
            </w:r>
          </w:p>
        </w:tc>
        <w:tc>
          <w:tcPr>
            <w:tcW w:w="1030" w:type="dxa"/>
            <w:gridSpan w:val="2"/>
            <w:shd w:val="clear" w:color="auto" w:fill="FFFFFF"/>
            <w:noWrap/>
            <w:vAlign w:val="center"/>
            <w:hideMark/>
          </w:tcPr>
          <w:p w14:paraId="591C4919" w14:textId="77777777" w:rsidR="00A32677" w:rsidRPr="00BF0AD6" w:rsidRDefault="00A32677" w:rsidP="001C5897">
            <w:pPr>
              <w:jc w:val="center"/>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1110" w:type="dxa"/>
            <w:shd w:val="clear" w:color="auto" w:fill="FFFFFF"/>
            <w:noWrap/>
            <w:vAlign w:val="center"/>
            <w:hideMark/>
          </w:tcPr>
          <w:p w14:paraId="2D2D1DC6" w14:textId="77777777" w:rsidR="00A32677" w:rsidRPr="00BF0AD6" w:rsidRDefault="00A32677" w:rsidP="001C5897">
            <w:pPr>
              <w:jc w:val="center"/>
              <w:rPr>
                <w:rFonts w:ascii="Calibri" w:hAnsi="Calibri" w:cs="Calibri"/>
                <w:color w:val="000000"/>
                <w:sz w:val="18"/>
                <w:szCs w:val="18"/>
                <w:lang w:eastAsia="en-IE"/>
              </w:rPr>
            </w:pPr>
            <w:r w:rsidRPr="00BF0AD6">
              <w:rPr>
                <w:rFonts w:ascii="Calibri" w:hAnsi="Calibri" w:cs="Calibri"/>
                <w:color w:val="000000"/>
                <w:sz w:val="18"/>
                <w:szCs w:val="18"/>
                <w:lang w:eastAsia="en-IE"/>
              </w:rPr>
              <w:t> </w:t>
            </w:r>
          </w:p>
        </w:tc>
        <w:tc>
          <w:tcPr>
            <w:tcW w:w="992" w:type="dxa"/>
            <w:tcBorders>
              <w:top w:val="single" w:sz="8" w:space="0" w:color="auto"/>
              <w:left w:val="single" w:sz="8" w:space="0" w:color="auto"/>
              <w:bottom w:val="nil"/>
              <w:right w:val="nil"/>
            </w:tcBorders>
            <w:shd w:val="clear" w:color="auto" w:fill="FFFFFF"/>
            <w:noWrap/>
            <w:vAlign w:val="center"/>
            <w:hideMark/>
          </w:tcPr>
          <w:p w14:paraId="36DBF8AA" w14:textId="77777777" w:rsidR="00A32677" w:rsidRPr="00BF0AD6" w:rsidRDefault="00A32677" w:rsidP="001C5897">
            <w:pPr>
              <w:jc w:val="center"/>
              <w:rPr>
                <w:rFonts w:ascii="Calibri" w:hAnsi="Calibri" w:cs="Calibri"/>
                <w:color w:val="000000"/>
                <w:sz w:val="18"/>
                <w:szCs w:val="18"/>
                <w:lang w:eastAsia="en-IE"/>
              </w:rPr>
            </w:pPr>
            <w:r w:rsidRPr="00BF0AD6">
              <w:rPr>
                <w:rFonts w:ascii="Calibri" w:hAnsi="Calibri" w:cs="Calibri"/>
                <w:color w:val="000000"/>
                <w:sz w:val="18"/>
                <w:szCs w:val="18"/>
                <w:lang w:eastAsia="en-IE"/>
              </w:rPr>
              <w:t> </w:t>
            </w:r>
          </w:p>
        </w:tc>
        <w:tc>
          <w:tcPr>
            <w:tcW w:w="992" w:type="dxa"/>
            <w:tcBorders>
              <w:top w:val="single" w:sz="8" w:space="0" w:color="auto"/>
              <w:left w:val="nil"/>
              <w:bottom w:val="nil"/>
              <w:right w:val="single" w:sz="8" w:space="0" w:color="auto"/>
            </w:tcBorders>
            <w:shd w:val="clear" w:color="auto" w:fill="FFFFFF"/>
            <w:noWrap/>
            <w:vAlign w:val="center"/>
            <w:hideMark/>
          </w:tcPr>
          <w:p w14:paraId="2FDF7364" w14:textId="77777777" w:rsidR="00A32677" w:rsidRPr="00BF0AD6" w:rsidRDefault="00A32677" w:rsidP="001C5897">
            <w:pPr>
              <w:jc w:val="center"/>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992" w:type="dxa"/>
            <w:shd w:val="clear" w:color="auto" w:fill="FFFFFF"/>
            <w:noWrap/>
            <w:vAlign w:val="center"/>
            <w:hideMark/>
          </w:tcPr>
          <w:p w14:paraId="2A5A90CE"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r>
      <w:tr w:rsidR="00A32677" w:rsidRPr="00BF0AD6" w14:paraId="3D826237" w14:textId="77777777" w:rsidTr="001C72D4">
        <w:trPr>
          <w:trHeight w:val="227"/>
        </w:trPr>
        <w:tc>
          <w:tcPr>
            <w:tcW w:w="2977" w:type="dxa"/>
            <w:shd w:val="clear" w:color="auto" w:fill="FFFFFF"/>
            <w:vAlign w:val="center"/>
            <w:hideMark/>
          </w:tcPr>
          <w:p w14:paraId="03B572AE" w14:textId="77777777" w:rsidR="00A32677" w:rsidRPr="00BF0AD6" w:rsidRDefault="00A32677" w:rsidP="00EE6630">
            <w:pPr>
              <w:ind w:right="-112"/>
              <w:rPr>
                <w:rFonts w:ascii="Calibri" w:hAnsi="Calibri" w:cs="Calibri"/>
                <w:b/>
                <w:bCs/>
                <w:color w:val="000000"/>
                <w:sz w:val="18"/>
                <w:szCs w:val="18"/>
                <w:lang w:eastAsia="en-IE"/>
              </w:rPr>
            </w:pPr>
            <w:bookmarkStart w:id="2" w:name="_Hlk69294647"/>
            <w:r w:rsidRPr="00BF0AD6">
              <w:rPr>
                <w:rFonts w:ascii="Calibri" w:hAnsi="Calibri" w:cs="Calibri"/>
                <w:b/>
                <w:bCs/>
                <w:color w:val="000000"/>
                <w:sz w:val="18"/>
                <w:szCs w:val="18"/>
                <w:lang w:eastAsia="en-IE"/>
              </w:rPr>
              <w:t> </w:t>
            </w:r>
          </w:p>
        </w:tc>
        <w:tc>
          <w:tcPr>
            <w:tcW w:w="992" w:type="dxa"/>
            <w:tcBorders>
              <w:top w:val="nil"/>
              <w:left w:val="single" w:sz="8" w:space="0" w:color="auto"/>
              <w:bottom w:val="nil"/>
              <w:right w:val="single" w:sz="8" w:space="0" w:color="auto"/>
            </w:tcBorders>
            <w:shd w:val="clear" w:color="auto" w:fill="FFFFFF"/>
            <w:noWrap/>
            <w:vAlign w:val="center"/>
            <w:hideMark/>
          </w:tcPr>
          <w:p w14:paraId="62FD33FB"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827" w:type="dxa"/>
            <w:shd w:val="clear" w:color="auto" w:fill="FFFFFF"/>
            <w:noWrap/>
            <w:vAlign w:val="center"/>
            <w:hideMark/>
          </w:tcPr>
          <w:p w14:paraId="26C01BEC"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Issued</w:t>
            </w:r>
          </w:p>
        </w:tc>
        <w:tc>
          <w:tcPr>
            <w:tcW w:w="978" w:type="dxa"/>
            <w:shd w:val="clear" w:color="auto" w:fill="FFFFFF"/>
            <w:noWrap/>
            <w:vAlign w:val="center"/>
            <w:hideMark/>
          </w:tcPr>
          <w:p w14:paraId="32FBEA40"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Share</w:t>
            </w:r>
          </w:p>
        </w:tc>
        <w:tc>
          <w:tcPr>
            <w:tcW w:w="1030" w:type="dxa"/>
            <w:gridSpan w:val="2"/>
            <w:shd w:val="clear" w:color="auto" w:fill="FFFFFF"/>
            <w:noWrap/>
            <w:vAlign w:val="center"/>
            <w:hideMark/>
          </w:tcPr>
          <w:p w14:paraId="055677F7"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Other</w:t>
            </w:r>
          </w:p>
        </w:tc>
        <w:tc>
          <w:tcPr>
            <w:tcW w:w="1110" w:type="dxa"/>
            <w:shd w:val="clear" w:color="auto" w:fill="FFFFFF"/>
            <w:noWrap/>
            <w:vAlign w:val="center"/>
            <w:hideMark/>
          </w:tcPr>
          <w:p w14:paraId="6144E29F"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992" w:type="dxa"/>
            <w:tcBorders>
              <w:top w:val="nil"/>
              <w:left w:val="single" w:sz="8" w:space="0" w:color="auto"/>
              <w:bottom w:val="nil"/>
              <w:right w:val="nil"/>
            </w:tcBorders>
            <w:shd w:val="clear" w:color="auto" w:fill="FFFFFF"/>
            <w:noWrap/>
            <w:vAlign w:val="center"/>
            <w:hideMark/>
          </w:tcPr>
          <w:p w14:paraId="2AB6C7D4"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Other</w:t>
            </w:r>
          </w:p>
        </w:tc>
        <w:tc>
          <w:tcPr>
            <w:tcW w:w="992" w:type="dxa"/>
            <w:tcBorders>
              <w:top w:val="nil"/>
              <w:left w:val="nil"/>
              <w:bottom w:val="nil"/>
              <w:right w:val="single" w:sz="8" w:space="0" w:color="auto"/>
            </w:tcBorders>
            <w:shd w:val="clear" w:color="auto" w:fill="FFFFFF"/>
            <w:noWrap/>
            <w:vAlign w:val="center"/>
            <w:hideMark/>
          </w:tcPr>
          <w:p w14:paraId="411CD03B"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992" w:type="dxa"/>
            <w:shd w:val="clear" w:color="auto" w:fill="FFFFFF"/>
            <w:noWrap/>
            <w:vAlign w:val="center"/>
            <w:hideMark/>
          </w:tcPr>
          <w:p w14:paraId="096D3477"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r>
      <w:tr w:rsidR="00A32677" w:rsidRPr="00BF0AD6" w14:paraId="62B7E315" w14:textId="77777777" w:rsidTr="001C72D4">
        <w:trPr>
          <w:trHeight w:val="227"/>
        </w:trPr>
        <w:tc>
          <w:tcPr>
            <w:tcW w:w="2977" w:type="dxa"/>
            <w:shd w:val="clear" w:color="auto" w:fill="FFFFFF"/>
            <w:vAlign w:val="center"/>
            <w:hideMark/>
          </w:tcPr>
          <w:p w14:paraId="4DFEBF88" w14:textId="77777777" w:rsidR="00A32677" w:rsidRPr="00BF0AD6" w:rsidRDefault="00A32677" w:rsidP="00EE6630">
            <w:pPr>
              <w:ind w:right="-112"/>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992" w:type="dxa"/>
            <w:tcBorders>
              <w:top w:val="nil"/>
              <w:left w:val="single" w:sz="8" w:space="0" w:color="auto"/>
              <w:bottom w:val="nil"/>
              <w:right w:val="single" w:sz="8" w:space="0" w:color="auto"/>
            </w:tcBorders>
            <w:shd w:val="clear" w:color="auto" w:fill="FFFFFF"/>
            <w:noWrap/>
            <w:vAlign w:val="center"/>
            <w:hideMark/>
          </w:tcPr>
          <w:p w14:paraId="41069F4B"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Ordinary</w:t>
            </w:r>
          </w:p>
        </w:tc>
        <w:tc>
          <w:tcPr>
            <w:tcW w:w="827" w:type="dxa"/>
            <w:shd w:val="clear" w:color="auto" w:fill="FFFFFF"/>
            <w:noWrap/>
            <w:vAlign w:val="center"/>
            <w:hideMark/>
          </w:tcPr>
          <w:p w14:paraId="3619E6C0"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Share</w:t>
            </w:r>
          </w:p>
        </w:tc>
        <w:tc>
          <w:tcPr>
            <w:tcW w:w="978" w:type="dxa"/>
            <w:shd w:val="clear" w:color="auto" w:fill="FFFFFF"/>
            <w:noWrap/>
            <w:vAlign w:val="center"/>
            <w:hideMark/>
          </w:tcPr>
          <w:p w14:paraId="1AB619D0"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Premium</w:t>
            </w:r>
          </w:p>
        </w:tc>
        <w:tc>
          <w:tcPr>
            <w:tcW w:w="1030" w:type="dxa"/>
            <w:gridSpan w:val="2"/>
            <w:shd w:val="clear" w:color="auto" w:fill="FFFFFF"/>
            <w:noWrap/>
            <w:vAlign w:val="center"/>
            <w:hideMark/>
          </w:tcPr>
          <w:p w14:paraId="5708EDAB"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Undenom.</w:t>
            </w:r>
          </w:p>
        </w:tc>
        <w:tc>
          <w:tcPr>
            <w:tcW w:w="1110" w:type="dxa"/>
            <w:shd w:val="clear" w:color="auto" w:fill="FFFFFF"/>
            <w:noWrap/>
            <w:vAlign w:val="center"/>
            <w:hideMark/>
          </w:tcPr>
          <w:p w14:paraId="0C92A04D"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Retained</w:t>
            </w:r>
          </w:p>
        </w:tc>
        <w:tc>
          <w:tcPr>
            <w:tcW w:w="992" w:type="dxa"/>
            <w:tcBorders>
              <w:top w:val="nil"/>
              <w:left w:val="single" w:sz="8" w:space="0" w:color="auto"/>
              <w:bottom w:val="nil"/>
              <w:right w:val="nil"/>
            </w:tcBorders>
            <w:shd w:val="clear" w:color="auto" w:fill="FFFFFF"/>
            <w:noWrap/>
            <w:vAlign w:val="center"/>
            <w:hideMark/>
          </w:tcPr>
          <w:p w14:paraId="701C6204"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Reserves</w:t>
            </w:r>
          </w:p>
        </w:tc>
        <w:tc>
          <w:tcPr>
            <w:tcW w:w="992" w:type="dxa"/>
            <w:tcBorders>
              <w:top w:val="nil"/>
              <w:left w:val="nil"/>
              <w:bottom w:val="nil"/>
              <w:right w:val="single" w:sz="8" w:space="0" w:color="auto"/>
            </w:tcBorders>
            <w:shd w:val="clear" w:color="auto" w:fill="FFFFFF"/>
            <w:noWrap/>
            <w:vAlign w:val="center"/>
            <w:hideMark/>
          </w:tcPr>
          <w:p w14:paraId="0BE92E90"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Other</w:t>
            </w:r>
          </w:p>
        </w:tc>
        <w:tc>
          <w:tcPr>
            <w:tcW w:w="992" w:type="dxa"/>
            <w:shd w:val="clear" w:color="auto" w:fill="FFFFFF"/>
            <w:noWrap/>
            <w:vAlign w:val="center"/>
            <w:hideMark/>
          </w:tcPr>
          <w:p w14:paraId="0BAC0E93"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r>
      <w:tr w:rsidR="00A32677" w:rsidRPr="00BF0AD6" w14:paraId="62B7C6C4" w14:textId="77777777" w:rsidTr="001C72D4">
        <w:trPr>
          <w:trHeight w:val="227"/>
        </w:trPr>
        <w:tc>
          <w:tcPr>
            <w:tcW w:w="2977" w:type="dxa"/>
            <w:shd w:val="clear" w:color="auto" w:fill="FFFFFF"/>
            <w:vAlign w:val="center"/>
            <w:hideMark/>
          </w:tcPr>
          <w:p w14:paraId="438F99FC" w14:textId="77777777" w:rsidR="00A32677" w:rsidRPr="00BF0AD6" w:rsidRDefault="00A32677" w:rsidP="00EE6630">
            <w:pPr>
              <w:ind w:right="-112"/>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992" w:type="dxa"/>
            <w:tcBorders>
              <w:top w:val="nil"/>
              <w:left w:val="single" w:sz="8" w:space="0" w:color="auto"/>
              <w:bottom w:val="nil"/>
              <w:right w:val="single" w:sz="8" w:space="0" w:color="auto"/>
            </w:tcBorders>
            <w:shd w:val="clear" w:color="auto" w:fill="FFFFFF"/>
            <w:noWrap/>
            <w:vAlign w:val="center"/>
            <w:hideMark/>
          </w:tcPr>
          <w:p w14:paraId="77132DF6"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Shares</w:t>
            </w:r>
          </w:p>
        </w:tc>
        <w:tc>
          <w:tcPr>
            <w:tcW w:w="827" w:type="dxa"/>
            <w:shd w:val="clear" w:color="auto" w:fill="FFFFFF"/>
            <w:noWrap/>
            <w:vAlign w:val="center"/>
            <w:hideMark/>
          </w:tcPr>
          <w:p w14:paraId="35D73945"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Capital</w:t>
            </w:r>
          </w:p>
        </w:tc>
        <w:tc>
          <w:tcPr>
            <w:tcW w:w="978" w:type="dxa"/>
            <w:shd w:val="clear" w:color="auto" w:fill="FFFFFF"/>
            <w:noWrap/>
            <w:vAlign w:val="center"/>
            <w:hideMark/>
          </w:tcPr>
          <w:p w14:paraId="1CBCCC22"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Account</w:t>
            </w:r>
          </w:p>
        </w:tc>
        <w:tc>
          <w:tcPr>
            <w:tcW w:w="1030" w:type="dxa"/>
            <w:gridSpan w:val="2"/>
            <w:shd w:val="clear" w:color="auto" w:fill="FFFFFF"/>
            <w:noWrap/>
            <w:vAlign w:val="center"/>
            <w:hideMark/>
          </w:tcPr>
          <w:p w14:paraId="11EFF372"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Capital</w:t>
            </w:r>
          </w:p>
        </w:tc>
        <w:tc>
          <w:tcPr>
            <w:tcW w:w="1110" w:type="dxa"/>
            <w:shd w:val="clear" w:color="auto" w:fill="FFFFFF"/>
            <w:noWrap/>
            <w:vAlign w:val="center"/>
            <w:hideMark/>
          </w:tcPr>
          <w:p w14:paraId="3D5B0DA4"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Earnings</w:t>
            </w:r>
          </w:p>
        </w:tc>
        <w:tc>
          <w:tcPr>
            <w:tcW w:w="992" w:type="dxa"/>
            <w:tcBorders>
              <w:top w:val="nil"/>
              <w:left w:val="single" w:sz="8" w:space="0" w:color="auto"/>
              <w:bottom w:val="nil"/>
              <w:right w:val="nil"/>
            </w:tcBorders>
            <w:shd w:val="clear" w:color="auto" w:fill="FFFFFF"/>
            <w:noWrap/>
            <w:vAlign w:val="center"/>
            <w:hideMark/>
          </w:tcPr>
          <w:p w14:paraId="69273361"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Hedging</w:t>
            </w:r>
          </w:p>
        </w:tc>
        <w:tc>
          <w:tcPr>
            <w:tcW w:w="992" w:type="dxa"/>
            <w:tcBorders>
              <w:top w:val="nil"/>
              <w:left w:val="nil"/>
              <w:bottom w:val="nil"/>
              <w:right w:val="single" w:sz="8" w:space="0" w:color="auto"/>
            </w:tcBorders>
            <w:shd w:val="clear" w:color="auto" w:fill="FFFFFF"/>
            <w:noWrap/>
            <w:vAlign w:val="center"/>
            <w:hideMark/>
          </w:tcPr>
          <w:p w14:paraId="1FEAF22C"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Reserves</w:t>
            </w:r>
          </w:p>
        </w:tc>
        <w:tc>
          <w:tcPr>
            <w:tcW w:w="992" w:type="dxa"/>
            <w:shd w:val="clear" w:color="auto" w:fill="FFFFFF"/>
            <w:noWrap/>
            <w:vAlign w:val="center"/>
            <w:hideMark/>
          </w:tcPr>
          <w:p w14:paraId="135944F9"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Total</w:t>
            </w:r>
          </w:p>
        </w:tc>
      </w:tr>
      <w:tr w:rsidR="00A32677" w:rsidRPr="00BF0AD6" w14:paraId="1E374FF4" w14:textId="77777777" w:rsidTr="001C72D4">
        <w:trPr>
          <w:trHeight w:val="227"/>
        </w:trPr>
        <w:tc>
          <w:tcPr>
            <w:tcW w:w="2977" w:type="dxa"/>
            <w:shd w:val="clear" w:color="auto" w:fill="FFFFFF"/>
            <w:vAlign w:val="center"/>
            <w:hideMark/>
          </w:tcPr>
          <w:p w14:paraId="3F5143E4" w14:textId="77777777" w:rsidR="00A32677" w:rsidRPr="00BF0AD6" w:rsidRDefault="00A32677" w:rsidP="00EE6630">
            <w:pPr>
              <w:ind w:right="-112"/>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 </w:t>
            </w:r>
          </w:p>
        </w:tc>
        <w:tc>
          <w:tcPr>
            <w:tcW w:w="992" w:type="dxa"/>
            <w:tcBorders>
              <w:top w:val="nil"/>
              <w:left w:val="single" w:sz="8" w:space="0" w:color="auto"/>
              <w:right w:val="single" w:sz="8" w:space="0" w:color="auto"/>
            </w:tcBorders>
            <w:shd w:val="clear" w:color="auto" w:fill="FFFFFF"/>
            <w:noWrap/>
            <w:vAlign w:val="center"/>
            <w:hideMark/>
          </w:tcPr>
          <w:p w14:paraId="2BA650E1"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c>
          <w:tcPr>
            <w:tcW w:w="827" w:type="dxa"/>
            <w:shd w:val="clear" w:color="auto" w:fill="FFFFFF"/>
            <w:noWrap/>
            <w:vAlign w:val="center"/>
            <w:hideMark/>
          </w:tcPr>
          <w:p w14:paraId="2679936B"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c>
          <w:tcPr>
            <w:tcW w:w="978" w:type="dxa"/>
            <w:shd w:val="clear" w:color="auto" w:fill="FFFFFF"/>
            <w:noWrap/>
            <w:vAlign w:val="center"/>
            <w:hideMark/>
          </w:tcPr>
          <w:p w14:paraId="211934E2"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c>
          <w:tcPr>
            <w:tcW w:w="1030" w:type="dxa"/>
            <w:gridSpan w:val="2"/>
            <w:shd w:val="clear" w:color="auto" w:fill="FFFFFF"/>
            <w:noWrap/>
            <w:vAlign w:val="center"/>
            <w:hideMark/>
          </w:tcPr>
          <w:p w14:paraId="5F0E80BD"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c>
          <w:tcPr>
            <w:tcW w:w="1110" w:type="dxa"/>
            <w:shd w:val="clear" w:color="auto" w:fill="FFFFFF"/>
            <w:noWrap/>
            <w:vAlign w:val="center"/>
            <w:hideMark/>
          </w:tcPr>
          <w:p w14:paraId="4A6DCD2B"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c>
          <w:tcPr>
            <w:tcW w:w="992" w:type="dxa"/>
            <w:tcBorders>
              <w:top w:val="nil"/>
              <w:left w:val="single" w:sz="8" w:space="0" w:color="auto"/>
              <w:right w:val="nil"/>
            </w:tcBorders>
            <w:shd w:val="clear" w:color="auto" w:fill="FFFFFF"/>
            <w:noWrap/>
            <w:vAlign w:val="center"/>
            <w:hideMark/>
          </w:tcPr>
          <w:p w14:paraId="7164C3C8"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c>
          <w:tcPr>
            <w:tcW w:w="992" w:type="dxa"/>
            <w:tcBorders>
              <w:top w:val="nil"/>
              <w:left w:val="nil"/>
              <w:right w:val="single" w:sz="8" w:space="0" w:color="auto"/>
            </w:tcBorders>
            <w:shd w:val="clear" w:color="auto" w:fill="FFFFFF"/>
            <w:noWrap/>
            <w:vAlign w:val="center"/>
            <w:hideMark/>
          </w:tcPr>
          <w:p w14:paraId="41B7D5B4"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c>
          <w:tcPr>
            <w:tcW w:w="992" w:type="dxa"/>
            <w:shd w:val="clear" w:color="auto" w:fill="FFFFFF"/>
            <w:noWrap/>
            <w:vAlign w:val="center"/>
            <w:hideMark/>
          </w:tcPr>
          <w:p w14:paraId="448E3295" w14:textId="77777777" w:rsidR="00A32677" w:rsidRPr="00BF0AD6" w:rsidRDefault="00A32677" w:rsidP="001C5897">
            <w:pPr>
              <w:jc w:val="right"/>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€M</w:t>
            </w:r>
          </w:p>
        </w:tc>
      </w:tr>
      <w:tr w:rsidR="00A32677" w:rsidRPr="00BF0AD6" w14:paraId="5F7F9E31" w14:textId="77777777" w:rsidTr="001C72D4">
        <w:trPr>
          <w:trHeight w:val="227"/>
        </w:trPr>
        <w:tc>
          <w:tcPr>
            <w:tcW w:w="2977" w:type="dxa"/>
            <w:shd w:val="clear" w:color="auto" w:fill="FFFFFF"/>
            <w:vAlign w:val="center"/>
          </w:tcPr>
          <w:p w14:paraId="4B03049A" w14:textId="77777777" w:rsidR="00A32677" w:rsidRPr="00BF0AD6" w:rsidRDefault="00A32677" w:rsidP="00EE6630">
            <w:pPr>
              <w:ind w:right="-112"/>
              <w:rPr>
                <w:rFonts w:ascii="Calibri" w:hAnsi="Calibri" w:cs="Calibri"/>
                <w:b/>
                <w:bCs/>
                <w:color w:val="000000"/>
                <w:sz w:val="18"/>
                <w:szCs w:val="18"/>
                <w:lang w:eastAsia="en-IE"/>
              </w:rPr>
            </w:pPr>
          </w:p>
        </w:tc>
        <w:tc>
          <w:tcPr>
            <w:tcW w:w="992" w:type="dxa"/>
            <w:tcBorders>
              <w:top w:val="nil"/>
              <w:left w:val="single" w:sz="8" w:space="0" w:color="auto"/>
              <w:bottom w:val="single" w:sz="12" w:space="0" w:color="auto"/>
              <w:right w:val="single" w:sz="8" w:space="0" w:color="auto"/>
            </w:tcBorders>
            <w:shd w:val="clear" w:color="auto" w:fill="FFFFFF"/>
            <w:noWrap/>
            <w:vAlign w:val="center"/>
          </w:tcPr>
          <w:p w14:paraId="4DD4744B" w14:textId="77777777" w:rsidR="00A32677" w:rsidRPr="00BF0AD6" w:rsidRDefault="00A32677" w:rsidP="001C5897">
            <w:pPr>
              <w:jc w:val="right"/>
              <w:rPr>
                <w:rFonts w:ascii="Calibri" w:hAnsi="Calibri" w:cs="Calibri"/>
                <w:b/>
                <w:bCs/>
                <w:color w:val="000000"/>
                <w:sz w:val="18"/>
                <w:szCs w:val="18"/>
                <w:lang w:eastAsia="en-IE"/>
              </w:rPr>
            </w:pPr>
          </w:p>
        </w:tc>
        <w:tc>
          <w:tcPr>
            <w:tcW w:w="827" w:type="dxa"/>
            <w:tcBorders>
              <w:bottom w:val="single" w:sz="12" w:space="0" w:color="auto"/>
            </w:tcBorders>
            <w:shd w:val="clear" w:color="auto" w:fill="FFFFFF"/>
            <w:noWrap/>
            <w:vAlign w:val="center"/>
          </w:tcPr>
          <w:p w14:paraId="6A7E2DBF" w14:textId="77777777" w:rsidR="00A32677" w:rsidRPr="00BF0AD6" w:rsidRDefault="00A32677" w:rsidP="001C5897">
            <w:pPr>
              <w:jc w:val="right"/>
              <w:rPr>
                <w:rFonts w:ascii="Calibri" w:hAnsi="Calibri" w:cs="Calibri"/>
                <w:b/>
                <w:bCs/>
                <w:color w:val="000000"/>
                <w:sz w:val="18"/>
                <w:szCs w:val="18"/>
                <w:lang w:eastAsia="en-IE"/>
              </w:rPr>
            </w:pPr>
          </w:p>
        </w:tc>
        <w:tc>
          <w:tcPr>
            <w:tcW w:w="978" w:type="dxa"/>
            <w:tcBorders>
              <w:bottom w:val="single" w:sz="12" w:space="0" w:color="auto"/>
            </w:tcBorders>
            <w:shd w:val="clear" w:color="auto" w:fill="FFFFFF"/>
            <w:noWrap/>
            <w:vAlign w:val="center"/>
          </w:tcPr>
          <w:p w14:paraId="05ADE3B0" w14:textId="77777777" w:rsidR="00A32677" w:rsidRPr="00BF0AD6" w:rsidRDefault="00A32677" w:rsidP="001C5897">
            <w:pPr>
              <w:jc w:val="right"/>
              <w:rPr>
                <w:rFonts w:ascii="Calibri" w:hAnsi="Calibri" w:cs="Calibri"/>
                <w:b/>
                <w:bCs/>
                <w:color w:val="000000"/>
                <w:sz w:val="18"/>
                <w:szCs w:val="18"/>
                <w:lang w:eastAsia="en-IE"/>
              </w:rPr>
            </w:pPr>
          </w:p>
        </w:tc>
        <w:tc>
          <w:tcPr>
            <w:tcW w:w="1030" w:type="dxa"/>
            <w:gridSpan w:val="2"/>
            <w:tcBorders>
              <w:bottom w:val="single" w:sz="12" w:space="0" w:color="auto"/>
            </w:tcBorders>
            <w:shd w:val="clear" w:color="auto" w:fill="FFFFFF"/>
            <w:noWrap/>
            <w:vAlign w:val="center"/>
          </w:tcPr>
          <w:p w14:paraId="7B048E9B" w14:textId="77777777" w:rsidR="00A32677" w:rsidRPr="00BF0AD6" w:rsidRDefault="00A32677" w:rsidP="001C5897">
            <w:pPr>
              <w:jc w:val="right"/>
              <w:rPr>
                <w:rFonts w:ascii="Calibri" w:hAnsi="Calibri" w:cs="Calibri"/>
                <w:b/>
                <w:bCs/>
                <w:color w:val="000000"/>
                <w:sz w:val="18"/>
                <w:szCs w:val="18"/>
                <w:lang w:eastAsia="en-IE"/>
              </w:rPr>
            </w:pPr>
          </w:p>
        </w:tc>
        <w:tc>
          <w:tcPr>
            <w:tcW w:w="1110" w:type="dxa"/>
            <w:tcBorders>
              <w:bottom w:val="single" w:sz="12" w:space="0" w:color="auto"/>
            </w:tcBorders>
            <w:shd w:val="clear" w:color="auto" w:fill="FFFFFF"/>
            <w:noWrap/>
            <w:vAlign w:val="center"/>
          </w:tcPr>
          <w:p w14:paraId="78DFCEEF" w14:textId="77777777" w:rsidR="00A32677" w:rsidRPr="00BF0AD6" w:rsidRDefault="00A32677" w:rsidP="001C5897">
            <w:pPr>
              <w:jc w:val="right"/>
              <w:rPr>
                <w:rFonts w:ascii="Calibri" w:hAnsi="Calibri" w:cs="Calibri"/>
                <w:b/>
                <w:bCs/>
                <w:color w:val="000000"/>
                <w:sz w:val="18"/>
                <w:szCs w:val="18"/>
                <w:lang w:eastAsia="en-IE"/>
              </w:rPr>
            </w:pPr>
          </w:p>
        </w:tc>
        <w:tc>
          <w:tcPr>
            <w:tcW w:w="992" w:type="dxa"/>
            <w:tcBorders>
              <w:top w:val="nil"/>
              <w:left w:val="single" w:sz="8" w:space="0" w:color="auto"/>
              <w:bottom w:val="single" w:sz="12" w:space="0" w:color="auto"/>
              <w:right w:val="nil"/>
            </w:tcBorders>
            <w:shd w:val="clear" w:color="auto" w:fill="FFFFFF"/>
            <w:noWrap/>
            <w:vAlign w:val="center"/>
          </w:tcPr>
          <w:p w14:paraId="3D12A621" w14:textId="77777777" w:rsidR="00A32677" w:rsidRPr="00BF0AD6" w:rsidRDefault="00A32677" w:rsidP="001C5897">
            <w:pPr>
              <w:jc w:val="right"/>
              <w:rPr>
                <w:rFonts w:ascii="Calibri" w:hAnsi="Calibri" w:cs="Calibri"/>
                <w:b/>
                <w:bCs/>
                <w:color w:val="000000"/>
                <w:sz w:val="18"/>
                <w:szCs w:val="18"/>
                <w:lang w:eastAsia="en-IE"/>
              </w:rPr>
            </w:pPr>
          </w:p>
        </w:tc>
        <w:tc>
          <w:tcPr>
            <w:tcW w:w="992" w:type="dxa"/>
            <w:tcBorders>
              <w:top w:val="nil"/>
              <w:left w:val="nil"/>
              <w:bottom w:val="single" w:sz="12" w:space="0" w:color="auto"/>
              <w:right w:val="single" w:sz="8" w:space="0" w:color="auto"/>
            </w:tcBorders>
            <w:shd w:val="clear" w:color="auto" w:fill="FFFFFF"/>
            <w:noWrap/>
            <w:vAlign w:val="center"/>
          </w:tcPr>
          <w:p w14:paraId="0F7C0AD8" w14:textId="77777777" w:rsidR="00A32677" w:rsidRPr="00BF0AD6" w:rsidRDefault="00A32677" w:rsidP="001C5897">
            <w:pPr>
              <w:jc w:val="right"/>
              <w:rPr>
                <w:rFonts w:ascii="Calibri" w:hAnsi="Calibri" w:cs="Calibri"/>
                <w:b/>
                <w:bCs/>
                <w:color w:val="000000"/>
                <w:sz w:val="18"/>
                <w:szCs w:val="18"/>
                <w:lang w:eastAsia="en-IE"/>
              </w:rPr>
            </w:pPr>
          </w:p>
        </w:tc>
        <w:tc>
          <w:tcPr>
            <w:tcW w:w="992" w:type="dxa"/>
            <w:tcBorders>
              <w:bottom w:val="single" w:sz="12" w:space="0" w:color="auto"/>
            </w:tcBorders>
            <w:shd w:val="clear" w:color="auto" w:fill="FFFFFF"/>
            <w:noWrap/>
            <w:vAlign w:val="center"/>
          </w:tcPr>
          <w:p w14:paraId="24B8C58E" w14:textId="77777777" w:rsidR="00A32677" w:rsidRPr="00BF0AD6" w:rsidRDefault="00A32677" w:rsidP="001C5897">
            <w:pPr>
              <w:jc w:val="right"/>
              <w:rPr>
                <w:rFonts w:ascii="Calibri" w:hAnsi="Calibri" w:cs="Calibri"/>
                <w:b/>
                <w:bCs/>
                <w:color w:val="000000"/>
                <w:sz w:val="18"/>
                <w:szCs w:val="18"/>
                <w:lang w:eastAsia="en-IE"/>
              </w:rPr>
            </w:pPr>
          </w:p>
        </w:tc>
      </w:tr>
      <w:tr w:rsidR="00A32677" w:rsidRPr="00BF0AD6" w14:paraId="1E7DE4AB" w14:textId="77777777" w:rsidTr="001C72D4">
        <w:trPr>
          <w:trHeight w:val="227"/>
        </w:trPr>
        <w:tc>
          <w:tcPr>
            <w:tcW w:w="2977" w:type="dxa"/>
            <w:shd w:val="clear" w:color="auto" w:fill="FFFFFF"/>
            <w:vAlign w:val="bottom"/>
            <w:hideMark/>
          </w:tcPr>
          <w:p w14:paraId="3DE4B430" w14:textId="77777777" w:rsidR="00A32677" w:rsidRPr="00BF0AD6" w:rsidRDefault="00A32677" w:rsidP="00EE6630">
            <w:pPr>
              <w:ind w:right="-112"/>
              <w:rPr>
                <w:rFonts w:ascii="Calibri" w:hAnsi="Calibri" w:cs="Calibri"/>
                <w:b/>
                <w:bCs/>
                <w:color w:val="000000"/>
                <w:sz w:val="18"/>
                <w:szCs w:val="18"/>
                <w:lang w:eastAsia="en-IE"/>
              </w:rPr>
            </w:pPr>
            <w:r w:rsidRPr="00E62280">
              <w:rPr>
                <w:rFonts w:ascii="Calibri" w:hAnsi="Calibri" w:cs="Calibri"/>
                <w:b/>
                <w:bCs/>
                <w:color w:val="000000"/>
                <w:sz w:val="18"/>
                <w:szCs w:val="18"/>
              </w:rPr>
              <w:t>Balance at March 31, 202</w:t>
            </w:r>
            <w:r>
              <w:rPr>
                <w:rFonts w:ascii="Calibri" w:hAnsi="Calibri" w:cs="Calibri"/>
                <w:b/>
                <w:bCs/>
                <w:color w:val="000000"/>
                <w:sz w:val="18"/>
                <w:szCs w:val="18"/>
              </w:rPr>
              <w:t>2</w:t>
            </w:r>
          </w:p>
        </w:tc>
        <w:tc>
          <w:tcPr>
            <w:tcW w:w="992" w:type="dxa"/>
            <w:tcBorders>
              <w:top w:val="single" w:sz="12" w:space="0" w:color="auto"/>
              <w:left w:val="single" w:sz="8" w:space="0" w:color="auto"/>
              <w:bottom w:val="single" w:sz="12" w:space="0" w:color="auto"/>
              <w:right w:val="single" w:sz="8" w:space="0" w:color="auto"/>
            </w:tcBorders>
            <w:shd w:val="clear" w:color="auto" w:fill="FFFFFF"/>
            <w:noWrap/>
            <w:vAlign w:val="bottom"/>
            <w:hideMark/>
          </w:tcPr>
          <w:p w14:paraId="09E16EFB"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1,134.6</w:t>
            </w:r>
          </w:p>
        </w:tc>
        <w:tc>
          <w:tcPr>
            <w:tcW w:w="827" w:type="dxa"/>
            <w:tcBorders>
              <w:top w:val="single" w:sz="12" w:space="0" w:color="auto"/>
              <w:left w:val="nil"/>
              <w:bottom w:val="single" w:sz="12" w:space="0" w:color="auto"/>
              <w:right w:val="nil"/>
            </w:tcBorders>
            <w:shd w:val="clear" w:color="auto" w:fill="FFFFFF"/>
            <w:noWrap/>
            <w:vAlign w:val="bottom"/>
            <w:hideMark/>
          </w:tcPr>
          <w:p w14:paraId="286B48FC"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6.8</w:t>
            </w:r>
          </w:p>
        </w:tc>
        <w:tc>
          <w:tcPr>
            <w:tcW w:w="978" w:type="dxa"/>
            <w:tcBorders>
              <w:top w:val="single" w:sz="12" w:space="0" w:color="auto"/>
              <w:left w:val="nil"/>
              <w:bottom w:val="single" w:sz="12" w:space="0" w:color="auto"/>
              <w:right w:val="nil"/>
            </w:tcBorders>
            <w:shd w:val="clear" w:color="auto" w:fill="FFFFFF"/>
            <w:noWrap/>
            <w:vAlign w:val="bottom"/>
            <w:hideMark/>
          </w:tcPr>
          <w:p w14:paraId="36DBAF0F"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1,328.2</w:t>
            </w:r>
          </w:p>
        </w:tc>
        <w:tc>
          <w:tcPr>
            <w:tcW w:w="1030" w:type="dxa"/>
            <w:gridSpan w:val="2"/>
            <w:tcBorders>
              <w:top w:val="single" w:sz="12" w:space="0" w:color="auto"/>
              <w:left w:val="nil"/>
              <w:bottom w:val="single" w:sz="12" w:space="0" w:color="auto"/>
              <w:right w:val="nil"/>
            </w:tcBorders>
            <w:shd w:val="clear" w:color="auto" w:fill="FFFFFF"/>
            <w:noWrap/>
            <w:vAlign w:val="bottom"/>
            <w:hideMark/>
          </w:tcPr>
          <w:p w14:paraId="24D79F2E"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3.5</w:t>
            </w:r>
          </w:p>
        </w:tc>
        <w:tc>
          <w:tcPr>
            <w:tcW w:w="1110" w:type="dxa"/>
            <w:tcBorders>
              <w:top w:val="single" w:sz="12" w:space="0" w:color="auto"/>
              <w:left w:val="nil"/>
              <w:bottom w:val="single" w:sz="12" w:space="0" w:color="auto"/>
              <w:right w:val="nil"/>
            </w:tcBorders>
            <w:shd w:val="clear" w:color="auto" w:fill="FFFFFF"/>
            <w:noWrap/>
            <w:vAlign w:val="bottom"/>
            <w:hideMark/>
          </w:tcPr>
          <w:p w14:paraId="7F025B2F"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rPr>
              <w:t>2,880.9</w:t>
            </w:r>
          </w:p>
        </w:tc>
        <w:tc>
          <w:tcPr>
            <w:tcW w:w="992" w:type="dxa"/>
            <w:tcBorders>
              <w:top w:val="single" w:sz="12" w:space="0" w:color="auto"/>
              <w:left w:val="single" w:sz="8" w:space="0" w:color="auto"/>
              <w:bottom w:val="single" w:sz="12" w:space="0" w:color="auto"/>
              <w:right w:val="nil"/>
            </w:tcBorders>
            <w:shd w:val="clear" w:color="auto" w:fill="FFFFFF"/>
            <w:noWrap/>
            <w:vAlign w:val="bottom"/>
            <w:hideMark/>
          </w:tcPr>
          <w:p w14:paraId="1871121D"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1,295.4</w:t>
            </w:r>
          </w:p>
        </w:tc>
        <w:tc>
          <w:tcPr>
            <w:tcW w:w="992" w:type="dxa"/>
            <w:tcBorders>
              <w:top w:val="single" w:sz="12" w:space="0" w:color="auto"/>
              <w:left w:val="nil"/>
              <w:bottom w:val="single" w:sz="12" w:space="0" w:color="auto"/>
              <w:right w:val="single" w:sz="8" w:space="0" w:color="auto"/>
            </w:tcBorders>
            <w:shd w:val="clear" w:color="auto" w:fill="FFFFFF"/>
            <w:noWrap/>
            <w:vAlign w:val="bottom"/>
            <w:hideMark/>
          </w:tcPr>
          <w:p w14:paraId="44D095B6"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30.5</w:t>
            </w:r>
          </w:p>
        </w:tc>
        <w:tc>
          <w:tcPr>
            <w:tcW w:w="992" w:type="dxa"/>
            <w:tcBorders>
              <w:top w:val="single" w:sz="12" w:space="0" w:color="auto"/>
              <w:left w:val="nil"/>
              <w:bottom w:val="single" w:sz="12" w:space="0" w:color="auto"/>
              <w:right w:val="nil"/>
            </w:tcBorders>
            <w:shd w:val="clear" w:color="auto" w:fill="FFFFFF"/>
            <w:noWrap/>
            <w:vAlign w:val="bottom"/>
            <w:hideMark/>
          </w:tcPr>
          <w:p w14:paraId="110C4348" w14:textId="77777777" w:rsidR="00A32677" w:rsidRPr="00757AE3" w:rsidRDefault="00A32677" w:rsidP="001C5897">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5,545.3</w:t>
            </w:r>
          </w:p>
        </w:tc>
      </w:tr>
      <w:tr w:rsidR="00A32677" w:rsidRPr="00BF0AD6" w14:paraId="2231AE99" w14:textId="77777777" w:rsidTr="001C72D4">
        <w:trPr>
          <w:trHeight w:val="227"/>
        </w:trPr>
        <w:tc>
          <w:tcPr>
            <w:tcW w:w="2977" w:type="dxa"/>
            <w:shd w:val="clear" w:color="auto" w:fill="FFFFFF"/>
            <w:vAlign w:val="bottom"/>
            <w:hideMark/>
          </w:tcPr>
          <w:p w14:paraId="5EBA40D9" w14:textId="77777777" w:rsidR="00A32677" w:rsidRPr="00BF0AD6" w:rsidRDefault="00A32677" w:rsidP="00EE6630">
            <w:pPr>
              <w:ind w:right="-112"/>
              <w:rPr>
                <w:rFonts w:ascii="Calibri" w:hAnsi="Calibri" w:cs="Calibri"/>
                <w:color w:val="000000"/>
                <w:sz w:val="18"/>
                <w:szCs w:val="18"/>
                <w:lang w:eastAsia="en-IE"/>
              </w:rPr>
            </w:pPr>
            <w:r>
              <w:rPr>
                <w:rFonts w:ascii="Calibri" w:hAnsi="Calibri" w:cs="Calibri"/>
                <w:bCs/>
                <w:color w:val="000000"/>
                <w:sz w:val="18"/>
                <w:szCs w:val="18"/>
              </w:rPr>
              <w:t>Profit</w:t>
            </w:r>
            <w:r w:rsidRPr="00961843">
              <w:rPr>
                <w:rFonts w:ascii="Calibri" w:hAnsi="Calibri" w:cs="Calibri"/>
                <w:bCs/>
                <w:color w:val="000000"/>
                <w:sz w:val="18"/>
                <w:szCs w:val="18"/>
              </w:rPr>
              <w:t xml:space="preserve"> for</w:t>
            </w:r>
            <w:r w:rsidRPr="00E62280">
              <w:rPr>
                <w:rFonts w:ascii="Calibri" w:hAnsi="Calibri" w:cs="Calibri"/>
                <w:bCs/>
                <w:color w:val="000000"/>
                <w:sz w:val="18"/>
                <w:szCs w:val="18"/>
              </w:rPr>
              <w:t xml:space="preserve"> the </w:t>
            </w:r>
            <w:r w:rsidR="00057CA1">
              <w:rPr>
                <w:rFonts w:ascii="Calibri" w:hAnsi="Calibri" w:cs="Calibri"/>
                <w:bCs/>
                <w:color w:val="000000"/>
                <w:sz w:val="18"/>
                <w:szCs w:val="18"/>
              </w:rPr>
              <w:t>nine months</w:t>
            </w:r>
          </w:p>
        </w:tc>
        <w:tc>
          <w:tcPr>
            <w:tcW w:w="992" w:type="dxa"/>
            <w:tcBorders>
              <w:top w:val="single" w:sz="12" w:space="0" w:color="auto"/>
              <w:left w:val="single" w:sz="8" w:space="0" w:color="auto"/>
              <w:bottom w:val="nil"/>
              <w:right w:val="single" w:sz="8" w:space="0" w:color="auto"/>
            </w:tcBorders>
            <w:shd w:val="clear" w:color="auto" w:fill="FFFFFF"/>
            <w:noWrap/>
            <w:vAlign w:val="bottom"/>
          </w:tcPr>
          <w:p w14:paraId="2A569EAC"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827" w:type="dxa"/>
            <w:tcBorders>
              <w:top w:val="single" w:sz="12" w:space="0" w:color="auto"/>
            </w:tcBorders>
            <w:shd w:val="clear" w:color="auto" w:fill="FFFFFF"/>
            <w:noWrap/>
            <w:vAlign w:val="bottom"/>
          </w:tcPr>
          <w:p w14:paraId="5811FE28"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78" w:type="dxa"/>
            <w:tcBorders>
              <w:top w:val="single" w:sz="12" w:space="0" w:color="auto"/>
            </w:tcBorders>
            <w:shd w:val="clear" w:color="auto" w:fill="FFFFFF"/>
            <w:noWrap/>
            <w:vAlign w:val="bottom"/>
          </w:tcPr>
          <w:p w14:paraId="45501DEC"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030" w:type="dxa"/>
            <w:gridSpan w:val="2"/>
            <w:tcBorders>
              <w:top w:val="single" w:sz="12" w:space="0" w:color="auto"/>
            </w:tcBorders>
            <w:shd w:val="clear" w:color="auto" w:fill="FFFFFF"/>
            <w:noWrap/>
            <w:vAlign w:val="bottom"/>
          </w:tcPr>
          <w:p w14:paraId="2D98B4F6"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110" w:type="dxa"/>
            <w:tcBorders>
              <w:top w:val="single" w:sz="12" w:space="0" w:color="auto"/>
            </w:tcBorders>
            <w:shd w:val="clear" w:color="auto" w:fill="FFFFFF"/>
            <w:noWrap/>
            <w:vAlign w:val="bottom"/>
          </w:tcPr>
          <w:p w14:paraId="56630D1E"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1,465.5</w:t>
            </w:r>
          </w:p>
        </w:tc>
        <w:tc>
          <w:tcPr>
            <w:tcW w:w="992" w:type="dxa"/>
            <w:tcBorders>
              <w:top w:val="single" w:sz="12" w:space="0" w:color="auto"/>
              <w:left w:val="single" w:sz="8" w:space="0" w:color="auto"/>
              <w:bottom w:val="nil"/>
              <w:right w:val="nil"/>
            </w:tcBorders>
            <w:shd w:val="clear" w:color="auto" w:fill="FFFFFF"/>
            <w:noWrap/>
            <w:vAlign w:val="bottom"/>
          </w:tcPr>
          <w:p w14:paraId="30FB2A3E"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92" w:type="dxa"/>
            <w:tcBorders>
              <w:top w:val="single" w:sz="12" w:space="0" w:color="auto"/>
              <w:left w:val="nil"/>
              <w:bottom w:val="nil"/>
              <w:right w:val="single" w:sz="8" w:space="0" w:color="auto"/>
            </w:tcBorders>
            <w:shd w:val="clear" w:color="auto" w:fill="FFFFFF"/>
            <w:noWrap/>
            <w:vAlign w:val="bottom"/>
          </w:tcPr>
          <w:p w14:paraId="2E90470B"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92" w:type="dxa"/>
            <w:tcBorders>
              <w:top w:val="single" w:sz="12" w:space="0" w:color="auto"/>
            </w:tcBorders>
            <w:shd w:val="clear" w:color="auto" w:fill="FFFFFF"/>
            <w:noWrap/>
            <w:vAlign w:val="bottom"/>
          </w:tcPr>
          <w:p w14:paraId="70024583"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1,465.5</w:t>
            </w:r>
          </w:p>
        </w:tc>
      </w:tr>
      <w:tr w:rsidR="00A32677" w:rsidRPr="00BF0AD6" w14:paraId="65E4A53A" w14:textId="77777777" w:rsidTr="001C72D4">
        <w:trPr>
          <w:trHeight w:val="227"/>
        </w:trPr>
        <w:tc>
          <w:tcPr>
            <w:tcW w:w="2977" w:type="dxa"/>
            <w:shd w:val="clear" w:color="auto" w:fill="FFFFFF"/>
            <w:vAlign w:val="bottom"/>
            <w:hideMark/>
          </w:tcPr>
          <w:p w14:paraId="6703EEBC" w14:textId="77777777" w:rsidR="00A32677" w:rsidRPr="00BF0AD6" w:rsidRDefault="00A32677" w:rsidP="00EE6630">
            <w:pPr>
              <w:ind w:right="-112"/>
              <w:rPr>
                <w:rFonts w:ascii="Calibri" w:hAnsi="Calibri" w:cs="Calibri"/>
                <w:i/>
                <w:iCs/>
                <w:color w:val="000000"/>
                <w:sz w:val="18"/>
                <w:szCs w:val="18"/>
                <w:lang w:eastAsia="en-IE"/>
              </w:rPr>
            </w:pPr>
            <w:r w:rsidRPr="00E62280">
              <w:rPr>
                <w:rFonts w:ascii="Calibri" w:hAnsi="Calibri" w:cs="Calibri"/>
                <w:bCs/>
                <w:i/>
                <w:color w:val="000000"/>
                <w:sz w:val="18"/>
                <w:szCs w:val="18"/>
              </w:rPr>
              <w:t>Other comprehensive</w:t>
            </w:r>
            <w:r w:rsidR="00BE72C3">
              <w:rPr>
                <w:rFonts w:ascii="Calibri" w:hAnsi="Calibri" w:cs="Calibri"/>
                <w:bCs/>
                <w:i/>
                <w:color w:val="000000"/>
                <w:sz w:val="18"/>
                <w:szCs w:val="18"/>
              </w:rPr>
              <w:t xml:space="preserve"> income/(</w:t>
            </w:r>
            <w:r>
              <w:rPr>
                <w:rFonts w:ascii="Calibri" w:hAnsi="Calibri" w:cs="Calibri"/>
                <w:bCs/>
                <w:i/>
                <w:color w:val="000000"/>
                <w:sz w:val="18"/>
                <w:szCs w:val="18"/>
              </w:rPr>
              <w:t>loss</w:t>
            </w:r>
            <w:r w:rsidR="00BE72C3">
              <w:rPr>
                <w:rFonts w:ascii="Calibri" w:hAnsi="Calibri" w:cs="Calibri"/>
                <w:bCs/>
                <w:i/>
                <w:color w:val="000000"/>
                <w:sz w:val="18"/>
                <w:szCs w:val="18"/>
              </w:rPr>
              <w:t>)</w:t>
            </w:r>
          </w:p>
        </w:tc>
        <w:tc>
          <w:tcPr>
            <w:tcW w:w="992" w:type="dxa"/>
            <w:tcBorders>
              <w:top w:val="nil"/>
              <w:left w:val="single" w:sz="8" w:space="0" w:color="auto"/>
              <w:bottom w:val="nil"/>
              <w:right w:val="single" w:sz="8" w:space="0" w:color="auto"/>
            </w:tcBorders>
            <w:shd w:val="clear" w:color="auto" w:fill="FFFFFF"/>
            <w:noWrap/>
            <w:vAlign w:val="bottom"/>
          </w:tcPr>
          <w:p w14:paraId="1CEA8342" w14:textId="77777777" w:rsidR="00A32677" w:rsidRPr="00757AE3" w:rsidRDefault="00A32677" w:rsidP="001C5897">
            <w:pPr>
              <w:jc w:val="right"/>
              <w:rPr>
                <w:rFonts w:ascii="Calibri" w:hAnsi="Calibri" w:cs="Calibri"/>
                <w:i/>
                <w:iCs/>
                <w:color w:val="000000"/>
                <w:sz w:val="18"/>
                <w:szCs w:val="18"/>
                <w:lang w:eastAsia="en-IE"/>
              </w:rPr>
            </w:pPr>
          </w:p>
        </w:tc>
        <w:tc>
          <w:tcPr>
            <w:tcW w:w="827" w:type="dxa"/>
            <w:shd w:val="clear" w:color="auto" w:fill="FFFFFF"/>
            <w:noWrap/>
            <w:vAlign w:val="bottom"/>
          </w:tcPr>
          <w:p w14:paraId="6BBA3019" w14:textId="77777777" w:rsidR="00A32677" w:rsidRPr="00757AE3" w:rsidRDefault="00A32677" w:rsidP="001C5897">
            <w:pPr>
              <w:jc w:val="right"/>
              <w:rPr>
                <w:rFonts w:ascii="Calibri" w:eastAsia="Calibri" w:hAnsi="Calibri" w:cs="Calibri"/>
                <w:sz w:val="18"/>
                <w:szCs w:val="18"/>
                <w:lang w:eastAsia="en-IE"/>
              </w:rPr>
            </w:pPr>
          </w:p>
        </w:tc>
        <w:tc>
          <w:tcPr>
            <w:tcW w:w="978" w:type="dxa"/>
            <w:shd w:val="clear" w:color="auto" w:fill="FFFFFF"/>
            <w:noWrap/>
            <w:vAlign w:val="bottom"/>
          </w:tcPr>
          <w:p w14:paraId="60D426F7" w14:textId="77777777" w:rsidR="00A32677" w:rsidRPr="00757AE3" w:rsidRDefault="00A32677" w:rsidP="001C5897">
            <w:pPr>
              <w:jc w:val="right"/>
              <w:rPr>
                <w:rFonts w:ascii="Calibri" w:eastAsia="Calibri" w:hAnsi="Calibri" w:cs="Calibri"/>
                <w:sz w:val="18"/>
                <w:szCs w:val="18"/>
                <w:lang w:eastAsia="en-IE"/>
              </w:rPr>
            </w:pPr>
          </w:p>
        </w:tc>
        <w:tc>
          <w:tcPr>
            <w:tcW w:w="1030" w:type="dxa"/>
            <w:gridSpan w:val="2"/>
            <w:shd w:val="clear" w:color="auto" w:fill="FFFFFF"/>
            <w:noWrap/>
            <w:vAlign w:val="bottom"/>
          </w:tcPr>
          <w:p w14:paraId="45E7C38C" w14:textId="77777777" w:rsidR="00A32677" w:rsidRPr="00757AE3" w:rsidRDefault="00A32677" w:rsidP="001C5897">
            <w:pPr>
              <w:jc w:val="right"/>
              <w:rPr>
                <w:rFonts w:ascii="Calibri" w:eastAsia="Calibri" w:hAnsi="Calibri" w:cs="Calibri"/>
                <w:sz w:val="18"/>
                <w:szCs w:val="18"/>
                <w:lang w:eastAsia="en-IE"/>
              </w:rPr>
            </w:pPr>
          </w:p>
        </w:tc>
        <w:tc>
          <w:tcPr>
            <w:tcW w:w="1110" w:type="dxa"/>
            <w:shd w:val="clear" w:color="auto" w:fill="FFFFFF"/>
            <w:noWrap/>
            <w:vAlign w:val="bottom"/>
          </w:tcPr>
          <w:p w14:paraId="6745A853"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nil"/>
              <w:left w:val="single" w:sz="8" w:space="0" w:color="auto"/>
              <w:bottom w:val="nil"/>
              <w:right w:val="nil"/>
            </w:tcBorders>
            <w:shd w:val="clear" w:color="auto" w:fill="FFFFFF"/>
            <w:noWrap/>
            <w:vAlign w:val="bottom"/>
          </w:tcPr>
          <w:p w14:paraId="76576984"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nil"/>
              <w:left w:val="nil"/>
              <w:bottom w:val="nil"/>
              <w:right w:val="single" w:sz="8" w:space="0" w:color="auto"/>
            </w:tcBorders>
            <w:shd w:val="clear" w:color="auto" w:fill="FFFFFF"/>
            <w:noWrap/>
            <w:vAlign w:val="bottom"/>
          </w:tcPr>
          <w:p w14:paraId="1277E657" w14:textId="77777777" w:rsidR="00A32677" w:rsidRPr="00757AE3" w:rsidRDefault="00A32677" w:rsidP="001C5897">
            <w:pPr>
              <w:jc w:val="right"/>
              <w:rPr>
                <w:rFonts w:ascii="Calibri" w:eastAsia="Calibri" w:hAnsi="Calibri" w:cs="Calibri"/>
                <w:sz w:val="18"/>
                <w:szCs w:val="18"/>
                <w:lang w:eastAsia="en-IE"/>
              </w:rPr>
            </w:pPr>
          </w:p>
        </w:tc>
        <w:tc>
          <w:tcPr>
            <w:tcW w:w="992" w:type="dxa"/>
            <w:shd w:val="clear" w:color="auto" w:fill="FFFFFF"/>
            <w:noWrap/>
            <w:vAlign w:val="bottom"/>
          </w:tcPr>
          <w:p w14:paraId="1CCC54F9" w14:textId="77777777" w:rsidR="00A32677" w:rsidRPr="00757AE3" w:rsidRDefault="00A32677" w:rsidP="001C5897">
            <w:pPr>
              <w:jc w:val="right"/>
              <w:rPr>
                <w:rFonts w:ascii="Calibri" w:hAnsi="Calibri" w:cs="Calibri"/>
                <w:color w:val="000000"/>
                <w:sz w:val="18"/>
                <w:szCs w:val="18"/>
                <w:lang w:eastAsia="en-IE"/>
              </w:rPr>
            </w:pPr>
          </w:p>
        </w:tc>
      </w:tr>
      <w:tr w:rsidR="00A32677" w:rsidRPr="00BF0AD6" w14:paraId="02BBDA45" w14:textId="77777777" w:rsidTr="001C72D4">
        <w:trPr>
          <w:trHeight w:val="227"/>
        </w:trPr>
        <w:tc>
          <w:tcPr>
            <w:tcW w:w="2977" w:type="dxa"/>
            <w:shd w:val="clear" w:color="auto" w:fill="FFFFFF"/>
            <w:vAlign w:val="bottom"/>
            <w:hideMark/>
          </w:tcPr>
          <w:p w14:paraId="0FA39AEF"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Net movements in cash flow reserve</w:t>
            </w:r>
          </w:p>
        </w:tc>
        <w:tc>
          <w:tcPr>
            <w:tcW w:w="992" w:type="dxa"/>
            <w:tcBorders>
              <w:top w:val="nil"/>
              <w:left w:val="single" w:sz="8" w:space="0" w:color="auto"/>
              <w:bottom w:val="nil"/>
              <w:right w:val="single" w:sz="8" w:space="0" w:color="auto"/>
            </w:tcBorders>
            <w:shd w:val="clear" w:color="auto" w:fill="FFFFFF"/>
            <w:noWrap/>
            <w:vAlign w:val="bottom"/>
          </w:tcPr>
          <w:p w14:paraId="127B75C7"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827" w:type="dxa"/>
            <w:shd w:val="clear" w:color="auto" w:fill="FFFFFF"/>
            <w:noWrap/>
            <w:vAlign w:val="bottom"/>
          </w:tcPr>
          <w:p w14:paraId="25621A8D"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78" w:type="dxa"/>
            <w:shd w:val="clear" w:color="auto" w:fill="FFFFFF"/>
            <w:noWrap/>
            <w:vAlign w:val="bottom"/>
          </w:tcPr>
          <w:p w14:paraId="3FA16319"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030" w:type="dxa"/>
            <w:gridSpan w:val="2"/>
            <w:shd w:val="clear" w:color="auto" w:fill="FFFFFF"/>
            <w:noWrap/>
            <w:vAlign w:val="bottom"/>
          </w:tcPr>
          <w:p w14:paraId="2D6381B0"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110" w:type="dxa"/>
            <w:shd w:val="clear" w:color="auto" w:fill="FFFFFF"/>
            <w:noWrap/>
            <w:vAlign w:val="bottom"/>
          </w:tcPr>
          <w:p w14:paraId="5D72FAFA"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92" w:type="dxa"/>
            <w:tcBorders>
              <w:top w:val="nil"/>
              <w:left w:val="single" w:sz="8" w:space="0" w:color="auto"/>
              <w:bottom w:val="nil"/>
              <w:right w:val="nil"/>
            </w:tcBorders>
            <w:shd w:val="clear" w:color="auto" w:fill="FFFFFF"/>
            <w:noWrap/>
            <w:vAlign w:val="bottom"/>
          </w:tcPr>
          <w:p w14:paraId="1F1331F2"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(761.5)</w:t>
            </w:r>
          </w:p>
        </w:tc>
        <w:tc>
          <w:tcPr>
            <w:tcW w:w="992" w:type="dxa"/>
            <w:tcBorders>
              <w:top w:val="nil"/>
              <w:left w:val="nil"/>
              <w:bottom w:val="nil"/>
              <w:right w:val="single" w:sz="8" w:space="0" w:color="auto"/>
            </w:tcBorders>
            <w:shd w:val="clear" w:color="auto" w:fill="FFFFFF"/>
            <w:noWrap/>
            <w:vAlign w:val="bottom"/>
          </w:tcPr>
          <w:p w14:paraId="3E6FE4AF"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92" w:type="dxa"/>
            <w:shd w:val="clear" w:color="auto" w:fill="FFFFFF"/>
            <w:noWrap/>
            <w:vAlign w:val="bottom"/>
          </w:tcPr>
          <w:p w14:paraId="65A4EA42"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(761.5)</w:t>
            </w:r>
          </w:p>
        </w:tc>
      </w:tr>
      <w:tr w:rsidR="00A32677" w:rsidRPr="00BF0AD6" w14:paraId="7B4BAF79" w14:textId="77777777" w:rsidTr="001C72D4">
        <w:trPr>
          <w:trHeight w:val="227"/>
        </w:trPr>
        <w:tc>
          <w:tcPr>
            <w:tcW w:w="2977" w:type="dxa"/>
            <w:shd w:val="clear" w:color="auto" w:fill="FFFFFF"/>
            <w:vAlign w:val="bottom"/>
            <w:hideMark/>
          </w:tcPr>
          <w:p w14:paraId="7BB138F1"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 xml:space="preserve">Total other comprehensive </w:t>
            </w:r>
            <w:r w:rsidR="00BE72C3">
              <w:rPr>
                <w:rFonts w:ascii="Calibri" w:hAnsi="Calibri" w:cs="Calibri"/>
                <w:bCs/>
                <w:color w:val="000000"/>
                <w:sz w:val="18"/>
                <w:szCs w:val="18"/>
              </w:rPr>
              <w:t>(</w:t>
            </w:r>
            <w:r>
              <w:rPr>
                <w:rFonts w:ascii="Calibri" w:hAnsi="Calibri" w:cs="Calibri"/>
                <w:bCs/>
                <w:color w:val="000000"/>
                <w:sz w:val="18"/>
                <w:szCs w:val="18"/>
              </w:rPr>
              <w:t>loss</w:t>
            </w:r>
            <w:r w:rsidR="00BE72C3">
              <w:rPr>
                <w:rFonts w:ascii="Calibri" w:hAnsi="Calibri" w:cs="Calibri"/>
                <w:bCs/>
                <w:color w:val="000000"/>
                <w:sz w:val="18"/>
                <w:szCs w:val="18"/>
              </w:rPr>
              <w:t>)</w:t>
            </w:r>
          </w:p>
        </w:tc>
        <w:tc>
          <w:tcPr>
            <w:tcW w:w="992" w:type="dxa"/>
            <w:tcBorders>
              <w:top w:val="single" w:sz="8" w:space="0" w:color="auto"/>
              <w:left w:val="single" w:sz="8" w:space="0" w:color="auto"/>
              <w:bottom w:val="single" w:sz="8" w:space="0" w:color="auto"/>
              <w:right w:val="single" w:sz="8" w:space="0" w:color="auto"/>
            </w:tcBorders>
            <w:shd w:val="clear" w:color="auto" w:fill="FFFFFF"/>
            <w:noWrap/>
            <w:vAlign w:val="bottom"/>
          </w:tcPr>
          <w:p w14:paraId="58E27860"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827" w:type="dxa"/>
            <w:tcBorders>
              <w:top w:val="single" w:sz="8" w:space="0" w:color="auto"/>
              <w:left w:val="nil"/>
              <w:bottom w:val="single" w:sz="8" w:space="0" w:color="auto"/>
              <w:right w:val="nil"/>
            </w:tcBorders>
            <w:shd w:val="clear" w:color="auto" w:fill="FFFFFF"/>
            <w:noWrap/>
            <w:vAlign w:val="bottom"/>
          </w:tcPr>
          <w:p w14:paraId="0330F157"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78" w:type="dxa"/>
            <w:tcBorders>
              <w:top w:val="single" w:sz="8" w:space="0" w:color="auto"/>
              <w:left w:val="nil"/>
              <w:bottom w:val="single" w:sz="8" w:space="0" w:color="auto"/>
              <w:right w:val="nil"/>
            </w:tcBorders>
            <w:shd w:val="clear" w:color="auto" w:fill="FFFFFF"/>
            <w:noWrap/>
            <w:vAlign w:val="bottom"/>
          </w:tcPr>
          <w:p w14:paraId="07A750C1"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030" w:type="dxa"/>
            <w:gridSpan w:val="2"/>
            <w:tcBorders>
              <w:top w:val="single" w:sz="8" w:space="0" w:color="auto"/>
              <w:left w:val="nil"/>
              <w:bottom w:val="single" w:sz="8" w:space="0" w:color="auto"/>
              <w:right w:val="nil"/>
            </w:tcBorders>
            <w:shd w:val="clear" w:color="auto" w:fill="FFFFFF"/>
            <w:noWrap/>
            <w:vAlign w:val="bottom"/>
          </w:tcPr>
          <w:p w14:paraId="38D1ADCB"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110" w:type="dxa"/>
            <w:tcBorders>
              <w:top w:val="single" w:sz="8" w:space="0" w:color="auto"/>
              <w:left w:val="nil"/>
              <w:bottom w:val="single" w:sz="8" w:space="0" w:color="auto"/>
              <w:right w:val="nil"/>
            </w:tcBorders>
            <w:shd w:val="clear" w:color="auto" w:fill="FFFFFF"/>
            <w:noWrap/>
            <w:vAlign w:val="bottom"/>
          </w:tcPr>
          <w:p w14:paraId="5F051FA0"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92" w:type="dxa"/>
            <w:tcBorders>
              <w:top w:val="single" w:sz="8" w:space="0" w:color="auto"/>
              <w:left w:val="single" w:sz="8" w:space="0" w:color="auto"/>
              <w:bottom w:val="single" w:sz="8" w:space="0" w:color="auto"/>
              <w:right w:val="nil"/>
            </w:tcBorders>
            <w:shd w:val="clear" w:color="auto" w:fill="FFFFFF"/>
            <w:noWrap/>
            <w:vAlign w:val="bottom"/>
          </w:tcPr>
          <w:p w14:paraId="629B1457"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(761.5)</w:t>
            </w:r>
          </w:p>
        </w:tc>
        <w:tc>
          <w:tcPr>
            <w:tcW w:w="992" w:type="dxa"/>
            <w:tcBorders>
              <w:top w:val="single" w:sz="8" w:space="0" w:color="auto"/>
              <w:left w:val="nil"/>
              <w:bottom w:val="single" w:sz="8" w:space="0" w:color="auto"/>
              <w:right w:val="single" w:sz="8" w:space="0" w:color="auto"/>
            </w:tcBorders>
            <w:shd w:val="clear" w:color="auto" w:fill="FFFFFF"/>
            <w:noWrap/>
            <w:vAlign w:val="bottom"/>
          </w:tcPr>
          <w:p w14:paraId="726837ED"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92" w:type="dxa"/>
            <w:tcBorders>
              <w:top w:val="single" w:sz="8" w:space="0" w:color="auto"/>
              <w:left w:val="nil"/>
              <w:bottom w:val="single" w:sz="8" w:space="0" w:color="auto"/>
              <w:right w:val="nil"/>
            </w:tcBorders>
            <w:shd w:val="clear" w:color="auto" w:fill="FFFFFF"/>
            <w:noWrap/>
            <w:vAlign w:val="bottom"/>
          </w:tcPr>
          <w:p w14:paraId="233675A3"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(761.5)</w:t>
            </w:r>
          </w:p>
        </w:tc>
      </w:tr>
      <w:tr w:rsidR="00A32677" w:rsidRPr="00BF0AD6" w14:paraId="2229B45D" w14:textId="77777777" w:rsidTr="001C72D4">
        <w:trPr>
          <w:trHeight w:val="227"/>
        </w:trPr>
        <w:tc>
          <w:tcPr>
            <w:tcW w:w="2977" w:type="dxa"/>
            <w:shd w:val="clear" w:color="auto" w:fill="FFFFFF"/>
            <w:vAlign w:val="bottom"/>
            <w:hideMark/>
          </w:tcPr>
          <w:p w14:paraId="2197BD2E"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Total comprehensive income</w:t>
            </w:r>
            <w:r>
              <w:rPr>
                <w:rFonts w:ascii="Calibri" w:hAnsi="Calibri" w:cs="Calibri"/>
                <w:bCs/>
                <w:color w:val="000000"/>
                <w:sz w:val="18"/>
                <w:szCs w:val="18"/>
              </w:rPr>
              <w:t>/(loss)</w:t>
            </w:r>
          </w:p>
        </w:tc>
        <w:tc>
          <w:tcPr>
            <w:tcW w:w="992" w:type="dxa"/>
            <w:tcBorders>
              <w:top w:val="nil"/>
              <w:left w:val="single" w:sz="8" w:space="0" w:color="auto"/>
              <w:bottom w:val="single" w:sz="8" w:space="0" w:color="auto"/>
              <w:right w:val="single" w:sz="8" w:space="0" w:color="auto"/>
            </w:tcBorders>
            <w:shd w:val="clear" w:color="auto" w:fill="FFFFFF"/>
            <w:noWrap/>
            <w:vAlign w:val="bottom"/>
          </w:tcPr>
          <w:p w14:paraId="554149E1"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827" w:type="dxa"/>
            <w:tcBorders>
              <w:bottom w:val="single" w:sz="8" w:space="0" w:color="auto"/>
            </w:tcBorders>
            <w:shd w:val="clear" w:color="auto" w:fill="FFFFFF"/>
            <w:noWrap/>
            <w:vAlign w:val="bottom"/>
          </w:tcPr>
          <w:p w14:paraId="44BC111C"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78" w:type="dxa"/>
            <w:tcBorders>
              <w:bottom w:val="single" w:sz="8" w:space="0" w:color="auto"/>
            </w:tcBorders>
            <w:shd w:val="clear" w:color="auto" w:fill="FFFFFF"/>
            <w:noWrap/>
            <w:vAlign w:val="bottom"/>
          </w:tcPr>
          <w:p w14:paraId="7DE926E0"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030" w:type="dxa"/>
            <w:gridSpan w:val="2"/>
            <w:tcBorders>
              <w:bottom w:val="single" w:sz="8" w:space="0" w:color="auto"/>
            </w:tcBorders>
            <w:shd w:val="clear" w:color="auto" w:fill="FFFFFF"/>
            <w:noWrap/>
            <w:vAlign w:val="bottom"/>
          </w:tcPr>
          <w:p w14:paraId="7485590E"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110" w:type="dxa"/>
            <w:tcBorders>
              <w:bottom w:val="single" w:sz="8" w:space="0" w:color="auto"/>
            </w:tcBorders>
            <w:shd w:val="clear" w:color="auto" w:fill="FFFFFF"/>
            <w:noWrap/>
            <w:vAlign w:val="bottom"/>
          </w:tcPr>
          <w:p w14:paraId="3AB66DB1"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1,465.5</w:t>
            </w:r>
          </w:p>
        </w:tc>
        <w:tc>
          <w:tcPr>
            <w:tcW w:w="992" w:type="dxa"/>
            <w:tcBorders>
              <w:top w:val="nil"/>
              <w:left w:val="single" w:sz="8" w:space="0" w:color="auto"/>
              <w:bottom w:val="single" w:sz="8" w:space="0" w:color="auto"/>
              <w:right w:val="nil"/>
            </w:tcBorders>
            <w:shd w:val="clear" w:color="auto" w:fill="FFFFFF"/>
            <w:noWrap/>
            <w:vAlign w:val="bottom"/>
          </w:tcPr>
          <w:p w14:paraId="039ADFAB"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(761.5)</w:t>
            </w:r>
          </w:p>
        </w:tc>
        <w:tc>
          <w:tcPr>
            <w:tcW w:w="992" w:type="dxa"/>
            <w:tcBorders>
              <w:top w:val="nil"/>
              <w:left w:val="nil"/>
              <w:bottom w:val="single" w:sz="8" w:space="0" w:color="auto"/>
              <w:right w:val="single" w:sz="8" w:space="0" w:color="auto"/>
            </w:tcBorders>
            <w:shd w:val="clear" w:color="auto" w:fill="FFFFFF"/>
            <w:noWrap/>
            <w:vAlign w:val="bottom"/>
          </w:tcPr>
          <w:p w14:paraId="678357B8"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92" w:type="dxa"/>
            <w:tcBorders>
              <w:bottom w:val="single" w:sz="8" w:space="0" w:color="auto"/>
            </w:tcBorders>
            <w:shd w:val="clear" w:color="auto" w:fill="FFFFFF"/>
            <w:noWrap/>
            <w:vAlign w:val="bottom"/>
          </w:tcPr>
          <w:p w14:paraId="34C91B51"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704.0</w:t>
            </w:r>
          </w:p>
        </w:tc>
      </w:tr>
      <w:tr w:rsidR="00A32677" w:rsidRPr="00BF0AD6" w14:paraId="1810B5C5" w14:textId="77777777" w:rsidTr="001C72D4">
        <w:trPr>
          <w:trHeight w:val="227"/>
        </w:trPr>
        <w:tc>
          <w:tcPr>
            <w:tcW w:w="2977" w:type="dxa"/>
            <w:shd w:val="clear" w:color="auto" w:fill="FFFFFF"/>
            <w:vAlign w:val="bottom"/>
            <w:hideMark/>
          </w:tcPr>
          <w:p w14:paraId="34F927A2" w14:textId="77777777" w:rsidR="00A32677" w:rsidRPr="00BF0AD6" w:rsidRDefault="00A32677" w:rsidP="00EE6630">
            <w:pPr>
              <w:ind w:right="-112"/>
              <w:rPr>
                <w:rFonts w:ascii="Calibri" w:hAnsi="Calibri" w:cs="Calibri"/>
                <w:i/>
                <w:iCs/>
                <w:color w:val="000000"/>
                <w:sz w:val="18"/>
                <w:szCs w:val="18"/>
                <w:lang w:eastAsia="en-IE"/>
              </w:rPr>
            </w:pPr>
            <w:r w:rsidRPr="00E62280">
              <w:rPr>
                <w:rFonts w:ascii="Calibri" w:hAnsi="Calibri" w:cs="Calibri"/>
                <w:bCs/>
                <w:i/>
                <w:color w:val="000000"/>
                <w:sz w:val="18"/>
                <w:szCs w:val="18"/>
              </w:rPr>
              <w:t>Transactions with owners of the Company recognised directly in equity</w:t>
            </w:r>
          </w:p>
        </w:tc>
        <w:tc>
          <w:tcPr>
            <w:tcW w:w="992" w:type="dxa"/>
            <w:tcBorders>
              <w:top w:val="single" w:sz="8" w:space="0" w:color="auto"/>
              <w:left w:val="single" w:sz="8" w:space="0" w:color="auto"/>
              <w:right w:val="single" w:sz="8" w:space="0" w:color="auto"/>
            </w:tcBorders>
            <w:vAlign w:val="bottom"/>
          </w:tcPr>
          <w:p w14:paraId="55722F24" w14:textId="77777777" w:rsidR="00A32677" w:rsidRPr="00757AE3" w:rsidRDefault="00A32677" w:rsidP="001C5897">
            <w:pPr>
              <w:jc w:val="right"/>
              <w:rPr>
                <w:rFonts w:ascii="Calibri" w:hAnsi="Calibri" w:cs="Calibri"/>
                <w:i/>
                <w:iCs/>
                <w:color w:val="000000"/>
                <w:sz w:val="18"/>
                <w:szCs w:val="18"/>
                <w:lang w:eastAsia="en-IE"/>
              </w:rPr>
            </w:pPr>
          </w:p>
        </w:tc>
        <w:tc>
          <w:tcPr>
            <w:tcW w:w="827" w:type="dxa"/>
            <w:tcBorders>
              <w:top w:val="single" w:sz="8" w:space="0" w:color="auto"/>
              <w:left w:val="single" w:sz="8" w:space="0" w:color="auto"/>
              <w:right w:val="nil"/>
            </w:tcBorders>
            <w:vAlign w:val="bottom"/>
          </w:tcPr>
          <w:p w14:paraId="18876840" w14:textId="77777777" w:rsidR="00A32677" w:rsidRPr="00757AE3" w:rsidRDefault="00A32677" w:rsidP="001C5897">
            <w:pPr>
              <w:jc w:val="right"/>
              <w:rPr>
                <w:rFonts w:ascii="Calibri" w:eastAsia="Calibri" w:hAnsi="Calibri" w:cs="Calibri"/>
                <w:sz w:val="18"/>
                <w:szCs w:val="18"/>
                <w:lang w:eastAsia="en-IE"/>
              </w:rPr>
            </w:pPr>
          </w:p>
        </w:tc>
        <w:tc>
          <w:tcPr>
            <w:tcW w:w="978" w:type="dxa"/>
            <w:tcBorders>
              <w:top w:val="single" w:sz="8" w:space="0" w:color="auto"/>
              <w:left w:val="nil"/>
              <w:right w:val="nil"/>
            </w:tcBorders>
            <w:vAlign w:val="bottom"/>
          </w:tcPr>
          <w:p w14:paraId="1DB70F82" w14:textId="77777777" w:rsidR="00A32677" w:rsidRPr="00757AE3" w:rsidRDefault="00A32677" w:rsidP="001C5897">
            <w:pPr>
              <w:jc w:val="right"/>
              <w:rPr>
                <w:rFonts w:ascii="Calibri" w:eastAsia="Calibri" w:hAnsi="Calibri" w:cs="Calibri"/>
                <w:sz w:val="18"/>
                <w:szCs w:val="18"/>
                <w:lang w:eastAsia="en-IE"/>
              </w:rPr>
            </w:pPr>
          </w:p>
        </w:tc>
        <w:tc>
          <w:tcPr>
            <w:tcW w:w="1030" w:type="dxa"/>
            <w:gridSpan w:val="2"/>
            <w:tcBorders>
              <w:top w:val="single" w:sz="8" w:space="0" w:color="auto"/>
              <w:left w:val="nil"/>
              <w:right w:val="nil"/>
            </w:tcBorders>
            <w:vAlign w:val="bottom"/>
          </w:tcPr>
          <w:p w14:paraId="12DAA0CE" w14:textId="77777777" w:rsidR="00A32677" w:rsidRPr="00757AE3" w:rsidRDefault="00A32677" w:rsidP="001C5897">
            <w:pPr>
              <w:jc w:val="right"/>
              <w:rPr>
                <w:rFonts w:ascii="Calibri" w:eastAsia="Calibri" w:hAnsi="Calibri" w:cs="Calibri"/>
                <w:sz w:val="18"/>
                <w:szCs w:val="18"/>
                <w:lang w:eastAsia="en-IE"/>
              </w:rPr>
            </w:pPr>
          </w:p>
        </w:tc>
        <w:tc>
          <w:tcPr>
            <w:tcW w:w="1110" w:type="dxa"/>
            <w:tcBorders>
              <w:top w:val="single" w:sz="8" w:space="0" w:color="auto"/>
              <w:left w:val="nil"/>
              <w:right w:val="single" w:sz="8" w:space="0" w:color="auto"/>
            </w:tcBorders>
            <w:vAlign w:val="bottom"/>
          </w:tcPr>
          <w:p w14:paraId="6857C99D"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single" w:sz="8" w:space="0" w:color="auto"/>
              <w:left w:val="single" w:sz="8" w:space="0" w:color="auto"/>
              <w:right w:val="nil"/>
            </w:tcBorders>
            <w:vAlign w:val="bottom"/>
          </w:tcPr>
          <w:p w14:paraId="0ADE7084"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single" w:sz="8" w:space="0" w:color="auto"/>
              <w:left w:val="nil"/>
              <w:right w:val="single" w:sz="8" w:space="0" w:color="auto"/>
            </w:tcBorders>
            <w:vAlign w:val="bottom"/>
          </w:tcPr>
          <w:p w14:paraId="128F41B0"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single" w:sz="8" w:space="0" w:color="auto"/>
              <w:left w:val="single" w:sz="8" w:space="0" w:color="auto"/>
              <w:right w:val="nil"/>
            </w:tcBorders>
            <w:vAlign w:val="bottom"/>
          </w:tcPr>
          <w:p w14:paraId="1CD7A63A" w14:textId="77777777" w:rsidR="00A32677" w:rsidRPr="00757AE3" w:rsidRDefault="00A32677" w:rsidP="001C5897">
            <w:pPr>
              <w:jc w:val="right"/>
              <w:rPr>
                <w:rFonts w:ascii="Calibri" w:hAnsi="Calibri" w:cs="Calibri"/>
                <w:color w:val="000000"/>
                <w:sz w:val="18"/>
                <w:szCs w:val="18"/>
                <w:lang w:eastAsia="en-IE"/>
              </w:rPr>
            </w:pPr>
          </w:p>
        </w:tc>
      </w:tr>
      <w:tr w:rsidR="00A32677" w:rsidRPr="00BF0AD6" w14:paraId="41B75D86" w14:textId="77777777" w:rsidTr="001C72D4">
        <w:trPr>
          <w:trHeight w:val="227"/>
        </w:trPr>
        <w:tc>
          <w:tcPr>
            <w:tcW w:w="2977" w:type="dxa"/>
            <w:shd w:val="clear" w:color="auto" w:fill="FFFFFF"/>
            <w:vAlign w:val="bottom"/>
            <w:hideMark/>
          </w:tcPr>
          <w:p w14:paraId="541A10F8"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Issue of ordinary equity shares</w:t>
            </w:r>
          </w:p>
        </w:tc>
        <w:tc>
          <w:tcPr>
            <w:tcW w:w="992" w:type="dxa"/>
            <w:tcBorders>
              <w:left w:val="single" w:sz="8" w:space="0" w:color="auto"/>
              <w:bottom w:val="nil"/>
              <w:right w:val="single" w:sz="8" w:space="0" w:color="auto"/>
            </w:tcBorders>
            <w:shd w:val="clear" w:color="auto" w:fill="FFFFFF"/>
            <w:noWrap/>
            <w:vAlign w:val="bottom"/>
          </w:tcPr>
          <w:p w14:paraId="0709E219"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4.1</w:t>
            </w:r>
          </w:p>
        </w:tc>
        <w:tc>
          <w:tcPr>
            <w:tcW w:w="827" w:type="dxa"/>
            <w:shd w:val="clear" w:color="auto" w:fill="FFFFFF"/>
            <w:noWrap/>
            <w:vAlign w:val="bottom"/>
          </w:tcPr>
          <w:p w14:paraId="2133910E"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0.1</w:t>
            </w:r>
          </w:p>
        </w:tc>
        <w:tc>
          <w:tcPr>
            <w:tcW w:w="978" w:type="dxa"/>
            <w:shd w:val="clear" w:color="auto" w:fill="FFFFFF"/>
            <w:noWrap/>
            <w:vAlign w:val="bottom"/>
          </w:tcPr>
          <w:p w14:paraId="525093DC"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51.6</w:t>
            </w:r>
          </w:p>
        </w:tc>
        <w:tc>
          <w:tcPr>
            <w:tcW w:w="1030" w:type="dxa"/>
            <w:gridSpan w:val="2"/>
            <w:shd w:val="clear" w:color="auto" w:fill="FFFFFF"/>
            <w:noWrap/>
            <w:vAlign w:val="bottom"/>
          </w:tcPr>
          <w:p w14:paraId="78454D96"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110" w:type="dxa"/>
            <w:shd w:val="clear" w:color="auto" w:fill="FFFFFF"/>
            <w:noWrap/>
            <w:vAlign w:val="bottom"/>
          </w:tcPr>
          <w:p w14:paraId="15BE7E90"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(20.0)</w:t>
            </w:r>
          </w:p>
        </w:tc>
        <w:tc>
          <w:tcPr>
            <w:tcW w:w="992" w:type="dxa"/>
            <w:tcBorders>
              <w:left w:val="single" w:sz="8" w:space="0" w:color="auto"/>
              <w:bottom w:val="nil"/>
              <w:right w:val="nil"/>
            </w:tcBorders>
            <w:shd w:val="clear" w:color="auto" w:fill="FFFFFF"/>
            <w:noWrap/>
            <w:vAlign w:val="bottom"/>
          </w:tcPr>
          <w:p w14:paraId="480A1295"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92" w:type="dxa"/>
            <w:tcBorders>
              <w:left w:val="nil"/>
              <w:bottom w:val="nil"/>
              <w:right w:val="single" w:sz="8" w:space="0" w:color="auto"/>
            </w:tcBorders>
            <w:shd w:val="clear" w:color="auto" w:fill="FFFFFF"/>
            <w:noWrap/>
            <w:vAlign w:val="bottom"/>
          </w:tcPr>
          <w:p w14:paraId="4577C7C7" w14:textId="77777777" w:rsidR="00A32677" w:rsidRPr="00757AE3" w:rsidRDefault="00C4444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92" w:type="dxa"/>
            <w:shd w:val="clear" w:color="auto" w:fill="FFFFFF"/>
            <w:noWrap/>
            <w:vAlign w:val="bottom"/>
          </w:tcPr>
          <w:p w14:paraId="1F37FB7B" w14:textId="77777777" w:rsidR="00A32677" w:rsidRPr="00757AE3" w:rsidRDefault="003969D1"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31.7</w:t>
            </w:r>
          </w:p>
        </w:tc>
      </w:tr>
      <w:tr w:rsidR="00A32677" w:rsidRPr="00BF0AD6" w14:paraId="164DDDAB" w14:textId="77777777" w:rsidTr="001C72D4">
        <w:trPr>
          <w:trHeight w:val="227"/>
        </w:trPr>
        <w:tc>
          <w:tcPr>
            <w:tcW w:w="2977" w:type="dxa"/>
            <w:shd w:val="clear" w:color="auto" w:fill="FFFFFF"/>
            <w:vAlign w:val="bottom"/>
            <w:hideMark/>
          </w:tcPr>
          <w:p w14:paraId="328BAE3B"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Share-based payments</w:t>
            </w:r>
          </w:p>
        </w:tc>
        <w:tc>
          <w:tcPr>
            <w:tcW w:w="992" w:type="dxa"/>
            <w:tcBorders>
              <w:top w:val="nil"/>
              <w:left w:val="single" w:sz="8" w:space="0" w:color="auto"/>
              <w:bottom w:val="nil"/>
              <w:right w:val="single" w:sz="8" w:space="0" w:color="auto"/>
            </w:tcBorders>
            <w:shd w:val="clear" w:color="auto" w:fill="FFFFFF"/>
            <w:noWrap/>
            <w:vAlign w:val="bottom"/>
          </w:tcPr>
          <w:p w14:paraId="33A7CB07" w14:textId="77777777" w:rsidR="00A32677" w:rsidRPr="00757AE3" w:rsidRDefault="00BC2D93"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827" w:type="dxa"/>
            <w:shd w:val="clear" w:color="auto" w:fill="FFFFFF"/>
            <w:noWrap/>
            <w:vAlign w:val="bottom"/>
          </w:tcPr>
          <w:p w14:paraId="47248ADB" w14:textId="77777777" w:rsidR="00A32677" w:rsidRPr="00757AE3" w:rsidRDefault="00BC2D93"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78" w:type="dxa"/>
            <w:shd w:val="clear" w:color="auto" w:fill="FFFFFF"/>
            <w:noWrap/>
            <w:vAlign w:val="bottom"/>
          </w:tcPr>
          <w:p w14:paraId="5FEFE00E" w14:textId="77777777" w:rsidR="00A32677" w:rsidRPr="00757AE3" w:rsidRDefault="00BC2D93"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030" w:type="dxa"/>
            <w:gridSpan w:val="2"/>
            <w:shd w:val="clear" w:color="auto" w:fill="FFFFFF"/>
            <w:noWrap/>
            <w:vAlign w:val="bottom"/>
          </w:tcPr>
          <w:p w14:paraId="10735387" w14:textId="77777777" w:rsidR="00A32677" w:rsidRPr="00757AE3" w:rsidRDefault="00BC2D93"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110" w:type="dxa"/>
            <w:shd w:val="clear" w:color="auto" w:fill="FFFFFF"/>
            <w:noWrap/>
            <w:vAlign w:val="bottom"/>
          </w:tcPr>
          <w:p w14:paraId="33581EBC" w14:textId="77777777" w:rsidR="00A32677" w:rsidRPr="00757AE3" w:rsidRDefault="00BC2D93"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92" w:type="dxa"/>
            <w:tcBorders>
              <w:top w:val="nil"/>
              <w:left w:val="single" w:sz="8" w:space="0" w:color="auto"/>
              <w:bottom w:val="nil"/>
              <w:right w:val="nil"/>
            </w:tcBorders>
            <w:shd w:val="clear" w:color="auto" w:fill="FFFFFF"/>
            <w:noWrap/>
            <w:vAlign w:val="bottom"/>
          </w:tcPr>
          <w:p w14:paraId="569FF115" w14:textId="77777777" w:rsidR="00A32677" w:rsidRPr="00757AE3" w:rsidRDefault="00BC2D93"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92" w:type="dxa"/>
            <w:tcBorders>
              <w:top w:val="nil"/>
              <w:left w:val="nil"/>
              <w:bottom w:val="nil"/>
              <w:right w:val="single" w:sz="8" w:space="0" w:color="auto"/>
            </w:tcBorders>
            <w:shd w:val="clear" w:color="auto" w:fill="FFFFFF"/>
            <w:noWrap/>
            <w:vAlign w:val="bottom"/>
          </w:tcPr>
          <w:p w14:paraId="50F083DA" w14:textId="77777777" w:rsidR="00A32677" w:rsidRPr="00757AE3" w:rsidRDefault="00C4444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11.3</w:t>
            </w:r>
          </w:p>
        </w:tc>
        <w:tc>
          <w:tcPr>
            <w:tcW w:w="992" w:type="dxa"/>
            <w:shd w:val="clear" w:color="auto" w:fill="FFFFFF"/>
            <w:noWrap/>
            <w:vAlign w:val="bottom"/>
          </w:tcPr>
          <w:p w14:paraId="35FF1824" w14:textId="77777777" w:rsidR="00A32677" w:rsidRPr="00757AE3" w:rsidRDefault="00C4444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11.3</w:t>
            </w:r>
          </w:p>
        </w:tc>
      </w:tr>
      <w:tr w:rsidR="00A32677" w:rsidRPr="00BF0AD6" w14:paraId="01EE773C" w14:textId="77777777" w:rsidTr="001C72D4">
        <w:trPr>
          <w:trHeight w:val="227"/>
        </w:trPr>
        <w:tc>
          <w:tcPr>
            <w:tcW w:w="2977" w:type="dxa"/>
            <w:shd w:val="clear" w:color="auto" w:fill="FFFFFF"/>
            <w:vAlign w:val="bottom"/>
            <w:hideMark/>
          </w:tcPr>
          <w:p w14:paraId="443DB2A0" w14:textId="77777777" w:rsidR="00A32677" w:rsidRPr="00BF0AD6" w:rsidRDefault="00A32677" w:rsidP="00EE6630">
            <w:pPr>
              <w:ind w:right="-112"/>
              <w:rPr>
                <w:rFonts w:ascii="Calibri" w:hAnsi="Calibri" w:cs="Calibri"/>
                <w:color w:val="000000"/>
                <w:sz w:val="18"/>
                <w:szCs w:val="18"/>
                <w:lang w:eastAsia="en-IE"/>
              </w:rPr>
            </w:pPr>
            <w:r w:rsidRPr="00E62280">
              <w:rPr>
                <w:rFonts w:ascii="Calibri" w:hAnsi="Calibri" w:cs="Calibri"/>
                <w:bCs/>
                <w:color w:val="000000"/>
                <w:sz w:val="18"/>
                <w:szCs w:val="18"/>
              </w:rPr>
              <w:t>Transfer of exercised and expired share</w:t>
            </w:r>
            <w:r>
              <w:rPr>
                <w:rFonts w:ascii="Calibri" w:hAnsi="Calibri" w:cs="Calibri"/>
                <w:bCs/>
                <w:color w:val="000000"/>
                <w:sz w:val="18"/>
                <w:szCs w:val="18"/>
              </w:rPr>
              <w:t>-</w:t>
            </w:r>
            <w:r w:rsidRPr="00E62280">
              <w:rPr>
                <w:rFonts w:ascii="Calibri" w:hAnsi="Calibri" w:cs="Calibri"/>
                <w:bCs/>
                <w:color w:val="000000"/>
                <w:sz w:val="18"/>
                <w:szCs w:val="18"/>
              </w:rPr>
              <w:t>based awards</w:t>
            </w:r>
          </w:p>
        </w:tc>
        <w:tc>
          <w:tcPr>
            <w:tcW w:w="992" w:type="dxa"/>
            <w:tcBorders>
              <w:top w:val="nil"/>
              <w:left w:val="single" w:sz="8" w:space="0" w:color="auto"/>
              <w:bottom w:val="single" w:sz="12" w:space="0" w:color="auto"/>
              <w:right w:val="single" w:sz="8" w:space="0" w:color="auto"/>
            </w:tcBorders>
            <w:shd w:val="clear" w:color="auto" w:fill="FFFFFF"/>
            <w:noWrap/>
            <w:vAlign w:val="bottom"/>
          </w:tcPr>
          <w:p w14:paraId="0DFA853C"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827" w:type="dxa"/>
            <w:tcBorders>
              <w:bottom w:val="single" w:sz="12" w:space="0" w:color="auto"/>
            </w:tcBorders>
            <w:shd w:val="clear" w:color="auto" w:fill="FFFFFF"/>
            <w:noWrap/>
            <w:vAlign w:val="bottom"/>
          </w:tcPr>
          <w:p w14:paraId="5ED611DB"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78" w:type="dxa"/>
            <w:tcBorders>
              <w:bottom w:val="single" w:sz="12" w:space="0" w:color="auto"/>
            </w:tcBorders>
            <w:shd w:val="clear" w:color="auto" w:fill="FFFFFF"/>
            <w:noWrap/>
            <w:vAlign w:val="bottom"/>
          </w:tcPr>
          <w:p w14:paraId="5577EE33"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030" w:type="dxa"/>
            <w:gridSpan w:val="2"/>
            <w:tcBorders>
              <w:bottom w:val="single" w:sz="12" w:space="0" w:color="auto"/>
            </w:tcBorders>
            <w:shd w:val="clear" w:color="auto" w:fill="FFFFFF"/>
            <w:noWrap/>
            <w:vAlign w:val="bottom"/>
          </w:tcPr>
          <w:p w14:paraId="74FA0D17"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110" w:type="dxa"/>
            <w:tcBorders>
              <w:bottom w:val="single" w:sz="12" w:space="0" w:color="auto"/>
            </w:tcBorders>
            <w:shd w:val="clear" w:color="auto" w:fill="FFFFFF"/>
            <w:noWrap/>
            <w:vAlign w:val="bottom"/>
          </w:tcPr>
          <w:p w14:paraId="37D52125"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5.4</w:t>
            </w:r>
          </w:p>
        </w:tc>
        <w:tc>
          <w:tcPr>
            <w:tcW w:w="992" w:type="dxa"/>
            <w:tcBorders>
              <w:top w:val="nil"/>
              <w:left w:val="single" w:sz="8" w:space="0" w:color="auto"/>
              <w:bottom w:val="single" w:sz="12" w:space="0" w:color="auto"/>
              <w:right w:val="nil"/>
            </w:tcBorders>
            <w:shd w:val="clear" w:color="auto" w:fill="FFFFFF"/>
            <w:noWrap/>
            <w:vAlign w:val="bottom"/>
          </w:tcPr>
          <w:p w14:paraId="0665509A"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992" w:type="dxa"/>
            <w:tcBorders>
              <w:top w:val="nil"/>
              <w:left w:val="nil"/>
              <w:bottom w:val="single" w:sz="12" w:space="0" w:color="auto"/>
              <w:right w:val="single" w:sz="8" w:space="0" w:color="auto"/>
            </w:tcBorders>
            <w:shd w:val="clear" w:color="auto" w:fill="FFFFFF"/>
            <w:noWrap/>
            <w:vAlign w:val="bottom"/>
          </w:tcPr>
          <w:p w14:paraId="77D1D459"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(5.4)</w:t>
            </w:r>
          </w:p>
        </w:tc>
        <w:tc>
          <w:tcPr>
            <w:tcW w:w="992" w:type="dxa"/>
            <w:tcBorders>
              <w:bottom w:val="single" w:sz="12" w:space="0" w:color="auto"/>
            </w:tcBorders>
            <w:shd w:val="clear" w:color="auto" w:fill="FFFFFF"/>
            <w:noWrap/>
            <w:vAlign w:val="bottom"/>
          </w:tcPr>
          <w:p w14:paraId="47CC4135" w14:textId="77777777" w:rsidR="00A32677" w:rsidRPr="00757AE3" w:rsidRDefault="00E55835"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r>
      <w:tr w:rsidR="00A32677" w:rsidRPr="00BF0AD6" w14:paraId="32B9EBCB" w14:textId="77777777" w:rsidTr="001C72D4">
        <w:trPr>
          <w:trHeight w:val="227"/>
        </w:trPr>
        <w:tc>
          <w:tcPr>
            <w:tcW w:w="2977" w:type="dxa"/>
            <w:shd w:val="clear" w:color="auto" w:fill="FFFFFF"/>
            <w:vAlign w:val="bottom"/>
          </w:tcPr>
          <w:p w14:paraId="3460D845" w14:textId="77777777" w:rsidR="00A32677" w:rsidRPr="00BF0AD6" w:rsidRDefault="00A32677" w:rsidP="00EE6630">
            <w:pPr>
              <w:ind w:right="-112"/>
              <w:rPr>
                <w:rFonts w:ascii="Calibri" w:hAnsi="Calibri" w:cs="Calibri"/>
                <w:color w:val="000000"/>
                <w:sz w:val="18"/>
                <w:szCs w:val="18"/>
                <w:lang w:eastAsia="en-IE"/>
              </w:rPr>
            </w:pPr>
            <w:bookmarkStart w:id="3" w:name="OLE_LINK19"/>
            <w:r w:rsidRPr="00E62280">
              <w:rPr>
                <w:rFonts w:ascii="Calibri" w:hAnsi="Calibri" w:cs="Calibri"/>
                <w:b/>
                <w:bCs/>
                <w:color w:val="000000"/>
                <w:sz w:val="18"/>
                <w:szCs w:val="18"/>
              </w:rPr>
              <w:t xml:space="preserve">Balance at </w:t>
            </w:r>
            <w:r w:rsidR="00057CA1">
              <w:rPr>
                <w:rFonts w:ascii="Calibri" w:hAnsi="Calibri" w:cs="Calibri"/>
                <w:b/>
                <w:bCs/>
                <w:color w:val="000000"/>
                <w:sz w:val="18"/>
                <w:szCs w:val="18"/>
              </w:rPr>
              <w:t>December 31</w:t>
            </w:r>
            <w:r w:rsidRPr="00E62280">
              <w:rPr>
                <w:rFonts w:ascii="Calibri" w:hAnsi="Calibri" w:cs="Calibri"/>
                <w:b/>
                <w:bCs/>
                <w:color w:val="000000"/>
                <w:sz w:val="18"/>
                <w:szCs w:val="18"/>
              </w:rPr>
              <w:t>, 202</w:t>
            </w:r>
            <w:r>
              <w:rPr>
                <w:rFonts w:ascii="Calibri" w:hAnsi="Calibri" w:cs="Calibri"/>
                <w:b/>
                <w:bCs/>
                <w:color w:val="000000"/>
                <w:sz w:val="18"/>
                <w:szCs w:val="18"/>
              </w:rPr>
              <w:t>2</w:t>
            </w:r>
            <w:bookmarkEnd w:id="3"/>
          </w:p>
        </w:tc>
        <w:tc>
          <w:tcPr>
            <w:tcW w:w="992" w:type="dxa"/>
            <w:tcBorders>
              <w:top w:val="single" w:sz="12" w:space="0" w:color="auto"/>
              <w:left w:val="single" w:sz="8" w:space="0" w:color="auto"/>
              <w:bottom w:val="single" w:sz="12" w:space="0" w:color="auto"/>
              <w:right w:val="single" w:sz="8" w:space="0" w:color="auto"/>
            </w:tcBorders>
            <w:shd w:val="clear" w:color="auto" w:fill="FFFFFF"/>
            <w:noWrap/>
            <w:vAlign w:val="bottom"/>
          </w:tcPr>
          <w:p w14:paraId="02558DA3"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1,138.7</w:t>
            </w:r>
          </w:p>
        </w:tc>
        <w:tc>
          <w:tcPr>
            <w:tcW w:w="827" w:type="dxa"/>
            <w:tcBorders>
              <w:top w:val="single" w:sz="12" w:space="0" w:color="auto"/>
              <w:bottom w:val="single" w:sz="12" w:space="0" w:color="auto"/>
            </w:tcBorders>
            <w:shd w:val="clear" w:color="auto" w:fill="FFFFFF"/>
            <w:noWrap/>
            <w:vAlign w:val="bottom"/>
          </w:tcPr>
          <w:p w14:paraId="27276408" w14:textId="77777777" w:rsidR="00A32677" w:rsidRPr="00757AE3" w:rsidRDefault="0024179C" w:rsidP="001C5897">
            <w:pPr>
              <w:jc w:val="right"/>
              <w:rPr>
                <w:rFonts w:ascii="Calibri" w:eastAsia="Calibri" w:hAnsi="Calibri" w:cs="Calibri"/>
                <w:sz w:val="18"/>
                <w:szCs w:val="18"/>
                <w:lang w:eastAsia="en-IE"/>
              </w:rPr>
            </w:pPr>
            <w:r>
              <w:rPr>
                <w:rFonts w:ascii="Calibri" w:eastAsia="Calibri" w:hAnsi="Calibri" w:cs="Calibri"/>
                <w:sz w:val="18"/>
                <w:szCs w:val="18"/>
                <w:lang w:eastAsia="en-IE"/>
              </w:rPr>
              <w:t>6.9</w:t>
            </w:r>
          </w:p>
        </w:tc>
        <w:tc>
          <w:tcPr>
            <w:tcW w:w="978" w:type="dxa"/>
            <w:tcBorders>
              <w:top w:val="single" w:sz="12" w:space="0" w:color="auto"/>
              <w:bottom w:val="single" w:sz="12" w:space="0" w:color="auto"/>
            </w:tcBorders>
            <w:shd w:val="clear" w:color="auto" w:fill="FFFFFF"/>
            <w:noWrap/>
            <w:vAlign w:val="bottom"/>
          </w:tcPr>
          <w:p w14:paraId="2D355B21"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1,379.8</w:t>
            </w:r>
          </w:p>
        </w:tc>
        <w:tc>
          <w:tcPr>
            <w:tcW w:w="1030" w:type="dxa"/>
            <w:gridSpan w:val="2"/>
            <w:tcBorders>
              <w:top w:val="single" w:sz="12" w:space="0" w:color="auto"/>
              <w:bottom w:val="single" w:sz="12" w:space="0" w:color="auto"/>
            </w:tcBorders>
            <w:shd w:val="clear" w:color="auto" w:fill="FFFFFF"/>
            <w:noWrap/>
            <w:vAlign w:val="bottom"/>
          </w:tcPr>
          <w:p w14:paraId="72F5D1C2" w14:textId="77777777" w:rsidR="00A32677" w:rsidRPr="00757AE3" w:rsidRDefault="0024179C" w:rsidP="001C5897">
            <w:pPr>
              <w:jc w:val="right"/>
              <w:rPr>
                <w:rFonts w:ascii="Calibri" w:eastAsia="Calibri" w:hAnsi="Calibri" w:cs="Calibri"/>
                <w:sz w:val="18"/>
                <w:szCs w:val="18"/>
                <w:lang w:eastAsia="en-IE"/>
              </w:rPr>
            </w:pPr>
            <w:r>
              <w:rPr>
                <w:rFonts w:ascii="Calibri" w:eastAsia="Calibri" w:hAnsi="Calibri" w:cs="Calibri"/>
                <w:sz w:val="18"/>
                <w:szCs w:val="18"/>
                <w:lang w:eastAsia="en-IE"/>
              </w:rPr>
              <w:t>3.5</w:t>
            </w:r>
          </w:p>
        </w:tc>
        <w:tc>
          <w:tcPr>
            <w:tcW w:w="1110" w:type="dxa"/>
            <w:tcBorders>
              <w:top w:val="single" w:sz="12" w:space="0" w:color="auto"/>
              <w:bottom w:val="single" w:sz="12" w:space="0" w:color="auto"/>
            </w:tcBorders>
            <w:shd w:val="clear" w:color="auto" w:fill="FFFFFF"/>
            <w:noWrap/>
            <w:vAlign w:val="bottom"/>
          </w:tcPr>
          <w:p w14:paraId="5B7CF856" w14:textId="77777777" w:rsidR="00A32677" w:rsidRPr="00757AE3" w:rsidRDefault="0024179C" w:rsidP="001C5897">
            <w:pPr>
              <w:jc w:val="right"/>
              <w:rPr>
                <w:rFonts w:ascii="Calibri" w:eastAsia="Calibri" w:hAnsi="Calibri" w:cs="Calibri"/>
                <w:sz w:val="18"/>
                <w:szCs w:val="18"/>
                <w:lang w:eastAsia="en-IE"/>
              </w:rPr>
            </w:pPr>
            <w:r>
              <w:rPr>
                <w:rFonts w:ascii="Calibri" w:eastAsia="Calibri" w:hAnsi="Calibri" w:cs="Calibri"/>
                <w:sz w:val="18"/>
                <w:szCs w:val="18"/>
                <w:lang w:eastAsia="en-IE"/>
              </w:rPr>
              <w:t>4,331.8</w:t>
            </w:r>
          </w:p>
        </w:tc>
        <w:tc>
          <w:tcPr>
            <w:tcW w:w="992" w:type="dxa"/>
            <w:tcBorders>
              <w:top w:val="single" w:sz="12" w:space="0" w:color="auto"/>
              <w:left w:val="single" w:sz="8" w:space="0" w:color="auto"/>
              <w:bottom w:val="single" w:sz="12" w:space="0" w:color="auto"/>
              <w:right w:val="nil"/>
            </w:tcBorders>
            <w:shd w:val="clear" w:color="auto" w:fill="FFFFFF"/>
            <w:noWrap/>
            <w:vAlign w:val="bottom"/>
          </w:tcPr>
          <w:p w14:paraId="644FD4A1" w14:textId="77777777" w:rsidR="00A32677" w:rsidRPr="00757AE3" w:rsidRDefault="0024179C" w:rsidP="001C5897">
            <w:pPr>
              <w:jc w:val="right"/>
              <w:rPr>
                <w:rFonts w:ascii="Calibri" w:eastAsia="Calibri" w:hAnsi="Calibri" w:cs="Calibri"/>
                <w:sz w:val="18"/>
                <w:szCs w:val="18"/>
                <w:lang w:eastAsia="en-IE"/>
              </w:rPr>
            </w:pPr>
            <w:r>
              <w:rPr>
                <w:rFonts w:ascii="Calibri" w:eastAsia="Calibri" w:hAnsi="Calibri" w:cs="Calibri"/>
                <w:sz w:val="18"/>
                <w:szCs w:val="18"/>
                <w:lang w:eastAsia="en-IE"/>
              </w:rPr>
              <w:t>533.9</w:t>
            </w:r>
          </w:p>
        </w:tc>
        <w:tc>
          <w:tcPr>
            <w:tcW w:w="992" w:type="dxa"/>
            <w:tcBorders>
              <w:top w:val="single" w:sz="12" w:space="0" w:color="auto"/>
              <w:left w:val="nil"/>
              <w:bottom w:val="single" w:sz="12" w:space="0" w:color="auto"/>
              <w:right w:val="single" w:sz="8" w:space="0" w:color="auto"/>
            </w:tcBorders>
            <w:shd w:val="clear" w:color="auto" w:fill="FFFFFF"/>
            <w:noWrap/>
            <w:vAlign w:val="bottom"/>
          </w:tcPr>
          <w:p w14:paraId="659D1913" w14:textId="77777777" w:rsidR="00A32677" w:rsidRPr="00757AE3" w:rsidRDefault="0024179C" w:rsidP="001C5897">
            <w:pPr>
              <w:jc w:val="right"/>
              <w:rPr>
                <w:rFonts w:ascii="Calibri" w:eastAsia="Calibri" w:hAnsi="Calibri" w:cs="Calibri"/>
                <w:sz w:val="18"/>
                <w:szCs w:val="18"/>
                <w:lang w:eastAsia="en-IE"/>
              </w:rPr>
            </w:pPr>
            <w:r>
              <w:rPr>
                <w:rFonts w:ascii="Calibri" w:eastAsia="Calibri" w:hAnsi="Calibri" w:cs="Calibri"/>
                <w:sz w:val="18"/>
                <w:szCs w:val="18"/>
                <w:lang w:eastAsia="en-IE"/>
              </w:rPr>
              <w:t>36.4</w:t>
            </w:r>
          </w:p>
        </w:tc>
        <w:tc>
          <w:tcPr>
            <w:tcW w:w="992" w:type="dxa"/>
            <w:tcBorders>
              <w:top w:val="single" w:sz="12" w:space="0" w:color="auto"/>
              <w:bottom w:val="single" w:sz="12" w:space="0" w:color="auto"/>
            </w:tcBorders>
            <w:shd w:val="clear" w:color="auto" w:fill="FFFFFF"/>
            <w:noWrap/>
            <w:vAlign w:val="bottom"/>
          </w:tcPr>
          <w:p w14:paraId="56D7E004" w14:textId="77777777" w:rsidR="00A32677" w:rsidRPr="00757AE3" w:rsidRDefault="0024179C"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6,292.3</w:t>
            </w:r>
          </w:p>
        </w:tc>
      </w:tr>
      <w:tr w:rsidR="00A32677" w:rsidRPr="00BF0AD6" w14:paraId="3289D69C" w14:textId="77777777" w:rsidTr="001C72D4">
        <w:trPr>
          <w:trHeight w:val="227"/>
        </w:trPr>
        <w:tc>
          <w:tcPr>
            <w:tcW w:w="2977" w:type="dxa"/>
            <w:shd w:val="clear" w:color="auto" w:fill="FFFFFF"/>
            <w:vAlign w:val="bottom"/>
          </w:tcPr>
          <w:p w14:paraId="2197ABA1" w14:textId="77777777" w:rsidR="00A32677" w:rsidRPr="00BF0AD6" w:rsidRDefault="00BC2D93" w:rsidP="00EE6630">
            <w:pPr>
              <w:ind w:right="-112"/>
              <w:rPr>
                <w:rFonts w:ascii="Calibri" w:hAnsi="Calibri" w:cs="Calibri"/>
                <w:color w:val="000000"/>
                <w:sz w:val="18"/>
                <w:szCs w:val="18"/>
                <w:lang w:eastAsia="en-IE"/>
              </w:rPr>
            </w:pPr>
            <w:r>
              <w:rPr>
                <w:rFonts w:ascii="Calibri" w:hAnsi="Calibri" w:cs="Calibri"/>
                <w:color w:val="000000"/>
                <w:sz w:val="18"/>
                <w:szCs w:val="18"/>
                <w:lang w:eastAsia="en-IE"/>
              </w:rPr>
              <w:t>(Loss)</w:t>
            </w:r>
            <w:r w:rsidRPr="00F26EAC">
              <w:rPr>
                <w:rFonts w:ascii="Calibri" w:hAnsi="Calibri" w:cs="Calibri"/>
                <w:color w:val="000000"/>
                <w:sz w:val="18"/>
                <w:szCs w:val="18"/>
                <w:lang w:eastAsia="en-IE"/>
              </w:rPr>
              <w:t xml:space="preserve"> </w:t>
            </w:r>
            <w:r w:rsidR="00A32677" w:rsidRPr="00F26EAC">
              <w:rPr>
                <w:rFonts w:ascii="Calibri" w:hAnsi="Calibri" w:cs="Calibri"/>
                <w:color w:val="000000"/>
                <w:sz w:val="18"/>
                <w:szCs w:val="18"/>
                <w:lang w:eastAsia="en-IE"/>
              </w:rPr>
              <w:t xml:space="preserve">for the </w:t>
            </w:r>
            <w:r w:rsidR="00057CA1">
              <w:rPr>
                <w:rFonts w:ascii="Calibri" w:hAnsi="Calibri" w:cs="Calibri"/>
                <w:color w:val="000000"/>
                <w:sz w:val="18"/>
                <w:szCs w:val="18"/>
                <w:lang w:eastAsia="en-IE"/>
              </w:rPr>
              <w:t>quarter</w:t>
            </w:r>
          </w:p>
        </w:tc>
        <w:tc>
          <w:tcPr>
            <w:tcW w:w="992" w:type="dxa"/>
            <w:tcBorders>
              <w:top w:val="single" w:sz="12" w:space="0" w:color="auto"/>
              <w:left w:val="single" w:sz="8" w:space="0" w:color="auto"/>
              <w:bottom w:val="nil"/>
              <w:right w:val="single" w:sz="8" w:space="0" w:color="auto"/>
            </w:tcBorders>
            <w:shd w:val="clear" w:color="auto" w:fill="FFFFFF"/>
            <w:noWrap/>
            <w:vAlign w:val="bottom"/>
          </w:tcPr>
          <w:p w14:paraId="52A01402" w14:textId="77777777" w:rsidR="00A32677" w:rsidRPr="00757AE3" w:rsidRDefault="003969D1"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827" w:type="dxa"/>
            <w:tcBorders>
              <w:top w:val="single" w:sz="12" w:space="0" w:color="auto"/>
            </w:tcBorders>
            <w:shd w:val="clear" w:color="auto" w:fill="FFFFFF"/>
            <w:noWrap/>
            <w:vAlign w:val="bottom"/>
          </w:tcPr>
          <w:p w14:paraId="622C665E" w14:textId="77777777" w:rsidR="00A32677" w:rsidRPr="00757AE3" w:rsidRDefault="003969D1" w:rsidP="001C5897">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78" w:type="dxa"/>
            <w:tcBorders>
              <w:top w:val="single" w:sz="12" w:space="0" w:color="auto"/>
            </w:tcBorders>
            <w:shd w:val="clear" w:color="auto" w:fill="FFFFFF"/>
            <w:noWrap/>
            <w:vAlign w:val="bottom"/>
          </w:tcPr>
          <w:p w14:paraId="5C601597" w14:textId="77777777" w:rsidR="00A32677" w:rsidRPr="00757AE3" w:rsidRDefault="003969D1"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030" w:type="dxa"/>
            <w:gridSpan w:val="2"/>
            <w:tcBorders>
              <w:top w:val="single" w:sz="12" w:space="0" w:color="auto"/>
            </w:tcBorders>
            <w:shd w:val="clear" w:color="auto" w:fill="FFFFFF"/>
            <w:noWrap/>
            <w:vAlign w:val="bottom"/>
          </w:tcPr>
          <w:p w14:paraId="6D291BD8" w14:textId="77777777" w:rsidR="00A32677" w:rsidRPr="00757AE3" w:rsidRDefault="00C4444C" w:rsidP="001C5897">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1110" w:type="dxa"/>
            <w:tcBorders>
              <w:top w:val="single" w:sz="12" w:space="0" w:color="auto"/>
            </w:tcBorders>
            <w:shd w:val="clear" w:color="auto" w:fill="FFFFFF"/>
            <w:noWrap/>
            <w:vAlign w:val="bottom"/>
          </w:tcPr>
          <w:p w14:paraId="5D1E0D13" w14:textId="77777777" w:rsidR="00A32677" w:rsidRPr="00757AE3" w:rsidRDefault="001C72D4" w:rsidP="001C5897">
            <w:pPr>
              <w:jc w:val="right"/>
              <w:rPr>
                <w:rFonts w:ascii="Calibri" w:eastAsia="Calibri" w:hAnsi="Calibri" w:cs="Calibri"/>
                <w:sz w:val="18"/>
                <w:szCs w:val="18"/>
                <w:lang w:eastAsia="en-IE"/>
              </w:rPr>
            </w:pPr>
            <w:r>
              <w:rPr>
                <w:rFonts w:ascii="Calibri" w:eastAsia="Calibri" w:hAnsi="Calibri" w:cs="Calibri"/>
                <w:sz w:val="18"/>
                <w:szCs w:val="18"/>
                <w:lang w:eastAsia="en-IE"/>
              </w:rPr>
              <w:t>(151.7)</w:t>
            </w:r>
          </w:p>
        </w:tc>
        <w:tc>
          <w:tcPr>
            <w:tcW w:w="992" w:type="dxa"/>
            <w:tcBorders>
              <w:top w:val="single" w:sz="12" w:space="0" w:color="auto"/>
              <w:left w:val="single" w:sz="8" w:space="0" w:color="auto"/>
              <w:bottom w:val="nil"/>
              <w:right w:val="nil"/>
            </w:tcBorders>
            <w:shd w:val="clear" w:color="auto" w:fill="FFFFFF"/>
            <w:noWrap/>
            <w:vAlign w:val="bottom"/>
          </w:tcPr>
          <w:p w14:paraId="64E88969" w14:textId="77777777" w:rsidR="00A32677" w:rsidRPr="00757AE3" w:rsidRDefault="003969D1" w:rsidP="001C5897">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92" w:type="dxa"/>
            <w:tcBorders>
              <w:top w:val="single" w:sz="12" w:space="0" w:color="auto"/>
              <w:left w:val="nil"/>
              <w:bottom w:val="nil"/>
              <w:right w:val="single" w:sz="8" w:space="0" w:color="auto"/>
            </w:tcBorders>
            <w:shd w:val="clear" w:color="auto" w:fill="FFFFFF"/>
            <w:noWrap/>
            <w:vAlign w:val="bottom"/>
          </w:tcPr>
          <w:p w14:paraId="47EC767B" w14:textId="77777777" w:rsidR="00A32677" w:rsidRPr="00757AE3" w:rsidRDefault="003969D1" w:rsidP="001C5897">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92" w:type="dxa"/>
            <w:tcBorders>
              <w:top w:val="single" w:sz="12" w:space="0" w:color="auto"/>
            </w:tcBorders>
            <w:shd w:val="clear" w:color="auto" w:fill="FFFFFF"/>
            <w:noWrap/>
            <w:vAlign w:val="bottom"/>
          </w:tcPr>
          <w:p w14:paraId="558A37C1" w14:textId="77777777" w:rsidR="00A32677" w:rsidRPr="00757AE3" w:rsidRDefault="001C72D4" w:rsidP="001C5897">
            <w:pPr>
              <w:jc w:val="right"/>
              <w:rPr>
                <w:rFonts w:ascii="Calibri" w:hAnsi="Calibri" w:cs="Calibri"/>
                <w:color w:val="000000"/>
                <w:sz w:val="18"/>
                <w:szCs w:val="18"/>
                <w:lang w:eastAsia="en-IE"/>
              </w:rPr>
            </w:pPr>
            <w:r>
              <w:rPr>
                <w:rFonts w:ascii="Calibri" w:hAnsi="Calibri" w:cs="Calibri"/>
                <w:color w:val="000000"/>
                <w:sz w:val="18"/>
                <w:szCs w:val="18"/>
                <w:lang w:eastAsia="en-IE"/>
              </w:rPr>
              <w:t>(151.7)</w:t>
            </w:r>
          </w:p>
        </w:tc>
      </w:tr>
      <w:tr w:rsidR="00A32677" w:rsidRPr="00BF0AD6" w14:paraId="66C79C1F" w14:textId="77777777" w:rsidTr="001C72D4">
        <w:trPr>
          <w:trHeight w:val="227"/>
        </w:trPr>
        <w:tc>
          <w:tcPr>
            <w:tcW w:w="2977" w:type="dxa"/>
            <w:shd w:val="clear" w:color="auto" w:fill="FFFFFF"/>
            <w:vAlign w:val="bottom"/>
          </w:tcPr>
          <w:p w14:paraId="6CFADCEF" w14:textId="77777777" w:rsidR="00A32677" w:rsidRPr="00BF0AD6" w:rsidRDefault="00A32677" w:rsidP="00EE6630">
            <w:pPr>
              <w:ind w:right="-112"/>
              <w:rPr>
                <w:rFonts w:ascii="Calibri" w:hAnsi="Calibri" w:cs="Calibri"/>
                <w:color w:val="000000"/>
                <w:sz w:val="18"/>
                <w:szCs w:val="18"/>
                <w:lang w:eastAsia="en-IE"/>
              </w:rPr>
            </w:pPr>
            <w:r w:rsidRPr="00F26EAC">
              <w:rPr>
                <w:rFonts w:ascii="Calibri" w:hAnsi="Calibri" w:cs="Calibri"/>
                <w:i/>
                <w:iCs/>
                <w:color w:val="000000"/>
                <w:sz w:val="18"/>
                <w:szCs w:val="18"/>
                <w:lang w:eastAsia="en-IE"/>
              </w:rPr>
              <w:t>Other comprehensive loss</w:t>
            </w:r>
          </w:p>
        </w:tc>
        <w:tc>
          <w:tcPr>
            <w:tcW w:w="992" w:type="dxa"/>
            <w:tcBorders>
              <w:top w:val="nil"/>
              <w:left w:val="single" w:sz="8" w:space="0" w:color="auto"/>
              <w:bottom w:val="nil"/>
              <w:right w:val="single" w:sz="8" w:space="0" w:color="auto"/>
            </w:tcBorders>
            <w:shd w:val="clear" w:color="auto" w:fill="FFFFFF"/>
            <w:noWrap/>
            <w:vAlign w:val="bottom"/>
          </w:tcPr>
          <w:p w14:paraId="6EFABADA" w14:textId="77777777" w:rsidR="00A32677" w:rsidRPr="00757AE3" w:rsidRDefault="00A32677" w:rsidP="001C5897">
            <w:pPr>
              <w:jc w:val="right"/>
              <w:rPr>
                <w:rFonts w:ascii="Calibri" w:hAnsi="Calibri" w:cs="Calibri"/>
                <w:color w:val="000000"/>
                <w:sz w:val="18"/>
                <w:szCs w:val="18"/>
                <w:lang w:eastAsia="en-IE"/>
              </w:rPr>
            </w:pPr>
          </w:p>
        </w:tc>
        <w:tc>
          <w:tcPr>
            <w:tcW w:w="827" w:type="dxa"/>
            <w:shd w:val="clear" w:color="auto" w:fill="FFFFFF"/>
            <w:noWrap/>
            <w:vAlign w:val="bottom"/>
          </w:tcPr>
          <w:p w14:paraId="23DF2B1E" w14:textId="77777777" w:rsidR="00A32677" w:rsidRPr="00757AE3" w:rsidRDefault="00A32677" w:rsidP="001C5897">
            <w:pPr>
              <w:jc w:val="right"/>
              <w:rPr>
                <w:rFonts w:ascii="Calibri" w:eastAsia="Calibri" w:hAnsi="Calibri" w:cs="Calibri"/>
                <w:sz w:val="18"/>
                <w:szCs w:val="18"/>
                <w:lang w:eastAsia="en-IE"/>
              </w:rPr>
            </w:pPr>
          </w:p>
        </w:tc>
        <w:tc>
          <w:tcPr>
            <w:tcW w:w="978" w:type="dxa"/>
            <w:shd w:val="clear" w:color="auto" w:fill="FFFFFF"/>
            <w:noWrap/>
            <w:vAlign w:val="bottom"/>
          </w:tcPr>
          <w:p w14:paraId="4385E35B" w14:textId="77777777" w:rsidR="00A32677" w:rsidRPr="00757AE3" w:rsidRDefault="00A32677" w:rsidP="001C5897">
            <w:pPr>
              <w:jc w:val="right"/>
              <w:rPr>
                <w:rFonts w:ascii="Calibri" w:hAnsi="Calibri" w:cs="Calibri"/>
                <w:color w:val="000000"/>
                <w:sz w:val="18"/>
                <w:szCs w:val="18"/>
                <w:lang w:eastAsia="en-IE"/>
              </w:rPr>
            </w:pPr>
          </w:p>
        </w:tc>
        <w:tc>
          <w:tcPr>
            <w:tcW w:w="1030" w:type="dxa"/>
            <w:gridSpan w:val="2"/>
            <w:shd w:val="clear" w:color="auto" w:fill="FFFFFF"/>
            <w:noWrap/>
            <w:vAlign w:val="bottom"/>
          </w:tcPr>
          <w:p w14:paraId="02700283" w14:textId="77777777" w:rsidR="00A32677" w:rsidRPr="00757AE3" w:rsidRDefault="00A32677" w:rsidP="001C5897">
            <w:pPr>
              <w:jc w:val="right"/>
              <w:rPr>
                <w:rFonts w:ascii="Calibri" w:eastAsia="Calibri" w:hAnsi="Calibri" w:cs="Calibri"/>
                <w:sz w:val="18"/>
                <w:szCs w:val="18"/>
                <w:lang w:eastAsia="en-IE"/>
              </w:rPr>
            </w:pPr>
          </w:p>
        </w:tc>
        <w:tc>
          <w:tcPr>
            <w:tcW w:w="1110" w:type="dxa"/>
            <w:shd w:val="clear" w:color="auto" w:fill="FFFFFF"/>
            <w:noWrap/>
            <w:vAlign w:val="bottom"/>
          </w:tcPr>
          <w:p w14:paraId="1E1D1703"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nil"/>
              <w:left w:val="single" w:sz="8" w:space="0" w:color="auto"/>
              <w:bottom w:val="nil"/>
              <w:right w:val="nil"/>
            </w:tcBorders>
            <w:shd w:val="clear" w:color="auto" w:fill="FFFFFF"/>
            <w:noWrap/>
            <w:vAlign w:val="bottom"/>
          </w:tcPr>
          <w:p w14:paraId="5D088324" w14:textId="77777777" w:rsidR="00A32677" w:rsidRPr="00757AE3" w:rsidRDefault="00A32677" w:rsidP="001C5897">
            <w:pPr>
              <w:jc w:val="right"/>
              <w:rPr>
                <w:rFonts w:ascii="Calibri" w:eastAsia="Calibri" w:hAnsi="Calibri" w:cs="Calibri"/>
                <w:sz w:val="18"/>
                <w:szCs w:val="18"/>
                <w:lang w:eastAsia="en-IE"/>
              </w:rPr>
            </w:pPr>
          </w:p>
        </w:tc>
        <w:tc>
          <w:tcPr>
            <w:tcW w:w="992" w:type="dxa"/>
            <w:tcBorders>
              <w:top w:val="nil"/>
              <w:left w:val="nil"/>
              <w:bottom w:val="nil"/>
              <w:right w:val="single" w:sz="8" w:space="0" w:color="auto"/>
            </w:tcBorders>
            <w:shd w:val="clear" w:color="auto" w:fill="FFFFFF"/>
            <w:noWrap/>
            <w:vAlign w:val="bottom"/>
          </w:tcPr>
          <w:p w14:paraId="2A9BDDA3" w14:textId="77777777" w:rsidR="00A32677" w:rsidRPr="00757AE3" w:rsidRDefault="00A32677" w:rsidP="001C5897">
            <w:pPr>
              <w:jc w:val="right"/>
              <w:rPr>
                <w:rFonts w:ascii="Calibri" w:eastAsia="Calibri" w:hAnsi="Calibri" w:cs="Calibri"/>
                <w:sz w:val="18"/>
                <w:szCs w:val="18"/>
                <w:lang w:eastAsia="en-IE"/>
              </w:rPr>
            </w:pPr>
          </w:p>
        </w:tc>
        <w:tc>
          <w:tcPr>
            <w:tcW w:w="992" w:type="dxa"/>
            <w:shd w:val="clear" w:color="auto" w:fill="FFFFFF"/>
            <w:noWrap/>
            <w:vAlign w:val="bottom"/>
          </w:tcPr>
          <w:p w14:paraId="38927CB9" w14:textId="77777777" w:rsidR="00A32677" w:rsidRPr="00757AE3" w:rsidRDefault="00A32677" w:rsidP="001C5897">
            <w:pPr>
              <w:jc w:val="right"/>
              <w:rPr>
                <w:rFonts w:ascii="Calibri" w:hAnsi="Calibri" w:cs="Calibri"/>
                <w:color w:val="000000"/>
                <w:sz w:val="18"/>
                <w:szCs w:val="18"/>
                <w:lang w:eastAsia="en-IE"/>
              </w:rPr>
            </w:pPr>
          </w:p>
        </w:tc>
      </w:tr>
      <w:tr w:rsidR="003969D1" w:rsidRPr="00BF0AD6" w14:paraId="25D1DAB5" w14:textId="77777777" w:rsidTr="001C72D4">
        <w:trPr>
          <w:trHeight w:val="227"/>
        </w:trPr>
        <w:tc>
          <w:tcPr>
            <w:tcW w:w="2977" w:type="dxa"/>
            <w:shd w:val="clear" w:color="auto" w:fill="FFFFFF"/>
            <w:vAlign w:val="bottom"/>
          </w:tcPr>
          <w:p w14:paraId="12BD4614" w14:textId="77777777" w:rsidR="003969D1" w:rsidRPr="00BF0AD6" w:rsidRDefault="003969D1" w:rsidP="003969D1">
            <w:pPr>
              <w:ind w:right="-112"/>
              <w:rPr>
                <w:rFonts w:ascii="Calibri" w:hAnsi="Calibri" w:cs="Calibri"/>
                <w:color w:val="000000"/>
                <w:sz w:val="18"/>
                <w:szCs w:val="18"/>
                <w:lang w:eastAsia="en-IE"/>
              </w:rPr>
            </w:pPr>
            <w:r w:rsidRPr="00F26EAC">
              <w:rPr>
                <w:rFonts w:ascii="Calibri" w:hAnsi="Calibri" w:cs="Calibri"/>
                <w:color w:val="000000"/>
                <w:sz w:val="18"/>
                <w:szCs w:val="18"/>
                <w:lang w:eastAsia="en-IE"/>
              </w:rPr>
              <w:t>Net movements in cash-flow reserve</w:t>
            </w:r>
          </w:p>
        </w:tc>
        <w:tc>
          <w:tcPr>
            <w:tcW w:w="992" w:type="dxa"/>
            <w:tcBorders>
              <w:top w:val="nil"/>
              <w:left w:val="single" w:sz="8" w:space="0" w:color="auto"/>
              <w:bottom w:val="single" w:sz="8" w:space="0" w:color="auto"/>
              <w:right w:val="single" w:sz="8" w:space="0" w:color="auto"/>
            </w:tcBorders>
            <w:shd w:val="clear" w:color="auto" w:fill="FFFFFF"/>
            <w:noWrap/>
            <w:vAlign w:val="bottom"/>
          </w:tcPr>
          <w:p w14:paraId="02362790" w14:textId="77777777" w:rsidR="003969D1" w:rsidRPr="00757AE3" w:rsidRDefault="00C4444C"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827" w:type="dxa"/>
            <w:tcBorders>
              <w:bottom w:val="single" w:sz="8" w:space="0" w:color="auto"/>
            </w:tcBorders>
            <w:shd w:val="clear" w:color="auto" w:fill="FFFFFF"/>
            <w:noWrap/>
            <w:vAlign w:val="bottom"/>
          </w:tcPr>
          <w:p w14:paraId="72987EED" w14:textId="77777777" w:rsidR="003969D1" w:rsidRPr="00757AE3" w:rsidRDefault="00C4444C"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78" w:type="dxa"/>
            <w:tcBorders>
              <w:bottom w:val="single" w:sz="8" w:space="0" w:color="auto"/>
            </w:tcBorders>
            <w:shd w:val="clear" w:color="auto" w:fill="FFFFFF"/>
            <w:noWrap/>
            <w:vAlign w:val="bottom"/>
          </w:tcPr>
          <w:p w14:paraId="5F4A2C1B" w14:textId="77777777" w:rsidR="003969D1" w:rsidRPr="00757AE3" w:rsidRDefault="00C4444C"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030" w:type="dxa"/>
            <w:gridSpan w:val="2"/>
            <w:tcBorders>
              <w:bottom w:val="single" w:sz="8" w:space="0" w:color="auto"/>
            </w:tcBorders>
            <w:shd w:val="clear" w:color="auto" w:fill="FFFFFF"/>
            <w:noWrap/>
            <w:vAlign w:val="bottom"/>
          </w:tcPr>
          <w:p w14:paraId="3B8AE8D7" w14:textId="77777777" w:rsidR="003969D1" w:rsidRPr="00757AE3" w:rsidRDefault="00C4444C"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1110" w:type="dxa"/>
            <w:tcBorders>
              <w:bottom w:val="single" w:sz="8" w:space="0" w:color="auto"/>
            </w:tcBorders>
            <w:shd w:val="clear" w:color="auto" w:fill="FFFFFF"/>
            <w:noWrap/>
            <w:vAlign w:val="bottom"/>
          </w:tcPr>
          <w:p w14:paraId="5B13628F" w14:textId="77777777" w:rsidR="003969D1" w:rsidRPr="00757AE3" w:rsidRDefault="00C4444C"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92" w:type="dxa"/>
            <w:tcBorders>
              <w:top w:val="nil"/>
              <w:left w:val="single" w:sz="8" w:space="0" w:color="auto"/>
              <w:bottom w:val="single" w:sz="8" w:space="0" w:color="auto"/>
              <w:right w:val="nil"/>
            </w:tcBorders>
            <w:shd w:val="clear" w:color="auto" w:fill="FFFFFF"/>
            <w:noWrap/>
            <w:vAlign w:val="bottom"/>
          </w:tcPr>
          <w:p w14:paraId="11B8FBB7"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(502.5)</w:t>
            </w:r>
          </w:p>
        </w:tc>
        <w:tc>
          <w:tcPr>
            <w:tcW w:w="992" w:type="dxa"/>
            <w:tcBorders>
              <w:top w:val="nil"/>
              <w:left w:val="nil"/>
              <w:bottom w:val="single" w:sz="8" w:space="0" w:color="auto"/>
              <w:right w:val="single" w:sz="8" w:space="0" w:color="auto"/>
            </w:tcBorders>
            <w:shd w:val="clear" w:color="auto" w:fill="FFFFFF"/>
            <w:noWrap/>
            <w:vAlign w:val="bottom"/>
          </w:tcPr>
          <w:p w14:paraId="009D6750"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92" w:type="dxa"/>
            <w:tcBorders>
              <w:bottom w:val="single" w:sz="8" w:space="0" w:color="auto"/>
            </w:tcBorders>
            <w:shd w:val="clear" w:color="auto" w:fill="FFFFFF"/>
            <w:noWrap/>
            <w:vAlign w:val="bottom"/>
          </w:tcPr>
          <w:p w14:paraId="319114A5" w14:textId="77777777" w:rsidR="003969D1" w:rsidRPr="00757AE3" w:rsidRDefault="003969D1" w:rsidP="003969D1">
            <w:pPr>
              <w:jc w:val="right"/>
              <w:rPr>
                <w:rFonts w:ascii="Calibri" w:hAnsi="Calibri" w:cs="Calibri"/>
                <w:color w:val="000000"/>
                <w:sz w:val="18"/>
                <w:szCs w:val="18"/>
                <w:lang w:eastAsia="en-IE"/>
              </w:rPr>
            </w:pPr>
            <w:r>
              <w:rPr>
                <w:rFonts w:ascii="Calibri" w:eastAsia="Calibri" w:hAnsi="Calibri" w:cs="Calibri"/>
                <w:sz w:val="18"/>
                <w:szCs w:val="18"/>
                <w:lang w:eastAsia="en-IE"/>
              </w:rPr>
              <w:t>(502.5)</w:t>
            </w:r>
          </w:p>
        </w:tc>
      </w:tr>
      <w:tr w:rsidR="003969D1" w:rsidRPr="00BF0AD6" w14:paraId="44ED248B" w14:textId="77777777" w:rsidTr="001C72D4">
        <w:trPr>
          <w:trHeight w:val="227"/>
        </w:trPr>
        <w:tc>
          <w:tcPr>
            <w:tcW w:w="2977" w:type="dxa"/>
            <w:shd w:val="clear" w:color="auto" w:fill="FFFFFF"/>
            <w:vAlign w:val="bottom"/>
          </w:tcPr>
          <w:p w14:paraId="7EC00BC8" w14:textId="77777777" w:rsidR="003969D1" w:rsidRPr="00BF0AD6" w:rsidRDefault="003969D1" w:rsidP="003969D1">
            <w:pPr>
              <w:ind w:right="-112"/>
              <w:rPr>
                <w:rFonts w:ascii="Calibri" w:hAnsi="Calibri" w:cs="Calibri"/>
                <w:color w:val="000000"/>
                <w:sz w:val="18"/>
                <w:szCs w:val="18"/>
                <w:lang w:eastAsia="en-IE"/>
              </w:rPr>
            </w:pPr>
            <w:r w:rsidRPr="00F26EAC">
              <w:rPr>
                <w:rFonts w:ascii="Calibri" w:hAnsi="Calibri" w:cs="Calibri"/>
                <w:color w:val="000000"/>
                <w:sz w:val="18"/>
                <w:szCs w:val="18"/>
                <w:lang w:eastAsia="en-IE"/>
              </w:rPr>
              <w:t xml:space="preserve">Total other comprehensive </w:t>
            </w:r>
            <w:r w:rsidR="00BE72C3">
              <w:rPr>
                <w:rFonts w:ascii="Calibri" w:hAnsi="Calibri" w:cs="Calibri"/>
                <w:color w:val="000000"/>
                <w:sz w:val="18"/>
                <w:szCs w:val="18"/>
                <w:lang w:eastAsia="en-IE"/>
              </w:rPr>
              <w:t>(</w:t>
            </w:r>
            <w:r w:rsidRPr="00F26EAC">
              <w:rPr>
                <w:rFonts w:ascii="Calibri" w:hAnsi="Calibri" w:cs="Calibri"/>
                <w:color w:val="000000"/>
                <w:sz w:val="18"/>
                <w:szCs w:val="18"/>
                <w:lang w:eastAsia="en-IE"/>
              </w:rPr>
              <w:t>loss</w:t>
            </w:r>
            <w:r w:rsidR="00BE72C3">
              <w:rPr>
                <w:rFonts w:ascii="Calibri" w:hAnsi="Calibri" w:cs="Calibri"/>
                <w:color w:val="000000"/>
                <w:sz w:val="18"/>
                <w:szCs w:val="18"/>
                <w:lang w:eastAsia="en-IE"/>
              </w:rPr>
              <w:t>)</w:t>
            </w:r>
          </w:p>
        </w:tc>
        <w:tc>
          <w:tcPr>
            <w:tcW w:w="992" w:type="dxa"/>
            <w:tcBorders>
              <w:top w:val="single" w:sz="8" w:space="0" w:color="auto"/>
              <w:left w:val="single" w:sz="8" w:space="0" w:color="auto"/>
              <w:bottom w:val="single" w:sz="8" w:space="0" w:color="auto"/>
              <w:right w:val="single" w:sz="8" w:space="0" w:color="auto"/>
            </w:tcBorders>
            <w:shd w:val="clear" w:color="auto" w:fill="FFFFFF"/>
            <w:noWrap/>
            <w:vAlign w:val="bottom"/>
          </w:tcPr>
          <w:p w14:paraId="2890FECB" w14:textId="77777777" w:rsidR="003969D1" w:rsidRPr="00757AE3" w:rsidRDefault="003969D1"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827" w:type="dxa"/>
            <w:tcBorders>
              <w:top w:val="single" w:sz="8" w:space="0" w:color="auto"/>
              <w:bottom w:val="single" w:sz="8" w:space="0" w:color="auto"/>
            </w:tcBorders>
            <w:shd w:val="clear" w:color="auto" w:fill="FFFFFF"/>
            <w:noWrap/>
            <w:vAlign w:val="bottom"/>
          </w:tcPr>
          <w:p w14:paraId="5D8B68AB"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78" w:type="dxa"/>
            <w:tcBorders>
              <w:top w:val="single" w:sz="8" w:space="0" w:color="auto"/>
              <w:bottom w:val="single" w:sz="8" w:space="0" w:color="auto"/>
            </w:tcBorders>
            <w:shd w:val="clear" w:color="auto" w:fill="FFFFFF"/>
            <w:noWrap/>
            <w:vAlign w:val="bottom"/>
          </w:tcPr>
          <w:p w14:paraId="483B476E" w14:textId="77777777" w:rsidR="003969D1" w:rsidRPr="00757AE3" w:rsidRDefault="003969D1"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030" w:type="dxa"/>
            <w:gridSpan w:val="2"/>
            <w:tcBorders>
              <w:top w:val="single" w:sz="8" w:space="0" w:color="auto"/>
              <w:bottom w:val="single" w:sz="8" w:space="0" w:color="auto"/>
            </w:tcBorders>
            <w:shd w:val="clear" w:color="auto" w:fill="FFFFFF"/>
            <w:noWrap/>
            <w:vAlign w:val="bottom"/>
          </w:tcPr>
          <w:p w14:paraId="2530229A"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1110" w:type="dxa"/>
            <w:tcBorders>
              <w:top w:val="single" w:sz="8" w:space="0" w:color="auto"/>
              <w:bottom w:val="single" w:sz="8" w:space="0" w:color="auto"/>
            </w:tcBorders>
            <w:shd w:val="clear" w:color="auto" w:fill="FFFFFF"/>
            <w:noWrap/>
            <w:vAlign w:val="bottom"/>
          </w:tcPr>
          <w:p w14:paraId="42AC270A"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92" w:type="dxa"/>
            <w:tcBorders>
              <w:top w:val="single" w:sz="8" w:space="0" w:color="auto"/>
              <w:left w:val="single" w:sz="8" w:space="0" w:color="auto"/>
              <w:bottom w:val="single" w:sz="8" w:space="0" w:color="auto"/>
              <w:right w:val="nil"/>
            </w:tcBorders>
            <w:shd w:val="clear" w:color="auto" w:fill="FFFFFF"/>
            <w:noWrap/>
            <w:vAlign w:val="bottom"/>
          </w:tcPr>
          <w:p w14:paraId="61629434"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(502.5)</w:t>
            </w:r>
          </w:p>
        </w:tc>
        <w:tc>
          <w:tcPr>
            <w:tcW w:w="992" w:type="dxa"/>
            <w:tcBorders>
              <w:top w:val="single" w:sz="8" w:space="0" w:color="auto"/>
              <w:left w:val="nil"/>
              <w:bottom w:val="single" w:sz="8" w:space="0" w:color="auto"/>
              <w:right w:val="single" w:sz="8" w:space="0" w:color="auto"/>
            </w:tcBorders>
            <w:shd w:val="clear" w:color="auto" w:fill="FFFFFF"/>
            <w:noWrap/>
            <w:vAlign w:val="bottom"/>
          </w:tcPr>
          <w:p w14:paraId="1DDC8C79"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92" w:type="dxa"/>
            <w:tcBorders>
              <w:top w:val="single" w:sz="8" w:space="0" w:color="auto"/>
              <w:bottom w:val="single" w:sz="8" w:space="0" w:color="auto"/>
            </w:tcBorders>
            <w:shd w:val="clear" w:color="auto" w:fill="FFFFFF"/>
            <w:noWrap/>
            <w:vAlign w:val="bottom"/>
          </w:tcPr>
          <w:p w14:paraId="3105C1EB" w14:textId="77777777" w:rsidR="003969D1" w:rsidRPr="00757AE3" w:rsidRDefault="003969D1" w:rsidP="003969D1">
            <w:pPr>
              <w:jc w:val="right"/>
              <w:rPr>
                <w:rFonts w:ascii="Calibri" w:hAnsi="Calibri" w:cs="Calibri"/>
                <w:color w:val="000000"/>
                <w:sz w:val="18"/>
                <w:szCs w:val="18"/>
                <w:lang w:eastAsia="en-IE"/>
              </w:rPr>
            </w:pPr>
            <w:r>
              <w:rPr>
                <w:rFonts w:ascii="Calibri" w:eastAsia="Calibri" w:hAnsi="Calibri" w:cs="Calibri"/>
                <w:sz w:val="18"/>
                <w:szCs w:val="18"/>
                <w:lang w:eastAsia="en-IE"/>
              </w:rPr>
              <w:t>(502.5)</w:t>
            </w:r>
          </w:p>
        </w:tc>
      </w:tr>
      <w:tr w:rsidR="003969D1" w:rsidRPr="00BF0AD6" w14:paraId="28B81452" w14:textId="77777777" w:rsidTr="001C72D4">
        <w:trPr>
          <w:trHeight w:val="227"/>
        </w:trPr>
        <w:tc>
          <w:tcPr>
            <w:tcW w:w="2977" w:type="dxa"/>
            <w:shd w:val="clear" w:color="auto" w:fill="FFFFFF"/>
            <w:vAlign w:val="bottom"/>
          </w:tcPr>
          <w:p w14:paraId="589FCFF9" w14:textId="77777777" w:rsidR="003969D1" w:rsidRPr="00BF0AD6" w:rsidRDefault="003969D1" w:rsidP="003969D1">
            <w:pPr>
              <w:ind w:right="-112"/>
              <w:rPr>
                <w:rFonts w:ascii="Calibri" w:hAnsi="Calibri" w:cs="Calibri"/>
                <w:color w:val="000000"/>
                <w:sz w:val="18"/>
                <w:szCs w:val="18"/>
                <w:lang w:eastAsia="en-IE"/>
              </w:rPr>
            </w:pPr>
            <w:r w:rsidRPr="00F26EAC">
              <w:rPr>
                <w:rFonts w:ascii="Calibri" w:hAnsi="Calibri" w:cs="Calibri"/>
                <w:color w:val="000000"/>
                <w:sz w:val="18"/>
                <w:szCs w:val="18"/>
                <w:lang w:eastAsia="en-IE"/>
              </w:rPr>
              <w:t>Total comprehensive (loss)</w:t>
            </w:r>
          </w:p>
        </w:tc>
        <w:tc>
          <w:tcPr>
            <w:tcW w:w="992" w:type="dxa"/>
            <w:tcBorders>
              <w:top w:val="single" w:sz="8" w:space="0" w:color="auto"/>
              <w:left w:val="single" w:sz="8" w:space="0" w:color="auto"/>
              <w:bottom w:val="single" w:sz="8" w:space="0" w:color="auto"/>
              <w:right w:val="single" w:sz="8" w:space="0" w:color="auto"/>
            </w:tcBorders>
            <w:shd w:val="clear" w:color="auto" w:fill="FFFFFF"/>
            <w:noWrap/>
            <w:vAlign w:val="bottom"/>
          </w:tcPr>
          <w:p w14:paraId="05FA5761" w14:textId="77777777" w:rsidR="003969D1" w:rsidRPr="00757AE3" w:rsidRDefault="003969D1"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827" w:type="dxa"/>
            <w:tcBorders>
              <w:top w:val="single" w:sz="8" w:space="0" w:color="auto"/>
              <w:bottom w:val="single" w:sz="8" w:space="0" w:color="auto"/>
            </w:tcBorders>
            <w:shd w:val="clear" w:color="auto" w:fill="FFFFFF"/>
            <w:noWrap/>
            <w:vAlign w:val="bottom"/>
          </w:tcPr>
          <w:p w14:paraId="6FF6E87F"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78" w:type="dxa"/>
            <w:tcBorders>
              <w:top w:val="single" w:sz="8" w:space="0" w:color="auto"/>
              <w:bottom w:val="single" w:sz="8" w:space="0" w:color="auto"/>
            </w:tcBorders>
            <w:shd w:val="clear" w:color="auto" w:fill="FFFFFF"/>
            <w:noWrap/>
            <w:vAlign w:val="bottom"/>
          </w:tcPr>
          <w:p w14:paraId="6E423C2E" w14:textId="77777777" w:rsidR="003969D1" w:rsidRPr="00757AE3" w:rsidRDefault="003969D1"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030" w:type="dxa"/>
            <w:gridSpan w:val="2"/>
            <w:tcBorders>
              <w:top w:val="single" w:sz="8" w:space="0" w:color="auto"/>
              <w:bottom w:val="single" w:sz="8" w:space="0" w:color="auto"/>
            </w:tcBorders>
            <w:shd w:val="clear" w:color="auto" w:fill="FFFFFF"/>
            <w:noWrap/>
            <w:vAlign w:val="bottom"/>
          </w:tcPr>
          <w:p w14:paraId="7E0BAE36"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1110" w:type="dxa"/>
            <w:tcBorders>
              <w:top w:val="single" w:sz="8" w:space="0" w:color="auto"/>
              <w:bottom w:val="single" w:sz="8" w:space="0" w:color="auto"/>
            </w:tcBorders>
            <w:shd w:val="clear" w:color="auto" w:fill="FFFFFF"/>
            <w:noWrap/>
            <w:vAlign w:val="bottom"/>
          </w:tcPr>
          <w:p w14:paraId="2127576A" w14:textId="77777777" w:rsidR="003969D1" w:rsidRPr="00757AE3" w:rsidRDefault="001C72D4"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(151.7)</w:t>
            </w:r>
          </w:p>
        </w:tc>
        <w:tc>
          <w:tcPr>
            <w:tcW w:w="992" w:type="dxa"/>
            <w:tcBorders>
              <w:top w:val="single" w:sz="8" w:space="0" w:color="auto"/>
              <w:left w:val="single" w:sz="8" w:space="0" w:color="auto"/>
              <w:bottom w:val="single" w:sz="8" w:space="0" w:color="auto"/>
              <w:right w:val="nil"/>
            </w:tcBorders>
            <w:shd w:val="clear" w:color="auto" w:fill="FFFFFF"/>
            <w:noWrap/>
            <w:vAlign w:val="bottom"/>
          </w:tcPr>
          <w:p w14:paraId="7D51327B"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(502.5)</w:t>
            </w:r>
          </w:p>
        </w:tc>
        <w:tc>
          <w:tcPr>
            <w:tcW w:w="992" w:type="dxa"/>
            <w:tcBorders>
              <w:top w:val="single" w:sz="8" w:space="0" w:color="auto"/>
              <w:left w:val="nil"/>
              <w:bottom w:val="single" w:sz="8" w:space="0" w:color="auto"/>
              <w:right w:val="single" w:sz="8" w:space="0" w:color="auto"/>
            </w:tcBorders>
            <w:shd w:val="clear" w:color="auto" w:fill="FFFFFF"/>
            <w:noWrap/>
            <w:vAlign w:val="bottom"/>
          </w:tcPr>
          <w:p w14:paraId="2F0A82A2"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92" w:type="dxa"/>
            <w:tcBorders>
              <w:top w:val="single" w:sz="8" w:space="0" w:color="auto"/>
              <w:bottom w:val="single" w:sz="8" w:space="0" w:color="auto"/>
            </w:tcBorders>
            <w:shd w:val="clear" w:color="auto" w:fill="FFFFFF"/>
            <w:noWrap/>
            <w:vAlign w:val="bottom"/>
          </w:tcPr>
          <w:p w14:paraId="414254B2" w14:textId="77777777" w:rsidR="003969D1" w:rsidRPr="00757AE3" w:rsidRDefault="001C72D4"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(654.2)</w:t>
            </w:r>
          </w:p>
        </w:tc>
      </w:tr>
      <w:tr w:rsidR="003969D1" w:rsidRPr="00BF0AD6" w14:paraId="4D4D0771" w14:textId="77777777" w:rsidTr="001C72D4">
        <w:trPr>
          <w:trHeight w:val="227"/>
        </w:trPr>
        <w:tc>
          <w:tcPr>
            <w:tcW w:w="2977" w:type="dxa"/>
            <w:shd w:val="clear" w:color="auto" w:fill="FFFFFF"/>
            <w:vAlign w:val="bottom"/>
          </w:tcPr>
          <w:p w14:paraId="38F05798" w14:textId="77777777" w:rsidR="003969D1" w:rsidRPr="00BF0AD6" w:rsidRDefault="003969D1" w:rsidP="003969D1">
            <w:pPr>
              <w:ind w:right="-112"/>
              <w:rPr>
                <w:rFonts w:ascii="Calibri" w:hAnsi="Calibri" w:cs="Calibri"/>
                <w:color w:val="000000"/>
                <w:sz w:val="18"/>
                <w:szCs w:val="18"/>
                <w:lang w:eastAsia="en-IE"/>
              </w:rPr>
            </w:pPr>
            <w:r w:rsidRPr="00F26EAC">
              <w:rPr>
                <w:rFonts w:ascii="Calibri" w:hAnsi="Calibri" w:cs="Calibri"/>
                <w:i/>
                <w:iCs/>
                <w:color w:val="000000"/>
                <w:sz w:val="18"/>
                <w:szCs w:val="18"/>
                <w:lang w:eastAsia="en-IE"/>
              </w:rPr>
              <w:t>Transactions with owners of the Company recognised directly in equity</w:t>
            </w:r>
          </w:p>
        </w:tc>
        <w:tc>
          <w:tcPr>
            <w:tcW w:w="992" w:type="dxa"/>
            <w:tcBorders>
              <w:top w:val="single" w:sz="8" w:space="0" w:color="auto"/>
              <w:left w:val="single" w:sz="8" w:space="0" w:color="auto"/>
              <w:bottom w:val="nil"/>
              <w:right w:val="single" w:sz="8" w:space="0" w:color="auto"/>
            </w:tcBorders>
            <w:shd w:val="clear" w:color="auto" w:fill="FFFFFF"/>
            <w:noWrap/>
            <w:vAlign w:val="bottom"/>
          </w:tcPr>
          <w:p w14:paraId="775D38D5" w14:textId="77777777" w:rsidR="003969D1" w:rsidRPr="00757AE3" w:rsidRDefault="003969D1" w:rsidP="003969D1">
            <w:pPr>
              <w:jc w:val="right"/>
              <w:rPr>
                <w:rFonts w:ascii="Calibri" w:hAnsi="Calibri" w:cs="Calibri"/>
                <w:color w:val="000000"/>
                <w:sz w:val="18"/>
                <w:szCs w:val="18"/>
                <w:lang w:eastAsia="en-IE"/>
              </w:rPr>
            </w:pPr>
          </w:p>
        </w:tc>
        <w:tc>
          <w:tcPr>
            <w:tcW w:w="827" w:type="dxa"/>
            <w:tcBorders>
              <w:top w:val="single" w:sz="8" w:space="0" w:color="auto"/>
            </w:tcBorders>
            <w:shd w:val="clear" w:color="auto" w:fill="FFFFFF"/>
            <w:noWrap/>
            <w:vAlign w:val="bottom"/>
          </w:tcPr>
          <w:p w14:paraId="4E5A42AE" w14:textId="77777777" w:rsidR="003969D1" w:rsidRPr="00757AE3" w:rsidRDefault="003969D1" w:rsidP="003969D1">
            <w:pPr>
              <w:jc w:val="right"/>
              <w:rPr>
                <w:rFonts w:ascii="Calibri" w:eastAsia="Calibri" w:hAnsi="Calibri" w:cs="Calibri"/>
                <w:sz w:val="18"/>
                <w:szCs w:val="18"/>
                <w:lang w:eastAsia="en-IE"/>
              </w:rPr>
            </w:pPr>
          </w:p>
        </w:tc>
        <w:tc>
          <w:tcPr>
            <w:tcW w:w="978" w:type="dxa"/>
            <w:tcBorders>
              <w:top w:val="single" w:sz="8" w:space="0" w:color="auto"/>
            </w:tcBorders>
            <w:shd w:val="clear" w:color="auto" w:fill="FFFFFF"/>
            <w:noWrap/>
            <w:vAlign w:val="bottom"/>
          </w:tcPr>
          <w:p w14:paraId="77BCFE6D" w14:textId="77777777" w:rsidR="003969D1" w:rsidRPr="00757AE3" w:rsidRDefault="003969D1" w:rsidP="003969D1">
            <w:pPr>
              <w:jc w:val="right"/>
              <w:rPr>
                <w:rFonts w:ascii="Calibri" w:hAnsi="Calibri" w:cs="Calibri"/>
                <w:color w:val="000000"/>
                <w:sz w:val="18"/>
                <w:szCs w:val="18"/>
                <w:lang w:eastAsia="en-IE"/>
              </w:rPr>
            </w:pPr>
          </w:p>
        </w:tc>
        <w:tc>
          <w:tcPr>
            <w:tcW w:w="1030" w:type="dxa"/>
            <w:gridSpan w:val="2"/>
            <w:tcBorders>
              <w:top w:val="single" w:sz="8" w:space="0" w:color="auto"/>
            </w:tcBorders>
            <w:shd w:val="clear" w:color="auto" w:fill="FFFFFF"/>
            <w:noWrap/>
            <w:vAlign w:val="bottom"/>
          </w:tcPr>
          <w:p w14:paraId="2879870C" w14:textId="77777777" w:rsidR="003969D1" w:rsidRPr="00757AE3" w:rsidRDefault="003969D1" w:rsidP="003969D1">
            <w:pPr>
              <w:jc w:val="right"/>
              <w:rPr>
                <w:rFonts w:ascii="Calibri" w:eastAsia="Calibri" w:hAnsi="Calibri" w:cs="Calibri"/>
                <w:sz w:val="18"/>
                <w:szCs w:val="18"/>
                <w:lang w:eastAsia="en-IE"/>
              </w:rPr>
            </w:pPr>
          </w:p>
        </w:tc>
        <w:tc>
          <w:tcPr>
            <w:tcW w:w="1110" w:type="dxa"/>
            <w:tcBorders>
              <w:top w:val="single" w:sz="8" w:space="0" w:color="auto"/>
            </w:tcBorders>
            <w:shd w:val="clear" w:color="auto" w:fill="FFFFFF"/>
            <w:noWrap/>
            <w:vAlign w:val="bottom"/>
          </w:tcPr>
          <w:p w14:paraId="593E9D1E" w14:textId="77777777" w:rsidR="003969D1" w:rsidRPr="00757AE3" w:rsidRDefault="003969D1" w:rsidP="003969D1">
            <w:pPr>
              <w:jc w:val="right"/>
              <w:rPr>
                <w:rFonts w:ascii="Calibri" w:eastAsia="Calibri" w:hAnsi="Calibri" w:cs="Calibri"/>
                <w:sz w:val="18"/>
                <w:szCs w:val="18"/>
                <w:lang w:eastAsia="en-IE"/>
              </w:rPr>
            </w:pPr>
          </w:p>
        </w:tc>
        <w:tc>
          <w:tcPr>
            <w:tcW w:w="992" w:type="dxa"/>
            <w:tcBorders>
              <w:top w:val="single" w:sz="8" w:space="0" w:color="auto"/>
              <w:left w:val="single" w:sz="8" w:space="0" w:color="auto"/>
              <w:bottom w:val="nil"/>
              <w:right w:val="nil"/>
            </w:tcBorders>
            <w:shd w:val="clear" w:color="auto" w:fill="FFFFFF"/>
            <w:noWrap/>
            <w:vAlign w:val="bottom"/>
          </w:tcPr>
          <w:p w14:paraId="521E65DC" w14:textId="77777777" w:rsidR="003969D1" w:rsidRPr="00757AE3" w:rsidRDefault="003969D1" w:rsidP="003969D1">
            <w:pPr>
              <w:jc w:val="right"/>
              <w:rPr>
                <w:rFonts w:ascii="Calibri" w:eastAsia="Calibri" w:hAnsi="Calibri" w:cs="Calibri"/>
                <w:sz w:val="18"/>
                <w:szCs w:val="18"/>
                <w:lang w:eastAsia="en-IE"/>
              </w:rPr>
            </w:pPr>
          </w:p>
        </w:tc>
        <w:tc>
          <w:tcPr>
            <w:tcW w:w="992" w:type="dxa"/>
            <w:tcBorders>
              <w:top w:val="single" w:sz="8" w:space="0" w:color="auto"/>
              <w:left w:val="nil"/>
              <w:bottom w:val="nil"/>
              <w:right w:val="single" w:sz="8" w:space="0" w:color="auto"/>
            </w:tcBorders>
            <w:shd w:val="clear" w:color="auto" w:fill="FFFFFF"/>
            <w:noWrap/>
            <w:vAlign w:val="bottom"/>
          </w:tcPr>
          <w:p w14:paraId="73367A37" w14:textId="77777777" w:rsidR="003969D1" w:rsidRPr="00757AE3" w:rsidRDefault="003969D1" w:rsidP="00C4444C">
            <w:pPr>
              <w:rPr>
                <w:rFonts w:ascii="Calibri" w:eastAsia="Calibri" w:hAnsi="Calibri" w:cs="Calibri"/>
                <w:sz w:val="18"/>
                <w:szCs w:val="18"/>
                <w:lang w:eastAsia="en-IE"/>
              </w:rPr>
            </w:pPr>
          </w:p>
        </w:tc>
        <w:tc>
          <w:tcPr>
            <w:tcW w:w="992" w:type="dxa"/>
            <w:tcBorders>
              <w:top w:val="single" w:sz="8" w:space="0" w:color="auto"/>
            </w:tcBorders>
            <w:shd w:val="clear" w:color="auto" w:fill="FFFFFF"/>
            <w:noWrap/>
            <w:vAlign w:val="bottom"/>
          </w:tcPr>
          <w:p w14:paraId="0BFB9342" w14:textId="77777777" w:rsidR="003969D1" w:rsidRPr="00757AE3" w:rsidRDefault="003969D1" w:rsidP="003969D1">
            <w:pPr>
              <w:jc w:val="right"/>
              <w:rPr>
                <w:rFonts w:ascii="Calibri" w:hAnsi="Calibri" w:cs="Calibri"/>
                <w:color w:val="000000"/>
                <w:sz w:val="18"/>
                <w:szCs w:val="18"/>
                <w:lang w:eastAsia="en-IE"/>
              </w:rPr>
            </w:pPr>
          </w:p>
        </w:tc>
      </w:tr>
      <w:tr w:rsidR="003969D1" w:rsidRPr="00BF0AD6" w14:paraId="07B45D1A" w14:textId="77777777" w:rsidTr="001C72D4">
        <w:trPr>
          <w:trHeight w:val="156"/>
        </w:trPr>
        <w:tc>
          <w:tcPr>
            <w:tcW w:w="2977" w:type="dxa"/>
            <w:shd w:val="clear" w:color="auto" w:fill="FFFFFF"/>
            <w:vAlign w:val="bottom"/>
          </w:tcPr>
          <w:p w14:paraId="1F236A4C" w14:textId="77777777" w:rsidR="003969D1" w:rsidRPr="00BF0AD6" w:rsidRDefault="003969D1" w:rsidP="003969D1">
            <w:pPr>
              <w:ind w:right="-112"/>
              <w:rPr>
                <w:rFonts w:ascii="Calibri" w:hAnsi="Calibri" w:cs="Calibri"/>
                <w:color w:val="000000"/>
                <w:sz w:val="18"/>
                <w:szCs w:val="18"/>
                <w:lang w:eastAsia="en-IE"/>
              </w:rPr>
            </w:pPr>
            <w:r w:rsidRPr="00F26EAC">
              <w:rPr>
                <w:rFonts w:ascii="Calibri" w:hAnsi="Calibri" w:cs="Calibri"/>
                <w:color w:val="000000"/>
                <w:sz w:val="18"/>
                <w:szCs w:val="18"/>
                <w:lang w:eastAsia="en-IE"/>
              </w:rPr>
              <w:t>Issue of ordinary equity shares</w:t>
            </w:r>
          </w:p>
        </w:tc>
        <w:tc>
          <w:tcPr>
            <w:tcW w:w="992" w:type="dxa"/>
            <w:tcBorders>
              <w:top w:val="nil"/>
              <w:left w:val="single" w:sz="8" w:space="0" w:color="auto"/>
              <w:bottom w:val="nil"/>
              <w:right w:val="single" w:sz="8" w:space="0" w:color="auto"/>
            </w:tcBorders>
            <w:shd w:val="clear" w:color="auto" w:fill="FFFFFF"/>
            <w:noWrap/>
            <w:vAlign w:val="bottom"/>
          </w:tcPr>
          <w:p w14:paraId="2CB19CD5" w14:textId="77777777" w:rsidR="003969D1" w:rsidRPr="00757AE3" w:rsidRDefault="003969D1"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827" w:type="dxa"/>
            <w:shd w:val="clear" w:color="auto" w:fill="FFFFFF"/>
            <w:noWrap/>
            <w:vAlign w:val="bottom"/>
          </w:tcPr>
          <w:p w14:paraId="34DA6C33"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78" w:type="dxa"/>
            <w:shd w:val="clear" w:color="auto" w:fill="FFFFFF"/>
            <w:noWrap/>
            <w:vAlign w:val="bottom"/>
          </w:tcPr>
          <w:p w14:paraId="3A75ABAE" w14:textId="77777777" w:rsidR="003969D1" w:rsidRPr="00757AE3" w:rsidRDefault="003969D1"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0.1</w:t>
            </w:r>
          </w:p>
        </w:tc>
        <w:tc>
          <w:tcPr>
            <w:tcW w:w="1030" w:type="dxa"/>
            <w:gridSpan w:val="2"/>
            <w:shd w:val="clear" w:color="auto" w:fill="FFFFFF"/>
            <w:noWrap/>
            <w:vAlign w:val="bottom"/>
          </w:tcPr>
          <w:p w14:paraId="4F48132B"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1110" w:type="dxa"/>
            <w:shd w:val="clear" w:color="auto" w:fill="FFFFFF"/>
            <w:noWrap/>
            <w:vAlign w:val="bottom"/>
          </w:tcPr>
          <w:p w14:paraId="1B14341C" w14:textId="77777777" w:rsidR="003969D1" w:rsidRPr="00757AE3" w:rsidRDefault="00C4444C"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(0.1)</w:t>
            </w:r>
          </w:p>
        </w:tc>
        <w:tc>
          <w:tcPr>
            <w:tcW w:w="992" w:type="dxa"/>
            <w:tcBorders>
              <w:top w:val="nil"/>
              <w:left w:val="single" w:sz="8" w:space="0" w:color="auto"/>
              <w:bottom w:val="nil"/>
              <w:right w:val="nil"/>
            </w:tcBorders>
            <w:shd w:val="clear" w:color="auto" w:fill="FFFFFF"/>
            <w:noWrap/>
            <w:vAlign w:val="bottom"/>
          </w:tcPr>
          <w:p w14:paraId="711FE7B1"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 xml:space="preserve">- </w:t>
            </w:r>
          </w:p>
        </w:tc>
        <w:tc>
          <w:tcPr>
            <w:tcW w:w="992" w:type="dxa"/>
            <w:tcBorders>
              <w:top w:val="nil"/>
              <w:left w:val="nil"/>
              <w:bottom w:val="nil"/>
              <w:right w:val="single" w:sz="8" w:space="0" w:color="auto"/>
            </w:tcBorders>
            <w:shd w:val="clear" w:color="auto" w:fill="FFFFFF"/>
            <w:noWrap/>
            <w:vAlign w:val="bottom"/>
          </w:tcPr>
          <w:p w14:paraId="7008631D" w14:textId="77777777" w:rsidR="003969D1" w:rsidRPr="00757AE3" w:rsidRDefault="00C4444C"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92" w:type="dxa"/>
            <w:shd w:val="clear" w:color="auto" w:fill="FFFFFF"/>
            <w:noWrap/>
            <w:vAlign w:val="bottom"/>
          </w:tcPr>
          <w:p w14:paraId="0CCF4C72" w14:textId="77777777" w:rsidR="003969D1" w:rsidRPr="00757AE3" w:rsidRDefault="001C72D4"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r>
      <w:tr w:rsidR="003969D1" w:rsidRPr="00BF0AD6" w14:paraId="004F32A0" w14:textId="77777777" w:rsidTr="001C72D4">
        <w:trPr>
          <w:trHeight w:val="227"/>
        </w:trPr>
        <w:tc>
          <w:tcPr>
            <w:tcW w:w="2977" w:type="dxa"/>
            <w:shd w:val="clear" w:color="auto" w:fill="FFFFFF"/>
            <w:vAlign w:val="bottom"/>
          </w:tcPr>
          <w:p w14:paraId="2D645DF4" w14:textId="77777777" w:rsidR="003969D1" w:rsidRPr="00BF0AD6" w:rsidRDefault="003969D1" w:rsidP="003969D1">
            <w:pPr>
              <w:ind w:right="-112"/>
              <w:rPr>
                <w:rFonts w:ascii="Calibri" w:hAnsi="Calibri" w:cs="Calibri"/>
                <w:color w:val="000000"/>
                <w:sz w:val="18"/>
                <w:szCs w:val="18"/>
                <w:lang w:eastAsia="en-IE"/>
              </w:rPr>
            </w:pPr>
            <w:r w:rsidRPr="00F26EAC">
              <w:rPr>
                <w:rFonts w:ascii="Calibri" w:hAnsi="Calibri" w:cs="Calibri"/>
                <w:color w:val="000000"/>
                <w:sz w:val="18"/>
                <w:szCs w:val="18"/>
                <w:lang w:eastAsia="en-IE"/>
              </w:rPr>
              <w:t>Share-based payments</w:t>
            </w:r>
          </w:p>
        </w:tc>
        <w:tc>
          <w:tcPr>
            <w:tcW w:w="992" w:type="dxa"/>
            <w:tcBorders>
              <w:top w:val="nil"/>
              <w:left w:val="single" w:sz="8" w:space="0" w:color="auto"/>
              <w:bottom w:val="nil"/>
              <w:right w:val="single" w:sz="8" w:space="0" w:color="auto"/>
            </w:tcBorders>
            <w:shd w:val="clear" w:color="auto" w:fill="FFFFFF"/>
            <w:noWrap/>
            <w:vAlign w:val="bottom"/>
          </w:tcPr>
          <w:p w14:paraId="7E751342" w14:textId="77777777" w:rsidR="003969D1" w:rsidRPr="00757AE3" w:rsidRDefault="003969D1"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827" w:type="dxa"/>
            <w:shd w:val="clear" w:color="auto" w:fill="FFFFFF"/>
            <w:noWrap/>
            <w:vAlign w:val="bottom"/>
          </w:tcPr>
          <w:p w14:paraId="6C70BEF7"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78" w:type="dxa"/>
            <w:shd w:val="clear" w:color="auto" w:fill="FFFFFF"/>
            <w:noWrap/>
            <w:vAlign w:val="bottom"/>
          </w:tcPr>
          <w:p w14:paraId="3C5AEA77" w14:textId="77777777" w:rsidR="003969D1" w:rsidRPr="00757AE3" w:rsidRDefault="003969D1"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030" w:type="dxa"/>
            <w:gridSpan w:val="2"/>
            <w:shd w:val="clear" w:color="auto" w:fill="FFFFFF"/>
            <w:noWrap/>
            <w:vAlign w:val="bottom"/>
          </w:tcPr>
          <w:p w14:paraId="06E19DE4"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1110" w:type="dxa"/>
            <w:shd w:val="clear" w:color="auto" w:fill="FFFFFF"/>
            <w:noWrap/>
            <w:vAlign w:val="bottom"/>
          </w:tcPr>
          <w:p w14:paraId="1872F252"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92" w:type="dxa"/>
            <w:tcBorders>
              <w:top w:val="nil"/>
              <w:left w:val="single" w:sz="8" w:space="0" w:color="auto"/>
              <w:bottom w:val="nil"/>
              <w:right w:val="nil"/>
            </w:tcBorders>
            <w:shd w:val="clear" w:color="auto" w:fill="FFFFFF"/>
            <w:noWrap/>
            <w:vAlign w:val="bottom"/>
          </w:tcPr>
          <w:p w14:paraId="0CC6FA00"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92" w:type="dxa"/>
            <w:tcBorders>
              <w:top w:val="nil"/>
              <w:left w:val="nil"/>
              <w:bottom w:val="nil"/>
              <w:right w:val="single" w:sz="8" w:space="0" w:color="auto"/>
            </w:tcBorders>
            <w:shd w:val="clear" w:color="auto" w:fill="FFFFFF"/>
            <w:noWrap/>
            <w:vAlign w:val="bottom"/>
          </w:tcPr>
          <w:p w14:paraId="48718D0B" w14:textId="77777777" w:rsidR="003969D1" w:rsidRPr="00757AE3" w:rsidRDefault="001C72D4"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4.9</w:t>
            </w:r>
          </w:p>
        </w:tc>
        <w:tc>
          <w:tcPr>
            <w:tcW w:w="992" w:type="dxa"/>
            <w:shd w:val="clear" w:color="auto" w:fill="FFFFFF"/>
            <w:noWrap/>
            <w:vAlign w:val="bottom"/>
          </w:tcPr>
          <w:p w14:paraId="473CBDEE" w14:textId="77777777" w:rsidR="003969D1" w:rsidRPr="00757AE3" w:rsidRDefault="001C72D4"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4.9</w:t>
            </w:r>
          </w:p>
        </w:tc>
      </w:tr>
      <w:tr w:rsidR="003969D1" w:rsidRPr="00BF0AD6" w14:paraId="2D7BD157" w14:textId="77777777" w:rsidTr="001C72D4">
        <w:trPr>
          <w:trHeight w:val="227"/>
        </w:trPr>
        <w:tc>
          <w:tcPr>
            <w:tcW w:w="2977" w:type="dxa"/>
            <w:shd w:val="clear" w:color="auto" w:fill="FFFFFF"/>
            <w:vAlign w:val="bottom"/>
          </w:tcPr>
          <w:p w14:paraId="7955CB76" w14:textId="77777777" w:rsidR="003969D1" w:rsidRPr="00BF0AD6" w:rsidRDefault="003969D1" w:rsidP="003969D1">
            <w:pPr>
              <w:ind w:right="-112"/>
              <w:rPr>
                <w:rFonts w:ascii="Calibri" w:hAnsi="Calibri" w:cs="Calibri"/>
                <w:color w:val="000000"/>
                <w:sz w:val="18"/>
                <w:szCs w:val="18"/>
                <w:lang w:eastAsia="en-IE"/>
              </w:rPr>
            </w:pPr>
            <w:r w:rsidRPr="00F26EAC">
              <w:rPr>
                <w:rFonts w:ascii="Calibri" w:hAnsi="Calibri" w:cs="Calibri"/>
                <w:color w:val="000000"/>
                <w:sz w:val="18"/>
                <w:szCs w:val="18"/>
                <w:lang w:eastAsia="en-IE"/>
              </w:rPr>
              <w:t>Transfer of exercised and expired share</w:t>
            </w:r>
            <w:r>
              <w:rPr>
                <w:rFonts w:ascii="Calibri" w:hAnsi="Calibri" w:cs="Calibri"/>
                <w:color w:val="000000"/>
                <w:sz w:val="18"/>
                <w:szCs w:val="18"/>
                <w:lang w:eastAsia="en-IE"/>
              </w:rPr>
              <w:t>-</w:t>
            </w:r>
            <w:r w:rsidRPr="00F26EAC">
              <w:rPr>
                <w:rFonts w:ascii="Calibri" w:hAnsi="Calibri" w:cs="Calibri"/>
                <w:color w:val="000000"/>
                <w:sz w:val="18"/>
                <w:szCs w:val="18"/>
                <w:lang w:eastAsia="en-IE"/>
              </w:rPr>
              <w:t>based awards</w:t>
            </w:r>
          </w:p>
        </w:tc>
        <w:tc>
          <w:tcPr>
            <w:tcW w:w="992" w:type="dxa"/>
            <w:tcBorders>
              <w:top w:val="nil"/>
              <w:left w:val="single" w:sz="8" w:space="0" w:color="auto"/>
              <w:bottom w:val="nil"/>
              <w:right w:val="single" w:sz="8" w:space="0" w:color="auto"/>
            </w:tcBorders>
            <w:shd w:val="clear" w:color="auto" w:fill="FFFFFF"/>
            <w:noWrap/>
            <w:vAlign w:val="bottom"/>
          </w:tcPr>
          <w:p w14:paraId="6B6B5591" w14:textId="77777777" w:rsidR="003969D1" w:rsidRPr="00757AE3" w:rsidRDefault="003969D1"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827" w:type="dxa"/>
            <w:shd w:val="clear" w:color="auto" w:fill="FFFFFF"/>
            <w:noWrap/>
            <w:vAlign w:val="bottom"/>
          </w:tcPr>
          <w:p w14:paraId="0FBE92E4"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78" w:type="dxa"/>
            <w:shd w:val="clear" w:color="auto" w:fill="FFFFFF"/>
            <w:noWrap/>
            <w:vAlign w:val="bottom"/>
          </w:tcPr>
          <w:p w14:paraId="1D15E802" w14:textId="77777777" w:rsidR="003969D1" w:rsidRPr="00757AE3" w:rsidRDefault="003969D1"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c>
          <w:tcPr>
            <w:tcW w:w="1030" w:type="dxa"/>
            <w:gridSpan w:val="2"/>
            <w:shd w:val="clear" w:color="auto" w:fill="FFFFFF"/>
            <w:noWrap/>
            <w:vAlign w:val="bottom"/>
          </w:tcPr>
          <w:p w14:paraId="6C724A86"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1110" w:type="dxa"/>
            <w:shd w:val="clear" w:color="auto" w:fill="FFFFFF"/>
            <w:noWrap/>
            <w:vAlign w:val="bottom"/>
          </w:tcPr>
          <w:p w14:paraId="77A1E08D"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92" w:type="dxa"/>
            <w:tcBorders>
              <w:top w:val="nil"/>
              <w:left w:val="single" w:sz="8" w:space="0" w:color="auto"/>
              <w:bottom w:val="nil"/>
              <w:right w:val="nil"/>
            </w:tcBorders>
            <w:shd w:val="clear" w:color="auto" w:fill="FFFFFF"/>
            <w:noWrap/>
            <w:vAlign w:val="bottom"/>
          </w:tcPr>
          <w:p w14:paraId="18307464"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92" w:type="dxa"/>
            <w:tcBorders>
              <w:top w:val="nil"/>
              <w:left w:val="nil"/>
              <w:bottom w:val="nil"/>
              <w:right w:val="single" w:sz="8" w:space="0" w:color="auto"/>
            </w:tcBorders>
            <w:shd w:val="clear" w:color="auto" w:fill="FFFFFF"/>
            <w:noWrap/>
            <w:vAlign w:val="bottom"/>
          </w:tcPr>
          <w:p w14:paraId="15EDDADA" w14:textId="77777777" w:rsidR="003969D1" w:rsidRPr="00757AE3" w:rsidRDefault="003969D1" w:rsidP="003969D1">
            <w:pPr>
              <w:jc w:val="right"/>
              <w:rPr>
                <w:rFonts w:ascii="Calibri" w:eastAsia="Calibri" w:hAnsi="Calibri" w:cs="Calibri"/>
                <w:sz w:val="18"/>
                <w:szCs w:val="18"/>
                <w:lang w:eastAsia="en-IE"/>
              </w:rPr>
            </w:pPr>
            <w:r>
              <w:rPr>
                <w:rFonts w:ascii="Calibri" w:eastAsia="Calibri" w:hAnsi="Calibri" w:cs="Calibri"/>
                <w:sz w:val="18"/>
                <w:szCs w:val="18"/>
                <w:lang w:eastAsia="en-IE"/>
              </w:rPr>
              <w:t>-</w:t>
            </w:r>
          </w:p>
        </w:tc>
        <w:tc>
          <w:tcPr>
            <w:tcW w:w="992" w:type="dxa"/>
            <w:shd w:val="clear" w:color="auto" w:fill="FFFFFF"/>
            <w:noWrap/>
            <w:vAlign w:val="bottom"/>
          </w:tcPr>
          <w:p w14:paraId="60F18B59" w14:textId="77777777" w:rsidR="003969D1" w:rsidRPr="00757AE3" w:rsidRDefault="003969D1" w:rsidP="003969D1">
            <w:pPr>
              <w:jc w:val="right"/>
              <w:rPr>
                <w:rFonts w:ascii="Calibri" w:hAnsi="Calibri" w:cs="Calibri"/>
                <w:color w:val="000000"/>
                <w:sz w:val="18"/>
                <w:szCs w:val="18"/>
                <w:lang w:eastAsia="en-IE"/>
              </w:rPr>
            </w:pPr>
            <w:r>
              <w:rPr>
                <w:rFonts w:ascii="Calibri" w:hAnsi="Calibri" w:cs="Calibri"/>
                <w:color w:val="000000"/>
                <w:sz w:val="18"/>
                <w:szCs w:val="18"/>
                <w:lang w:eastAsia="en-IE"/>
              </w:rPr>
              <w:t>-</w:t>
            </w:r>
          </w:p>
        </w:tc>
      </w:tr>
      <w:tr w:rsidR="003969D1" w:rsidRPr="00BF0AD6" w14:paraId="142FB5E8" w14:textId="77777777" w:rsidTr="001C72D4">
        <w:trPr>
          <w:trHeight w:val="227"/>
        </w:trPr>
        <w:tc>
          <w:tcPr>
            <w:tcW w:w="2977" w:type="dxa"/>
            <w:shd w:val="clear" w:color="auto" w:fill="auto"/>
            <w:vAlign w:val="bottom"/>
            <w:hideMark/>
          </w:tcPr>
          <w:p w14:paraId="021AC1B0" w14:textId="77777777" w:rsidR="003969D1" w:rsidRPr="00BF0AD6" w:rsidRDefault="003969D1" w:rsidP="003969D1">
            <w:pPr>
              <w:ind w:right="-112"/>
              <w:rPr>
                <w:rFonts w:ascii="Calibri" w:hAnsi="Calibri" w:cs="Calibri"/>
                <w:b/>
                <w:bCs/>
                <w:color w:val="000000"/>
                <w:sz w:val="18"/>
                <w:szCs w:val="18"/>
                <w:lang w:eastAsia="en-IE"/>
              </w:rPr>
            </w:pPr>
            <w:r w:rsidRPr="00BF0AD6">
              <w:rPr>
                <w:rFonts w:ascii="Calibri" w:hAnsi="Calibri" w:cs="Calibri"/>
                <w:b/>
                <w:bCs/>
                <w:color w:val="000000"/>
                <w:sz w:val="18"/>
                <w:szCs w:val="18"/>
                <w:lang w:eastAsia="en-IE"/>
              </w:rPr>
              <w:t>Balance at March 31, 2023</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7853090" w14:textId="77777777" w:rsidR="003969D1" w:rsidRPr="00757AE3" w:rsidRDefault="003969D1" w:rsidP="003969D1">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1,138.7</w:t>
            </w:r>
          </w:p>
        </w:tc>
        <w:tc>
          <w:tcPr>
            <w:tcW w:w="827" w:type="dxa"/>
            <w:tcBorders>
              <w:top w:val="single" w:sz="8" w:space="0" w:color="auto"/>
              <w:left w:val="nil"/>
              <w:bottom w:val="single" w:sz="8" w:space="0" w:color="auto"/>
              <w:right w:val="nil"/>
            </w:tcBorders>
            <w:shd w:val="clear" w:color="auto" w:fill="auto"/>
            <w:noWrap/>
            <w:vAlign w:val="bottom"/>
          </w:tcPr>
          <w:p w14:paraId="2BA4E3ED" w14:textId="77777777" w:rsidR="003969D1" w:rsidRPr="00757AE3" w:rsidRDefault="003969D1" w:rsidP="003969D1">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6.9</w:t>
            </w:r>
          </w:p>
        </w:tc>
        <w:tc>
          <w:tcPr>
            <w:tcW w:w="978" w:type="dxa"/>
            <w:tcBorders>
              <w:top w:val="single" w:sz="8" w:space="0" w:color="auto"/>
              <w:left w:val="nil"/>
              <w:bottom w:val="single" w:sz="8" w:space="0" w:color="auto"/>
              <w:right w:val="nil"/>
            </w:tcBorders>
            <w:shd w:val="clear" w:color="auto" w:fill="auto"/>
            <w:noWrap/>
            <w:vAlign w:val="bottom"/>
          </w:tcPr>
          <w:p w14:paraId="6FC8BCE2" w14:textId="77777777" w:rsidR="003969D1" w:rsidRPr="00757AE3" w:rsidRDefault="003969D1" w:rsidP="003969D1">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1,379.9</w:t>
            </w:r>
          </w:p>
        </w:tc>
        <w:tc>
          <w:tcPr>
            <w:tcW w:w="1030" w:type="dxa"/>
            <w:gridSpan w:val="2"/>
            <w:tcBorders>
              <w:top w:val="single" w:sz="8" w:space="0" w:color="auto"/>
              <w:left w:val="nil"/>
              <w:bottom w:val="single" w:sz="8" w:space="0" w:color="auto"/>
              <w:right w:val="nil"/>
            </w:tcBorders>
            <w:shd w:val="clear" w:color="auto" w:fill="auto"/>
            <w:noWrap/>
            <w:vAlign w:val="bottom"/>
          </w:tcPr>
          <w:p w14:paraId="03031661" w14:textId="77777777" w:rsidR="003969D1" w:rsidRPr="00757AE3" w:rsidRDefault="003969D1" w:rsidP="003969D1">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3.5</w:t>
            </w:r>
          </w:p>
        </w:tc>
        <w:tc>
          <w:tcPr>
            <w:tcW w:w="1110" w:type="dxa"/>
            <w:tcBorders>
              <w:top w:val="single" w:sz="8" w:space="0" w:color="auto"/>
              <w:left w:val="nil"/>
              <w:bottom w:val="single" w:sz="8" w:space="0" w:color="auto"/>
              <w:right w:val="nil"/>
            </w:tcBorders>
            <w:shd w:val="clear" w:color="auto" w:fill="auto"/>
            <w:noWrap/>
            <w:vAlign w:val="bottom"/>
          </w:tcPr>
          <w:p w14:paraId="287E267C" w14:textId="77777777" w:rsidR="003969D1" w:rsidRPr="00757AE3" w:rsidRDefault="003969D1" w:rsidP="003969D1">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4,180.0</w:t>
            </w:r>
          </w:p>
        </w:tc>
        <w:tc>
          <w:tcPr>
            <w:tcW w:w="992" w:type="dxa"/>
            <w:tcBorders>
              <w:top w:val="single" w:sz="8" w:space="0" w:color="auto"/>
              <w:left w:val="single" w:sz="8" w:space="0" w:color="auto"/>
              <w:bottom w:val="single" w:sz="8" w:space="0" w:color="auto"/>
              <w:right w:val="nil"/>
            </w:tcBorders>
            <w:shd w:val="clear" w:color="auto" w:fill="auto"/>
            <w:noWrap/>
            <w:vAlign w:val="bottom"/>
          </w:tcPr>
          <w:p w14:paraId="0A973314" w14:textId="77777777" w:rsidR="003969D1" w:rsidRPr="00757AE3" w:rsidRDefault="003969D1" w:rsidP="003969D1">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31.4</w:t>
            </w:r>
          </w:p>
        </w:tc>
        <w:tc>
          <w:tcPr>
            <w:tcW w:w="992" w:type="dxa"/>
            <w:tcBorders>
              <w:top w:val="single" w:sz="8" w:space="0" w:color="auto"/>
              <w:left w:val="nil"/>
              <w:bottom w:val="single" w:sz="8" w:space="0" w:color="auto"/>
              <w:right w:val="single" w:sz="8" w:space="0" w:color="auto"/>
            </w:tcBorders>
            <w:shd w:val="clear" w:color="auto" w:fill="auto"/>
            <w:noWrap/>
            <w:vAlign w:val="bottom"/>
          </w:tcPr>
          <w:p w14:paraId="658F2A14" w14:textId="77777777" w:rsidR="003969D1" w:rsidRPr="00757AE3" w:rsidRDefault="003969D1" w:rsidP="003969D1">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41.3</w:t>
            </w:r>
          </w:p>
        </w:tc>
        <w:tc>
          <w:tcPr>
            <w:tcW w:w="992" w:type="dxa"/>
            <w:tcBorders>
              <w:top w:val="single" w:sz="8" w:space="0" w:color="auto"/>
              <w:left w:val="nil"/>
              <w:bottom w:val="single" w:sz="8" w:space="0" w:color="auto"/>
              <w:right w:val="nil"/>
            </w:tcBorders>
            <w:shd w:val="clear" w:color="auto" w:fill="auto"/>
            <w:noWrap/>
            <w:vAlign w:val="bottom"/>
          </w:tcPr>
          <w:p w14:paraId="404E3ABA" w14:textId="77777777" w:rsidR="003969D1" w:rsidRPr="00757AE3" w:rsidRDefault="003969D1" w:rsidP="003969D1">
            <w:pPr>
              <w:jc w:val="right"/>
              <w:rPr>
                <w:rFonts w:ascii="Calibri" w:hAnsi="Calibri" w:cs="Calibri"/>
                <w:color w:val="000000"/>
                <w:sz w:val="18"/>
                <w:szCs w:val="18"/>
                <w:lang w:eastAsia="en-IE"/>
              </w:rPr>
            </w:pPr>
            <w:r w:rsidRPr="00757AE3">
              <w:rPr>
                <w:rFonts w:ascii="Calibri" w:hAnsi="Calibri" w:cs="Calibri"/>
                <w:color w:val="000000"/>
                <w:sz w:val="18"/>
                <w:szCs w:val="18"/>
                <w:lang w:eastAsia="en-IE"/>
              </w:rPr>
              <w:t>5,643.0</w:t>
            </w:r>
          </w:p>
        </w:tc>
      </w:tr>
      <w:tr w:rsidR="003969D1" w:rsidRPr="00BF0AD6" w14:paraId="65199B23" w14:textId="77777777" w:rsidTr="001C72D4">
        <w:trPr>
          <w:trHeight w:val="227"/>
        </w:trPr>
        <w:tc>
          <w:tcPr>
            <w:tcW w:w="2977" w:type="dxa"/>
            <w:shd w:val="clear" w:color="auto" w:fill="FFFF00"/>
            <w:vAlign w:val="bottom"/>
            <w:hideMark/>
          </w:tcPr>
          <w:p w14:paraId="056251F0" w14:textId="77777777" w:rsidR="003969D1" w:rsidRPr="00BF0AD6" w:rsidRDefault="003969D1" w:rsidP="003969D1">
            <w:pPr>
              <w:ind w:right="-112"/>
              <w:rPr>
                <w:rFonts w:ascii="Calibri" w:hAnsi="Calibri" w:cs="Calibri"/>
                <w:color w:val="000000"/>
                <w:sz w:val="18"/>
                <w:szCs w:val="18"/>
                <w:lang w:eastAsia="en-IE"/>
              </w:rPr>
            </w:pPr>
            <w:r>
              <w:rPr>
                <w:rFonts w:ascii="Calibri" w:hAnsi="Calibri" w:cs="Calibri"/>
                <w:bCs/>
                <w:color w:val="000000"/>
                <w:sz w:val="18"/>
                <w:szCs w:val="18"/>
              </w:rPr>
              <w:t>Profit</w:t>
            </w:r>
            <w:r w:rsidRPr="00961843">
              <w:rPr>
                <w:rFonts w:ascii="Calibri" w:hAnsi="Calibri" w:cs="Calibri"/>
                <w:bCs/>
                <w:color w:val="000000"/>
                <w:sz w:val="18"/>
                <w:szCs w:val="18"/>
              </w:rPr>
              <w:t xml:space="preserve"> for</w:t>
            </w:r>
            <w:r w:rsidRPr="00E62280">
              <w:rPr>
                <w:rFonts w:ascii="Calibri" w:hAnsi="Calibri" w:cs="Calibri"/>
                <w:bCs/>
                <w:color w:val="000000"/>
                <w:sz w:val="18"/>
                <w:szCs w:val="18"/>
              </w:rPr>
              <w:t xml:space="preserve"> the </w:t>
            </w:r>
            <w:r>
              <w:rPr>
                <w:rFonts w:ascii="Calibri" w:hAnsi="Calibri" w:cs="Calibri"/>
                <w:bCs/>
                <w:color w:val="000000"/>
                <w:sz w:val="18"/>
                <w:szCs w:val="18"/>
              </w:rPr>
              <w:t>nine months</w:t>
            </w:r>
          </w:p>
        </w:tc>
        <w:tc>
          <w:tcPr>
            <w:tcW w:w="992" w:type="dxa"/>
            <w:tcBorders>
              <w:top w:val="nil"/>
              <w:left w:val="single" w:sz="8" w:space="0" w:color="auto"/>
              <w:bottom w:val="nil"/>
              <w:right w:val="single" w:sz="8" w:space="0" w:color="auto"/>
            </w:tcBorders>
            <w:shd w:val="clear" w:color="auto" w:fill="FFFF00"/>
            <w:vAlign w:val="bottom"/>
          </w:tcPr>
          <w:p w14:paraId="27EE10B2" w14:textId="77777777" w:rsidR="003969D1" w:rsidRPr="00634773" w:rsidRDefault="00634773" w:rsidP="003969D1">
            <w:pPr>
              <w:jc w:val="right"/>
              <w:rPr>
                <w:rFonts w:ascii="Calibri" w:hAnsi="Calibri" w:cs="Calibri"/>
                <w:b/>
                <w:color w:val="000000"/>
                <w:sz w:val="18"/>
                <w:szCs w:val="18"/>
                <w:lang w:eastAsia="en-IE"/>
              </w:rPr>
            </w:pPr>
            <w:r w:rsidRPr="00634773">
              <w:rPr>
                <w:rFonts w:ascii="Calibri" w:hAnsi="Calibri" w:cs="Calibri"/>
                <w:b/>
                <w:color w:val="000000"/>
                <w:sz w:val="18"/>
                <w:szCs w:val="18"/>
                <w:lang w:eastAsia="en-IE"/>
              </w:rPr>
              <w:t>-</w:t>
            </w:r>
          </w:p>
        </w:tc>
        <w:tc>
          <w:tcPr>
            <w:tcW w:w="827" w:type="dxa"/>
            <w:shd w:val="clear" w:color="auto" w:fill="FFFF00"/>
            <w:vAlign w:val="bottom"/>
          </w:tcPr>
          <w:p w14:paraId="73035274"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978" w:type="dxa"/>
            <w:shd w:val="clear" w:color="auto" w:fill="FFFF00"/>
            <w:vAlign w:val="bottom"/>
          </w:tcPr>
          <w:p w14:paraId="617F2B84"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1030" w:type="dxa"/>
            <w:gridSpan w:val="2"/>
            <w:shd w:val="clear" w:color="auto" w:fill="FFFF00"/>
            <w:vAlign w:val="bottom"/>
          </w:tcPr>
          <w:p w14:paraId="66B55F10"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1110" w:type="dxa"/>
            <w:shd w:val="clear" w:color="auto" w:fill="FFFF00"/>
            <w:vAlign w:val="bottom"/>
          </w:tcPr>
          <w:p w14:paraId="570CC92B" w14:textId="77777777" w:rsidR="003969D1" w:rsidRPr="00634773" w:rsidRDefault="00634773" w:rsidP="003969D1">
            <w:pPr>
              <w:jc w:val="right"/>
              <w:rPr>
                <w:rFonts w:ascii="Calibri" w:eastAsia="Calibri" w:hAnsi="Calibri" w:cs="Calibri"/>
                <w:b/>
                <w:sz w:val="18"/>
                <w:szCs w:val="18"/>
                <w:lang w:eastAsia="en-IE"/>
              </w:rPr>
            </w:pPr>
            <w:r w:rsidRPr="00634773">
              <w:rPr>
                <w:rFonts w:ascii="Calibri" w:eastAsia="Calibri" w:hAnsi="Calibri" w:cs="Calibri"/>
                <w:b/>
                <w:sz w:val="18"/>
                <w:szCs w:val="18"/>
                <w:lang w:eastAsia="en-IE"/>
              </w:rPr>
              <w:t>2,192.9</w:t>
            </w:r>
          </w:p>
        </w:tc>
        <w:tc>
          <w:tcPr>
            <w:tcW w:w="992" w:type="dxa"/>
            <w:tcBorders>
              <w:top w:val="nil"/>
              <w:left w:val="single" w:sz="8" w:space="0" w:color="auto"/>
              <w:bottom w:val="nil"/>
              <w:right w:val="nil"/>
            </w:tcBorders>
            <w:shd w:val="clear" w:color="auto" w:fill="FFFF00"/>
            <w:vAlign w:val="bottom"/>
          </w:tcPr>
          <w:p w14:paraId="208E6717"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992" w:type="dxa"/>
            <w:tcBorders>
              <w:top w:val="nil"/>
              <w:left w:val="nil"/>
              <w:bottom w:val="nil"/>
              <w:right w:val="single" w:sz="8" w:space="0" w:color="auto"/>
            </w:tcBorders>
            <w:shd w:val="clear" w:color="auto" w:fill="FFFF00"/>
            <w:vAlign w:val="bottom"/>
          </w:tcPr>
          <w:p w14:paraId="1215A97C"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992" w:type="dxa"/>
            <w:shd w:val="clear" w:color="auto" w:fill="FFFF00"/>
            <w:vAlign w:val="bottom"/>
          </w:tcPr>
          <w:p w14:paraId="6413C280" w14:textId="77777777" w:rsidR="003969D1" w:rsidRPr="00634773" w:rsidRDefault="00703935" w:rsidP="003969D1">
            <w:pPr>
              <w:jc w:val="right"/>
              <w:rPr>
                <w:rFonts w:ascii="Calibri" w:hAnsi="Calibri" w:cs="Calibri"/>
                <w:b/>
                <w:color w:val="000000"/>
                <w:sz w:val="18"/>
                <w:szCs w:val="18"/>
                <w:lang w:eastAsia="en-IE"/>
              </w:rPr>
            </w:pPr>
            <w:r>
              <w:rPr>
                <w:rFonts w:ascii="Calibri" w:hAnsi="Calibri" w:cs="Calibri"/>
                <w:b/>
                <w:color w:val="000000"/>
                <w:sz w:val="18"/>
                <w:szCs w:val="18"/>
                <w:lang w:eastAsia="en-IE"/>
              </w:rPr>
              <w:t>2,192.9</w:t>
            </w:r>
          </w:p>
        </w:tc>
      </w:tr>
      <w:tr w:rsidR="003969D1" w:rsidRPr="00BF0AD6" w14:paraId="33536AEE" w14:textId="77777777" w:rsidTr="001C72D4">
        <w:trPr>
          <w:trHeight w:val="227"/>
        </w:trPr>
        <w:tc>
          <w:tcPr>
            <w:tcW w:w="2977" w:type="dxa"/>
            <w:shd w:val="clear" w:color="auto" w:fill="FFFF00"/>
            <w:vAlign w:val="bottom"/>
            <w:hideMark/>
          </w:tcPr>
          <w:p w14:paraId="22618A79" w14:textId="77777777" w:rsidR="003969D1" w:rsidRPr="00BF0AD6" w:rsidRDefault="003969D1" w:rsidP="003969D1">
            <w:pPr>
              <w:ind w:right="-112"/>
              <w:rPr>
                <w:rFonts w:ascii="Calibri" w:hAnsi="Calibri" w:cs="Calibri"/>
                <w:i/>
                <w:iCs/>
                <w:color w:val="000000"/>
                <w:sz w:val="18"/>
                <w:szCs w:val="18"/>
                <w:lang w:eastAsia="en-IE"/>
              </w:rPr>
            </w:pPr>
            <w:r w:rsidRPr="00E62280">
              <w:rPr>
                <w:rFonts w:ascii="Calibri" w:hAnsi="Calibri" w:cs="Calibri"/>
                <w:bCs/>
                <w:i/>
                <w:color w:val="000000"/>
                <w:sz w:val="18"/>
                <w:szCs w:val="18"/>
              </w:rPr>
              <w:t>Other comprehensive income</w:t>
            </w:r>
          </w:p>
        </w:tc>
        <w:tc>
          <w:tcPr>
            <w:tcW w:w="992" w:type="dxa"/>
            <w:tcBorders>
              <w:top w:val="nil"/>
              <w:left w:val="single" w:sz="8" w:space="0" w:color="auto"/>
              <w:bottom w:val="nil"/>
              <w:right w:val="single" w:sz="8" w:space="0" w:color="auto"/>
            </w:tcBorders>
            <w:shd w:val="clear" w:color="auto" w:fill="FFFF00"/>
            <w:vAlign w:val="bottom"/>
          </w:tcPr>
          <w:p w14:paraId="130A07FF" w14:textId="77777777" w:rsidR="003969D1" w:rsidRPr="00634773" w:rsidRDefault="003969D1" w:rsidP="003969D1">
            <w:pPr>
              <w:jc w:val="right"/>
              <w:rPr>
                <w:rFonts w:ascii="Calibri" w:hAnsi="Calibri" w:cs="Calibri"/>
                <w:b/>
                <w:i/>
                <w:iCs/>
                <w:color w:val="000000"/>
                <w:sz w:val="18"/>
                <w:szCs w:val="18"/>
                <w:lang w:eastAsia="en-IE"/>
              </w:rPr>
            </w:pPr>
          </w:p>
        </w:tc>
        <w:tc>
          <w:tcPr>
            <w:tcW w:w="827" w:type="dxa"/>
            <w:shd w:val="clear" w:color="auto" w:fill="FFFF00"/>
            <w:vAlign w:val="bottom"/>
          </w:tcPr>
          <w:p w14:paraId="02E1726B" w14:textId="77777777" w:rsidR="003969D1" w:rsidRPr="00634773" w:rsidRDefault="003969D1" w:rsidP="003969D1">
            <w:pPr>
              <w:jc w:val="right"/>
              <w:rPr>
                <w:rFonts w:ascii="Calibri" w:eastAsia="Calibri" w:hAnsi="Calibri" w:cs="Calibri"/>
                <w:b/>
                <w:sz w:val="18"/>
                <w:szCs w:val="18"/>
                <w:lang w:eastAsia="en-IE"/>
              </w:rPr>
            </w:pPr>
          </w:p>
        </w:tc>
        <w:tc>
          <w:tcPr>
            <w:tcW w:w="978" w:type="dxa"/>
            <w:shd w:val="clear" w:color="auto" w:fill="FFFF00"/>
            <w:vAlign w:val="bottom"/>
          </w:tcPr>
          <w:p w14:paraId="1DEF2FDD" w14:textId="77777777" w:rsidR="003969D1" w:rsidRPr="00634773" w:rsidRDefault="003969D1" w:rsidP="003969D1">
            <w:pPr>
              <w:jc w:val="right"/>
              <w:rPr>
                <w:rFonts w:ascii="Calibri" w:eastAsia="Calibri" w:hAnsi="Calibri" w:cs="Calibri"/>
                <w:b/>
                <w:sz w:val="18"/>
                <w:szCs w:val="18"/>
                <w:lang w:eastAsia="en-IE"/>
              </w:rPr>
            </w:pPr>
          </w:p>
        </w:tc>
        <w:tc>
          <w:tcPr>
            <w:tcW w:w="1030" w:type="dxa"/>
            <w:gridSpan w:val="2"/>
            <w:shd w:val="clear" w:color="auto" w:fill="FFFF00"/>
            <w:vAlign w:val="bottom"/>
          </w:tcPr>
          <w:p w14:paraId="7C0C0594" w14:textId="77777777" w:rsidR="003969D1" w:rsidRPr="00634773" w:rsidRDefault="003969D1" w:rsidP="003969D1">
            <w:pPr>
              <w:jc w:val="right"/>
              <w:rPr>
                <w:rFonts w:ascii="Calibri" w:eastAsia="Calibri" w:hAnsi="Calibri" w:cs="Calibri"/>
                <w:b/>
                <w:sz w:val="18"/>
                <w:szCs w:val="18"/>
                <w:lang w:eastAsia="en-IE"/>
              </w:rPr>
            </w:pPr>
          </w:p>
        </w:tc>
        <w:tc>
          <w:tcPr>
            <w:tcW w:w="1110" w:type="dxa"/>
            <w:shd w:val="clear" w:color="auto" w:fill="FFFF00"/>
            <w:vAlign w:val="bottom"/>
          </w:tcPr>
          <w:p w14:paraId="743EFCDE" w14:textId="77777777" w:rsidR="003969D1" w:rsidRPr="00634773" w:rsidRDefault="003969D1" w:rsidP="003969D1">
            <w:pPr>
              <w:jc w:val="right"/>
              <w:rPr>
                <w:rFonts w:ascii="Calibri" w:eastAsia="Calibri" w:hAnsi="Calibri" w:cs="Calibri"/>
                <w:b/>
                <w:sz w:val="18"/>
                <w:szCs w:val="18"/>
                <w:lang w:eastAsia="en-IE"/>
              </w:rPr>
            </w:pPr>
          </w:p>
        </w:tc>
        <w:tc>
          <w:tcPr>
            <w:tcW w:w="992" w:type="dxa"/>
            <w:tcBorders>
              <w:top w:val="nil"/>
              <w:left w:val="single" w:sz="8" w:space="0" w:color="auto"/>
              <w:bottom w:val="nil"/>
              <w:right w:val="nil"/>
            </w:tcBorders>
            <w:shd w:val="clear" w:color="auto" w:fill="FFFF00"/>
            <w:vAlign w:val="bottom"/>
          </w:tcPr>
          <w:p w14:paraId="2F77C577" w14:textId="77777777" w:rsidR="003969D1" w:rsidRPr="00634773" w:rsidRDefault="003969D1" w:rsidP="003969D1">
            <w:pPr>
              <w:jc w:val="right"/>
              <w:rPr>
                <w:rFonts w:ascii="Calibri" w:eastAsia="Calibri" w:hAnsi="Calibri" w:cs="Calibri"/>
                <w:b/>
                <w:sz w:val="18"/>
                <w:szCs w:val="18"/>
                <w:lang w:eastAsia="en-IE"/>
              </w:rPr>
            </w:pPr>
          </w:p>
        </w:tc>
        <w:tc>
          <w:tcPr>
            <w:tcW w:w="992" w:type="dxa"/>
            <w:tcBorders>
              <w:top w:val="nil"/>
              <w:left w:val="nil"/>
              <w:bottom w:val="nil"/>
              <w:right w:val="single" w:sz="8" w:space="0" w:color="auto"/>
            </w:tcBorders>
            <w:shd w:val="clear" w:color="auto" w:fill="FFFF00"/>
            <w:vAlign w:val="bottom"/>
          </w:tcPr>
          <w:p w14:paraId="20DF209A" w14:textId="77777777" w:rsidR="003969D1" w:rsidRPr="00634773" w:rsidRDefault="003969D1" w:rsidP="003969D1">
            <w:pPr>
              <w:jc w:val="right"/>
              <w:rPr>
                <w:rFonts w:ascii="Calibri" w:eastAsia="Calibri" w:hAnsi="Calibri" w:cs="Calibri"/>
                <w:b/>
                <w:sz w:val="18"/>
                <w:szCs w:val="18"/>
                <w:lang w:eastAsia="en-IE"/>
              </w:rPr>
            </w:pPr>
          </w:p>
        </w:tc>
        <w:tc>
          <w:tcPr>
            <w:tcW w:w="992" w:type="dxa"/>
            <w:shd w:val="clear" w:color="auto" w:fill="FFFF00"/>
            <w:vAlign w:val="bottom"/>
          </w:tcPr>
          <w:p w14:paraId="2AF27A88" w14:textId="77777777" w:rsidR="003969D1" w:rsidRPr="00634773" w:rsidRDefault="003969D1" w:rsidP="003969D1">
            <w:pPr>
              <w:jc w:val="right"/>
              <w:rPr>
                <w:rFonts w:ascii="Calibri" w:hAnsi="Calibri" w:cs="Calibri"/>
                <w:b/>
                <w:color w:val="000000"/>
                <w:sz w:val="18"/>
                <w:szCs w:val="18"/>
                <w:lang w:eastAsia="en-IE"/>
              </w:rPr>
            </w:pPr>
          </w:p>
        </w:tc>
      </w:tr>
      <w:tr w:rsidR="003969D1" w:rsidRPr="00BF0AD6" w14:paraId="5A129DA5" w14:textId="77777777" w:rsidTr="001C72D4">
        <w:trPr>
          <w:trHeight w:val="227"/>
        </w:trPr>
        <w:tc>
          <w:tcPr>
            <w:tcW w:w="2977" w:type="dxa"/>
            <w:shd w:val="clear" w:color="auto" w:fill="FFFF00"/>
            <w:vAlign w:val="bottom"/>
            <w:hideMark/>
          </w:tcPr>
          <w:p w14:paraId="2239F6CB" w14:textId="77777777" w:rsidR="003969D1" w:rsidRPr="00BF0AD6" w:rsidRDefault="003969D1" w:rsidP="003969D1">
            <w:pPr>
              <w:ind w:right="-112"/>
              <w:rPr>
                <w:rFonts w:ascii="Calibri" w:hAnsi="Calibri" w:cs="Calibri"/>
                <w:color w:val="000000"/>
                <w:sz w:val="18"/>
                <w:szCs w:val="18"/>
                <w:lang w:eastAsia="en-IE"/>
              </w:rPr>
            </w:pPr>
            <w:r w:rsidRPr="00E62280">
              <w:rPr>
                <w:rFonts w:ascii="Calibri" w:hAnsi="Calibri" w:cs="Calibri"/>
                <w:bCs/>
                <w:color w:val="000000"/>
                <w:sz w:val="18"/>
                <w:szCs w:val="18"/>
              </w:rPr>
              <w:t>Net movements in cash flow reserve</w:t>
            </w:r>
          </w:p>
        </w:tc>
        <w:tc>
          <w:tcPr>
            <w:tcW w:w="992" w:type="dxa"/>
            <w:tcBorders>
              <w:top w:val="nil"/>
              <w:left w:val="single" w:sz="8" w:space="0" w:color="auto"/>
              <w:bottom w:val="nil"/>
              <w:right w:val="single" w:sz="8" w:space="0" w:color="auto"/>
            </w:tcBorders>
            <w:shd w:val="clear" w:color="auto" w:fill="FFFF00"/>
            <w:vAlign w:val="bottom"/>
          </w:tcPr>
          <w:p w14:paraId="24BD846B" w14:textId="77777777" w:rsidR="003969D1" w:rsidRPr="00634773" w:rsidRDefault="00634773" w:rsidP="003969D1">
            <w:pPr>
              <w:jc w:val="right"/>
              <w:rPr>
                <w:rFonts w:ascii="Calibri" w:hAnsi="Calibri" w:cs="Calibri"/>
                <w:b/>
                <w:color w:val="000000"/>
                <w:sz w:val="18"/>
                <w:szCs w:val="18"/>
                <w:lang w:eastAsia="en-IE"/>
              </w:rPr>
            </w:pPr>
            <w:r w:rsidRPr="00634773">
              <w:rPr>
                <w:rFonts w:ascii="Calibri" w:hAnsi="Calibri" w:cs="Calibri"/>
                <w:b/>
                <w:color w:val="000000"/>
                <w:sz w:val="18"/>
                <w:szCs w:val="18"/>
                <w:lang w:eastAsia="en-IE"/>
              </w:rPr>
              <w:t>-</w:t>
            </w:r>
          </w:p>
        </w:tc>
        <w:tc>
          <w:tcPr>
            <w:tcW w:w="827" w:type="dxa"/>
            <w:shd w:val="clear" w:color="auto" w:fill="FFFF00"/>
            <w:vAlign w:val="bottom"/>
          </w:tcPr>
          <w:p w14:paraId="158DB8F7"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978" w:type="dxa"/>
            <w:shd w:val="clear" w:color="auto" w:fill="FFFF00"/>
            <w:vAlign w:val="bottom"/>
          </w:tcPr>
          <w:p w14:paraId="78FDA921"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1030" w:type="dxa"/>
            <w:gridSpan w:val="2"/>
            <w:shd w:val="clear" w:color="auto" w:fill="FFFF00"/>
            <w:vAlign w:val="bottom"/>
          </w:tcPr>
          <w:p w14:paraId="364E492E"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1110" w:type="dxa"/>
            <w:shd w:val="clear" w:color="auto" w:fill="FFFF00"/>
            <w:vAlign w:val="bottom"/>
          </w:tcPr>
          <w:p w14:paraId="745A3CA7"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992" w:type="dxa"/>
            <w:tcBorders>
              <w:top w:val="nil"/>
              <w:left w:val="single" w:sz="8" w:space="0" w:color="auto"/>
              <w:bottom w:val="nil"/>
              <w:right w:val="nil"/>
            </w:tcBorders>
            <w:shd w:val="clear" w:color="auto" w:fill="FFFF00"/>
            <w:vAlign w:val="bottom"/>
          </w:tcPr>
          <w:p w14:paraId="44D5D5CB"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12.1</w:t>
            </w:r>
          </w:p>
        </w:tc>
        <w:tc>
          <w:tcPr>
            <w:tcW w:w="992" w:type="dxa"/>
            <w:tcBorders>
              <w:top w:val="nil"/>
              <w:left w:val="nil"/>
              <w:bottom w:val="nil"/>
              <w:right w:val="single" w:sz="8" w:space="0" w:color="auto"/>
            </w:tcBorders>
            <w:shd w:val="clear" w:color="auto" w:fill="FFFF00"/>
            <w:vAlign w:val="bottom"/>
          </w:tcPr>
          <w:p w14:paraId="5A77A1CA"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992" w:type="dxa"/>
            <w:shd w:val="clear" w:color="auto" w:fill="FFFF00"/>
            <w:vAlign w:val="bottom"/>
          </w:tcPr>
          <w:p w14:paraId="3A86A271" w14:textId="77777777" w:rsidR="003969D1" w:rsidRPr="00634773" w:rsidRDefault="00634773" w:rsidP="003969D1">
            <w:pPr>
              <w:jc w:val="right"/>
              <w:rPr>
                <w:rFonts w:ascii="Calibri" w:hAnsi="Calibri" w:cs="Calibri"/>
                <w:b/>
                <w:color w:val="000000"/>
                <w:sz w:val="18"/>
                <w:szCs w:val="18"/>
                <w:lang w:eastAsia="en-IE"/>
              </w:rPr>
            </w:pPr>
            <w:r>
              <w:rPr>
                <w:rFonts w:ascii="Calibri" w:hAnsi="Calibri" w:cs="Calibri"/>
                <w:b/>
                <w:color w:val="000000"/>
                <w:sz w:val="18"/>
                <w:szCs w:val="18"/>
                <w:lang w:eastAsia="en-IE"/>
              </w:rPr>
              <w:t>12.1</w:t>
            </w:r>
          </w:p>
        </w:tc>
      </w:tr>
      <w:tr w:rsidR="003969D1" w:rsidRPr="00BF0AD6" w14:paraId="7A3F0FCA" w14:textId="77777777" w:rsidTr="001C72D4">
        <w:trPr>
          <w:trHeight w:val="227"/>
        </w:trPr>
        <w:tc>
          <w:tcPr>
            <w:tcW w:w="2977" w:type="dxa"/>
            <w:shd w:val="clear" w:color="auto" w:fill="FFFF00"/>
            <w:vAlign w:val="bottom"/>
            <w:hideMark/>
          </w:tcPr>
          <w:p w14:paraId="17369F8E" w14:textId="77777777" w:rsidR="003969D1" w:rsidRPr="00BF0AD6" w:rsidRDefault="003969D1" w:rsidP="003969D1">
            <w:pPr>
              <w:ind w:right="-112"/>
              <w:rPr>
                <w:rFonts w:ascii="Calibri" w:hAnsi="Calibri" w:cs="Calibri"/>
                <w:color w:val="000000"/>
                <w:sz w:val="18"/>
                <w:szCs w:val="18"/>
                <w:lang w:eastAsia="en-IE"/>
              </w:rPr>
            </w:pPr>
            <w:r w:rsidRPr="00E62280">
              <w:rPr>
                <w:rFonts w:ascii="Calibri" w:hAnsi="Calibri" w:cs="Calibri"/>
                <w:bCs/>
                <w:color w:val="000000"/>
                <w:sz w:val="18"/>
                <w:szCs w:val="18"/>
              </w:rPr>
              <w:t xml:space="preserve">Total other comprehensive </w:t>
            </w:r>
            <w:r>
              <w:rPr>
                <w:rFonts w:ascii="Calibri" w:hAnsi="Calibri" w:cs="Calibri"/>
                <w:bCs/>
                <w:color w:val="000000"/>
                <w:sz w:val="18"/>
                <w:szCs w:val="18"/>
              </w:rPr>
              <w:t>income</w:t>
            </w:r>
          </w:p>
        </w:tc>
        <w:tc>
          <w:tcPr>
            <w:tcW w:w="992" w:type="dxa"/>
            <w:tcBorders>
              <w:top w:val="single" w:sz="8" w:space="0" w:color="auto"/>
              <w:left w:val="single" w:sz="8" w:space="0" w:color="auto"/>
              <w:bottom w:val="single" w:sz="8" w:space="0" w:color="auto"/>
              <w:right w:val="single" w:sz="8" w:space="0" w:color="auto"/>
            </w:tcBorders>
            <w:shd w:val="clear" w:color="auto" w:fill="FFFF00"/>
            <w:vAlign w:val="bottom"/>
          </w:tcPr>
          <w:p w14:paraId="2593D18C" w14:textId="77777777" w:rsidR="003969D1" w:rsidRPr="00634773" w:rsidRDefault="00634773" w:rsidP="003969D1">
            <w:pPr>
              <w:jc w:val="right"/>
              <w:rPr>
                <w:rFonts w:ascii="Calibri" w:hAnsi="Calibri" w:cs="Calibri"/>
                <w:b/>
                <w:color w:val="000000"/>
                <w:sz w:val="18"/>
                <w:szCs w:val="18"/>
                <w:lang w:eastAsia="en-IE"/>
              </w:rPr>
            </w:pPr>
            <w:r w:rsidRPr="00634773">
              <w:rPr>
                <w:rFonts w:ascii="Calibri" w:hAnsi="Calibri" w:cs="Calibri"/>
                <w:b/>
                <w:color w:val="000000"/>
                <w:sz w:val="18"/>
                <w:szCs w:val="18"/>
                <w:lang w:eastAsia="en-IE"/>
              </w:rPr>
              <w:t>-</w:t>
            </w:r>
          </w:p>
        </w:tc>
        <w:tc>
          <w:tcPr>
            <w:tcW w:w="827" w:type="dxa"/>
            <w:tcBorders>
              <w:top w:val="single" w:sz="8" w:space="0" w:color="auto"/>
              <w:left w:val="nil"/>
              <w:bottom w:val="single" w:sz="8" w:space="0" w:color="auto"/>
              <w:right w:val="nil"/>
            </w:tcBorders>
            <w:shd w:val="clear" w:color="auto" w:fill="FFFF00"/>
            <w:vAlign w:val="bottom"/>
          </w:tcPr>
          <w:p w14:paraId="32DA9BDC"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978" w:type="dxa"/>
            <w:tcBorders>
              <w:top w:val="single" w:sz="8" w:space="0" w:color="auto"/>
              <w:left w:val="nil"/>
              <w:bottom w:val="single" w:sz="8" w:space="0" w:color="auto"/>
              <w:right w:val="nil"/>
            </w:tcBorders>
            <w:shd w:val="clear" w:color="auto" w:fill="FFFF00"/>
            <w:vAlign w:val="bottom"/>
          </w:tcPr>
          <w:p w14:paraId="079A2303"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1030" w:type="dxa"/>
            <w:gridSpan w:val="2"/>
            <w:tcBorders>
              <w:top w:val="single" w:sz="8" w:space="0" w:color="auto"/>
              <w:left w:val="nil"/>
              <w:bottom w:val="single" w:sz="8" w:space="0" w:color="auto"/>
              <w:right w:val="nil"/>
            </w:tcBorders>
            <w:shd w:val="clear" w:color="auto" w:fill="FFFF00"/>
            <w:vAlign w:val="bottom"/>
          </w:tcPr>
          <w:p w14:paraId="3F3DE6A2"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1110" w:type="dxa"/>
            <w:tcBorders>
              <w:top w:val="single" w:sz="8" w:space="0" w:color="auto"/>
              <w:left w:val="nil"/>
              <w:bottom w:val="single" w:sz="8" w:space="0" w:color="auto"/>
              <w:right w:val="nil"/>
            </w:tcBorders>
            <w:shd w:val="clear" w:color="auto" w:fill="FFFF00"/>
            <w:vAlign w:val="bottom"/>
          </w:tcPr>
          <w:p w14:paraId="44C5A5B3"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992" w:type="dxa"/>
            <w:tcBorders>
              <w:top w:val="single" w:sz="8" w:space="0" w:color="auto"/>
              <w:left w:val="single" w:sz="8" w:space="0" w:color="auto"/>
              <w:bottom w:val="single" w:sz="8" w:space="0" w:color="auto"/>
              <w:right w:val="nil"/>
            </w:tcBorders>
            <w:shd w:val="clear" w:color="auto" w:fill="FFFF00"/>
            <w:vAlign w:val="bottom"/>
          </w:tcPr>
          <w:p w14:paraId="6D729D7D"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12.1</w:t>
            </w:r>
          </w:p>
        </w:tc>
        <w:tc>
          <w:tcPr>
            <w:tcW w:w="992" w:type="dxa"/>
            <w:tcBorders>
              <w:top w:val="single" w:sz="8" w:space="0" w:color="auto"/>
              <w:left w:val="nil"/>
              <w:bottom w:val="single" w:sz="8" w:space="0" w:color="auto"/>
              <w:right w:val="single" w:sz="8" w:space="0" w:color="auto"/>
            </w:tcBorders>
            <w:shd w:val="clear" w:color="auto" w:fill="FFFF00"/>
            <w:vAlign w:val="bottom"/>
          </w:tcPr>
          <w:p w14:paraId="6110BFF7"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992" w:type="dxa"/>
            <w:tcBorders>
              <w:top w:val="single" w:sz="8" w:space="0" w:color="auto"/>
              <w:left w:val="nil"/>
              <w:bottom w:val="single" w:sz="8" w:space="0" w:color="auto"/>
              <w:right w:val="nil"/>
            </w:tcBorders>
            <w:shd w:val="clear" w:color="auto" w:fill="FFFF00"/>
            <w:vAlign w:val="bottom"/>
          </w:tcPr>
          <w:p w14:paraId="5AA154CC" w14:textId="77777777" w:rsidR="003969D1" w:rsidRPr="00634773" w:rsidRDefault="00634773" w:rsidP="003969D1">
            <w:pPr>
              <w:jc w:val="right"/>
              <w:rPr>
                <w:rFonts w:ascii="Calibri" w:hAnsi="Calibri" w:cs="Calibri"/>
                <w:b/>
                <w:color w:val="000000"/>
                <w:sz w:val="18"/>
                <w:szCs w:val="18"/>
                <w:lang w:eastAsia="en-IE"/>
              </w:rPr>
            </w:pPr>
            <w:r>
              <w:rPr>
                <w:rFonts w:ascii="Calibri" w:hAnsi="Calibri" w:cs="Calibri"/>
                <w:b/>
                <w:color w:val="000000"/>
                <w:sz w:val="18"/>
                <w:szCs w:val="18"/>
                <w:lang w:eastAsia="en-IE"/>
              </w:rPr>
              <w:t>12.1</w:t>
            </w:r>
          </w:p>
        </w:tc>
      </w:tr>
      <w:tr w:rsidR="003969D1" w:rsidRPr="00BF0AD6" w14:paraId="181B07EA" w14:textId="77777777" w:rsidTr="001C72D4">
        <w:trPr>
          <w:trHeight w:val="227"/>
        </w:trPr>
        <w:tc>
          <w:tcPr>
            <w:tcW w:w="2977" w:type="dxa"/>
            <w:shd w:val="clear" w:color="auto" w:fill="FFFF00"/>
            <w:vAlign w:val="bottom"/>
            <w:hideMark/>
          </w:tcPr>
          <w:p w14:paraId="604DB7FC" w14:textId="77777777" w:rsidR="003969D1" w:rsidRPr="00BF0AD6" w:rsidRDefault="003969D1" w:rsidP="003969D1">
            <w:pPr>
              <w:ind w:right="-112"/>
              <w:rPr>
                <w:rFonts w:ascii="Calibri" w:hAnsi="Calibri" w:cs="Calibri"/>
                <w:color w:val="000000"/>
                <w:sz w:val="18"/>
                <w:szCs w:val="18"/>
                <w:lang w:eastAsia="en-IE"/>
              </w:rPr>
            </w:pPr>
            <w:r w:rsidRPr="00E62280">
              <w:rPr>
                <w:rFonts w:ascii="Calibri" w:hAnsi="Calibri" w:cs="Calibri"/>
                <w:bCs/>
                <w:color w:val="000000"/>
                <w:sz w:val="18"/>
                <w:szCs w:val="18"/>
              </w:rPr>
              <w:t>Total comprehensive income</w:t>
            </w:r>
          </w:p>
        </w:tc>
        <w:tc>
          <w:tcPr>
            <w:tcW w:w="992" w:type="dxa"/>
            <w:tcBorders>
              <w:top w:val="nil"/>
              <w:left w:val="single" w:sz="8" w:space="0" w:color="auto"/>
              <w:bottom w:val="single" w:sz="8" w:space="0" w:color="auto"/>
              <w:right w:val="single" w:sz="8" w:space="0" w:color="auto"/>
            </w:tcBorders>
            <w:shd w:val="clear" w:color="auto" w:fill="FFFF00"/>
            <w:vAlign w:val="bottom"/>
          </w:tcPr>
          <w:p w14:paraId="20982547" w14:textId="77777777" w:rsidR="003969D1" w:rsidRPr="00634773" w:rsidRDefault="00634773" w:rsidP="003969D1">
            <w:pPr>
              <w:jc w:val="right"/>
              <w:rPr>
                <w:rFonts w:ascii="Calibri" w:hAnsi="Calibri" w:cs="Calibri"/>
                <w:b/>
                <w:color w:val="000000"/>
                <w:sz w:val="18"/>
                <w:szCs w:val="18"/>
                <w:lang w:eastAsia="en-IE"/>
              </w:rPr>
            </w:pPr>
            <w:r w:rsidRPr="00634773">
              <w:rPr>
                <w:rFonts w:ascii="Calibri" w:hAnsi="Calibri" w:cs="Calibri"/>
                <w:b/>
                <w:color w:val="000000"/>
                <w:sz w:val="18"/>
                <w:szCs w:val="18"/>
                <w:lang w:eastAsia="en-IE"/>
              </w:rPr>
              <w:t>-</w:t>
            </w:r>
          </w:p>
        </w:tc>
        <w:tc>
          <w:tcPr>
            <w:tcW w:w="827" w:type="dxa"/>
            <w:tcBorders>
              <w:bottom w:val="single" w:sz="8" w:space="0" w:color="auto"/>
            </w:tcBorders>
            <w:shd w:val="clear" w:color="auto" w:fill="FFFF00"/>
            <w:vAlign w:val="bottom"/>
          </w:tcPr>
          <w:p w14:paraId="07DAC965"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978" w:type="dxa"/>
            <w:tcBorders>
              <w:bottom w:val="single" w:sz="8" w:space="0" w:color="auto"/>
            </w:tcBorders>
            <w:shd w:val="clear" w:color="auto" w:fill="FFFF00"/>
            <w:vAlign w:val="bottom"/>
          </w:tcPr>
          <w:p w14:paraId="6F6CEECC"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1030" w:type="dxa"/>
            <w:gridSpan w:val="2"/>
            <w:tcBorders>
              <w:bottom w:val="single" w:sz="8" w:space="0" w:color="auto"/>
            </w:tcBorders>
            <w:shd w:val="clear" w:color="auto" w:fill="FFFF00"/>
            <w:vAlign w:val="bottom"/>
          </w:tcPr>
          <w:p w14:paraId="4111F069"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1110" w:type="dxa"/>
            <w:tcBorders>
              <w:bottom w:val="single" w:sz="8" w:space="0" w:color="auto"/>
            </w:tcBorders>
            <w:shd w:val="clear" w:color="auto" w:fill="FFFF00"/>
            <w:vAlign w:val="bottom"/>
          </w:tcPr>
          <w:p w14:paraId="6840BFFD"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2,192.9</w:t>
            </w:r>
          </w:p>
        </w:tc>
        <w:tc>
          <w:tcPr>
            <w:tcW w:w="992" w:type="dxa"/>
            <w:tcBorders>
              <w:top w:val="nil"/>
              <w:left w:val="single" w:sz="8" w:space="0" w:color="auto"/>
              <w:bottom w:val="single" w:sz="8" w:space="0" w:color="auto"/>
              <w:right w:val="nil"/>
            </w:tcBorders>
            <w:shd w:val="clear" w:color="auto" w:fill="FFFF00"/>
            <w:vAlign w:val="bottom"/>
          </w:tcPr>
          <w:p w14:paraId="17123091"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12.1</w:t>
            </w:r>
          </w:p>
        </w:tc>
        <w:tc>
          <w:tcPr>
            <w:tcW w:w="992" w:type="dxa"/>
            <w:tcBorders>
              <w:top w:val="nil"/>
              <w:left w:val="nil"/>
              <w:bottom w:val="single" w:sz="8" w:space="0" w:color="auto"/>
              <w:right w:val="single" w:sz="8" w:space="0" w:color="auto"/>
            </w:tcBorders>
            <w:shd w:val="clear" w:color="auto" w:fill="FFFF00"/>
            <w:vAlign w:val="bottom"/>
          </w:tcPr>
          <w:p w14:paraId="2FDDF47B" w14:textId="77777777" w:rsidR="003969D1" w:rsidRPr="00634773" w:rsidRDefault="00634773" w:rsidP="003969D1">
            <w:pPr>
              <w:jc w:val="right"/>
              <w:rPr>
                <w:rFonts w:ascii="Calibri" w:eastAsia="Calibri" w:hAnsi="Calibri" w:cs="Calibri"/>
                <w:b/>
                <w:sz w:val="18"/>
                <w:szCs w:val="18"/>
                <w:lang w:eastAsia="en-IE"/>
              </w:rPr>
            </w:pPr>
            <w:r>
              <w:rPr>
                <w:rFonts w:ascii="Calibri" w:eastAsia="Calibri" w:hAnsi="Calibri" w:cs="Calibri"/>
                <w:b/>
                <w:sz w:val="18"/>
                <w:szCs w:val="18"/>
                <w:lang w:eastAsia="en-IE"/>
              </w:rPr>
              <w:t>-</w:t>
            </w:r>
          </w:p>
        </w:tc>
        <w:tc>
          <w:tcPr>
            <w:tcW w:w="992" w:type="dxa"/>
            <w:tcBorders>
              <w:bottom w:val="single" w:sz="8" w:space="0" w:color="auto"/>
            </w:tcBorders>
            <w:shd w:val="clear" w:color="auto" w:fill="FFFF00"/>
            <w:vAlign w:val="bottom"/>
          </w:tcPr>
          <w:p w14:paraId="70F8E94C" w14:textId="77777777" w:rsidR="003969D1" w:rsidRPr="00634773" w:rsidRDefault="00634773" w:rsidP="003969D1">
            <w:pPr>
              <w:jc w:val="right"/>
              <w:rPr>
                <w:rFonts w:ascii="Calibri" w:hAnsi="Calibri" w:cs="Calibri"/>
                <w:b/>
                <w:color w:val="000000"/>
                <w:sz w:val="18"/>
                <w:szCs w:val="18"/>
                <w:lang w:eastAsia="en-IE"/>
              </w:rPr>
            </w:pPr>
            <w:r>
              <w:rPr>
                <w:rFonts w:ascii="Calibri" w:hAnsi="Calibri" w:cs="Calibri"/>
                <w:b/>
                <w:color w:val="000000"/>
                <w:sz w:val="18"/>
                <w:szCs w:val="18"/>
                <w:lang w:eastAsia="en-IE"/>
              </w:rPr>
              <w:t>2,205.0</w:t>
            </w:r>
          </w:p>
        </w:tc>
      </w:tr>
      <w:tr w:rsidR="003969D1" w:rsidRPr="00BF0AD6" w14:paraId="28A398F5" w14:textId="77777777" w:rsidTr="001C72D4">
        <w:trPr>
          <w:trHeight w:val="227"/>
        </w:trPr>
        <w:tc>
          <w:tcPr>
            <w:tcW w:w="2977" w:type="dxa"/>
            <w:shd w:val="clear" w:color="auto" w:fill="FFFF00"/>
            <w:vAlign w:val="bottom"/>
            <w:hideMark/>
          </w:tcPr>
          <w:p w14:paraId="600B66DC" w14:textId="77777777" w:rsidR="003969D1" w:rsidRPr="00BF0AD6" w:rsidRDefault="003969D1" w:rsidP="003969D1">
            <w:pPr>
              <w:ind w:right="-112"/>
              <w:rPr>
                <w:rFonts w:ascii="Calibri" w:hAnsi="Calibri" w:cs="Calibri"/>
                <w:i/>
                <w:iCs/>
                <w:color w:val="000000"/>
                <w:sz w:val="18"/>
                <w:szCs w:val="18"/>
                <w:lang w:eastAsia="en-IE"/>
              </w:rPr>
            </w:pPr>
            <w:r w:rsidRPr="00E62280">
              <w:rPr>
                <w:rFonts w:ascii="Calibri" w:hAnsi="Calibri" w:cs="Calibri"/>
                <w:bCs/>
                <w:i/>
                <w:color w:val="000000"/>
                <w:sz w:val="18"/>
                <w:szCs w:val="18"/>
              </w:rPr>
              <w:t>Transactions with owners of the Company recognised directly in equity</w:t>
            </w:r>
          </w:p>
        </w:tc>
        <w:tc>
          <w:tcPr>
            <w:tcW w:w="992" w:type="dxa"/>
            <w:tcBorders>
              <w:top w:val="single" w:sz="8" w:space="0" w:color="auto"/>
              <w:left w:val="single" w:sz="8" w:space="0" w:color="auto"/>
              <w:right w:val="single" w:sz="8" w:space="0" w:color="auto"/>
            </w:tcBorders>
            <w:shd w:val="clear" w:color="auto" w:fill="FFFF00"/>
            <w:vAlign w:val="bottom"/>
          </w:tcPr>
          <w:p w14:paraId="3075F15F" w14:textId="77777777" w:rsidR="003969D1" w:rsidRPr="00634773" w:rsidRDefault="003969D1" w:rsidP="003969D1">
            <w:pPr>
              <w:jc w:val="right"/>
              <w:rPr>
                <w:rFonts w:ascii="Calibri" w:hAnsi="Calibri" w:cs="Calibri"/>
                <w:b/>
                <w:i/>
                <w:iCs/>
                <w:color w:val="000000"/>
                <w:sz w:val="18"/>
                <w:szCs w:val="18"/>
                <w:lang w:eastAsia="en-IE"/>
              </w:rPr>
            </w:pPr>
          </w:p>
        </w:tc>
        <w:tc>
          <w:tcPr>
            <w:tcW w:w="827" w:type="dxa"/>
            <w:tcBorders>
              <w:top w:val="single" w:sz="8" w:space="0" w:color="auto"/>
              <w:left w:val="single" w:sz="8" w:space="0" w:color="auto"/>
              <w:right w:val="nil"/>
            </w:tcBorders>
            <w:shd w:val="clear" w:color="auto" w:fill="FFFF00"/>
            <w:vAlign w:val="bottom"/>
          </w:tcPr>
          <w:p w14:paraId="37B98F1F" w14:textId="77777777" w:rsidR="003969D1" w:rsidRPr="00634773" w:rsidRDefault="003969D1" w:rsidP="003969D1">
            <w:pPr>
              <w:jc w:val="right"/>
              <w:rPr>
                <w:rFonts w:ascii="Calibri" w:eastAsia="Calibri" w:hAnsi="Calibri" w:cs="Calibri"/>
                <w:b/>
                <w:sz w:val="18"/>
                <w:szCs w:val="18"/>
                <w:lang w:eastAsia="en-IE"/>
              </w:rPr>
            </w:pPr>
          </w:p>
        </w:tc>
        <w:tc>
          <w:tcPr>
            <w:tcW w:w="978" w:type="dxa"/>
            <w:tcBorders>
              <w:top w:val="single" w:sz="8" w:space="0" w:color="auto"/>
              <w:left w:val="nil"/>
              <w:right w:val="nil"/>
            </w:tcBorders>
            <w:shd w:val="clear" w:color="auto" w:fill="FFFF00"/>
            <w:vAlign w:val="bottom"/>
          </w:tcPr>
          <w:p w14:paraId="64B46849" w14:textId="77777777" w:rsidR="003969D1" w:rsidRPr="00634773" w:rsidRDefault="003969D1" w:rsidP="003969D1">
            <w:pPr>
              <w:jc w:val="right"/>
              <w:rPr>
                <w:rFonts w:ascii="Calibri" w:eastAsia="Calibri" w:hAnsi="Calibri" w:cs="Calibri"/>
                <w:b/>
                <w:sz w:val="18"/>
                <w:szCs w:val="18"/>
                <w:lang w:eastAsia="en-IE"/>
              </w:rPr>
            </w:pPr>
          </w:p>
        </w:tc>
        <w:tc>
          <w:tcPr>
            <w:tcW w:w="1030" w:type="dxa"/>
            <w:gridSpan w:val="2"/>
            <w:tcBorders>
              <w:top w:val="single" w:sz="8" w:space="0" w:color="auto"/>
              <w:left w:val="nil"/>
              <w:right w:val="nil"/>
            </w:tcBorders>
            <w:shd w:val="clear" w:color="auto" w:fill="FFFF00"/>
            <w:vAlign w:val="bottom"/>
          </w:tcPr>
          <w:p w14:paraId="7811920E" w14:textId="77777777" w:rsidR="003969D1" w:rsidRPr="00634773" w:rsidRDefault="003969D1" w:rsidP="003969D1">
            <w:pPr>
              <w:jc w:val="right"/>
              <w:rPr>
                <w:rFonts w:ascii="Calibri" w:eastAsia="Calibri" w:hAnsi="Calibri" w:cs="Calibri"/>
                <w:b/>
                <w:sz w:val="18"/>
                <w:szCs w:val="18"/>
                <w:lang w:eastAsia="en-IE"/>
              </w:rPr>
            </w:pPr>
          </w:p>
        </w:tc>
        <w:tc>
          <w:tcPr>
            <w:tcW w:w="1110" w:type="dxa"/>
            <w:tcBorders>
              <w:top w:val="single" w:sz="8" w:space="0" w:color="auto"/>
              <w:left w:val="nil"/>
              <w:right w:val="single" w:sz="8" w:space="0" w:color="auto"/>
            </w:tcBorders>
            <w:shd w:val="clear" w:color="auto" w:fill="FFFF00"/>
            <w:vAlign w:val="bottom"/>
          </w:tcPr>
          <w:p w14:paraId="551D259C" w14:textId="77777777" w:rsidR="003969D1" w:rsidRPr="00634773" w:rsidRDefault="003969D1" w:rsidP="003969D1">
            <w:pPr>
              <w:jc w:val="right"/>
              <w:rPr>
                <w:rFonts w:ascii="Calibri" w:eastAsia="Calibri" w:hAnsi="Calibri" w:cs="Calibri"/>
                <w:b/>
                <w:sz w:val="18"/>
                <w:szCs w:val="18"/>
                <w:lang w:eastAsia="en-IE"/>
              </w:rPr>
            </w:pPr>
          </w:p>
        </w:tc>
        <w:tc>
          <w:tcPr>
            <w:tcW w:w="992" w:type="dxa"/>
            <w:tcBorders>
              <w:top w:val="single" w:sz="8" w:space="0" w:color="auto"/>
              <w:left w:val="single" w:sz="8" w:space="0" w:color="auto"/>
              <w:right w:val="nil"/>
            </w:tcBorders>
            <w:shd w:val="clear" w:color="auto" w:fill="FFFF00"/>
            <w:vAlign w:val="bottom"/>
          </w:tcPr>
          <w:p w14:paraId="5A38BBB2" w14:textId="77777777" w:rsidR="003969D1" w:rsidRPr="00634773" w:rsidRDefault="003969D1" w:rsidP="003969D1">
            <w:pPr>
              <w:jc w:val="right"/>
              <w:rPr>
                <w:rFonts w:ascii="Calibri" w:eastAsia="Calibri" w:hAnsi="Calibri" w:cs="Calibri"/>
                <w:b/>
                <w:sz w:val="18"/>
                <w:szCs w:val="18"/>
                <w:lang w:eastAsia="en-IE"/>
              </w:rPr>
            </w:pPr>
          </w:p>
        </w:tc>
        <w:tc>
          <w:tcPr>
            <w:tcW w:w="992" w:type="dxa"/>
            <w:tcBorders>
              <w:top w:val="single" w:sz="8" w:space="0" w:color="auto"/>
              <w:left w:val="nil"/>
              <w:right w:val="single" w:sz="8" w:space="0" w:color="auto"/>
            </w:tcBorders>
            <w:shd w:val="clear" w:color="auto" w:fill="FFFF00"/>
            <w:vAlign w:val="bottom"/>
          </w:tcPr>
          <w:p w14:paraId="4D857654" w14:textId="77777777" w:rsidR="003969D1" w:rsidRPr="00634773" w:rsidRDefault="003969D1" w:rsidP="003969D1">
            <w:pPr>
              <w:jc w:val="right"/>
              <w:rPr>
                <w:rFonts w:ascii="Calibri" w:eastAsia="Calibri" w:hAnsi="Calibri" w:cs="Calibri"/>
                <w:b/>
                <w:sz w:val="18"/>
                <w:szCs w:val="18"/>
                <w:lang w:eastAsia="en-IE"/>
              </w:rPr>
            </w:pPr>
          </w:p>
        </w:tc>
        <w:tc>
          <w:tcPr>
            <w:tcW w:w="992" w:type="dxa"/>
            <w:tcBorders>
              <w:top w:val="single" w:sz="8" w:space="0" w:color="auto"/>
              <w:left w:val="single" w:sz="8" w:space="0" w:color="auto"/>
              <w:right w:val="nil"/>
            </w:tcBorders>
            <w:shd w:val="clear" w:color="auto" w:fill="FFFF00"/>
            <w:vAlign w:val="bottom"/>
          </w:tcPr>
          <w:p w14:paraId="1419461E" w14:textId="77777777" w:rsidR="003969D1" w:rsidRPr="00634773" w:rsidRDefault="003969D1" w:rsidP="003969D1">
            <w:pPr>
              <w:jc w:val="right"/>
              <w:rPr>
                <w:rFonts w:ascii="Calibri" w:hAnsi="Calibri" w:cs="Calibri"/>
                <w:b/>
                <w:color w:val="000000"/>
                <w:sz w:val="18"/>
                <w:szCs w:val="18"/>
                <w:lang w:eastAsia="en-IE"/>
              </w:rPr>
            </w:pPr>
          </w:p>
        </w:tc>
      </w:tr>
      <w:tr w:rsidR="003969D1" w:rsidRPr="00BF0AD6" w14:paraId="043486C3" w14:textId="77777777" w:rsidTr="001C72D4">
        <w:trPr>
          <w:trHeight w:val="227"/>
        </w:trPr>
        <w:tc>
          <w:tcPr>
            <w:tcW w:w="2977" w:type="dxa"/>
            <w:shd w:val="clear" w:color="auto" w:fill="FFFF00"/>
            <w:vAlign w:val="bottom"/>
            <w:hideMark/>
          </w:tcPr>
          <w:p w14:paraId="272FC15A" w14:textId="77777777" w:rsidR="003969D1" w:rsidRPr="00BF0AD6" w:rsidRDefault="003969D1" w:rsidP="003969D1">
            <w:pPr>
              <w:ind w:right="-112"/>
              <w:rPr>
                <w:rFonts w:ascii="Calibri" w:hAnsi="Calibri" w:cs="Calibri"/>
                <w:color w:val="000000"/>
                <w:sz w:val="18"/>
                <w:szCs w:val="18"/>
                <w:lang w:eastAsia="en-IE"/>
              </w:rPr>
            </w:pPr>
            <w:r w:rsidRPr="00E62280">
              <w:rPr>
                <w:rFonts w:ascii="Calibri" w:hAnsi="Calibri" w:cs="Calibri"/>
                <w:bCs/>
                <w:color w:val="000000"/>
                <w:sz w:val="18"/>
                <w:szCs w:val="18"/>
              </w:rPr>
              <w:t>Issue of ordinary equity shares</w:t>
            </w:r>
          </w:p>
        </w:tc>
        <w:tc>
          <w:tcPr>
            <w:tcW w:w="992" w:type="dxa"/>
            <w:tcBorders>
              <w:left w:val="single" w:sz="8" w:space="0" w:color="auto"/>
              <w:bottom w:val="nil"/>
              <w:right w:val="single" w:sz="8" w:space="0" w:color="auto"/>
            </w:tcBorders>
            <w:shd w:val="clear" w:color="auto" w:fill="FFFF00"/>
            <w:vAlign w:val="bottom"/>
          </w:tcPr>
          <w:p w14:paraId="6E196512" w14:textId="77777777" w:rsidR="003969D1" w:rsidRPr="00967902" w:rsidRDefault="00634773" w:rsidP="003969D1">
            <w:pPr>
              <w:jc w:val="right"/>
              <w:rPr>
                <w:rFonts w:ascii="Calibri" w:hAnsi="Calibri" w:cs="Calibri"/>
                <w:b/>
                <w:color w:val="000000"/>
                <w:sz w:val="18"/>
                <w:szCs w:val="18"/>
                <w:lang w:eastAsia="en-IE"/>
              </w:rPr>
            </w:pPr>
            <w:r w:rsidRPr="00967902">
              <w:rPr>
                <w:rFonts w:ascii="Calibri" w:hAnsi="Calibri" w:cs="Calibri"/>
                <w:b/>
                <w:color w:val="000000"/>
                <w:sz w:val="18"/>
                <w:szCs w:val="18"/>
                <w:lang w:eastAsia="en-IE"/>
              </w:rPr>
              <w:t>1.1</w:t>
            </w:r>
          </w:p>
        </w:tc>
        <w:tc>
          <w:tcPr>
            <w:tcW w:w="827" w:type="dxa"/>
            <w:shd w:val="clear" w:color="auto" w:fill="FFFF00"/>
            <w:vAlign w:val="bottom"/>
          </w:tcPr>
          <w:p w14:paraId="5F475966"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w:t>
            </w:r>
          </w:p>
        </w:tc>
        <w:tc>
          <w:tcPr>
            <w:tcW w:w="978" w:type="dxa"/>
            <w:shd w:val="clear" w:color="auto" w:fill="FFFF00"/>
            <w:vAlign w:val="bottom"/>
          </w:tcPr>
          <w:p w14:paraId="4F3D939E"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19.7</w:t>
            </w:r>
          </w:p>
        </w:tc>
        <w:tc>
          <w:tcPr>
            <w:tcW w:w="1030" w:type="dxa"/>
            <w:gridSpan w:val="2"/>
            <w:shd w:val="clear" w:color="auto" w:fill="FFFF00"/>
            <w:vAlign w:val="bottom"/>
          </w:tcPr>
          <w:p w14:paraId="0854EE04"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w:t>
            </w:r>
          </w:p>
        </w:tc>
        <w:tc>
          <w:tcPr>
            <w:tcW w:w="1110" w:type="dxa"/>
            <w:shd w:val="clear" w:color="auto" w:fill="FFFF00"/>
            <w:vAlign w:val="bottom"/>
          </w:tcPr>
          <w:p w14:paraId="3D3BCC38"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(6.1)</w:t>
            </w:r>
          </w:p>
        </w:tc>
        <w:tc>
          <w:tcPr>
            <w:tcW w:w="992" w:type="dxa"/>
            <w:tcBorders>
              <w:left w:val="single" w:sz="8" w:space="0" w:color="auto"/>
              <w:bottom w:val="nil"/>
              <w:right w:val="nil"/>
            </w:tcBorders>
            <w:shd w:val="clear" w:color="auto" w:fill="FFFF00"/>
            <w:vAlign w:val="bottom"/>
          </w:tcPr>
          <w:p w14:paraId="3A166619"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w:t>
            </w:r>
          </w:p>
        </w:tc>
        <w:tc>
          <w:tcPr>
            <w:tcW w:w="992" w:type="dxa"/>
            <w:tcBorders>
              <w:left w:val="nil"/>
              <w:bottom w:val="nil"/>
              <w:right w:val="single" w:sz="8" w:space="0" w:color="auto"/>
            </w:tcBorders>
            <w:shd w:val="clear" w:color="auto" w:fill="FFFF00"/>
            <w:vAlign w:val="bottom"/>
          </w:tcPr>
          <w:p w14:paraId="08579A30"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w:t>
            </w:r>
          </w:p>
        </w:tc>
        <w:tc>
          <w:tcPr>
            <w:tcW w:w="992" w:type="dxa"/>
            <w:shd w:val="clear" w:color="auto" w:fill="FFFF00"/>
            <w:vAlign w:val="bottom"/>
          </w:tcPr>
          <w:p w14:paraId="23C2D365" w14:textId="77777777" w:rsidR="003969D1" w:rsidRPr="00967902" w:rsidRDefault="00634773" w:rsidP="003969D1">
            <w:pPr>
              <w:jc w:val="right"/>
              <w:rPr>
                <w:rFonts w:ascii="Calibri" w:hAnsi="Calibri" w:cs="Calibri"/>
                <w:b/>
                <w:color w:val="000000"/>
                <w:sz w:val="18"/>
                <w:szCs w:val="18"/>
                <w:lang w:eastAsia="en-IE"/>
              </w:rPr>
            </w:pPr>
            <w:r w:rsidRPr="00967902">
              <w:rPr>
                <w:rFonts w:ascii="Calibri" w:hAnsi="Calibri" w:cs="Calibri"/>
                <w:b/>
                <w:color w:val="000000"/>
                <w:sz w:val="18"/>
                <w:szCs w:val="18"/>
                <w:lang w:eastAsia="en-IE"/>
              </w:rPr>
              <w:t>13.6</w:t>
            </w:r>
          </w:p>
        </w:tc>
      </w:tr>
      <w:tr w:rsidR="003969D1" w:rsidRPr="00BF0AD6" w14:paraId="62DD0054" w14:textId="77777777" w:rsidTr="001C72D4">
        <w:trPr>
          <w:trHeight w:val="227"/>
        </w:trPr>
        <w:tc>
          <w:tcPr>
            <w:tcW w:w="2977" w:type="dxa"/>
            <w:shd w:val="clear" w:color="auto" w:fill="FFFF00"/>
            <w:vAlign w:val="bottom"/>
            <w:hideMark/>
          </w:tcPr>
          <w:p w14:paraId="6E229BBD" w14:textId="77777777" w:rsidR="003969D1" w:rsidRPr="00BF0AD6" w:rsidRDefault="003969D1" w:rsidP="003969D1">
            <w:pPr>
              <w:ind w:right="-112"/>
              <w:rPr>
                <w:rFonts w:ascii="Calibri" w:hAnsi="Calibri" w:cs="Calibri"/>
                <w:color w:val="000000"/>
                <w:sz w:val="18"/>
                <w:szCs w:val="18"/>
                <w:lang w:eastAsia="en-IE"/>
              </w:rPr>
            </w:pPr>
            <w:r w:rsidRPr="00E62280">
              <w:rPr>
                <w:rFonts w:ascii="Calibri" w:hAnsi="Calibri" w:cs="Calibri"/>
                <w:bCs/>
                <w:color w:val="000000"/>
                <w:sz w:val="18"/>
                <w:szCs w:val="18"/>
              </w:rPr>
              <w:t>Share-based payments</w:t>
            </w:r>
          </w:p>
        </w:tc>
        <w:tc>
          <w:tcPr>
            <w:tcW w:w="992" w:type="dxa"/>
            <w:tcBorders>
              <w:top w:val="nil"/>
              <w:left w:val="single" w:sz="8" w:space="0" w:color="auto"/>
              <w:bottom w:val="nil"/>
              <w:right w:val="single" w:sz="8" w:space="0" w:color="auto"/>
            </w:tcBorders>
            <w:shd w:val="clear" w:color="auto" w:fill="FFFF00"/>
            <w:vAlign w:val="bottom"/>
          </w:tcPr>
          <w:p w14:paraId="40BD84A4" w14:textId="77777777" w:rsidR="003969D1" w:rsidRPr="00967902" w:rsidRDefault="00634773" w:rsidP="003969D1">
            <w:pPr>
              <w:jc w:val="right"/>
              <w:rPr>
                <w:rFonts w:ascii="Calibri" w:hAnsi="Calibri" w:cs="Calibri"/>
                <w:b/>
                <w:color w:val="000000"/>
                <w:sz w:val="18"/>
                <w:szCs w:val="18"/>
                <w:lang w:eastAsia="en-IE"/>
              </w:rPr>
            </w:pPr>
            <w:r w:rsidRPr="00967902">
              <w:rPr>
                <w:rFonts w:ascii="Calibri" w:hAnsi="Calibri" w:cs="Calibri"/>
                <w:b/>
                <w:color w:val="000000"/>
                <w:sz w:val="18"/>
                <w:szCs w:val="18"/>
                <w:lang w:eastAsia="en-IE"/>
              </w:rPr>
              <w:t>-</w:t>
            </w:r>
          </w:p>
        </w:tc>
        <w:tc>
          <w:tcPr>
            <w:tcW w:w="827" w:type="dxa"/>
            <w:shd w:val="clear" w:color="auto" w:fill="FFFF00"/>
            <w:vAlign w:val="bottom"/>
          </w:tcPr>
          <w:p w14:paraId="41965F78"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w:t>
            </w:r>
          </w:p>
        </w:tc>
        <w:tc>
          <w:tcPr>
            <w:tcW w:w="978" w:type="dxa"/>
            <w:shd w:val="clear" w:color="auto" w:fill="FFFF00"/>
            <w:vAlign w:val="bottom"/>
          </w:tcPr>
          <w:p w14:paraId="40D95AE8"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w:t>
            </w:r>
          </w:p>
        </w:tc>
        <w:tc>
          <w:tcPr>
            <w:tcW w:w="1030" w:type="dxa"/>
            <w:gridSpan w:val="2"/>
            <w:shd w:val="clear" w:color="auto" w:fill="FFFF00"/>
            <w:vAlign w:val="bottom"/>
          </w:tcPr>
          <w:p w14:paraId="6D8147BA"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w:t>
            </w:r>
          </w:p>
        </w:tc>
        <w:tc>
          <w:tcPr>
            <w:tcW w:w="1110" w:type="dxa"/>
            <w:shd w:val="clear" w:color="auto" w:fill="FFFF00"/>
            <w:vAlign w:val="bottom"/>
          </w:tcPr>
          <w:p w14:paraId="13A9956C"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w:t>
            </w:r>
          </w:p>
        </w:tc>
        <w:tc>
          <w:tcPr>
            <w:tcW w:w="992" w:type="dxa"/>
            <w:tcBorders>
              <w:top w:val="nil"/>
              <w:left w:val="single" w:sz="8" w:space="0" w:color="auto"/>
              <w:bottom w:val="nil"/>
              <w:right w:val="nil"/>
            </w:tcBorders>
            <w:shd w:val="clear" w:color="auto" w:fill="FFFF00"/>
            <w:vAlign w:val="bottom"/>
          </w:tcPr>
          <w:p w14:paraId="6BD6049B"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w:t>
            </w:r>
          </w:p>
        </w:tc>
        <w:tc>
          <w:tcPr>
            <w:tcW w:w="992" w:type="dxa"/>
            <w:tcBorders>
              <w:top w:val="nil"/>
              <w:left w:val="nil"/>
              <w:bottom w:val="nil"/>
              <w:right w:val="single" w:sz="8" w:space="0" w:color="auto"/>
            </w:tcBorders>
            <w:shd w:val="clear" w:color="auto" w:fill="FFFF00"/>
            <w:vAlign w:val="bottom"/>
          </w:tcPr>
          <w:p w14:paraId="0C7BAD3E"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9.9</w:t>
            </w:r>
          </w:p>
        </w:tc>
        <w:tc>
          <w:tcPr>
            <w:tcW w:w="992" w:type="dxa"/>
            <w:shd w:val="clear" w:color="auto" w:fill="FFFF00"/>
            <w:vAlign w:val="bottom"/>
          </w:tcPr>
          <w:p w14:paraId="7FB1CB9B" w14:textId="77777777" w:rsidR="003969D1" w:rsidRPr="00967902" w:rsidRDefault="00634773" w:rsidP="003969D1">
            <w:pPr>
              <w:jc w:val="right"/>
              <w:rPr>
                <w:rFonts w:ascii="Calibri" w:hAnsi="Calibri" w:cs="Calibri"/>
                <w:b/>
                <w:color w:val="000000"/>
                <w:sz w:val="18"/>
                <w:szCs w:val="18"/>
                <w:lang w:eastAsia="en-IE"/>
              </w:rPr>
            </w:pPr>
            <w:r w:rsidRPr="00967902">
              <w:rPr>
                <w:rFonts w:ascii="Calibri" w:hAnsi="Calibri" w:cs="Calibri"/>
                <w:b/>
                <w:color w:val="000000"/>
                <w:sz w:val="18"/>
                <w:szCs w:val="18"/>
                <w:lang w:eastAsia="en-IE"/>
              </w:rPr>
              <w:t>9.9</w:t>
            </w:r>
          </w:p>
        </w:tc>
      </w:tr>
      <w:tr w:rsidR="003969D1" w:rsidRPr="00BF0AD6" w14:paraId="2BDD3714" w14:textId="77777777" w:rsidTr="001C72D4">
        <w:trPr>
          <w:trHeight w:val="227"/>
        </w:trPr>
        <w:tc>
          <w:tcPr>
            <w:tcW w:w="2977" w:type="dxa"/>
            <w:shd w:val="clear" w:color="auto" w:fill="FFFF00"/>
            <w:vAlign w:val="bottom"/>
            <w:hideMark/>
          </w:tcPr>
          <w:p w14:paraId="53627CA4" w14:textId="77777777" w:rsidR="003969D1" w:rsidRPr="00BF0AD6" w:rsidRDefault="003969D1" w:rsidP="003969D1">
            <w:pPr>
              <w:ind w:right="-112"/>
              <w:rPr>
                <w:rFonts w:ascii="Calibri" w:hAnsi="Calibri" w:cs="Calibri"/>
                <w:color w:val="000000"/>
                <w:sz w:val="18"/>
                <w:szCs w:val="18"/>
                <w:lang w:eastAsia="en-IE"/>
              </w:rPr>
            </w:pPr>
            <w:r w:rsidRPr="00E62280">
              <w:rPr>
                <w:rFonts w:ascii="Calibri" w:hAnsi="Calibri" w:cs="Calibri"/>
                <w:bCs/>
                <w:color w:val="000000"/>
                <w:sz w:val="18"/>
                <w:szCs w:val="18"/>
              </w:rPr>
              <w:t>Transfer of exercised and expired share</w:t>
            </w:r>
            <w:r>
              <w:rPr>
                <w:rFonts w:ascii="Calibri" w:hAnsi="Calibri" w:cs="Calibri"/>
                <w:bCs/>
                <w:color w:val="000000"/>
                <w:sz w:val="18"/>
                <w:szCs w:val="18"/>
              </w:rPr>
              <w:t>-</w:t>
            </w:r>
            <w:r w:rsidRPr="00E62280">
              <w:rPr>
                <w:rFonts w:ascii="Calibri" w:hAnsi="Calibri" w:cs="Calibri"/>
                <w:bCs/>
                <w:color w:val="000000"/>
                <w:sz w:val="18"/>
                <w:szCs w:val="18"/>
              </w:rPr>
              <w:t>based awards</w:t>
            </w:r>
          </w:p>
        </w:tc>
        <w:tc>
          <w:tcPr>
            <w:tcW w:w="992" w:type="dxa"/>
            <w:tcBorders>
              <w:top w:val="nil"/>
              <w:left w:val="single" w:sz="8" w:space="0" w:color="auto"/>
              <w:bottom w:val="single" w:sz="12" w:space="0" w:color="auto"/>
              <w:right w:val="single" w:sz="8" w:space="0" w:color="auto"/>
            </w:tcBorders>
            <w:shd w:val="clear" w:color="auto" w:fill="FFFF00"/>
            <w:vAlign w:val="bottom"/>
          </w:tcPr>
          <w:p w14:paraId="04548F86" w14:textId="77777777" w:rsidR="003969D1" w:rsidRPr="00967902" w:rsidRDefault="00634773" w:rsidP="003969D1">
            <w:pPr>
              <w:jc w:val="right"/>
              <w:rPr>
                <w:rFonts w:ascii="Calibri" w:hAnsi="Calibri" w:cs="Calibri"/>
                <w:b/>
                <w:color w:val="000000"/>
                <w:sz w:val="18"/>
                <w:szCs w:val="18"/>
                <w:lang w:eastAsia="en-IE"/>
              </w:rPr>
            </w:pPr>
            <w:r w:rsidRPr="00967902">
              <w:rPr>
                <w:rFonts w:ascii="Calibri" w:hAnsi="Calibri" w:cs="Calibri"/>
                <w:b/>
                <w:color w:val="000000"/>
                <w:sz w:val="18"/>
                <w:szCs w:val="18"/>
                <w:lang w:eastAsia="en-IE"/>
              </w:rPr>
              <w:t>-</w:t>
            </w:r>
          </w:p>
        </w:tc>
        <w:tc>
          <w:tcPr>
            <w:tcW w:w="827" w:type="dxa"/>
            <w:tcBorders>
              <w:bottom w:val="single" w:sz="12" w:space="0" w:color="auto"/>
            </w:tcBorders>
            <w:shd w:val="clear" w:color="auto" w:fill="FFFF00"/>
            <w:vAlign w:val="bottom"/>
          </w:tcPr>
          <w:p w14:paraId="3B12C964"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w:t>
            </w:r>
          </w:p>
        </w:tc>
        <w:tc>
          <w:tcPr>
            <w:tcW w:w="978" w:type="dxa"/>
            <w:tcBorders>
              <w:bottom w:val="single" w:sz="12" w:space="0" w:color="auto"/>
            </w:tcBorders>
            <w:shd w:val="clear" w:color="auto" w:fill="FFFF00"/>
            <w:vAlign w:val="bottom"/>
          </w:tcPr>
          <w:p w14:paraId="5AC4E6A1"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w:t>
            </w:r>
          </w:p>
        </w:tc>
        <w:tc>
          <w:tcPr>
            <w:tcW w:w="1030" w:type="dxa"/>
            <w:gridSpan w:val="2"/>
            <w:tcBorders>
              <w:bottom w:val="single" w:sz="12" w:space="0" w:color="auto"/>
            </w:tcBorders>
            <w:shd w:val="clear" w:color="auto" w:fill="FFFF00"/>
            <w:vAlign w:val="bottom"/>
          </w:tcPr>
          <w:p w14:paraId="4ED09E81"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w:t>
            </w:r>
          </w:p>
        </w:tc>
        <w:tc>
          <w:tcPr>
            <w:tcW w:w="1110" w:type="dxa"/>
            <w:tcBorders>
              <w:bottom w:val="single" w:sz="12" w:space="0" w:color="auto"/>
            </w:tcBorders>
            <w:shd w:val="clear" w:color="auto" w:fill="FFFF00"/>
            <w:vAlign w:val="bottom"/>
          </w:tcPr>
          <w:p w14:paraId="345DA9E8"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3.0</w:t>
            </w:r>
          </w:p>
        </w:tc>
        <w:tc>
          <w:tcPr>
            <w:tcW w:w="992" w:type="dxa"/>
            <w:tcBorders>
              <w:top w:val="nil"/>
              <w:left w:val="single" w:sz="8" w:space="0" w:color="auto"/>
              <w:bottom w:val="single" w:sz="12" w:space="0" w:color="auto"/>
              <w:right w:val="nil"/>
            </w:tcBorders>
            <w:shd w:val="clear" w:color="auto" w:fill="FFFF00"/>
            <w:vAlign w:val="bottom"/>
          </w:tcPr>
          <w:p w14:paraId="084C0A78"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w:t>
            </w:r>
          </w:p>
        </w:tc>
        <w:tc>
          <w:tcPr>
            <w:tcW w:w="992" w:type="dxa"/>
            <w:tcBorders>
              <w:top w:val="nil"/>
              <w:left w:val="nil"/>
              <w:bottom w:val="single" w:sz="12" w:space="0" w:color="auto"/>
              <w:right w:val="single" w:sz="8" w:space="0" w:color="auto"/>
            </w:tcBorders>
            <w:shd w:val="clear" w:color="auto" w:fill="FFFF00"/>
            <w:vAlign w:val="bottom"/>
          </w:tcPr>
          <w:p w14:paraId="683A4142" w14:textId="77777777" w:rsidR="003969D1" w:rsidRPr="00967902" w:rsidRDefault="00634773" w:rsidP="003969D1">
            <w:pPr>
              <w:jc w:val="right"/>
              <w:rPr>
                <w:rFonts w:ascii="Calibri" w:eastAsia="Calibri" w:hAnsi="Calibri" w:cs="Calibri"/>
                <w:b/>
                <w:sz w:val="18"/>
                <w:szCs w:val="18"/>
                <w:lang w:eastAsia="en-IE"/>
              </w:rPr>
            </w:pPr>
            <w:r w:rsidRPr="00967902">
              <w:rPr>
                <w:rFonts w:ascii="Calibri" w:eastAsia="Calibri" w:hAnsi="Calibri" w:cs="Calibri"/>
                <w:b/>
                <w:sz w:val="18"/>
                <w:szCs w:val="18"/>
                <w:lang w:eastAsia="en-IE"/>
              </w:rPr>
              <w:t>(3.0)</w:t>
            </w:r>
          </w:p>
        </w:tc>
        <w:tc>
          <w:tcPr>
            <w:tcW w:w="992" w:type="dxa"/>
            <w:tcBorders>
              <w:bottom w:val="single" w:sz="12" w:space="0" w:color="auto"/>
            </w:tcBorders>
            <w:shd w:val="clear" w:color="auto" w:fill="FFFF00"/>
            <w:vAlign w:val="bottom"/>
          </w:tcPr>
          <w:p w14:paraId="1DE66C80" w14:textId="77777777" w:rsidR="003969D1" w:rsidRPr="00967902" w:rsidRDefault="00634773" w:rsidP="003969D1">
            <w:pPr>
              <w:jc w:val="right"/>
              <w:rPr>
                <w:rFonts w:ascii="Calibri" w:hAnsi="Calibri" w:cs="Calibri"/>
                <w:b/>
                <w:color w:val="000000"/>
                <w:sz w:val="18"/>
                <w:szCs w:val="18"/>
                <w:lang w:eastAsia="en-IE"/>
              </w:rPr>
            </w:pPr>
            <w:r w:rsidRPr="00967902">
              <w:rPr>
                <w:rFonts w:ascii="Calibri" w:hAnsi="Calibri" w:cs="Calibri"/>
                <w:b/>
                <w:color w:val="000000"/>
                <w:sz w:val="18"/>
                <w:szCs w:val="18"/>
                <w:lang w:eastAsia="en-IE"/>
              </w:rPr>
              <w:t>-</w:t>
            </w:r>
          </w:p>
        </w:tc>
      </w:tr>
      <w:tr w:rsidR="003969D1" w:rsidRPr="00BF0AD6" w14:paraId="7AB3A731" w14:textId="77777777" w:rsidTr="001C72D4">
        <w:trPr>
          <w:trHeight w:val="227"/>
        </w:trPr>
        <w:tc>
          <w:tcPr>
            <w:tcW w:w="2977" w:type="dxa"/>
            <w:shd w:val="clear" w:color="auto" w:fill="FFFF00"/>
            <w:vAlign w:val="bottom"/>
            <w:hideMark/>
          </w:tcPr>
          <w:p w14:paraId="6096C62B" w14:textId="77777777" w:rsidR="003969D1" w:rsidRPr="00BF0AD6" w:rsidRDefault="003969D1" w:rsidP="003969D1">
            <w:pPr>
              <w:ind w:right="-112"/>
              <w:rPr>
                <w:rFonts w:ascii="Calibri" w:hAnsi="Calibri" w:cs="Calibri"/>
                <w:b/>
                <w:bCs/>
                <w:color w:val="000000"/>
                <w:sz w:val="18"/>
                <w:szCs w:val="18"/>
                <w:lang w:eastAsia="en-IE"/>
              </w:rPr>
            </w:pPr>
            <w:r w:rsidRPr="00E62280">
              <w:rPr>
                <w:rFonts w:ascii="Calibri" w:hAnsi="Calibri" w:cs="Calibri"/>
                <w:b/>
                <w:bCs/>
                <w:color w:val="000000"/>
                <w:sz w:val="18"/>
                <w:szCs w:val="18"/>
              </w:rPr>
              <w:t xml:space="preserve">Balance at </w:t>
            </w:r>
            <w:r>
              <w:rPr>
                <w:rFonts w:ascii="Calibri" w:hAnsi="Calibri" w:cs="Calibri"/>
                <w:b/>
                <w:bCs/>
                <w:color w:val="000000"/>
                <w:sz w:val="18"/>
                <w:szCs w:val="18"/>
              </w:rPr>
              <w:t>December 31</w:t>
            </w:r>
            <w:r w:rsidRPr="00E62280">
              <w:rPr>
                <w:rFonts w:ascii="Calibri" w:hAnsi="Calibri" w:cs="Calibri"/>
                <w:b/>
                <w:bCs/>
                <w:color w:val="000000"/>
                <w:sz w:val="18"/>
                <w:szCs w:val="18"/>
              </w:rPr>
              <w:t>, 202</w:t>
            </w:r>
            <w:r>
              <w:rPr>
                <w:rFonts w:ascii="Calibri" w:hAnsi="Calibri" w:cs="Calibri"/>
                <w:b/>
                <w:bCs/>
                <w:color w:val="000000"/>
                <w:sz w:val="18"/>
                <w:szCs w:val="18"/>
              </w:rPr>
              <w:t>3</w:t>
            </w:r>
          </w:p>
        </w:tc>
        <w:tc>
          <w:tcPr>
            <w:tcW w:w="992" w:type="dxa"/>
            <w:tcBorders>
              <w:top w:val="single" w:sz="12" w:space="0" w:color="auto"/>
              <w:left w:val="single" w:sz="8" w:space="0" w:color="auto"/>
              <w:bottom w:val="single" w:sz="12" w:space="0" w:color="auto"/>
              <w:right w:val="single" w:sz="8" w:space="0" w:color="auto"/>
            </w:tcBorders>
            <w:shd w:val="clear" w:color="auto" w:fill="FFFF00"/>
            <w:vAlign w:val="bottom"/>
          </w:tcPr>
          <w:p w14:paraId="133D398A" w14:textId="77777777" w:rsidR="003969D1" w:rsidRPr="00967902" w:rsidRDefault="00634773" w:rsidP="003969D1">
            <w:pPr>
              <w:jc w:val="right"/>
              <w:rPr>
                <w:rFonts w:ascii="Calibri" w:hAnsi="Calibri" w:cs="Calibri"/>
                <w:b/>
                <w:color w:val="000000"/>
                <w:sz w:val="18"/>
                <w:szCs w:val="18"/>
                <w:lang w:eastAsia="en-IE"/>
              </w:rPr>
            </w:pPr>
            <w:r w:rsidRPr="00967902">
              <w:rPr>
                <w:rFonts w:ascii="Calibri" w:hAnsi="Calibri" w:cs="Calibri"/>
                <w:b/>
                <w:color w:val="000000"/>
                <w:sz w:val="18"/>
                <w:szCs w:val="18"/>
                <w:lang w:eastAsia="en-IE"/>
              </w:rPr>
              <w:t>1,139.8</w:t>
            </w:r>
          </w:p>
        </w:tc>
        <w:tc>
          <w:tcPr>
            <w:tcW w:w="827" w:type="dxa"/>
            <w:tcBorders>
              <w:top w:val="single" w:sz="12" w:space="0" w:color="auto"/>
              <w:left w:val="nil"/>
              <w:bottom w:val="single" w:sz="12" w:space="0" w:color="auto"/>
              <w:right w:val="nil"/>
            </w:tcBorders>
            <w:shd w:val="clear" w:color="auto" w:fill="FFFF00"/>
            <w:vAlign w:val="bottom"/>
          </w:tcPr>
          <w:p w14:paraId="2ED51569" w14:textId="77777777" w:rsidR="003969D1" w:rsidRPr="00967902" w:rsidRDefault="00634773" w:rsidP="003969D1">
            <w:pPr>
              <w:jc w:val="right"/>
              <w:rPr>
                <w:rFonts w:ascii="Calibri" w:hAnsi="Calibri" w:cs="Calibri"/>
                <w:b/>
                <w:color w:val="000000"/>
                <w:sz w:val="18"/>
                <w:szCs w:val="18"/>
                <w:lang w:eastAsia="en-IE"/>
              </w:rPr>
            </w:pPr>
            <w:r w:rsidRPr="00967902">
              <w:rPr>
                <w:rFonts w:ascii="Calibri" w:hAnsi="Calibri" w:cs="Calibri"/>
                <w:b/>
                <w:color w:val="000000"/>
                <w:sz w:val="18"/>
                <w:szCs w:val="18"/>
                <w:lang w:eastAsia="en-IE"/>
              </w:rPr>
              <w:t>6.9</w:t>
            </w:r>
          </w:p>
        </w:tc>
        <w:tc>
          <w:tcPr>
            <w:tcW w:w="978" w:type="dxa"/>
            <w:tcBorders>
              <w:top w:val="single" w:sz="12" w:space="0" w:color="auto"/>
              <w:left w:val="nil"/>
              <w:bottom w:val="single" w:sz="12" w:space="0" w:color="auto"/>
              <w:right w:val="nil"/>
            </w:tcBorders>
            <w:shd w:val="clear" w:color="auto" w:fill="FFFF00"/>
            <w:vAlign w:val="bottom"/>
          </w:tcPr>
          <w:p w14:paraId="3FA3326A" w14:textId="77777777" w:rsidR="003969D1" w:rsidRPr="00967902" w:rsidRDefault="00967902" w:rsidP="003969D1">
            <w:pPr>
              <w:jc w:val="right"/>
              <w:rPr>
                <w:rFonts w:ascii="Calibri" w:hAnsi="Calibri" w:cs="Calibri"/>
                <w:b/>
                <w:color w:val="000000"/>
                <w:sz w:val="18"/>
                <w:szCs w:val="18"/>
                <w:lang w:eastAsia="en-IE"/>
              </w:rPr>
            </w:pPr>
            <w:r w:rsidRPr="00967902">
              <w:rPr>
                <w:rFonts w:ascii="Calibri" w:hAnsi="Calibri" w:cs="Calibri"/>
                <w:b/>
                <w:color w:val="000000"/>
                <w:sz w:val="18"/>
                <w:szCs w:val="18"/>
                <w:lang w:eastAsia="en-IE"/>
              </w:rPr>
              <w:t>1,399.6</w:t>
            </w:r>
          </w:p>
        </w:tc>
        <w:tc>
          <w:tcPr>
            <w:tcW w:w="1030" w:type="dxa"/>
            <w:gridSpan w:val="2"/>
            <w:tcBorders>
              <w:top w:val="single" w:sz="12" w:space="0" w:color="auto"/>
              <w:left w:val="nil"/>
              <w:bottom w:val="single" w:sz="12" w:space="0" w:color="auto"/>
              <w:right w:val="nil"/>
            </w:tcBorders>
            <w:shd w:val="clear" w:color="auto" w:fill="FFFF00"/>
            <w:vAlign w:val="bottom"/>
          </w:tcPr>
          <w:p w14:paraId="72D1DB1B" w14:textId="77777777" w:rsidR="003969D1" w:rsidRPr="00967902" w:rsidRDefault="00634773" w:rsidP="003969D1">
            <w:pPr>
              <w:jc w:val="right"/>
              <w:rPr>
                <w:rFonts w:ascii="Calibri" w:hAnsi="Calibri" w:cs="Calibri"/>
                <w:b/>
                <w:color w:val="000000"/>
                <w:sz w:val="18"/>
                <w:szCs w:val="18"/>
                <w:lang w:eastAsia="en-IE"/>
              </w:rPr>
            </w:pPr>
            <w:r w:rsidRPr="00967902">
              <w:rPr>
                <w:rFonts w:ascii="Calibri" w:hAnsi="Calibri" w:cs="Calibri"/>
                <w:b/>
                <w:color w:val="000000"/>
                <w:sz w:val="18"/>
                <w:szCs w:val="18"/>
                <w:lang w:eastAsia="en-IE"/>
              </w:rPr>
              <w:t>3.5</w:t>
            </w:r>
          </w:p>
        </w:tc>
        <w:tc>
          <w:tcPr>
            <w:tcW w:w="1110" w:type="dxa"/>
            <w:tcBorders>
              <w:top w:val="single" w:sz="12" w:space="0" w:color="auto"/>
              <w:left w:val="nil"/>
              <w:bottom w:val="single" w:sz="12" w:space="0" w:color="auto"/>
              <w:right w:val="nil"/>
            </w:tcBorders>
            <w:shd w:val="clear" w:color="auto" w:fill="FFFF00"/>
            <w:vAlign w:val="bottom"/>
          </w:tcPr>
          <w:p w14:paraId="77CF8966" w14:textId="77777777" w:rsidR="003969D1" w:rsidRPr="00967902" w:rsidRDefault="00967902" w:rsidP="003969D1">
            <w:pPr>
              <w:jc w:val="right"/>
              <w:rPr>
                <w:rFonts w:ascii="Calibri" w:hAnsi="Calibri" w:cs="Calibri"/>
                <w:b/>
                <w:color w:val="000000"/>
                <w:sz w:val="18"/>
                <w:szCs w:val="18"/>
                <w:lang w:eastAsia="en-IE"/>
              </w:rPr>
            </w:pPr>
            <w:r>
              <w:rPr>
                <w:rFonts w:ascii="Calibri" w:hAnsi="Calibri" w:cs="Calibri"/>
                <w:b/>
                <w:color w:val="000000"/>
                <w:sz w:val="18"/>
                <w:szCs w:val="18"/>
                <w:lang w:eastAsia="en-IE"/>
              </w:rPr>
              <w:t>6,369.8</w:t>
            </w:r>
          </w:p>
        </w:tc>
        <w:tc>
          <w:tcPr>
            <w:tcW w:w="992" w:type="dxa"/>
            <w:tcBorders>
              <w:top w:val="single" w:sz="12" w:space="0" w:color="auto"/>
              <w:left w:val="single" w:sz="8" w:space="0" w:color="auto"/>
              <w:bottom w:val="single" w:sz="12" w:space="0" w:color="auto"/>
              <w:right w:val="nil"/>
            </w:tcBorders>
            <w:shd w:val="clear" w:color="auto" w:fill="FFFF00"/>
            <w:vAlign w:val="bottom"/>
          </w:tcPr>
          <w:p w14:paraId="6FD71227" w14:textId="77777777" w:rsidR="003969D1" w:rsidRPr="00967902" w:rsidRDefault="00967902" w:rsidP="003969D1">
            <w:pPr>
              <w:jc w:val="right"/>
              <w:rPr>
                <w:rFonts w:ascii="Calibri" w:hAnsi="Calibri" w:cs="Calibri"/>
                <w:b/>
                <w:color w:val="000000"/>
                <w:sz w:val="18"/>
                <w:szCs w:val="18"/>
                <w:lang w:eastAsia="en-IE"/>
              </w:rPr>
            </w:pPr>
            <w:r>
              <w:rPr>
                <w:rFonts w:ascii="Calibri" w:hAnsi="Calibri" w:cs="Calibri"/>
                <w:b/>
                <w:color w:val="000000"/>
                <w:sz w:val="18"/>
                <w:szCs w:val="18"/>
                <w:lang w:eastAsia="en-IE"/>
              </w:rPr>
              <w:t>43.5</w:t>
            </w:r>
          </w:p>
        </w:tc>
        <w:tc>
          <w:tcPr>
            <w:tcW w:w="992" w:type="dxa"/>
            <w:tcBorders>
              <w:top w:val="single" w:sz="12" w:space="0" w:color="auto"/>
              <w:left w:val="nil"/>
              <w:bottom w:val="single" w:sz="12" w:space="0" w:color="auto"/>
              <w:right w:val="single" w:sz="8" w:space="0" w:color="auto"/>
            </w:tcBorders>
            <w:shd w:val="clear" w:color="auto" w:fill="FFFF00"/>
            <w:vAlign w:val="bottom"/>
          </w:tcPr>
          <w:p w14:paraId="28E04500" w14:textId="77777777" w:rsidR="003969D1" w:rsidRPr="00967902" w:rsidRDefault="00967902" w:rsidP="003969D1">
            <w:pPr>
              <w:jc w:val="right"/>
              <w:rPr>
                <w:rFonts w:ascii="Calibri" w:hAnsi="Calibri" w:cs="Calibri"/>
                <w:b/>
                <w:color w:val="000000"/>
                <w:sz w:val="18"/>
                <w:szCs w:val="18"/>
                <w:lang w:eastAsia="en-IE"/>
              </w:rPr>
            </w:pPr>
            <w:r>
              <w:rPr>
                <w:rFonts w:ascii="Calibri" w:hAnsi="Calibri" w:cs="Calibri"/>
                <w:b/>
                <w:color w:val="000000"/>
                <w:sz w:val="18"/>
                <w:szCs w:val="18"/>
                <w:lang w:eastAsia="en-IE"/>
              </w:rPr>
              <w:t>48.2</w:t>
            </w:r>
          </w:p>
        </w:tc>
        <w:tc>
          <w:tcPr>
            <w:tcW w:w="992" w:type="dxa"/>
            <w:tcBorders>
              <w:top w:val="single" w:sz="12" w:space="0" w:color="auto"/>
              <w:left w:val="nil"/>
              <w:bottom w:val="single" w:sz="12" w:space="0" w:color="auto"/>
              <w:right w:val="nil"/>
            </w:tcBorders>
            <w:shd w:val="clear" w:color="auto" w:fill="FFFF00"/>
            <w:vAlign w:val="bottom"/>
          </w:tcPr>
          <w:p w14:paraId="3EC3DAF4" w14:textId="77777777" w:rsidR="003969D1" w:rsidRPr="00967902" w:rsidRDefault="00967902" w:rsidP="003969D1">
            <w:pPr>
              <w:jc w:val="right"/>
              <w:rPr>
                <w:rFonts w:ascii="Calibri" w:hAnsi="Calibri" w:cs="Calibri"/>
                <w:b/>
                <w:color w:val="000000"/>
                <w:sz w:val="18"/>
                <w:szCs w:val="18"/>
                <w:lang w:eastAsia="en-IE"/>
              </w:rPr>
            </w:pPr>
            <w:r>
              <w:rPr>
                <w:rFonts w:ascii="Calibri" w:hAnsi="Calibri" w:cs="Calibri"/>
                <w:b/>
                <w:color w:val="000000"/>
                <w:sz w:val="18"/>
                <w:szCs w:val="18"/>
                <w:lang w:eastAsia="en-IE"/>
              </w:rPr>
              <w:t>7,871.5</w:t>
            </w:r>
          </w:p>
        </w:tc>
      </w:tr>
      <w:tr w:rsidR="003969D1" w:rsidRPr="00BF0AD6" w14:paraId="01EDB7D6" w14:textId="77777777" w:rsidTr="001C72D4">
        <w:trPr>
          <w:trHeight w:val="227"/>
        </w:trPr>
        <w:tc>
          <w:tcPr>
            <w:tcW w:w="2977" w:type="dxa"/>
            <w:shd w:val="clear" w:color="auto" w:fill="FFFF00"/>
            <w:vAlign w:val="center"/>
          </w:tcPr>
          <w:p w14:paraId="5921F9DC" w14:textId="77777777" w:rsidR="003969D1" w:rsidRPr="00BF0AD6" w:rsidRDefault="003969D1" w:rsidP="003969D1">
            <w:pPr>
              <w:rPr>
                <w:rFonts w:ascii="Calibri" w:hAnsi="Calibri" w:cs="Calibri"/>
                <w:b/>
                <w:bCs/>
                <w:color w:val="000000"/>
                <w:sz w:val="18"/>
                <w:szCs w:val="18"/>
                <w:lang w:eastAsia="en-IE"/>
              </w:rPr>
            </w:pPr>
          </w:p>
        </w:tc>
        <w:tc>
          <w:tcPr>
            <w:tcW w:w="992" w:type="dxa"/>
            <w:tcBorders>
              <w:top w:val="single" w:sz="12" w:space="0" w:color="auto"/>
              <w:left w:val="single" w:sz="8" w:space="0" w:color="auto"/>
              <w:bottom w:val="single" w:sz="8" w:space="0" w:color="auto"/>
              <w:right w:val="single" w:sz="8" w:space="0" w:color="auto"/>
            </w:tcBorders>
            <w:shd w:val="clear" w:color="auto" w:fill="FFFF00"/>
            <w:vAlign w:val="bottom"/>
          </w:tcPr>
          <w:p w14:paraId="077B5EE4" w14:textId="77777777" w:rsidR="003969D1" w:rsidRPr="00BF0AD6" w:rsidRDefault="003969D1" w:rsidP="003969D1">
            <w:pPr>
              <w:jc w:val="right"/>
              <w:rPr>
                <w:rFonts w:ascii="Calibri" w:hAnsi="Calibri" w:cs="Calibri"/>
                <w:b/>
                <w:bCs/>
                <w:color w:val="000000"/>
                <w:sz w:val="18"/>
                <w:szCs w:val="18"/>
                <w:lang w:eastAsia="en-IE"/>
              </w:rPr>
            </w:pPr>
          </w:p>
        </w:tc>
        <w:tc>
          <w:tcPr>
            <w:tcW w:w="827" w:type="dxa"/>
            <w:tcBorders>
              <w:top w:val="single" w:sz="12" w:space="0" w:color="auto"/>
              <w:left w:val="nil"/>
              <w:right w:val="nil"/>
            </w:tcBorders>
            <w:shd w:val="clear" w:color="auto" w:fill="FFFF00"/>
            <w:vAlign w:val="bottom"/>
          </w:tcPr>
          <w:p w14:paraId="22F40EDF" w14:textId="77777777" w:rsidR="003969D1" w:rsidRPr="00BF0AD6" w:rsidRDefault="003969D1" w:rsidP="003969D1">
            <w:pPr>
              <w:jc w:val="right"/>
              <w:rPr>
                <w:rFonts w:ascii="Calibri" w:hAnsi="Calibri" w:cs="Calibri"/>
                <w:b/>
                <w:bCs/>
                <w:color w:val="000000"/>
                <w:sz w:val="18"/>
                <w:szCs w:val="18"/>
                <w:lang w:eastAsia="en-IE"/>
              </w:rPr>
            </w:pPr>
          </w:p>
        </w:tc>
        <w:tc>
          <w:tcPr>
            <w:tcW w:w="992" w:type="dxa"/>
            <w:gridSpan w:val="2"/>
            <w:tcBorders>
              <w:top w:val="single" w:sz="12" w:space="0" w:color="auto"/>
              <w:left w:val="nil"/>
              <w:right w:val="nil"/>
            </w:tcBorders>
            <w:shd w:val="clear" w:color="auto" w:fill="FFFF00"/>
            <w:vAlign w:val="bottom"/>
          </w:tcPr>
          <w:p w14:paraId="07EB43C7" w14:textId="77777777" w:rsidR="003969D1" w:rsidRPr="00BF0AD6" w:rsidRDefault="003969D1" w:rsidP="003969D1">
            <w:pPr>
              <w:jc w:val="right"/>
              <w:rPr>
                <w:rFonts w:ascii="Calibri" w:hAnsi="Calibri" w:cs="Calibri"/>
                <w:b/>
                <w:bCs/>
                <w:color w:val="000000"/>
                <w:sz w:val="18"/>
                <w:szCs w:val="18"/>
                <w:lang w:eastAsia="en-IE"/>
              </w:rPr>
            </w:pPr>
          </w:p>
        </w:tc>
        <w:tc>
          <w:tcPr>
            <w:tcW w:w="1016" w:type="dxa"/>
            <w:tcBorders>
              <w:top w:val="single" w:sz="12" w:space="0" w:color="auto"/>
              <w:left w:val="nil"/>
              <w:right w:val="nil"/>
            </w:tcBorders>
            <w:shd w:val="clear" w:color="auto" w:fill="FFFF00"/>
            <w:vAlign w:val="bottom"/>
          </w:tcPr>
          <w:p w14:paraId="6793D6B3" w14:textId="77777777" w:rsidR="003969D1" w:rsidRPr="00BF0AD6" w:rsidRDefault="003969D1" w:rsidP="003969D1">
            <w:pPr>
              <w:jc w:val="right"/>
              <w:rPr>
                <w:rFonts w:ascii="Calibri" w:hAnsi="Calibri" w:cs="Calibri"/>
                <w:b/>
                <w:bCs/>
                <w:color w:val="000000"/>
                <w:sz w:val="18"/>
                <w:szCs w:val="18"/>
                <w:lang w:eastAsia="en-IE"/>
              </w:rPr>
            </w:pPr>
          </w:p>
        </w:tc>
        <w:tc>
          <w:tcPr>
            <w:tcW w:w="1110" w:type="dxa"/>
            <w:tcBorders>
              <w:top w:val="single" w:sz="12" w:space="0" w:color="auto"/>
              <w:left w:val="nil"/>
              <w:right w:val="nil"/>
            </w:tcBorders>
            <w:shd w:val="clear" w:color="auto" w:fill="FFFF00"/>
            <w:vAlign w:val="bottom"/>
          </w:tcPr>
          <w:p w14:paraId="2DA06DB7" w14:textId="77777777" w:rsidR="003969D1" w:rsidRPr="00BF0AD6" w:rsidRDefault="003969D1" w:rsidP="003969D1">
            <w:pPr>
              <w:jc w:val="right"/>
              <w:rPr>
                <w:rFonts w:ascii="Calibri" w:hAnsi="Calibri" w:cs="Calibri"/>
                <w:b/>
                <w:bCs/>
                <w:color w:val="000000"/>
                <w:sz w:val="18"/>
                <w:szCs w:val="18"/>
                <w:lang w:eastAsia="en-IE"/>
              </w:rPr>
            </w:pPr>
          </w:p>
        </w:tc>
        <w:tc>
          <w:tcPr>
            <w:tcW w:w="992" w:type="dxa"/>
            <w:tcBorders>
              <w:top w:val="single" w:sz="12" w:space="0" w:color="auto"/>
              <w:left w:val="single" w:sz="8" w:space="0" w:color="auto"/>
              <w:bottom w:val="single" w:sz="8" w:space="0" w:color="auto"/>
              <w:right w:val="nil"/>
            </w:tcBorders>
            <w:shd w:val="clear" w:color="auto" w:fill="FFFF00"/>
            <w:vAlign w:val="bottom"/>
          </w:tcPr>
          <w:p w14:paraId="7E9DD367" w14:textId="77777777" w:rsidR="003969D1" w:rsidRPr="00BF0AD6" w:rsidRDefault="003969D1" w:rsidP="003969D1">
            <w:pPr>
              <w:jc w:val="right"/>
              <w:rPr>
                <w:rFonts w:ascii="Calibri" w:hAnsi="Calibri" w:cs="Calibri"/>
                <w:b/>
                <w:bCs/>
                <w:color w:val="000000"/>
                <w:sz w:val="18"/>
                <w:szCs w:val="18"/>
                <w:lang w:eastAsia="en-IE"/>
              </w:rPr>
            </w:pPr>
          </w:p>
        </w:tc>
        <w:tc>
          <w:tcPr>
            <w:tcW w:w="992" w:type="dxa"/>
            <w:tcBorders>
              <w:top w:val="single" w:sz="12" w:space="0" w:color="auto"/>
              <w:left w:val="nil"/>
              <w:bottom w:val="single" w:sz="8" w:space="0" w:color="auto"/>
              <w:right w:val="single" w:sz="8" w:space="0" w:color="auto"/>
            </w:tcBorders>
            <w:shd w:val="clear" w:color="auto" w:fill="FFFF00"/>
            <w:vAlign w:val="bottom"/>
          </w:tcPr>
          <w:p w14:paraId="07C41307" w14:textId="77777777" w:rsidR="003969D1" w:rsidRPr="00BF0AD6" w:rsidRDefault="003969D1" w:rsidP="003969D1">
            <w:pPr>
              <w:jc w:val="right"/>
              <w:rPr>
                <w:rFonts w:ascii="Calibri" w:hAnsi="Calibri" w:cs="Calibri"/>
                <w:b/>
                <w:bCs/>
                <w:color w:val="000000"/>
                <w:sz w:val="18"/>
                <w:szCs w:val="18"/>
                <w:lang w:eastAsia="en-IE"/>
              </w:rPr>
            </w:pPr>
          </w:p>
        </w:tc>
        <w:tc>
          <w:tcPr>
            <w:tcW w:w="992" w:type="dxa"/>
            <w:tcBorders>
              <w:top w:val="single" w:sz="12" w:space="0" w:color="auto"/>
              <w:left w:val="nil"/>
              <w:right w:val="nil"/>
            </w:tcBorders>
            <w:shd w:val="clear" w:color="auto" w:fill="FFFF00"/>
            <w:vAlign w:val="bottom"/>
          </w:tcPr>
          <w:p w14:paraId="081AA9B8" w14:textId="77777777" w:rsidR="003969D1" w:rsidRPr="00BF0AD6" w:rsidRDefault="003969D1" w:rsidP="003969D1">
            <w:pPr>
              <w:jc w:val="right"/>
              <w:rPr>
                <w:rFonts w:ascii="Calibri" w:hAnsi="Calibri" w:cs="Calibri"/>
                <w:b/>
                <w:bCs/>
                <w:color w:val="000000"/>
                <w:sz w:val="18"/>
                <w:szCs w:val="18"/>
                <w:lang w:eastAsia="en-IE"/>
              </w:rPr>
            </w:pPr>
          </w:p>
        </w:tc>
      </w:tr>
    </w:tbl>
    <w:bookmarkEnd w:id="2"/>
    <w:p w14:paraId="17B244DE" w14:textId="77777777" w:rsidR="00D73C81" w:rsidRPr="00C22F7C" w:rsidRDefault="00A32677" w:rsidP="00A32677">
      <w:pPr>
        <w:autoSpaceDE w:val="0"/>
        <w:autoSpaceDN w:val="0"/>
        <w:adjustRightInd w:val="0"/>
        <w:rPr>
          <w:rFonts w:ascii="Calibri" w:hAnsi="Calibri" w:cs="Calibri"/>
          <w:b/>
          <w:bCs/>
          <w:i/>
          <w:iCs/>
          <w:color w:val="000000"/>
          <w:sz w:val="22"/>
          <w:szCs w:val="22"/>
        </w:rPr>
      </w:pPr>
      <w:r w:rsidRPr="00C22F7C">
        <w:rPr>
          <w:rFonts w:ascii="Calibri" w:hAnsi="Calibri" w:cs="Calibri"/>
          <w:b/>
          <w:bCs/>
          <w:i/>
          <w:iCs/>
          <w:color w:val="000000"/>
          <w:sz w:val="22"/>
          <w:szCs w:val="22"/>
        </w:rPr>
        <w:t xml:space="preserve"> </w:t>
      </w:r>
    </w:p>
    <w:p w14:paraId="2D08AE00" w14:textId="77777777" w:rsidR="007850A0" w:rsidRDefault="00193AFE" w:rsidP="007850A0">
      <w:pPr>
        <w:ind w:right="-142"/>
        <w:jc w:val="both"/>
        <w:rPr>
          <w:rFonts w:ascii="Calibri" w:hAnsi="Calibri" w:cs="Calibri"/>
          <w:b/>
          <w:bCs/>
          <w:color w:val="000000"/>
        </w:rPr>
      </w:pPr>
      <w:bookmarkStart w:id="4" w:name="_Hlk483399485"/>
      <w:bookmarkStart w:id="5" w:name="_Hlk496863115"/>
      <w:bookmarkStart w:id="6" w:name="_Hlk536721142"/>
      <w:bookmarkStart w:id="7" w:name="_Hlk527704244"/>
      <w:r>
        <w:rPr>
          <w:rFonts w:ascii="Calibri" w:hAnsi="Calibri" w:cs="Calibri"/>
          <w:b/>
        </w:rPr>
        <w:br w:type="page"/>
      </w:r>
      <w:r w:rsidR="007850A0" w:rsidRPr="00EA7F9B">
        <w:rPr>
          <w:rFonts w:ascii="Calibri" w:hAnsi="Calibri" w:cs="Calibri"/>
          <w:b/>
          <w:bCs/>
          <w:color w:val="000000"/>
        </w:rPr>
        <w:lastRenderedPageBreak/>
        <w:t>Ryanair Holdings plc and Subsidiaries</w:t>
      </w:r>
    </w:p>
    <w:p w14:paraId="41080D11" w14:textId="77777777" w:rsidR="007850A0" w:rsidRPr="00607DDD" w:rsidRDefault="007850A0" w:rsidP="007850A0">
      <w:pPr>
        <w:ind w:right="-142"/>
        <w:jc w:val="both"/>
        <w:rPr>
          <w:rFonts w:ascii="Calibri" w:hAnsi="Calibri" w:cs="Calibri"/>
          <w:b/>
        </w:rPr>
      </w:pPr>
      <w:r w:rsidRPr="00607DDD">
        <w:rPr>
          <w:rFonts w:ascii="Calibri" w:hAnsi="Calibri" w:cs="Calibri"/>
          <w:b/>
        </w:rPr>
        <w:t>MD&amp;A Nine Months Ended December 31, 2023 (“FY24 YTD”)</w:t>
      </w:r>
    </w:p>
    <w:p w14:paraId="6CEA218F" w14:textId="77777777" w:rsidR="007850A0" w:rsidRPr="00607DDD" w:rsidRDefault="007850A0" w:rsidP="007850A0">
      <w:pPr>
        <w:ind w:right="-142"/>
        <w:jc w:val="both"/>
        <w:rPr>
          <w:rFonts w:ascii="Calibri" w:hAnsi="Calibri" w:cs="Calibri"/>
          <w:b/>
        </w:rPr>
      </w:pPr>
    </w:p>
    <w:p w14:paraId="6D1669BA" w14:textId="77777777" w:rsidR="007850A0" w:rsidRPr="00607DDD" w:rsidRDefault="007850A0" w:rsidP="007850A0">
      <w:pPr>
        <w:tabs>
          <w:tab w:val="left" w:pos="1630"/>
        </w:tabs>
        <w:ind w:right="-142"/>
        <w:jc w:val="both"/>
        <w:rPr>
          <w:rFonts w:ascii="Calibri" w:hAnsi="Calibri" w:cs="Calibri"/>
          <w:b/>
          <w:sz w:val="22"/>
          <w:szCs w:val="22"/>
        </w:rPr>
      </w:pPr>
      <w:r w:rsidRPr="00607DDD">
        <w:rPr>
          <w:rFonts w:ascii="Calibri" w:hAnsi="Calibri" w:cs="Calibri"/>
          <w:b/>
          <w:sz w:val="22"/>
          <w:szCs w:val="22"/>
        </w:rPr>
        <w:t>Introduction</w:t>
      </w:r>
      <w:r w:rsidRPr="00607DDD">
        <w:rPr>
          <w:rFonts w:ascii="Calibri" w:hAnsi="Calibri" w:cs="Calibri"/>
          <w:b/>
          <w:sz w:val="22"/>
          <w:szCs w:val="22"/>
        </w:rPr>
        <w:tab/>
      </w:r>
    </w:p>
    <w:p w14:paraId="0FE2EB4D" w14:textId="77777777" w:rsidR="007850A0" w:rsidRPr="00607DDD" w:rsidRDefault="007850A0" w:rsidP="007850A0">
      <w:pPr>
        <w:ind w:right="-142"/>
        <w:jc w:val="both"/>
        <w:rPr>
          <w:rFonts w:ascii="Calibri" w:hAnsi="Calibri" w:cs="Calibri"/>
          <w:sz w:val="22"/>
          <w:szCs w:val="22"/>
        </w:rPr>
      </w:pPr>
      <w:r w:rsidRPr="00607DDD">
        <w:rPr>
          <w:rFonts w:ascii="Calibri" w:hAnsi="Calibri" w:cs="Calibri"/>
          <w:sz w:val="22"/>
          <w:szCs w:val="22"/>
        </w:rPr>
        <w:t>For the purposes of the Management Discussion and Analysis (“MD&amp;A”)</w:t>
      </w:r>
      <w:r>
        <w:rPr>
          <w:rFonts w:ascii="Calibri" w:hAnsi="Calibri" w:cs="Calibri"/>
          <w:sz w:val="22"/>
          <w:szCs w:val="22"/>
        </w:rPr>
        <w:t xml:space="preserve"> (with the exception of the balance sheet commentary)</w:t>
      </w:r>
      <w:r w:rsidRPr="00607DDD">
        <w:rPr>
          <w:rFonts w:ascii="Calibri" w:hAnsi="Calibri" w:cs="Calibri"/>
          <w:sz w:val="22"/>
          <w:szCs w:val="22"/>
        </w:rPr>
        <w:t xml:space="preserve"> all figures and comments are by reference to the nine months ended December 31, 2023 results excluding the exceptional item referred to below.</w:t>
      </w:r>
    </w:p>
    <w:p w14:paraId="0F699DA7" w14:textId="77777777" w:rsidR="007850A0" w:rsidRPr="00607DDD" w:rsidRDefault="007850A0" w:rsidP="007850A0">
      <w:pPr>
        <w:ind w:right="-142"/>
        <w:jc w:val="both"/>
        <w:rPr>
          <w:rFonts w:ascii="Calibri" w:hAnsi="Calibri" w:cs="Calibri"/>
          <w:sz w:val="22"/>
          <w:szCs w:val="22"/>
        </w:rPr>
      </w:pPr>
    </w:p>
    <w:p w14:paraId="61D1B761" w14:textId="77777777" w:rsidR="007850A0" w:rsidRPr="00607DDD" w:rsidRDefault="007850A0" w:rsidP="007850A0">
      <w:pPr>
        <w:ind w:right="-142"/>
        <w:jc w:val="both"/>
        <w:rPr>
          <w:rFonts w:ascii="Calibri" w:hAnsi="Calibri" w:cs="Calibri"/>
          <w:sz w:val="22"/>
          <w:szCs w:val="22"/>
        </w:rPr>
      </w:pPr>
      <w:r w:rsidRPr="00607DDD">
        <w:rPr>
          <w:rFonts w:ascii="Calibri" w:hAnsi="Calibri" w:cs="Calibri"/>
          <w:sz w:val="22"/>
          <w:szCs w:val="22"/>
        </w:rPr>
        <w:t xml:space="preserve">The Group, as part of its risk management strategy, utilised jet fuel call options to set a maximum price for </w:t>
      </w:r>
      <w:r w:rsidR="00531AB4">
        <w:rPr>
          <w:rFonts w:ascii="Calibri" w:hAnsi="Calibri" w:cs="Calibri"/>
          <w:sz w:val="22"/>
          <w:szCs w:val="22"/>
        </w:rPr>
        <w:t xml:space="preserve">approximately 16% </w:t>
      </w:r>
      <w:r w:rsidRPr="00607DDD">
        <w:rPr>
          <w:rFonts w:ascii="Calibri" w:hAnsi="Calibri" w:cs="Calibri"/>
          <w:sz w:val="22"/>
          <w:szCs w:val="22"/>
        </w:rPr>
        <w:t>of FY23 expected fuel requirements. These instruments were measured at fair value through the income statement. Following the Russian invasion of Ukraine in Feb. 2022, the price of jet fuel significantly increased. An exceptional unrealised mark-to-market loss of €133M (pre-tax) was recorded on the Group’s jet fuel call options at December 31, 2022.</w:t>
      </w:r>
    </w:p>
    <w:p w14:paraId="4574E86B" w14:textId="77777777" w:rsidR="007850A0" w:rsidRPr="00607DDD" w:rsidRDefault="007850A0" w:rsidP="007850A0">
      <w:pPr>
        <w:ind w:right="-142"/>
        <w:jc w:val="both"/>
        <w:rPr>
          <w:rFonts w:ascii="Calibri" w:hAnsi="Calibri" w:cs="Calibri"/>
          <w:b/>
          <w:sz w:val="22"/>
          <w:szCs w:val="22"/>
          <w:u w:val="single"/>
        </w:rPr>
      </w:pPr>
    </w:p>
    <w:p w14:paraId="31052517" w14:textId="77777777" w:rsidR="007850A0" w:rsidRPr="00607DDD" w:rsidRDefault="007850A0" w:rsidP="007850A0">
      <w:pPr>
        <w:ind w:right="-142"/>
        <w:jc w:val="both"/>
        <w:rPr>
          <w:rFonts w:ascii="Calibri" w:hAnsi="Calibri" w:cs="Calibri"/>
          <w:b/>
          <w:sz w:val="22"/>
          <w:szCs w:val="22"/>
          <w:u w:val="single"/>
        </w:rPr>
      </w:pPr>
      <w:r w:rsidRPr="00607DDD">
        <w:rPr>
          <w:rFonts w:ascii="Calibri" w:hAnsi="Calibri" w:cs="Calibri"/>
          <w:b/>
          <w:sz w:val="22"/>
          <w:szCs w:val="22"/>
          <w:u w:val="single"/>
        </w:rPr>
        <w:t>Income Statement</w:t>
      </w:r>
    </w:p>
    <w:p w14:paraId="2D6CC37D" w14:textId="77777777" w:rsidR="007850A0" w:rsidRPr="00607DDD" w:rsidRDefault="007850A0" w:rsidP="007850A0">
      <w:pPr>
        <w:ind w:right="-142"/>
        <w:jc w:val="both"/>
        <w:rPr>
          <w:rFonts w:ascii="Calibri" w:hAnsi="Calibri" w:cs="Calibri"/>
          <w:b/>
          <w:sz w:val="22"/>
          <w:szCs w:val="22"/>
        </w:rPr>
      </w:pPr>
    </w:p>
    <w:p w14:paraId="40946DF9" w14:textId="77777777" w:rsidR="007850A0" w:rsidRPr="00607DDD" w:rsidRDefault="007850A0" w:rsidP="007850A0">
      <w:pPr>
        <w:keepNext/>
        <w:ind w:right="-142"/>
        <w:jc w:val="both"/>
        <w:rPr>
          <w:rFonts w:ascii="Calibri" w:hAnsi="Calibri" w:cs="Calibri"/>
          <w:b/>
          <w:sz w:val="22"/>
          <w:szCs w:val="22"/>
        </w:rPr>
      </w:pPr>
      <w:r w:rsidRPr="00607DDD">
        <w:rPr>
          <w:rFonts w:ascii="Calibri" w:hAnsi="Calibri" w:cs="Calibri"/>
          <w:b/>
          <w:sz w:val="22"/>
          <w:szCs w:val="22"/>
        </w:rPr>
        <w:t>Scheduled revenues:</w:t>
      </w:r>
    </w:p>
    <w:p w14:paraId="194BC1F3" w14:textId="77777777" w:rsidR="007850A0" w:rsidRPr="00607DDD" w:rsidRDefault="007850A0" w:rsidP="007850A0">
      <w:pPr>
        <w:ind w:right="-142"/>
        <w:jc w:val="both"/>
        <w:rPr>
          <w:rFonts w:ascii="Calibri" w:hAnsi="Calibri" w:cs="Calibri"/>
          <w:sz w:val="22"/>
          <w:szCs w:val="22"/>
        </w:rPr>
      </w:pPr>
      <w:r w:rsidRPr="00607DDD">
        <w:rPr>
          <w:rFonts w:ascii="Calibri" w:hAnsi="Calibri" w:cs="Calibri"/>
          <w:sz w:val="22"/>
          <w:szCs w:val="22"/>
        </w:rPr>
        <w:t xml:space="preserve">Scheduled revenues increased </w:t>
      </w:r>
      <w:r w:rsidRPr="00607DDD">
        <w:rPr>
          <w:rFonts w:ascii="Calibri" w:hAnsi="Calibri" w:cs="Calibri"/>
          <w:b/>
          <w:bCs/>
          <w:sz w:val="22"/>
          <w:szCs w:val="22"/>
        </w:rPr>
        <w:t>33</w:t>
      </w:r>
      <w:r w:rsidRPr="00607DDD">
        <w:rPr>
          <w:rFonts w:ascii="Calibri" w:hAnsi="Calibri" w:cs="Calibri"/>
          <w:b/>
          <w:sz w:val="22"/>
          <w:szCs w:val="22"/>
        </w:rPr>
        <w:t>% to €7.82BN</w:t>
      </w:r>
      <w:r w:rsidRPr="00607DDD">
        <w:rPr>
          <w:rFonts w:ascii="Calibri" w:hAnsi="Calibri" w:cs="Calibri"/>
          <w:sz w:val="22"/>
          <w:szCs w:val="22"/>
        </w:rPr>
        <w:t xml:space="preserve"> due to 10% traffic growth (from </w:t>
      </w:r>
      <w:r w:rsidRPr="00607DDD">
        <w:rPr>
          <w:rFonts w:ascii="Calibri" w:hAnsi="Calibri" w:cs="Calibri"/>
          <w:b/>
          <w:bCs/>
          <w:sz w:val="22"/>
          <w:szCs w:val="22"/>
        </w:rPr>
        <w:t>13</w:t>
      </w:r>
      <w:r w:rsidR="008F7DBD">
        <w:rPr>
          <w:rFonts w:ascii="Calibri" w:hAnsi="Calibri" w:cs="Calibri"/>
          <w:b/>
          <w:bCs/>
          <w:sz w:val="22"/>
          <w:szCs w:val="22"/>
        </w:rPr>
        <w:t>3.6</w:t>
      </w:r>
      <w:r w:rsidRPr="00607DDD">
        <w:rPr>
          <w:rFonts w:ascii="Calibri" w:hAnsi="Calibri" w:cs="Calibri"/>
          <w:b/>
          <w:bCs/>
          <w:sz w:val="22"/>
          <w:szCs w:val="22"/>
        </w:rPr>
        <w:t>M</w:t>
      </w:r>
      <w:r w:rsidRPr="00607DDD">
        <w:rPr>
          <w:rFonts w:ascii="Calibri" w:hAnsi="Calibri" w:cs="Calibri"/>
          <w:sz w:val="22"/>
          <w:szCs w:val="22"/>
        </w:rPr>
        <w:t xml:space="preserve"> to </w:t>
      </w:r>
      <w:r w:rsidRPr="00607DDD">
        <w:rPr>
          <w:rFonts w:ascii="Calibri" w:hAnsi="Calibri" w:cs="Calibri"/>
          <w:b/>
          <w:bCs/>
          <w:sz w:val="22"/>
          <w:szCs w:val="22"/>
        </w:rPr>
        <w:t>14</w:t>
      </w:r>
      <w:r w:rsidR="008F7DBD">
        <w:rPr>
          <w:rFonts w:ascii="Calibri" w:hAnsi="Calibri" w:cs="Calibri"/>
          <w:b/>
          <w:bCs/>
          <w:sz w:val="22"/>
          <w:szCs w:val="22"/>
        </w:rPr>
        <w:t>6.8</w:t>
      </w:r>
      <w:r w:rsidRPr="00607DDD">
        <w:rPr>
          <w:rFonts w:ascii="Calibri" w:hAnsi="Calibri" w:cs="Calibri"/>
          <w:b/>
          <w:bCs/>
          <w:sz w:val="22"/>
          <w:szCs w:val="22"/>
        </w:rPr>
        <w:t>M</w:t>
      </w:r>
      <w:r w:rsidRPr="00607DDD">
        <w:rPr>
          <w:rFonts w:ascii="Calibri" w:hAnsi="Calibri" w:cs="Calibri"/>
          <w:sz w:val="22"/>
          <w:szCs w:val="22"/>
        </w:rPr>
        <w:t xml:space="preserve">) and a 21% increase in average fares to </w:t>
      </w:r>
      <w:r w:rsidR="008F7DBD">
        <w:rPr>
          <w:rFonts w:ascii="Calibri" w:hAnsi="Calibri" w:cs="Calibri"/>
          <w:sz w:val="22"/>
          <w:szCs w:val="22"/>
        </w:rPr>
        <w:t>over</w:t>
      </w:r>
      <w:r w:rsidRPr="00607DDD">
        <w:rPr>
          <w:rFonts w:ascii="Calibri" w:hAnsi="Calibri" w:cs="Calibri"/>
          <w:sz w:val="22"/>
          <w:szCs w:val="22"/>
        </w:rPr>
        <w:t xml:space="preserve"> €53. </w:t>
      </w:r>
    </w:p>
    <w:p w14:paraId="0A5C4E9D" w14:textId="77777777" w:rsidR="007850A0" w:rsidRPr="00607DDD" w:rsidRDefault="007850A0" w:rsidP="007850A0">
      <w:pPr>
        <w:ind w:right="-142"/>
        <w:jc w:val="both"/>
        <w:rPr>
          <w:rFonts w:ascii="Calibri" w:hAnsi="Calibri" w:cs="Calibri"/>
          <w:sz w:val="22"/>
          <w:szCs w:val="22"/>
        </w:rPr>
      </w:pPr>
    </w:p>
    <w:p w14:paraId="12408D84" w14:textId="77777777" w:rsidR="007850A0" w:rsidRPr="00607DDD" w:rsidRDefault="007850A0" w:rsidP="007850A0">
      <w:pPr>
        <w:ind w:right="-142"/>
        <w:jc w:val="both"/>
        <w:rPr>
          <w:rFonts w:ascii="Calibri" w:hAnsi="Calibri" w:cs="Calibri"/>
          <w:b/>
          <w:sz w:val="22"/>
          <w:szCs w:val="22"/>
        </w:rPr>
      </w:pPr>
      <w:r w:rsidRPr="00607DDD">
        <w:rPr>
          <w:rFonts w:ascii="Calibri" w:hAnsi="Calibri" w:cs="Calibri"/>
          <w:b/>
          <w:sz w:val="22"/>
          <w:szCs w:val="22"/>
        </w:rPr>
        <w:t>Ancillary revenues</w:t>
      </w:r>
      <w:r>
        <w:rPr>
          <w:rFonts w:ascii="Calibri" w:hAnsi="Calibri" w:cs="Calibri"/>
          <w:b/>
          <w:sz w:val="22"/>
          <w:szCs w:val="22"/>
        </w:rPr>
        <w:t>:</w:t>
      </w:r>
      <w:r w:rsidRPr="00607DDD">
        <w:rPr>
          <w:rFonts w:ascii="Calibri" w:hAnsi="Calibri" w:cs="Calibri"/>
          <w:b/>
          <w:sz w:val="22"/>
          <w:szCs w:val="22"/>
        </w:rPr>
        <w:t xml:space="preserve"> </w:t>
      </w:r>
    </w:p>
    <w:p w14:paraId="5181C86F" w14:textId="77777777" w:rsidR="007850A0" w:rsidRPr="00607DDD" w:rsidRDefault="007850A0" w:rsidP="007850A0">
      <w:pPr>
        <w:ind w:right="-142"/>
        <w:contextualSpacing/>
        <w:jc w:val="both"/>
        <w:rPr>
          <w:rFonts w:ascii="Calibri" w:hAnsi="Calibri" w:cs="Calibri"/>
          <w:sz w:val="22"/>
          <w:szCs w:val="22"/>
        </w:rPr>
      </w:pPr>
      <w:r w:rsidRPr="00607DDD">
        <w:rPr>
          <w:rFonts w:ascii="Calibri" w:hAnsi="Calibri" w:cs="Calibri"/>
          <w:sz w:val="22"/>
          <w:szCs w:val="22"/>
        </w:rPr>
        <w:t xml:space="preserve">Ancillary revenues increased </w:t>
      </w:r>
      <w:r w:rsidRPr="00607DDD">
        <w:rPr>
          <w:rFonts w:ascii="Calibri" w:hAnsi="Calibri" w:cs="Calibri"/>
          <w:b/>
          <w:bCs/>
          <w:sz w:val="22"/>
          <w:szCs w:val="22"/>
        </w:rPr>
        <w:t>13%</w:t>
      </w:r>
      <w:r w:rsidRPr="00607DDD">
        <w:rPr>
          <w:rFonts w:ascii="Calibri" w:hAnsi="Calibri" w:cs="Calibri"/>
          <w:sz w:val="22"/>
          <w:szCs w:val="22"/>
        </w:rPr>
        <w:t xml:space="preserve"> </w:t>
      </w:r>
      <w:r w:rsidRPr="00607DDD">
        <w:rPr>
          <w:rFonts w:ascii="Calibri" w:hAnsi="Calibri" w:cs="Calibri"/>
          <w:bCs/>
          <w:sz w:val="22"/>
          <w:szCs w:val="22"/>
        </w:rPr>
        <w:t>to</w:t>
      </w:r>
      <w:r w:rsidRPr="00607DDD">
        <w:rPr>
          <w:rFonts w:ascii="Calibri" w:hAnsi="Calibri" w:cs="Calibri"/>
          <w:b/>
          <w:sz w:val="22"/>
          <w:szCs w:val="22"/>
        </w:rPr>
        <w:t xml:space="preserve"> €3.45BN</w:t>
      </w:r>
      <w:r w:rsidRPr="00607DDD">
        <w:rPr>
          <w:rFonts w:ascii="Calibri" w:hAnsi="Calibri" w:cs="Calibri"/>
          <w:sz w:val="22"/>
          <w:szCs w:val="22"/>
        </w:rPr>
        <w:t xml:space="preserve"> as traffic grew (up 10%) and spend on discretionary services such as priority boarding, reserved seating and inflight sales increased to </w:t>
      </w:r>
      <w:r w:rsidR="008F7DBD">
        <w:rPr>
          <w:rFonts w:ascii="Calibri" w:hAnsi="Calibri" w:cs="Calibri"/>
          <w:sz w:val="22"/>
          <w:szCs w:val="22"/>
        </w:rPr>
        <w:t>just over</w:t>
      </w:r>
      <w:r w:rsidRPr="00607DDD">
        <w:rPr>
          <w:rFonts w:ascii="Calibri" w:hAnsi="Calibri" w:cs="Calibri"/>
          <w:sz w:val="22"/>
          <w:szCs w:val="22"/>
        </w:rPr>
        <w:t xml:space="preserve"> €23.50 per passenger.</w:t>
      </w:r>
    </w:p>
    <w:p w14:paraId="7AF32F19" w14:textId="77777777" w:rsidR="007850A0" w:rsidRPr="00607DDD" w:rsidRDefault="007850A0" w:rsidP="007850A0">
      <w:pPr>
        <w:ind w:right="-142"/>
        <w:contextualSpacing/>
        <w:jc w:val="both"/>
        <w:rPr>
          <w:rFonts w:ascii="Calibri" w:hAnsi="Calibri" w:cs="Calibri"/>
          <w:sz w:val="22"/>
          <w:szCs w:val="22"/>
        </w:rPr>
      </w:pPr>
    </w:p>
    <w:p w14:paraId="5E62DE0C" w14:textId="77777777" w:rsidR="007850A0" w:rsidRPr="00607DDD" w:rsidRDefault="007850A0" w:rsidP="007850A0">
      <w:pPr>
        <w:ind w:right="-142"/>
        <w:contextualSpacing/>
        <w:jc w:val="both"/>
        <w:rPr>
          <w:rFonts w:ascii="Calibri" w:hAnsi="Calibri" w:cs="Calibri"/>
          <w:b/>
          <w:sz w:val="22"/>
          <w:szCs w:val="22"/>
        </w:rPr>
      </w:pPr>
      <w:r w:rsidRPr="00607DDD">
        <w:rPr>
          <w:rFonts w:ascii="Calibri" w:hAnsi="Calibri" w:cs="Calibri"/>
          <w:b/>
          <w:sz w:val="22"/>
          <w:szCs w:val="22"/>
        </w:rPr>
        <w:t>Total revenues:</w:t>
      </w:r>
    </w:p>
    <w:p w14:paraId="11ED57E4" w14:textId="77777777" w:rsidR="007850A0" w:rsidRPr="00607DDD" w:rsidRDefault="007850A0" w:rsidP="007850A0">
      <w:pPr>
        <w:ind w:right="-142"/>
        <w:contextualSpacing/>
        <w:jc w:val="both"/>
        <w:rPr>
          <w:rFonts w:ascii="Calibri" w:hAnsi="Calibri" w:cs="Calibri"/>
          <w:b/>
          <w:sz w:val="22"/>
          <w:szCs w:val="22"/>
        </w:rPr>
      </w:pPr>
      <w:r w:rsidRPr="00607DDD">
        <w:rPr>
          <w:rFonts w:ascii="Calibri" w:hAnsi="Calibri" w:cs="Calibri"/>
          <w:sz w:val="22"/>
          <w:szCs w:val="22"/>
        </w:rPr>
        <w:t xml:space="preserve">As a result of the above, total revenues increased </w:t>
      </w:r>
      <w:r w:rsidRPr="00607DDD">
        <w:rPr>
          <w:rFonts w:ascii="Calibri" w:hAnsi="Calibri" w:cs="Calibri"/>
          <w:b/>
          <w:sz w:val="22"/>
          <w:szCs w:val="22"/>
        </w:rPr>
        <w:t>26% to €11.27BN.</w:t>
      </w:r>
    </w:p>
    <w:p w14:paraId="59517E06" w14:textId="77777777" w:rsidR="007850A0" w:rsidRPr="00607DDD" w:rsidRDefault="007850A0" w:rsidP="007850A0">
      <w:pPr>
        <w:ind w:right="-142"/>
        <w:contextualSpacing/>
        <w:jc w:val="both"/>
        <w:rPr>
          <w:rFonts w:ascii="Calibri" w:hAnsi="Calibri" w:cs="Calibri"/>
          <w:b/>
          <w:sz w:val="22"/>
          <w:szCs w:val="22"/>
        </w:rPr>
      </w:pPr>
    </w:p>
    <w:p w14:paraId="265C8EDD" w14:textId="77777777" w:rsidR="007850A0" w:rsidRPr="00607DDD" w:rsidRDefault="007850A0" w:rsidP="007850A0">
      <w:pPr>
        <w:ind w:right="-142"/>
        <w:jc w:val="both"/>
        <w:rPr>
          <w:rFonts w:ascii="Calibri" w:hAnsi="Calibri" w:cs="Calibri"/>
          <w:b/>
          <w:sz w:val="22"/>
          <w:szCs w:val="22"/>
        </w:rPr>
      </w:pPr>
      <w:r w:rsidRPr="00607DDD">
        <w:rPr>
          <w:rFonts w:ascii="Calibri" w:hAnsi="Calibri" w:cs="Calibri"/>
          <w:b/>
          <w:sz w:val="22"/>
          <w:szCs w:val="22"/>
        </w:rPr>
        <w:t>Operating Expenses:</w:t>
      </w:r>
    </w:p>
    <w:p w14:paraId="47E1703A" w14:textId="77777777" w:rsidR="007850A0" w:rsidRPr="00607DDD" w:rsidRDefault="007850A0" w:rsidP="007850A0">
      <w:pPr>
        <w:ind w:right="-142"/>
        <w:jc w:val="both"/>
        <w:rPr>
          <w:rFonts w:ascii="Calibri" w:hAnsi="Calibri" w:cs="Calibri"/>
          <w:b/>
          <w:sz w:val="22"/>
          <w:szCs w:val="22"/>
        </w:rPr>
      </w:pPr>
    </w:p>
    <w:p w14:paraId="2E9B46E6" w14:textId="77777777" w:rsidR="007850A0" w:rsidRPr="009E26FD" w:rsidRDefault="007850A0" w:rsidP="007850A0">
      <w:pPr>
        <w:ind w:right="-142"/>
        <w:jc w:val="both"/>
        <w:rPr>
          <w:rFonts w:ascii="Calibri" w:hAnsi="Calibri" w:cs="Calibri"/>
          <w:b/>
          <w:sz w:val="22"/>
          <w:szCs w:val="22"/>
        </w:rPr>
      </w:pPr>
      <w:r w:rsidRPr="009E26FD">
        <w:rPr>
          <w:rFonts w:ascii="Calibri" w:hAnsi="Calibri" w:cs="Calibri"/>
          <w:b/>
          <w:sz w:val="22"/>
          <w:szCs w:val="22"/>
        </w:rPr>
        <w:t>Fuel and oil:</w:t>
      </w:r>
    </w:p>
    <w:p w14:paraId="15FBB9A1" w14:textId="77777777" w:rsidR="007850A0" w:rsidRPr="009E26FD" w:rsidRDefault="007850A0" w:rsidP="007850A0">
      <w:pPr>
        <w:ind w:right="-142"/>
        <w:jc w:val="both"/>
        <w:rPr>
          <w:rFonts w:ascii="Calibri" w:hAnsi="Calibri" w:cs="Calibri"/>
          <w:sz w:val="22"/>
          <w:szCs w:val="22"/>
        </w:rPr>
      </w:pPr>
      <w:r w:rsidRPr="009E26FD">
        <w:rPr>
          <w:rFonts w:ascii="Calibri" w:hAnsi="Calibri" w:cs="Calibri"/>
          <w:sz w:val="22"/>
          <w:szCs w:val="22"/>
        </w:rPr>
        <w:t xml:space="preserve">Fuel and oil rose </w:t>
      </w:r>
      <w:r w:rsidRPr="009E26FD">
        <w:rPr>
          <w:rFonts w:ascii="Calibri" w:hAnsi="Calibri" w:cs="Calibri"/>
          <w:b/>
          <w:bCs/>
          <w:sz w:val="22"/>
          <w:szCs w:val="22"/>
        </w:rPr>
        <w:t>31</w:t>
      </w:r>
      <w:r w:rsidRPr="009E26FD">
        <w:rPr>
          <w:rFonts w:ascii="Calibri" w:hAnsi="Calibri" w:cs="Calibri"/>
          <w:b/>
          <w:sz w:val="22"/>
          <w:szCs w:val="22"/>
        </w:rPr>
        <w:t xml:space="preserve">% to €4.04BN </w:t>
      </w:r>
      <w:r w:rsidRPr="009E26FD">
        <w:rPr>
          <w:rFonts w:ascii="Calibri" w:hAnsi="Calibri" w:cs="Calibri"/>
          <w:sz w:val="22"/>
          <w:szCs w:val="22"/>
        </w:rPr>
        <w:t xml:space="preserve">due to a 9% increase in sectors flown and </w:t>
      </w:r>
      <w:r w:rsidR="008F7DBD">
        <w:rPr>
          <w:rFonts w:ascii="Calibri" w:hAnsi="Calibri" w:cs="Calibri"/>
          <w:sz w:val="22"/>
          <w:szCs w:val="22"/>
        </w:rPr>
        <w:t xml:space="preserve">significantly </w:t>
      </w:r>
      <w:r w:rsidRPr="009E26FD">
        <w:rPr>
          <w:rFonts w:ascii="Calibri" w:hAnsi="Calibri" w:cs="Calibri"/>
          <w:sz w:val="22"/>
          <w:szCs w:val="22"/>
        </w:rPr>
        <w:t>higher jet fuel prices offset by fuel burn savings on the new B737-8200 “Gamechanger” aircraft.</w:t>
      </w:r>
    </w:p>
    <w:p w14:paraId="750D0152" w14:textId="77777777" w:rsidR="007850A0" w:rsidRPr="00607DDD" w:rsidRDefault="007850A0" w:rsidP="007850A0">
      <w:pPr>
        <w:ind w:right="-142"/>
        <w:jc w:val="both"/>
        <w:rPr>
          <w:rFonts w:ascii="Calibri" w:hAnsi="Calibri" w:cs="Calibri"/>
          <w:b/>
          <w:sz w:val="22"/>
          <w:szCs w:val="22"/>
          <w:highlight w:val="yellow"/>
        </w:rPr>
      </w:pPr>
    </w:p>
    <w:p w14:paraId="0EF88A99" w14:textId="77777777" w:rsidR="007850A0" w:rsidRPr="00C3633A" w:rsidRDefault="007850A0" w:rsidP="007850A0">
      <w:pPr>
        <w:ind w:right="-142"/>
        <w:jc w:val="both"/>
        <w:rPr>
          <w:rFonts w:ascii="Calibri" w:hAnsi="Calibri" w:cs="Calibri"/>
          <w:b/>
          <w:sz w:val="22"/>
          <w:szCs w:val="22"/>
        </w:rPr>
      </w:pPr>
      <w:r w:rsidRPr="00C3633A">
        <w:rPr>
          <w:rFonts w:ascii="Calibri" w:hAnsi="Calibri" w:cs="Calibri"/>
          <w:b/>
          <w:sz w:val="22"/>
          <w:szCs w:val="22"/>
        </w:rPr>
        <w:t>Airport and handling charges:</w:t>
      </w:r>
    </w:p>
    <w:p w14:paraId="6FE9C0F5" w14:textId="77777777" w:rsidR="007850A0" w:rsidRPr="00D05039" w:rsidRDefault="007850A0" w:rsidP="007850A0">
      <w:pPr>
        <w:ind w:right="-142"/>
        <w:jc w:val="both"/>
        <w:rPr>
          <w:rFonts w:ascii="Calibri" w:hAnsi="Calibri" w:cs="Calibri"/>
          <w:sz w:val="22"/>
          <w:szCs w:val="22"/>
        </w:rPr>
      </w:pPr>
      <w:r w:rsidRPr="00D05039">
        <w:rPr>
          <w:rFonts w:ascii="Calibri" w:hAnsi="Calibri" w:cs="Calibri"/>
          <w:sz w:val="22"/>
          <w:szCs w:val="22"/>
        </w:rPr>
        <w:t xml:space="preserve">Airport and handling charges rose </w:t>
      </w:r>
      <w:r w:rsidRPr="00D05039">
        <w:rPr>
          <w:rFonts w:ascii="Calibri" w:hAnsi="Calibri" w:cs="Calibri"/>
          <w:b/>
          <w:bCs/>
          <w:sz w:val="22"/>
          <w:szCs w:val="22"/>
        </w:rPr>
        <w:t>21% to €1.18BN</w:t>
      </w:r>
      <w:r w:rsidRPr="00D05039">
        <w:rPr>
          <w:rFonts w:ascii="Calibri" w:hAnsi="Calibri" w:cs="Calibri"/>
          <w:sz w:val="22"/>
          <w:szCs w:val="22"/>
        </w:rPr>
        <w:t xml:space="preserve">, due to 10% traffic growth, higher </w:t>
      </w:r>
      <w:r w:rsidR="008F7DBD">
        <w:rPr>
          <w:rFonts w:ascii="Calibri" w:hAnsi="Calibri" w:cs="Calibri"/>
          <w:sz w:val="22"/>
          <w:szCs w:val="22"/>
        </w:rPr>
        <w:t xml:space="preserve">ground </w:t>
      </w:r>
      <w:r w:rsidRPr="00D05039">
        <w:rPr>
          <w:rFonts w:ascii="Calibri" w:hAnsi="Calibri" w:cs="Calibri"/>
          <w:sz w:val="22"/>
          <w:szCs w:val="22"/>
        </w:rPr>
        <w:t>ATC</w:t>
      </w:r>
      <w:r w:rsidR="008F7DBD">
        <w:rPr>
          <w:rFonts w:ascii="Calibri" w:hAnsi="Calibri" w:cs="Calibri"/>
          <w:sz w:val="22"/>
          <w:szCs w:val="22"/>
        </w:rPr>
        <w:t xml:space="preserve"> and handling</w:t>
      </w:r>
      <w:r w:rsidRPr="00D05039">
        <w:rPr>
          <w:rFonts w:ascii="Calibri" w:hAnsi="Calibri" w:cs="Calibri"/>
          <w:sz w:val="22"/>
          <w:szCs w:val="22"/>
        </w:rPr>
        <w:t xml:space="preserve"> rates, and termination of temporary Covid reliefs (included in the prior period comparative).</w:t>
      </w:r>
    </w:p>
    <w:p w14:paraId="759C6BBD" w14:textId="77777777" w:rsidR="007850A0" w:rsidRPr="00607DDD" w:rsidRDefault="007850A0" w:rsidP="007850A0">
      <w:pPr>
        <w:ind w:right="-142"/>
        <w:jc w:val="both"/>
        <w:rPr>
          <w:rFonts w:ascii="Calibri" w:hAnsi="Calibri" w:cs="Calibri"/>
          <w:sz w:val="22"/>
          <w:szCs w:val="22"/>
          <w:highlight w:val="yellow"/>
        </w:rPr>
      </w:pPr>
    </w:p>
    <w:p w14:paraId="0CDE31DE" w14:textId="77777777" w:rsidR="007850A0" w:rsidRPr="00C3633A" w:rsidRDefault="007850A0" w:rsidP="007850A0">
      <w:pPr>
        <w:ind w:right="-142"/>
        <w:jc w:val="both"/>
        <w:rPr>
          <w:rFonts w:ascii="Calibri" w:hAnsi="Calibri" w:cs="Calibri"/>
          <w:b/>
          <w:sz w:val="22"/>
          <w:szCs w:val="22"/>
        </w:rPr>
      </w:pPr>
      <w:r w:rsidRPr="00C3633A">
        <w:rPr>
          <w:rFonts w:ascii="Calibri" w:hAnsi="Calibri" w:cs="Calibri"/>
          <w:b/>
          <w:sz w:val="22"/>
          <w:szCs w:val="22"/>
        </w:rPr>
        <w:t>Staff costs:</w:t>
      </w:r>
    </w:p>
    <w:p w14:paraId="432BBD08" w14:textId="77777777" w:rsidR="007850A0" w:rsidRPr="00C3633A" w:rsidRDefault="007850A0" w:rsidP="007850A0">
      <w:pPr>
        <w:ind w:right="-142"/>
        <w:jc w:val="both"/>
        <w:rPr>
          <w:rFonts w:ascii="Calibri" w:hAnsi="Calibri" w:cs="Calibri"/>
          <w:sz w:val="22"/>
          <w:szCs w:val="22"/>
        </w:rPr>
      </w:pPr>
      <w:r w:rsidRPr="00C3633A">
        <w:rPr>
          <w:rFonts w:ascii="Calibri" w:hAnsi="Calibri" w:cs="Calibri"/>
          <w:sz w:val="22"/>
          <w:szCs w:val="22"/>
        </w:rPr>
        <w:t>Staff costs increased</w:t>
      </w:r>
      <w:r w:rsidRPr="00C3633A">
        <w:rPr>
          <w:rFonts w:ascii="Calibri" w:hAnsi="Calibri" w:cs="Calibri"/>
          <w:b/>
          <w:bCs/>
          <w:sz w:val="22"/>
          <w:szCs w:val="22"/>
        </w:rPr>
        <w:t xml:space="preserve"> 28% to €1.13BN</w:t>
      </w:r>
      <w:r w:rsidRPr="00C3633A">
        <w:rPr>
          <w:rFonts w:ascii="Calibri" w:hAnsi="Calibri" w:cs="Calibri"/>
          <w:sz w:val="22"/>
          <w:szCs w:val="22"/>
        </w:rPr>
        <w:t xml:space="preserve"> due to the larger fleet, </w:t>
      </w:r>
      <w:r w:rsidR="008F7DBD">
        <w:rPr>
          <w:rFonts w:ascii="Calibri" w:hAnsi="Calibri" w:cs="Calibri"/>
          <w:sz w:val="22"/>
          <w:szCs w:val="22"/>
        </w:rPr>
        <w:t xml:space="preserve">9% higher sectors, </w:t>
      </w:r>
      <w:r w:rsidRPr="00C3633A">
        <w:rPr>
          <w:rFonts w:ascii="Calibri" w:hAnsi="Calibri" w:cs="Calibri"/>
          <w:sz w:val="22"/>
          <w:szCs w:val="22"/>
        </w:rPr>
        <w:t xml:space="preserve">investment </w:t>
      </w:r>
      <w:r>
        <w:rPr>
          <w:rFonts w:ascii="Calibri" w:hAnsi="Calibri" w:cs="Calibri"/>
          <w:sz w:val="22"/>
          <w:szCs w:val="22"/>
        </w:rPr>
        <w:t xml:space="preserve">in </w:t>
      </w:r>
      <w:r w:rsidRPr="00C3633A">
        <w:rPr>
          <w:rFonts w:ascii="Calibri" w:hAnsi="Calibri" w:cs="Calibri"/>
          <w:sz w:val="22"/>
          <w:szCs w:val="22"/>
        </w:rPr>
        <w:t>operational resilience with higher crewing ratios, restoration of Covid-19 pay reductions</w:t>
      </w:r>
      <w:r w:rsidR="008F7DBD">
        <w:rPr>
          <w:rFonts w:ascii="Calibri" w:hAnsi="Calibri" w:cs="Calibri"/>
          <w:sz w:val="22"/>
          <w:szCs w:val="22"/>
        </w:rPr>
        <w:t xml:space="preserve"> and</w:t>
      </w:r>
      <w:r w:rsidRPr="00C3633A">
        <w:rPr>
          <w:rFonts w:ascii="Calibri" w:hAnsi="Calibri" w:cs="Calibri"/>
          <w:sz w:val="22"/>
          <w:szCs w:val="22"/>
        </w:rPr>
        <w:t xml:space="preserve"> crew </w:t>
      </w:r>
      <w:r w:rsidR="00E20394">
        <w:rPr>
          <w:rFonts w:ascii="Calibri" w:hAnsi="Calibri" w:cs="Calibri"/>
          <w:sz w:val="22"/>
          <w:szCs w:val="22"/>
        </w:rPr>
        <w:t xml:space="preserve">productivity </w:t>
      </w:r>
      <w:r w:rsidRPr="00C3633A">
        <w:rPr>
          <w:rFonts w:ascii="Calibri" w:hAnsi="Calibri" w:cs="Calibri"/>
          <w:sz w:val="22"/>
          <w:szCs w:val="22"/>
        </w:rPr>
        <w:t>pay increases implemented.</w:t>
      </w:r>
    </w:p>
    <w:p w14:paraId="7FFFBC43" w14:textId="77777777" w:rsidR="007850A0" w:rsidRPr="00607DDD" w:rsidRDefault="007850A0" w:rsidP="007850A0">
      <w:pPr>
        <w:ind w:right="-142"/>
        <w:jc w:val="both"/>
        <w:rPr>
          <w:rFonts w:ascii="Calibri" w:hAnsi="Calibri" w:cs="Calibri"/>
          <w:sz w:val="22"/>
          <w:szCs w:val="22"/>
          <w:highlight w:val="yellow"/>
        </w:rPr>
      </w:pPr>
    </w:p>
    <w:p w14:paraId="10E646CF" w14:textId="77777777" w:rsidR="007850A0" w:rsidRPr="00C3633A" w:rsidRDefault="007850A0" w:rsidP="007850A0">
      <w:pPr>
        <w:ind w:right="-142"/>
        <w:jc w:val="both"/>
        <w:rPr>
          <w:rFonts w:ascii="Calibri" w:hAnsi="Calibri" w:cs="Calibri"/>
          <w:b/>
          <w:sz w:val="22"/>
          <w:szCs w:val="22"/>
        </w:rPr>
      </w:pPr>
      <w:r w:rsidRPr="00C3633A">
        <w:rPr>
          <w:rFonts w:ascii="Calibri" w:hAnsi="Calibri" w:cs="Calibri"/>
          <w:b/>
          <w:sz w:val="22"/>
          <w:szCs w:val="22"/>
        </w:rPr>
        <w:t>Depreciation:</w:t>
      </w:r>
    </w:p>
    <w:p w14:paraId="6D373F66" w14:textId="77777777" w:rsidR="007850A0" w:rsidRPr="00607DDD" w:rsidRDefault="007850A0" w:rsidP="007850A0">
      <w:pPr>
        <w:ind w:right="-142"/>
        <w:jc w:val="both"/>
        <w:rPr>
          <w:rFonts w:ascii="Calibri" w:hAnsi="Calibri" w:cs="Calibri"/>
          <w:sz w:val="22"/>
          <w:szCs w:val="22"/>
          <w:highlight w:val="yellow"/>
        </w:rPr>
      </w:pPr>
      <w:r w:rsidRPr="00C3633A">
        <w:rPr>
          <w:rFonts w:ascii="Calibri" w:hAnsi="Calibri" w:cs="Calibri"/>
          <w:sz w:val="22"/>
          <w:szCs w:val="22"/>
        </w:rPr>
        <w:t xml:space="preserve">Depreciation increased </w:t>
      </w:r>
      <w:r w:rsidRPr="00C3633A">
        <w:rPr>
          <w:rFonts w:ascii="Calibri" w:hAnsi="Calibri" w:cs="Calibri"/>
          <w:b/>
          <w:bCs/>
          <w:sz w:val="22"/>
          <w:szCs w:val="22"/>
        </w:rPr>
        <w:t>23% to €822M</w:t>
      </w:r>
      <w:r w:rsidRPr="00C3633A">
        <w:rPr>
          <w:rFonts w:ascii="Calibri" w:hAnsi="Calibri" w:cs="Calibri"/>
          <w:sz w:val="22"/>
          <w:szCs w:val="22"/>
        </w:rPr>
        <w:t>, primarily due to higher amortisation resulting from higher aircraft utilisation (</w:t>
      </w:r>
      <w:r>
        <w:rPr>
          <w:rFonts w:ascii="Calibri" w:hAnsi="Calibri" w:cs="Calibri"/>
          <w:sz w:val="22"/>
          <w:szCs w:val="22"/>
        </w:rPr>
        <w:t>flight hours</w:t>
      </w:r>
      <w:r w:rsidRPr="00C3633A">
        <w:rPr>
          <w:rFonts w:ascii="Calibri" w:hAnsi="Calibri" w:cs="Calibri"/>
          <w:sz w:val="22"/>
          <w:szCs w:val="22"/>
        </w:rPr>
        <w:t xml:space="preserve"> up 9%), the delivery of 52 new “Gamechanger” aircraft and increased depreciation on capitalised maintenance for leased A320 aircraft (24 leases were extended in Q2 FY23).</w:t>
      </w:r>
      <w:r w:rsidR="008F7DBD">
        <w:rPr>
          <w:rFonts w:ascii="Calibri" w:hAnsi="Calibri" w:cs="Calibri"/>
          <w:sz w:val="22"/>
          <w:szCs w:val="22"/>
        </w:rPr>
        <w:t xml:space="preserve"> </w:t>
      </w:r>
      <w:r w:rsidR="008F7DBD" w:rsidRPr="008F7DBD">
        <w:rPr>
          <w:rFonts w:ascii="Calibri" w:hAnsi="Calibri" w:cs="Calibri"/>
          <w:sz w:val="22"/>
          <w:szCs w:val="22"/>
        </w:rPr>
        <w:t>There is a partial timing offset in maintenance, materials and repairs below, arising from the extension of A320 leases in FY23.</w:t>
      </w:r>
    </w:p>
    <w:p w14:paraId="7B8821D7" w14:textId="77777777" w:rsidR="007850A0" w:rsidRDefault="007850A0" w:rsidP="007850A0">
      <w:pPr>
        <w:ind w:right="-142"/>
        <w:jc w:val="both"/>
        <w:rPr>
          <w:rFonts w:ascii="Calibri" w:hAnsi="Calibri" w:cs="Calibri"/>
          <w:b/>
          <w:sz w:val="22"/>
          <w:szCs w:val="22"/>
        </w:rPr>
      </w:pPr>
    </w:p>
    <w:p w14:paraId="308723A0" w14:textId="77777777" w:rsidR="007850A0" w:rsidRPr="00C3633A" w:rsidRDefault="007850A0" w:rsidP="007850A0">
      <w:pPr>
        <w:ind w:right="-142"/>
        <w:jc w:val="both"/>
        <w:rPr>
          <w:rFonts w:ascii="Calibri" w:hAnsi="Calibri" w:cs="Calibri"/>
          <w:b/>
          <w:sz w:val="22"/>
          <w:szCs w:val="22"/>
        </w:rPr>
      </w:pPr>
      <w:r w:rsidRPr="00C3633A">
        <w:rPr>
          <w:rFonts w:ascii="Calibri" w:hAnsi="Calibri" w:cs="Calibri"/>
          <w:b/>
          <w:sz w:val="22"/>
          <w:szCs w:val="22"/>
        </w:rPr>
        <w:t xml:space="preserve">Route charges: </w:t>
      </w:r>
    </w:p>
    <w:p w14:paraId="4B6E87F7" w14:textId="77777777" w:rsidR="007850A0" w:rsidRPr="00C3633A" w:rsidRDefault="007850A0" w:rsidP="007850A0">
      <w:pPr>
        <w:ind w:right="-142"/>
        <w:jc w:val="both"/>
        <w:rPr>
          <w:rFonts w:ascii="Calibri" w:hAnsi="Calibri" w:cs="Calibri"/>
          <w:sz w:val="22"/>
          <w:szCs w:val="22"/>
        </w:rPr>
      </w:pPr>
      <w:r w:rsidRPr="00C3633A">
        <w:rPr>
          <w:rFonts w:ascii="Calibri" w:hAnsi="Calibri" w:cs="Calibri"/>
          <w:sz w:val="22"/>
          <w:szCs w:val="22"/>
        </w:rPr>
        <w:t xml:space="preserve">Route charges increased </w:t>
      </w:r>
      <w:r w:rsidRPr="00C3633A">
        <w:rPr>
          <w:rFonts w:ascii="Calibri" w:hAnsi="Calibri" w:cs="Calibri"/>
          <w:b/>
          <w:bCs/>
          <w:sz w:val="22"/>
          <w:szCs w:val="22"/>
        </w:rPr>
        <w:t>13% to €799M</w:t>
      </w:r>
      <w:r w:rsidRPr="00C3633A">
        <w:rPr>
          <w:rFonts w:ascii="Calibri" w:hAnsi="Calibri" w:cs="Calibri"/>
          <w:sz w:val="22"/>
          <w:szCs w:val="22"/>
        </w:rPr>
        <w:t xml:space="preserve">, due to </w:t>
      </w:r>
      <w:r w:rsidR="00433F00">
        <w:rPr>
          <w:rFonts w:ascii="Calibri" w:hAnsi="Calibri" w:cs="Calibri"/>
          <w:sz w:val="22"/>
          <w:szCs w:val="22"/>
        </w:rPr>
        <w:t xml:space="preserve">the </w:t>
      </w:r>
      <w:r w:rsidRPr="00C3633A">
        <w:rPr>
          <w:rFonts w:ascii="Calibri" w:hAnsi="Calibri" w:cs="Calibri"/>
          <w:sz w:val="22"/>
          <w:szCs w:val="22"/>
        </w:rPr>
        <w:t xml:space="preserve">9% </w:t>
      </w:r>
      <w:r>
        <w:rPr>
          <w:rFonts w:ascii="Calibri" w:hAnsi="Calibri" w:cs="Calibri"/>
          <w:sz w:val="22"/>
          <w:szCs w:val="22"/>
        </w:rPr>
        <w:t>increase in flight hours</w:t>
      </w:r>
      <w:r w:rsidRPr="00C3633A">
        <w:rPr>
          <w:rFonts w:ascii="Calibri" w:hAnsi="Calibri" w:cs="Calibri"/>
          <w:sz w:val="22"/>
          <w:szCs w:val="22"/>
        </w:rPr>
        <w:t xml:space="preserve"> and higher Eurocontrol rates.</w:t>
      </w:r>
    </w:p>
    <w:p w14:paraId="6A62FC93" w14:textId="77777777" w:rsidR="007850A0" w:rsidRPr="00C3633A" w:rsidRDefault="007850A0" w:rsidP="007850A0">
      <w:pPr>
        <w:ind w:right="-142"/>
        <w:jc w:val="both"/>
        <w:rPr>
          <w:rFonts w:ascii="Calibri" w:hAnsi="Calibri" w:cs="Calibri"/>
          <w:sz w:val="22"/>
          <w:szCs w:val="22"/>
        </w:rPr>
      </w:pPr>
    </w:p>
    <w:p w14:paraId="7280782E" w14:textId="77777777" w:rsidR="007850A0" w:rsidRPr="00C3633A" w:rsidRDefault="007850A0" w:rsidP="007850A0">
      <w:pPr>
        <w:ind w:right="-142"/>
        <w:jc w:val="both"/>
        <w:rPr>
          <w:rFonts w:ascii="Calibri" w:hAnsi="Calibri" w:cs="Calibri"/>
          <w:b/>
          <w:sz w:val="22"/>
          <w:szCs w:val="22"/>
        </w:rPr>
      </w:pPr>
      <w:r w:rsidRPr="00C3633A">
        <w:rPr>
          <w:rFonts w:ascii="Calibri" w:hAnsi="Calibri" w:cs="Calibri"/>
          <w:b/>
          <w:sz w:val="22"/>
          <w:szCs w:val="22"/>
        </w:rPr>
        <w:t>Marketing, distribution and other:</w:t>
      </w:r>
    </w:p>
    <w:p w14:paraId="458F6250" w14:textId="77777777" w:rsidR="00E20394" w:rsidRDefault="007850A0" w:rsidP="008F7DBD">
      <w:pPr>
        <w:ind w:right="-142"/>
        <w:jc w:val="both"/>
        <w:rPr>
          <w:rFonts w:ascii="Calibri" w:hAnsi="Calibri" w:cs="Calibri"/>
          <w:sz w:val="22"/>
          <w:szCs w:val="22"/>
        </w:rPr>
      </w:pPr>
      <w:r w:rsidRPr="00954A80">
        <w:rPr>
          <w:rFonts w:ascii="Calibri" w:hAnsi="Calibri" w:cs="Calibri"/>
          <w:sz w:val="22"/>
          <w:szCs w:val="22"/>
        </w:rPr>
        <w:t xml:space="preserve">Marketing, distribution and other rose </w:t>
      </w:r>
      <w:r w:rsidRPr="00954A80">
        <w:rPr>
          <w:rFonts w:ascii="Calibri" w:hAnsi="Calibri" w:cs="Calibri"/>
          <w:b/>
          <w:bCs/>
          <w:sz w:val="22"/>
          <w:szCs w:val="22"/>
        </w:rPr>
        <w:t>13% to €595M</w:t>
      </w:r>
      <w:r w:rsidRPr="00954A80">
        <w:rPr>
          <w:rFonts w:ascii="Calibri" w:hAnsi="Calibri" w:cs="Calibri"/>
          <w:sz w:val="22"/>
          <w:szCs w:val="22"/>
        </w:rPr>
        <w:t xml:space="preserve"> due to higher activity in the period (including increased credit card transactions and higher inflight sales) and </w:t>
      </w:r>
      <w:r w:rsidR="00E20394">
        <w:rPr>
          <w:rFonts w:ascii="Calibri" w:hAnsi="Calibri" w:cs="Calibri"/>
          <w:sz w:val="22"/>
          <w:szCs w:val="22"/>
        </w:rPr>
        <w:t>increased</w:t>
      </w:r>
      <w:r w:rsidRPr="00954A80">
        <w:rPr>
          <w:rFonts w:ascii="Calibri" w:hAnsi="Calibri" w:cs="Calibri"/>
          <w:sz w:val="22"/>
          <w:szCs w:val="22"/>
        </w:rPr>
        <w:t xml:space="preserve"> EU261</w:t>
      </w:r>
      <w:r w:rsidR="008F7DBD">
        <w:rPr>
          <w:rFonts w:ascii="Calibri" w:hAnsi="Calibri" w:cs="Calibri"/>
          <w:sz w:val="22"/>
          <w:szCs w:val="22"/>
        </w:rPr>
        <w:t xml:space="preserve"> </w:t>
      </w:r>
      <w:r w:rsidR="00E20394">
        <w:rPr>
          <w:rFonts w:ascii="Calibri" w:hAnsi="Calibri" w:cs="Calibri"/>
          <w:sz w:val="22"/>
          <w:szCs w:val="22"/>
        </w:rPr>
        <w:t xml:space="preserve">and right to care </w:t>
      </w:r>
      <w:r w:rsidR="008F7DBD">
        <w:rPr>
          <w:rFonts w:ascii="Calibri" w:hAnsi="Calibri" w:cs="Calibri"/>
          <w:sz w:val="22"/>
          <w:szCs w:val="22"/>
        </w:rPr>
        <w:t>passenger compensation</w:t>
      </w:r>
      <w:r w:rsidRPr="00954A80">
        <w:rPr>
          <w:rFonts w:ascii="Calibri" w:hAnsi="Calibri" w:cs="Calibri"/>
          <w:sz w:val="22"/>
          <w:szCs w:val="22"/>
        </w:rPr>
        <w:t xml:space="preserve"> </w:t>
      </w:r>
      <w:r w:rsidRPr="00954A80">
        <w:rPr>
          <w:rFonts w:ascii="Calibri" w:hAnsi="Calibri" w:cs="Calibri"/>
          <w:sz w:val="22"/>
          <w:szCs w:val="22"/>
        </w:rPr>
        <w:lastRenderedPageBreak/>
        <w:t xml:space="preserve">due to delays </w:t>
      </w:r>
      <w:r w:rsidR="00433F00">
        <w:rPr>
          <w:rFonts w:ascii="Calibri" w:hAnsi="Calibri" w:cs="Calibri"/>
          <w:sz w:val="22"/>
          <w:szCs w:val="22"/>
        </w:rPr>
        <w:t xml:space="preserve">primarily </w:t>
      </w:r>
      <w:r w:rsidRPr="00954A80">
        <w:rPr>
          <w:rFonts w:ascii="Calibri" w:hAnsi="Calibri" w:cs="Calibri"/>
          <w:sz w:val="22"/>
          <w:szCs w:val="22"/>
        </w:rPr>
        <w:t xml:space="preserve">arising from the knock-on effect of ATC related disruptions (including the NATS system failure in August, and </w:t>
      </w:r>
      <w:r w:rsidR="00E20394">
        <w:rPr>
          <w:rFonts w:ascii="Calibri" w:hAnsi="Calibri" w:cs="Calibri"/>
          <w:sz w:val="22"/>
          <w:szCs w:val="22"/>
        </w:rPr>
        <w:t xml:space="preserve">a record number of </w:t>
      </w:r>
      <w:r w:rsidRPr="00954A80">
        <w:rPr>
          <w:rFonts w:ascii="Calibri" w:hAnsi="Calibri" w:cs="Calibri"/>
          <w:sz w:val="22"/>
          <w:szCs w:val="22"/>
        </w:rPr>
        <w:t>French ATC strikes)</w:t>
      </w:r>
      <w:r w:rsidRPr="00B40CAE">
        <w:rPr>
          <w:rFonts w:ascii="Calibri" w:hAnsi="Calibri" w:cs="Calibri"/>
          <w:sz w:val="22"/>
          <w:szCs w:val="22"/>
        </w:rPr>
        <w:t>.</w:t>
      </w:r>
    </w:p>
    <w:p w14:paraId="28BB7C98" w14:textId="77777777" w:rsidR="00E20394" w:rsidRDefault="00E20394" w:rsidP="008F7DBD">
      <w:pPr>
        <w:ind w:right="-142"/>
        <w:jc w:val="both"/>
        <w:rPr>
          <w:rFonts w:ascii="Calibri" w:hAnsi="Calibri" w:cs="Calibri"/>
          <w:sz w:val="22"/>
          <w:szCs w:val="22"/>
        </w:rPr>
      </w:pPr>
    </w:p>
    <w:p w14:paraId="3BA78B6A" w14:textId="77777777" w:rsidR="008F7DBD" w:rsidRPr="00C3633A" w:rsidRDefault="008F7DBD" w:rsidP="008F7DBD">
      <w:pPr>
        <w:ind w:right="-142"/>
        <w:jc w:val="both"/>
        <w:rPr>
          <w:rFonts w:ascii="Calibri" w:hAnsi="Calibri" w:cs="Calibri"/>
          <w:b/>
          <w:sz w:val="22"/>
          <w:szCs w:val="22"/>
        </w:rPr>
      </w:pPr>
      <w:r w:rsidRPr="00C3633A">
        <w:rPr>
          <w:rFonts w:ascii="Calibri" w:hAnsi="Calibri" w:cs="Calibri"/>
          <w:b/>
          <w:sz w:val="22"/>
          <w:szCs w:val="22"/>
        </w:rPr>
        <w:t>Maintenance, materials and repairs:</w:t>
      </w:r>
    </w:p>
    <w:p w14:paraId="259C4431" w14:textId="77777777" w:rsidR="00633FF4" w:rsidRPr="0081763F" w:rsidRDefault="008F7DBD" w:rsidP="00633FF4">
      <w:pPr>
        <w:ind w:right="-142"/>
        <w:jc w:val="both"/>
        <w:rPr>
          <w:rFonts w:ascii="Calibri" w:hAnsi="Calibri" w:cs="Calibri"/>
          <w:sz w:val="22"/>
          <w:szCs w:val="22"/>
        </w:rPr>
      </w:pPr>
      <w:r w:rsidRPr="00C3633A">
        <w:rPr>
          <w:rFonts w:ascii="Calibri" w:hAnsi="Calibri" w:cs="Calibri"/>
          <w:sz w:val="22"/>
          <w:szCs w:val="22"/>
        </w:rPr>
        <w:t xml:space="preserve">Maintenance, materials and repairs increased </w:t>
      </w:r>
      <w:r w:rsidRPr="00C3633A">
        <w:rPr>
          <w:rFonts w:ascii="Calibri" w:hAnsi="Calibri" w:cs="Calibri"/>
          <w:b/>
          <w:bCs/>
          <w:sz w:val="22"/>
          <w:szCs w:val="22"/>
        </w:rPr>
        <w:t xml:space="preserve">7% to </w:t>
      </w:r>
      <w:r w:rsidR="00E20394">
        <w:rPr>
          <w:rFonts w:ascii="Calibri" w:hAnsi="Calibri" w:cs="Calibri"/>
          <w:b/>
          <w:bCs/>
          <w:sz w:val="22"/>
          <w:szCs w:val="22"/>
        </w:rPr>
        <w:t>€</w:t>
      </w:r>
      <w:r w:rsidRPr="00C3633A">
        <w:rPr>
          <w:rFonts w:ascii="Calibri" w:hAnsi="Calibri" w:cs="Calibri"/>
          <w:b/>
          <w:bCs/>
          <w:sz w:val="22"/>
          <w:szCs w:val="22"/>
        </w:rPr>
        <w:t>313M</w:t>
      </w:r>
      <w:r w:rsidRPr="00C3633A">
        <w:rPr>
          <w:rFonts w:ascii="Calibri" w:hAnsi="Calibri" w:cs="Calibri"/>
          <w:sz w:val="22"/>
          <w:szCs w:val="22"/>
        </w:rPr>
        <w:t xml:space="preserve"> due to the </w:t>
      </w:r>
      <w:r w:rsidR="00E20394">
        <w:rPr>
          <w:rFonts w:ascii="Calibri" w:hAnsi="Calibri" w:cs="Calibri"/>
          <w:sz w:val="22"/>
          <w:szCs w:val="22"/>
        </w:rPr>
        <w:t xml:space="preserve">early </w:t>
      </w:r>
      <w:r w:rsidRPr="00C3633A">
        <w:rPr>
          <w:rFonts w:ascii="Calibri" w:hAnsi="Calibri" w:cs="Calibri"/>
          <w:sz w:val="22"/>
          <w:szCs w:val="22"/>
        </w:rPr>
        <w:t>timing of aircraft checks</w:t>
      </w:r>
      <w:r>
        <w:rPr>
          <w:rFonts w:ascii="Calibri" w:hAnsi="Calibri" w:cs="Calibri"/>
          <w:sz w:val="22"/>
          <w:szCs w:val="22"/>
        </w:rPr>
        <w:t xml:space="preserve"> from Q4, higher utilisation</w:t>
      </w:r>
      <w:r w:rsidR="00E20394">
        <w:rPr>
          <w:rFonts w:ascii="Calibri" w:hAnsi="Calibri" w:cs="Calibri"/>
          <w:sz w:val="22"/>
          <w:szCs w:val="22"/>
        </w:rPr>
        <w:t>, engineering pay increases</w:t>
      </w:r>
      <w:r>
        <w:rPr>
          <w:rFonts w:ascii="Calibri" w:hAnsi="Calibri" w:cs="Calibri"/>
          <w:sz w:val="22"/>
          <w:szCs w:val="22"/>
        </w:rPr>
        <w:t xml:space="preserve"> and A320 lease handback costs</w:t>
      </w:r>
      <w:r w:rsidRPr="00C3633A">
        <w:rPr>
          <w:rFonts w:ascii="Calibri" w:hAnsi="Calibri" w:cs="Calibri"/>
          <w:sz w:val="22"/>
          <w:szCs w:val="22"/>
        </w:rPr>
        <w:t xml:space="preserve">. </w:t>
      </w:r>
      <w:r w:rsidR="00633FF4" w:rsidRPr="003A428B">
        <w:rPr>
          <w:rFonts w:ascii="Calibri" w:hAnsi="Calibri" w:cs="Calibri"/>
          <w:sz w:val="22"/>
          <w:szCs w:val="22"/>
        </w:rPr>
        <w:t xml:space="preserve">There is a partial timing offset in </w:t>
      </w:r>
      <w:r w:rsidR="00633FF4">
        <w:rPr>
          <w:rFonts w:ascii="Calibri" w:hAnsi="Calibri" w:cs="Calibri"/>
          <w:sz w:val="22"/>
          <w:szCs w:val="22"/>
        </w:rPr>
        <w:t>depreciation</w:t>
      </w:r>
      <w:r w:rsidR="00633FF4" w:rsidRPr="003A428B">
        <w:rPr>
          <w:rFonts w:ascii="Calibri" w:hAnsi="Calibri" w:cs="Calibri"/>
          <w:sz w:val="22"/>
          <w:szCs w:val="22"/>
        </w:rPr>
        <w:t xml:space="preserve"> </w:t>
      </w:r>
      <w:r w:rsidR="00633FF4">
        <w:rPr>
          <w:rFonts w:ascii="Calibri" w:hAnsi="Calibri" w:cs="Calibri"/>
          <w:sz w:val="22"/>
          <w:szCs w:val="22"/>
        </w:rPr>
        <w:t>above</w:t>
      </w:r>
      <w:r w:rsidR="00633FF4" w:rsidRPr="003A428B">
        <w:rPr>
          <w:rFonts w:ascii="Calibri" w:hAnsi="Calibri" w:cs="Calibri"/>
          <w:sz w:val="22"/>
          <w:szCs w:val="22"/>
        </w:rPr>
        <w:t>, arising from the extension of A320 leases in FY23.</w:t>
      </w:r>
    </w:p>
    <w:p w14:paraId="76F0C7BE" w14:textId="77777777" w:rsidR="008F7DBD" w:rsidRDefault="008F7DBD" w:rsidP="008F7DBD">
      <w:pPr>
        <w:ind w:right="-142"/>
        <w:jc w:val="both"/>
        <w:rPr>
          <w:rFonts w:ascii="Calibri" w:hAnsi="Calibri" w:cs="Calibri"/>
          <w:sz w:val="22"/>
          <w:szCs w:val="22"/>
        </w:rPr>
      </w:pPr>
    </w:p>
    <w:p w14:paraId="0E2BA9DB" w14:textId="77777777" w:rsidR="008F7DBD" w:rsidRPr="00607DDD" w:rsidRDefault="008F7DBD" w:rsidP="008F7DBD">
      <w:pPr>
        <w:ind w:right="-142"/>
        <w:jc w:val="both"/>
        <w:rPr>
          <w:rFonts w:ascii="Calibri" w:hAnsi="Calibri" w:cs="Calibri"/>
          <w:b/>
          <w:sz w:val="22"/>
          <w:szCs w:val="22"/>
        </w:rPr>
      </w:pPr>
      <w:r w:rsidRPr="00607DDD">
        <w:rPr>
          <w:rFonts w:ascii="Calibri" w:hAnsi="Calibri" w:cs="Calibri"/>
          <w:b/>
          <w:sz w:val="22"/>
          <w:szCs w:val="22"/>
        </w:rPr>
        <w:t xml:space="preserve">Other </w:t>
      </w:r>
      <w:r w:rsidR="00E624C2">
        <w:rPr>
          <w:rFonts w:ascii="Calibri" w:hAnsi="Calibri" w:cs="Calibri"/>
          <w:b/>
          <w:sz w:val="22"/>
          <w:szCs w:val="22"/>
        </w:rPr>
        <w:t>income/(</w:t>
      </w:r>
      <w:r w:rsidRPr="00607DDD">
        <w:rPr>
          <w:rFonts w:ascii="Calibri" w:hAnsi="Calibri" w:cs="Calibri"/>
          <w:b/>
          <w:sz w:val="22"/>
          <w:szCs w:val="22"/>
        </w:rPr>
        <w:t>expense</w:t>
      </w:r>
      <w:r w:rsidR="00E624C2">
        <w:rPr>
          <w:rFonts w:ascii="Calibri" w:hAnsi="Calibri" w:cs="Calibri"/>
          <w:b/>
          <w:sz w:val="22"/>
          <w:szCs w:val="22"/>
        </w:rPr>
        <w:t>)</w:t>
      </w:r>
      <w:r w:rsidRPr="00607DDD">
        <w:rPr>
          <w:rFonts w:ascii="Calibri" w:hAnsi="Calibri" w:cs="Calibri"/>
          <w:b/>
          <w:sz w:val="22"/>
          <w:szCs w:val="22"/>
        </w:rPr>
        <w:t>:</w:t>
      </w:r>
    </w:p>
    <w:p w14:paraId="3C1FE457" w14:textId="77777777" w:rsidR="008F7DBD" w:rsidRDefault="008F7DBD" w:rsidP="008F7DBD">
      <w:pPr>
        <w:tabs>
          <w:tab w:val="left" w:pos="7655"/>
        </w:tabs>
        <w:ind w:right="-142"/>
        <w:jc w:val="both"/>
        <w:rPr>
          <w:rFonts w:ascii="Calibri" w:hAnsi="Calibri" w:cs="Calibri"/>
          <w:sz w:val="22"/>
          <w:szCs w:val="22"/>
        </w:rPr>
      </w:pPr>
      <w:r w:rsidRPr="00607DDD">
        <w:rPr>
          <w:rFonts w:ascii="Calibri" w:hAnsi="Calibri" w:cs="Calibri"/>
          <w:sz w:val="22"/>
          <w:szCs w:val="22"/>
        </w:rPr>
        <w:t xml:space="preserve">Net finance income was positive at </w:t>
      </w:r>
      <w:r w:rsidRPr="00607DDD">
        <w:rPr>
          <w:rFonts w:ascii="Calibri" w:hAnsi="Calibri" w:cs="Calibri"/>
          <w:b/>
          <w:bCs/>
          <w:sz w:val="22"/>
          <w:szCs w:val="22"/>
        </w:rPr>
        <w:t xml:space="preserve">€48M </w:t>
      </w:r>
      <w:r w:rsidRPr="00607DDD">
        <w:rPr>
          <w:rFonts w:ascii="Calibri" w:hAnsi="Calibri" w:cs="Calibri"/>
          <w:sz w:val="22"/>
          <w:szCs w:val="22"/>
        </w:rPr>
        <w:t xml:space="preserve">due to </w:t>
      </w:r>
      <w:r w:rsidR="00E20394">
        <w:rPr>
          <w:rFonts w:ascii="Calibri" w:hAnsi="Calibri" w:cs="Calibri"/>
          <w:sz w:val="22"/>
          <w:szCs w:val="22"/>
        </w:rPr>
        <w:t>higher</w:t>
      </w:r>
      <w:r w:rsidRPr="00607DDD">
        <w:rPr>
          <w:rFonts w:ascii="Calibri" w:hAnsi="Calibri" w:cs="Calibri"/>
          <w:sz w:val="22"/>
          <w:szCs w:val="22"/>
        </w:rPr>
        <w:t xml:space="preserve"> deposit interest rates, lower gross debt, and a net cash position throughout the period. Foreign exchange translation reflects the impact of €/US$ exchange rate movements on balance sheet revaluations.</w:t>
      </w:r>
    </w:p>
    <w:p w14:paraId="2E87B6C6" w14:textId="77777777" w:rsidR="008F7DBD" w:rsidRDefault="008F7DBD" w:rsidP="008F7DBD">
      <w:pPr>
        <w:tabs>
          <w:tab w:val="left" w:pos="7655"/>
        </w:tabs>
        <w:ind w:right="-142"/>
        <w:jc w:val="both"/>
        <w:rPr>
          <w:rFonts w:ascii="Calibri" w:hAnsi="Calibri" w:cs="Calibri"/>
          <w:sz w:val="22"/>
          <w:szCs w:val="22"/>
        </w:rPr>
      </w:pPr>
    </w:p>
    <w:p w14:paraId="277B8340" w14:textId="77777777" w:rsidR="004A178D" w:rsidRPr="008930E7" w:rsidRDefault="004A178D" w:rsidP="008F7DBD">
      <w:pPr>
        <w:tabs>
          <w:tab w:val="left" w:pos="7655"/>
        </w:tabs>
        <w:ind w:right="-142"/>
        <w:jc w:val="both"/>
        <w:rPr>
          <w:rFonts w:ascii="Calibri" w:hAnsi="Calibri" w:cs="Calibri"/>
          <w:b/>
          <w:sz w:val="22"/>
          <w:szCs w:val="22"/>
        </w:rPr>
      </w:pPr>
      <w:r w:rsidRPr="008930E7">
        <w:rPr>
          <w:rFonts w:ascii="Calibri" w:hAnsi="Calibri" w:cs="Calibri"/>
          <w:b/>
          <w:sz w:val="22"/>
          <w:szCs w:val="22"/>
        </w:rPr>
        <w:t>Balance sheet:</w:t>
      </w:r>
    </w:p>
    <w:p w14:paraId="4867065E" w14:textId="77777777" w:rsidR="00E659B7" w:rsidRPr="008930E7" w:rsidRDefault="00504DD3" w:rsidP="00504DD3">
      <w:pPr>
        <w:ind w:right="-142"/>
        <w:jc w:val="both"/>
        <w:rPr>
          <w:rFonts w:ascii="Calibri" w:hAnsi="Calibri" w:cs="Calibri"/>
          <w:sz w:val="22"/>
          <w:szCs w:val="22"/>
        </w:rPr>
      </w:pPr>
      <w:r w:rsidRPr="008930E7">
        <w:rPr>
          <w:rFonts w:ascii="Calibri" w:hAnsi="Calibri" w:cs="Calibri"/>
          <w:sz w:val="22"/>
          <w:szCs w:val="22"/>
        </w:rPr>
        <w:t xml:space="preserve">Gross cash </w:t>
      </w:r>
      <w:r w:rsidR="00783404" w:rsidRPr="008930E7">
        <w:rPr>
          <w:rFonts w:ascii="Calibri" w:hAnsi="Calibri" w:cs="Calibri"/>
          <w:sz w:val="22"/>
          <w:szCs w:val="22"/>
        </w:rPr>
        <w:t>de</w:t>
      </w:r>
      <w:r w:rsidRPr="008930E7">
        <w:rPr>
          <w:rFonts w:ascii="Calibri" w:hAnsi="Calibri" w:cs="Calibri"/>
          <w:sz w:val="22"/>
          <w:szCs w:val="22"/>
        </w:rPr>
        <w:t xml:space="preserve">creased </w:t>
      </w:r>
      <w:r w:rsidR="003A428B">
        <w:rPr>
          <w:rFonts w:ascii="Calibri" w:hAnsi="Calibri" w:cs="Calibri"/>
          <w:sz w:val="22"/>
          <w:szCs w:val="22"/>
        </w:rPr>
        <w:t xml:space="preserve">by just </w:t>
      </w:r>
      <w:r w:rsidRPr="008930E7">
        <w:rPr>
          <w:rFonts w:ascii="Calibri" w:hAnsi="Calibri" w:cs="Calibri"/>
          <w:b/>
          <w:bCs/>
          <w:sz w:val="22"/>
          <w:szCs w:val="22"/>
        </w:rPr>
        <w:t>€</w:t>
      </w:r>
      <w:r w:rsidR="00335449" w:rsidRPr="008930E7">
        <w:rPr>
          <w:rFonts w:ascii="Calibri" w:hAnsi="Calibri" w:cs="Calibri"/>
          <w:b/>
          <w:bCs/>
          <w:sz w:val="22"/>
          <w:szCs w:val="22"/>
        </w:rPr>
        <w:t>1.76</w:t>
      </w:r>
      <w:r w:rsidR="00783404" w:rsidRPr="008930E7">
        <w:rPr>
          <w:rFonts w:ascii="Calibri" w:hAnsi="Calibri" w:cs="Calibri"/>
          <w:b/>
          <w:bCs/>
          <w:sz w:val="22"/>
          <w:szCs w:val="22"/>
        </w:rPr>
        <w:t>BN</w:t>
      </w:r>
      <w:r w:rsidRPr="008930E7">
        <w:rPr>
          <w:rFonts w:ascii="Calibri" w:hAnsi="Calibri" w:cs="Calibri"/>
          <w:b/>
          <w:bCs/>
          <w:sz w:val="22"/>
          <w:szCs w:val="22"/>
        </w:rPr>
        <w:t xml:space="preserve"> to €</w:t>
      </w:r>
      <w:r w:rsidR="00335449" w:rsidRPr="008930E7">
        <w:rPr>
          <w:rFonts w:ascii="Calibri" w:hAnsi="Calibri" w:cs="Calibri"/>
          <w:b/>
          <w:bCs/>
          <w:sz w:val="22"/>
          <w:szCs w:val="22"/>
        </w:rPr>
        <w:t>2.92</w:t>
      </w:r>
      <w:r w:rsidRPr="008930E7">
        <w:rPr>
          <w:rFonts w:ascii="Calibri" w:hAnsi="Calibri" w:cs="Calibri"/>
          <w:b/>
          <w:bCs/>
          <w:sz w:val="22"/>
          <w:szCs w:val="22"/>
        </w:rPr>
        <w:t>BN</w:t>
      </w:r>
      <w:r w:rsidRPr="008930E7">
        <w:rPr>
          <w:rFonts w:ascii="Calibri" w:hAnsi="Calibri" w:cs="Calibri"/>
          <w:sz w:val="22"/>
          <w:szCs w:val="22"/>
        </w:rPr>
        <w:t xml:space="preserve"> at </w:t>
      </w:r>
      <w:r w:rsidR="00B40F4C" w:rsidRPr="008930E7">
        <w:rPr>
          <w:rFonts w:ascii="Calibri" w:hAnsi="Calibri" w:cs="Calibri"/>
          <w:sz w:val="22"/>
          <w:szCs w:val="22"/>
        </w:rPr>
        <w:t>December 31</w:t>
      </w:r>
      <w:r w:rsidRPr="008930E7">
        <w:rPr>
          <w:rFonts w:ascii="Calibri" w:hAnsi="Calibri" w:cs="Calibri"/>
          <w:sz w:val="22"/>
          <w:szCs w:val="22"/>
        </w:rPr>
        <w:t>, 2023</w:t>
      </w:r>
      <w:r w:rsidR="008F7DBD">
        <w:rPr>
          <w:rFonts w:ascii="Calibri" w:hAnsi="Calibri" w:cs="Calibri"/>
          <w:sz w:val="22"/>
          <w:szCs w:val="22"/>
        </w:rPr>
        <w:t xml:space="preserve"> </w:t>
      </w:r>
      <w:r w:rsidR="008F7DBD" w:rsidRPr="00F5661A">
        <w:rPr>
          <w:rFonts w:ascii="Calibri" w:hAnsi="Calibri" w:cs="Calibri"/>
          <w:sz w:val="22"/>
          <w:szCs w:val="22"/>
        </w:rPr>
        <w:t>despite €1.9BN capex</w:t>
      </w:r>
      <w:r w:rsidR="008F7DBD">
        <w:rPr>
          <w:rFonts w:ascii="Calibri" w:hAnsi="Calibri" w:cs="Calibri"/>
          <w:sz w:val="22"/>
          <w:szCs w:val="22"/>
        </w:rPr>
        <w:t xml:space="preserve"> </w:t>
      </w:r>
      <w:r w:rsidR="008F7DBD" w:rsidRPr="00E1245C">
        <w:rPr>
          <w:rFonts w:ascii="Calibri" w:hAnsi="Calibri" w:cs="Calibri"/>
          <w:sz w:val="22"/>
          <w:szCs w:val="22"/>
        </w:rPr>
        <w:t xml:space="preserve">and </w:t>
      </w:r>
      <w:r w:rsidR="00433F00">
        <w:rPr>
          <w:rFonts w:ascii="Calibri" w:hAnsi="Calibri" w:cs="Calibri"/>
          <w:sz w:val="22"/>
          <w:szCs w:val="22"/>
        </w:rPr>
        <w:t xml:space="preserve">over €1BN </w:t>
      </w:r>
      <w:r w:rsidR="008F7DBD" w:rsidRPr="00E1245C">
        <w:rPr>
          <w:rFonts w:ascii="Calibri" w:hAnsi="Calibri" w:cs="Calibri"/>
          <w:sz w:val="22"/>
          <w:szCs w:val="22"/>
        </w:rPr>
        <w:t>debt repayments</w:t>
      </w:r>
      <w:r w:rsidR="00671927" w:rsidRPr="00E1245C">
        <w:rPr>
          <w:rFonts w:ascii="Calibri" w:hAnsi="Calibri" w:cs="Calibri"/>
          <w:sz w:val="22"/>
          <w:szCs w:val="22"/>
        </w:rPr>
        <w:t>. Gross debt reduced by €</w:t>
      </w:r>
      <w:r w:rsidR="00335449" w:rsidRPr="00E1245C">
        <w:rPr>
          <w:rFonts w:ascii="Calibri" w:hAnsi="Calibri" w:cs="Calibri"/>
          <w:sz w:val="22"/>
          <w:szCs w:val="22"/>
        </w:rPr>
        <w:t>1.34</w:t>
      </w:r>
      <w:r w:rsidR="00671927" w:rsidRPr="00E1245C">
        <w:rPr>
          <w:rFonts w:ascii="Calibri" w:hAnsi="Calibri" w:cs="Calibri"/>
          <w:sz w:val="22"/>
          <w:szCs w:val="22"/>
        </w:rPr>
        <w:t>BN and net</w:t>
      </w:r>
      <w:r w:rsidRPr="00E1245C">
        <w:rPr>
          <w:rFonts w:ascii="Calibri" w:hAnsi="Calibri" w:cs="Calibri"/>
          <w:sz w:val="22"/>
          <w:szCs w:val="22"/>
        </w:rPr>
        <w:t xml:space="preserve"> cash</w:t>
      </w:r>
      <w:r w:rsidR="00E20394">
        <w:rPr>
          <w:rFonts w:ascii="Calibri" w:hAnsi="Calibri" w:cs="Calibri"/>
          <w:sz w:val="22"/>
          <w:szCs w:val="22"/>
        </w:rPr>
        <w:t>,</w:t>
      </w:r>
      <w:r w:rsidRPr="00E1245C">
        <w:rPr>
          <w:rFonts w:ascii="Calibri" w:hAnsi="Calibri" w:cs="Calibri"/>
          <w:sz w:val="22"/>
          <w:szCs w:val="22"/>
        </w:rPr>
        <w:t xml:space="preserve"> </w:t>
      </w:r>
      <w:r w:rsidR="003A428B" w:rsidRPr="00E1245C">
        <w:rPr>
          <w:rFonts w:ascii="Calibri" w:hAnsi="Calibri" w:cs="Calibri"/>
          <w:sz w:val="22"/>
          <w:szCs w:val="22"/>
        </w:rPr>
        <w:t>as a result</w:t>
      </w:r>
      <w:r w:rsidR="00E20394">
        <w:rPr>
          <w:rFonts w:ascii="Calibri" w:hAnsi="Calibri" w:cs="Calibri"/>
          <w:sz w:val="22"/>
          <w:szCs w:val="22"/>
        </w:rPr>
        <w:t>,</w:t>
      </w:r>
      <w:r w:rsidR="003A428B" w:rsidRPr="00E1245C">
        <w:rPr>
          <w:rFonts w:ascii="Calibri" w:hAnsi="Calibri" w:cs="Calibri"/>
          <w:sz w:val="22"/>
          <w:szCs w:val="22"/>
        </w:rPr>
        <w:t xml:space="preserve"> was </w:t>
      </w:r>
      <w:r w:rsidRPr="00E1245C">
        <w:rPr>
          <w:rFonts w:ascii="Calibri" w:hAnsi="Calibri" w:cs="Calibri"/>
          <w:b/>
          <w:bCs/>
          <w:sz w:val="22"/>
          <w:szCs w:val="22"/>
        </w:rPr>
        <w:t>€</w:t>
      </w:r>
      <w:r w:rsidR="003A428B" w:rsidRPr="00E1245C">
        <w:rPr>
          <w:rFonts w:ascii="Calibri" w:hAnsi="Calibri" w:cs="Calibri"/>
          <w:b/>
          <w:bCs/>
          <w:sz w:val="22"/>
          <w:szCs w:val="22"/>
        </w:rPr>
        <w:t>0.15BN</w:t>
      </w:r>
      <w:r w:rsidRPr="00E1245C">
        <w:rPr>
          <w:rFonts w:ascii="Calibri" w:hAnsi="Calibri" w:cs="Calibri"/>
          <w:b/>
          <w:bCs/>
          <w:sz w:val="22"/>
          <w:szCs w:val="22"/>
        </w:rPr>
        <w:t xml:space="preserve"> </w:t>
      </w:r>
      <w:r w:rsidRPr="00E1245C">
        <w:rPr>
          <w:rFonts w:ascii="Calibri" w:hAnsi="Calibri" w:cs="Calibri"/>
          <w:sz w:val="22"/>
          <w:szCs w:val="22"/>
        </w:rPr>
        <w:t xml:space="preserve">at </w:t>
      </w:r>
      <w:r w:rsidR="00B40F4C" w:rsidRPr="00E1245C">
        <w:rPr>
          <w:rFonts w:ascii="Calibri" w:hAnsi="Calibri" w:cs="Calibri"/>
          <w:sz w:val="22"/>
          <w:szCs w:val="22"/>
        </w:rPr>
        <w:t>December 31</w:t>
      </w:r>
      <w:r w:rsidRPr="00E1245C">
        <w:rPr>
          <w:rFonts w:ascii="Calibri" w:hAnsi="Calibri" w:cs="Calibri"/>
          <w:sz w:val="22"/>
          <w:szCs w:val="22"/>
        </w:rPr>
        <w:t>, 2023</w:t>
      </w:r>
      <w:r w:rsidR="003A428B" w:rsidRPr="00E1245C">
        <w:rPr>
          <w:rFonts w:ascii="Calibri" w:hAnsi="Calibri" w:cs="Calibri"/>
          <w:sz w:val="22"/>
          <w:szCs w:val="22"/>
        </w:rPr>
        <w:t xml:space="preserve"> (€0.</w:t>
      </w:r>
      <w:r w:rsidR="00A8604B" w:rsidRPr="00E1245C">
        <w:rPr>
          <w:rFonts w:ascii="Calibri" w:hAnsi="Calibri" w:cs="Calibri"/>
          <w:sz w:val="22"/>
          <w:szCs w:val="22"/>
        </w:rPr>
        <w:t>56</w:t>
      </w:r>
      <w:r w:rsidR="003A428B" w:rsidRPr="00E1245C">
        <w:rPr>
          <w:rFonts w:ascii="Calibri" w:hAnsi="Calibri" w:cs="Calibri"/>
          <w:sz w:val="22"/>
          <w:szCs w:val="22"/>
        </w:rPr>
        <w:t>BN at March 31, 2023)</w:t>
      </w:r>
      <w:r w:rsidRPr="00E1245C">
        <w:rPr>
          <w:rFonts w:ascii="Calibri" w:hAnsi="Calibri" w:cs="Calibri"/>
          <w:sz w:val="22"/>
          <w:szCs w:val="22"/>
        </w:rPr>
        <w:t>.</w:t>
      </w:r>
    </w:p>
    <w:p w14:paraId="336C0F01" w14:textId="77777777" w:rsidR="00504DD3" w:rsidRPr="008930E7" w:rsidRDefault="00504DD3" w:rsidP="00504DD3">
      <w:pPr>
        <w:ind w:right="-142"/>
        <w:jc w:val="both"/>
        <w:rPr>
          <w:rFonts w:ascii="Calibri" w:hAnsi="Calibri" w:cs="Calibri"/>
          <w:sz w:val="22"/>
          <w:szCs w:val="22"/>
        </w:rPr>
      </w:pPr>
    </w:p>
    <w:p w14:paraId="53885E72" w14:textId="77777777" w:rsidR="004A178D" w:rsidRPr="008930E7" w:rsidRDefault="004A178D" w:rsidP="00CE13BB">
      <w:pPr>
        <w:ind w:right="-142"/>
        <w:jc w:val="both"/>
        <w:rPr>
          <w:rFonts w:ascii="Calibri" w:hAnsi="Calibri" w:cs="Calibri"/>
          <w:b/>
          <w:bCs/>
          <w:sz w:val="22"/>
          <w:szCs w:val="22"/>
        </w:rPr>
      </w:pPr>
      <w:r w:rsidRPr="008930E7">
        <w:rPr>
          <w:rFonts w:ascii="Calibri" w:hAnsi="Calibri" w:cs="Calibri"/>
          <w:b/>
          <w:bCs/>
          <w:sz w:val="22"/>
          <w:szCs w:val="22"/>
        </w:rPr>
        <w:t xml:space="preserve">Shareholders’ equity: </w:t>
      </w:r>
    </w:p>
    <w:p w14:paraId="319C2763" w14:textId="77777777" w:rsidR="00FD6E41" w:rsidRDefault="00285AB3" w:rsidP="00FD6E41">
      <w:pPr>
        <w:ind w:right="-142"/>
        <w:jc w:val="both"/>
        <w:rPr>
          <w:rFonts w:ascii="Calibri" w:hAnsi="Calibri" w:cs="Calibri"/>
          <w:sz w:val="22"/>
          <w:szCs w:val="22"/>
        </w:rPr>
      </w:pPr>
      <w:r w:rsidRPr="008930E7">
        <w:rPr>
          <w:rFonts w:ascii="Calibri" w:hAnsi="Calibri" w:cs="Calibri"/>
          <w:sz w:val="22"/>
          <w:szCs w:val="22"/>
        </w:rPr>
        <w:t xml:space="preserve">Shareholders’ equity </w:t>
      </w:r>
      <w:r w:rsidR="007E6437" w:rsidRPr="008930E7">
        <w:rPr>
          <w:rFonts w:ascii="Calibri" w:hAnsi="Calibri" w:cs="Calibri"/>
          <w:sz w:val="22"/>
          <w:szCs w:val="22"/>
        </w:rPr>
        <w:t>in</w:t>
      </w:r>
      <w:r w:rsidRPr="008930E7">
        <w:rPr>
          <w:rFonts w:ascii="Calibri" w:hAnsi="Calibri" w:cs="Calibri"/>
          <w:sz w:val="22"/>
          <w:szCs w:val="22"/>
        </w:rPr>
        <w:t xml:space="preserve">creased by </w:t>
      </w:r>
      <w:r w:rsidRPr="008930E7">
        <w:rPr>
          <w:rFonts w:ascii="Calibri" w:hAnsi="Calibri" w:cs="Calibri"/>
          <w:b/>
          <w:bCs/>
          <w:sz w:val="22"/>
          <w:szCs w:val="22"/>
        </w:rPr>
        <w:t>€</w:t>
      </w:r>
      <w:r w:rsidR="00335449" w:rsidRPr="008930E7">
        <w:rPr>
          <w:rFonts w:ascii="Calibri" w:hAnsi="Calibri" w:cs="Calibri"/>
          <w:b/>
          <w:bCs/>
          <w:sz w:val="22"/>
          <w:szCs w:val="22"/>
        </w:rPr>
        <w:t>2.23</w:t>
      </w:r>
      <w:r w:rsidR="007E6A2A" w:rsidRPr="008930E7">
        <w:rPr>
          <w:rFonts w:ascii="Calibri" w:hAnsi="Calibri" w:cs="Calibri"/>
          <w:b/>
          <w:bCs/>
          <w:sz w:val="22"/>
          <w:szCs w:val="22"/>
        </w:rPr>
        <w:t>BN</w:t>
      </w:r>
      <w:r w:rsidRPr="008930E7">
        <w:rPr>
          <w:rFonts w:ascii="Calibri" w:hAnsi="Calibri" w:cs="Calibri"/>
          <w:b/>
          <w:bCs/>
          <w:sz w:val="22"/>
          <w:szCs w:val="22"/>
        </w:rPr>
        <w:t xml:space="preserve"> to</w:t>
      </w:r>
      <w:r w:rsidRPr="008930E7">
        <w:rPr>
          <w:rFonts w:ascii="Calibri" w:hAnsi="Calibri" w:cs="Calibri"/>
          <w:sz w:val="22"/>
          <w:szCs w:val="22"/>
        </w:rPr>
        <w:t xml:space="preserve"> </w:t>
      </w:r>
      <w:r w:rsidRPr="008930E7">
        <w:rPr>
          <w:rFonts w:ascii="Calibri" w:hAnsi="Calibri" w:cs="Calibri"/>
          <w:b/>
          <w:bCs/>
          <w:sz w:val="22"/>
          <w:szCs w:val="22"/>
        </w:rPr>
        <w:t>€</w:t>
      </w:r>
      <w:r w:rsidR="00335449" w:rsidRPr="008930E7">
        <w:rPr>
          <w:rFonts w:ascii="Calibri" w:hAnsi="Calibri" w:cs="Calibri"/>
          <w:b/>
          <w:bCs/>
          <w:sz w:val="22"/>
          <w:szCs w:val="22"/>
        </w:rPr>
        <w:t>7.87</w:t>
      </w:r>
      <w:r w:rsidR="007E6A2A" w:rsidRPr="008930E7">
        <w:rPr>
          <w:rFonts w:ascii="Calibri" w:hAnsi="Calibri" w:cs="Calibri"/>
          <w:b/>
          <w:bCs/>
          <w:sz w:val="22"/>
          <w:szCs w:val="22"/>
        </w:rPr>
        <w:t>BN</w:t>
      </w:r>
      <w:r w:rsidR="00095F3E" w:rsidRPr="008930E7">
        <w:rPr>
          <w:rFonts w:ascii="Calibri" w:hAnsi="Calibri" w:cs="Calibri"/>
          <w:sz w:val="22"/>
          <w:szCs w:val="22"/>
        </w:rPr>
        <w:t xml:space="preserve"> in the period primarily due to </w:t>
      </w:r>
      <w:r w:rsidR="004A1F50" w:rsidRPr="008930E7">
        <w:rPr>
          <w:rFonts w:ascii="Calibri" w:hAnsi="Calibri" w:cs="Calibri"/>
          <w:sz w:val="22"/>
          <w:szCs w:val="22"/>
        </w:rPr>
        <w:t xml:space="preserve">a </w:t>
      </w:r>
      <w:r w:rsidR="004A1F50" w:rsidRPr="008930E7">
        <w:rPr>
          <w:rFonts w:ascii="Calibri" w:hAnsi="Calibri" w:cs="Calibri"/>
          <w:b/>
          <w:bCs/>
          <w:sz w:val="22"/>
          <w:szCs w:val="22"/>
        </w:rPr>
        <w:t>€</w:t>
      </w:r>
      <w:r w:rsidR="00335449" w:rsidRPr="008930E7">
        <w:rPr>
          <w:rFonts w:ascii="Calibri" w:hAnsi="Calibri" w:cs="Calibri"/>
          <w:b/>
          <w:bCs/>
          <w:sz w:val="22"/>
          <w:szCs w:val="22"/>
        </w:rPr>
        <w:t>2.19</w:t>
      </w:r>
      <w:r w:rsidR="004A1F50" w:rsidRPr="008930E7">
        <w:rPr>
          <w:rFonts w:ascii="Calibri" w:hAnsi="Calibri" w:cs="Calibri"/>
          <w:b/>
          <w:bCs/>
          <w:sz w:val="22"/>
          <w:szCs w:val="22"/>
        </w:rPr>
        <w:t xml:space="preserve">BN </w:t>
      </w:r>
      <w:r w:rsidR="004A1F50" w:rsidRPr="008930E7">
        <w:rPr>
          <w:rFonts w:ascii="Calibri" w:hAnsi="Calibri" w:cs="Calibri"/>
          <w:sz w:val="22"/>
          <w:szCs w:val="22"/>
        </w:rPr>
        <w:t>net profit</w:t>
      </w:r>
      <w:r w:rsidR="00504DD3" w:rsidRPr="008930E7">
        <w:rPr>
          <w:rFonts w:ascii="Calibri" w:hAnsi="Calibri" w:cs="Calibri"/>
          <w:sz w:val="22"/>
          <w:szCs w:val="22"/>
        </w:rPr>
        <w:t>.</w:t>
      </w:r>
    </w:p>
    <w:p w14:paraId="4E9FD0FD" w14:textId="77777777" w:rsidR="00FD6E41" w:rsidRDefault="00FD6E41" w:rsidP="00FD6E41">
      <w:pPr>
        <w:ind w:right="-142"/>
        <w:jc w:val="both"/>
        <w:rPr>
          <w:rFonts w:ascii="Calibri" w:hAnsi="Calibri" w:cs="Calibri"/>
          <w:sz w:val="22"/>
          <w:szCs w:val="22"/>
        </w:rPr>
      </w:pPr>
    </w:p>
    <w:p w14:paraId="64215373" w14:textId="77777777" w:rsidR="007850A0" w:rsidRDefault="00FD6E41" w:rsidP="007850A0">
      <w:pPr>
        <w:ind w:right="-428"/>
        <w:rPr>
          <w:rFonts w:ascii="Calibri" w:hAnsi="Calibri" w:cs="Calibri"/>
          <w:b/>
          <w:bCs/>
          <w:color w:val="000000"/>
        </w:rPr>
      </w:pPr>
      <w:r>
        <w:rPr>
          <w:rFonts w:ascii="Calibri" w:hAnsi="Calibri" w:cs="Calibri"/>
          <w:sz w:val="22"/>
          <w:szCs w:val="22"/>
        </w:rPr>
        <w:br w:type="page"/>
      </w:r>
      <w:r w:rsidR="007850A0" w:rsidRPr="00EA7F9B">
        <w:rPr>
          <w:rFonts w:ascii="Calibri" w:hAnsi="Calibri" w:cs="Calibri"/>
          <w:b/>
          <w:bCs/>
          <w:color w:val="000000"/>
        </w:rPr>
        <w:lastRenderedPageBreak/>
        <w:t xml:space="preserve">Ryanair Holdings plc and Subsidiaries  </w:t>
      </w:r>
    </w:p>
    <w:p w14:paraId="6D8B3EF0" w14:textId="77777777" w:rsidR="007850A0" w:rsidRPr="00607DDD" w:rsidRDefault="007850A0" w:rsidP="007850A0">
      <w:pPr>
        <w:ind w:right="-428"/>
        <w:rPr>
          <w:rFonts w:ascii="Calibri" w:hAnsi="Calibri" w:cs="Calibri"/>
          <w:b/>
        </w:rPr>
      </w:pPr>
      <w:r w:rsidRPr="00607DDD">
        <w:rPr>
          <w:rFonts w:ascii="Calibri" w:hAnsi="Calibri" w:cs="Calibri"/>
          <w:b/>
        </w:rPr>
        <w:t>MD&amp;A Quarter Ended December 31, 2023 (“Q3 FY24”)</w:t>
      </w:r>
    </w:p>
    <w:p w14:paraId="11FA6710" w14:textId="77777777" w:rsidR="007850A0" w:rsidRPr="00607DDD" w:rsidRDefault="007850A0" w:rsidP="007850A0">
      <w:pPr>
        <w:ind w:right="-142"/>
        <w:jc w:val="both"/>
        <w:rPr>
          <w:rFonts w:ascii="Calibri" w:hAnsi="Calibri" w:cs="Calibri"/>
          <w:b/>
        </w:rPr>
      </w:pPr>
    </w:p>
    <w:p w14:paraId="4E509D9D" w14:textId="77777777" w:rsidR="007850A0" w:rsidRPr="00607DDD" w:rsidRDefault="007850A0" w:rsidP="007850A0">
      <w:pPr>
        <w:ind w:right="-142"/>
        <w:jc w:val="both"/>
        <w:rPr>
          <w:rFonts w:ascii="Calibri" w:hAnsi="Calibri" w:cs="Calibri"/>
          <w:b/>
          <w:sz w:val="22"/>
          <w:szCs w:val="22"/>
        </w:rPr>
      </w:pPr>
      <w:r w:rsidRPr="00607DDD">
        <w:rPr>
          <w:rFonts w:ascii="Calibri" w:hAnsi="Calibri" w:cs="Calibri"/>
          <w:b/>
          <w:sz w:val="22"/>
          <w:szCs w:val="22"/>
        </w:rPr>
        <w:t>Introduction</w:t>
      </w:r>
    </w:p>
    <w:p w14:paraId="05BB70D9" w14:textId="77777777" w:rsidR="007850A0" w:rsidRPr="00607DDD" w:rsidRDefault="007850A0" w:rsidP="007850A0">
      <w:pPr>
        <w:ind w:right="-142"/>
        <w:jc w:val="both"/>
        <w:rPr>
          <w:rFonts w:ascii="Calibri" w:hAnsi="Calibri" w:cs="Calibri"/>
          <w:sz w:val="22"/>
          <w:szCs w:val="22"/>
        </w:rPr>
      </w:pPr>
      <w:r w:rsidRPr="00607DDD">
        <w:rPr>
          <w:rFonts w:ascii="Calibri" w:hAnsi="Calibri" w:cs="Calibri"/>
          <w:sz w:val="22"/>
          <w:szCs w:val="22"/>
        </w:rPr>
        <w:t>For the purposes of the Management Discussion and Analysis (“MD&amp;A”) all figures and comments are by reference to the quarter ended December 31, 2023 results excluding the exceptional item referred to below.</w:t>
      </w:r>
    </w:p>
    <w:p w14:paraId="02E4DC06" w14:textId="77777777" w:rsidR="007850A0" w:rsidRPr="00607DDD" w:rsidRDefault="007850A0" w:rsidP="007850A0">
      <w:pPr>
        <w:ind w:right="-142"/>
        <w:jc w:val="both"/>
        <w:rPr>
          <w:rFonts w:ascii="Calibri" w:hAnsi="Calibri" w:cs="Calibri"/>
          <w:sz w:val="22"/>
          <w:szCs w:val="22"/>
        </w:rPr>
      </w:pPr>
    </w:p>
    <w:p w14:paraId="20D98595" w14:textId="77777777" w:rsidR="007850A0" w:rsidRPr="00607DDD" w:rsidRDefault="007850A0" w:rsidP="007850A0">
      <w:pPr>
        <w:ind w:right="-142"/>
        <w:jc w:val="both"/>
        <w:rPr>
          <w:rFonts w:ascii="Calibri" w:hAnsi="Calibri" w:cs="Calibri"/>
          <w:sz w:val="22"/>
          <w:szCs w:val="22"/>
        </w:rPr>
      </w:pPr>
      <w:r w:rsidRPr="00607DDD">
        <w:rPr>
          <w:rFonts w:ascii="Calibri" w:hAnsi="Calibri" w:cs="Calibri"/>
          <w:sz w:val="22"/>
          <w:szCs w:val="22"/>
        </w:rPr>
        <w:t xml:space="preserve">The Group, as part of its risk management strategy, utilised jet fuel call options to set a maximum price for </w:t>
      </w:r>
      <w:r w:rsidR="00531AB4">
        <w:rPr>
          <w:rFonts w:ascii="Calibri" w:hAnsi="Calibri" w:cs="Calibri"/>
          <w:sz w:val="22"/>
          <w:szCs w:val="22"/>
        </w:rPr>
        <w:t>approximately</w:t>
      </w:r>
      <w:r w:rsidRPr="00607DDD">
        <w:rPr>
          <w:rFonts w:ascii="Calibri" w:hAnsi="Calibri" w:cs="Calibri"/>
          <w:sz w:val="22"/>
          <w:szCs w:val="22"/>
        </w:rPr>
        <w:t xml:space="preserve"> 1</w:t>
      </w:r>
      <w:r w:rsidR="00531AB4">
        <w:rPr>
          <w:rFonts w:ascii="Calibri" w:hAnsi="Calibri" w:cs="Calibri"/>
          <w:sz w:val="22"/>
          <w:szCs w:val="22"/>
        </w:rPr>
        <w:t>6</w:t>
      </w:r>
      <w:r w:rsidRPr="00607DDD">
        <w:rPr>
          <w:rFonts w:ascii="Calibri" w:hAnsi="Calibri" w:cs="Calibri"/>
          <w:sz w:val="22"/>
          <w:szCs w:val="22"/>
        </w:rPr>
        <w:t>% of FY23 expected fuel requirements. These instruments were measured at fair value through the income statement. Following the Russian invasion of Ukraine in Feb. 2022, the price of jet fuel significantly increased. An exceptional unrealised mark-to-market loss of €10M (pre-tax) was recorded on the Group’s jet fuel call options in the quarter ended December 31, 2022.</w:t>
      </w:r>
    </w:p>
    <w:p w14:paraId="53E66FD5" w14:textId="77777777" w:rsidR="007850A0" w:rsidRPr="00607DDD" w:rsidRDefault="007850A0" w:rsidP="007850A0">
      <w:pPr>
        <w:ind w:right="-142"/>
        <w:jc w:val="both"/>
        <w:rPr>
          <w:rFonts w:ascii="Calibri" w:hAnsi="Calibri" w:cs="Calibri"/>
          <w:b/>
          <w:sz w:val="22"/>
          <w:szCs w:val="22"/>
        </w:rPr>
      </w:pPr>
    </w:p>
    <w:p w14:paraId="4A5D32E4" w14:textId="77777777" w:rsidR="007850A0" w:rsidRPr="00607DDD" w:rsidRDefault="007850A0" w:rsidP="007850A0">
      <w:pPr>
        <w:ind w:right="-142"/>
        <w:jc w:val="both"/>
        <w:rPr>
          <w:rFonts w:ascii="Calibri" w:hAnsi="Calibri" w:cs="Calibri"/>
          <w:b/>
          <w:sz w:val="22"/>
          <w:szCs w:val="22"/>
          <w:u w:val="single"/>
        </w:rPr>
      </w:pPr>
      <w:r w:rsidRPr="00607DDD">
        <w:rPr>
          <w:rFonts w:ascii="Calibri" w:hAnsi="Calibri" w:cs="Calibri"/>
          <w:b/>
          <w:sz w:val="22"/>
          <w:szCs w:val="22"/>
          <w:u w:val="single"/>
        </w:rPr>
        <w:t>Income Statement</w:t>
      </w:r>
    </w:p>
    <w:p w14:paraId="74763FF9" w14:textId="77777777" w:rsidR="007850A0" w:rsidRPr="00607DDD" w:rsidRDefault="007850A0" w:rsidP="007850A0">
      <w:pPr>
        <w:ind w:right="-142"/>
        <w:jc w:val="both"/>
        <w:rPr>
          <w:rFonts w:ascii="Calibri" w:hAnsi="Calibri" w:cs="Calibri"/>
          <w:b/>
          <w:sz w:val="22"/>
          <w:szCs w:val="22"/>
        </w:rPr>
      </w:pPr>
    </w:p>
    <w:p w14:paraId="778129EA" w14:textId="77777777" w:rsidR="007850A0" w:rsidRPr="00607DDD" w:rsidRDefault="007850A0" w:rsidP="007850A0">
      <w:pPr>
        <w:keepNext/>
        <w:ind w:right="-142"/>
        <w:jc w:val="both"/>
        <w:rPr>
          <w:rFonts w:ascii="Calibri" w:hAnsi="Calibri" w:cs="Calibri"/>
          <w:b/>
          <w:sz w:val="22"/>
          <w:szCs w:val="22"/>
        </w:rPr>
      </w:pPr>
      <w:r w:rsidRPr="00607DDD">
        <w:rPr>
          <w:rFonts w:ascii="Calibri" w:hAnsi="Calibri" w:cs="Calibri"/>
          <w:b/>
          <w:sz w:val="22"/>
          <w:szCs w:val="22"/>
        </w:rPr>
        <w:t>Scheduled revenues:</w:t>
      </w:r>
    </w:p>
    <w:p w14:paraId="3131FCF4" w14:textId="77777777" w:rsidR="007850A0" w:rsidRPr="00607DDD" w:rsidRDefault="007850A0" w:rsidP="007850A0">
      <w:pPr>
        <w:ind w:right="-142"/>
        <w:jc w:val="both"/>
        <w:rPr>
          <w:rFonts w:ascii="Calibri" w:hAnsi="Calibri" w:cs="Calibri"/>
          <w:sz w:val="22"/>
          <w:szCs w:val="22"/>
        </w:rPr>
      </w:pPr>
      <w:r w:rsidRPr="00607DDD">
        <w:rPr>
          <w:rFonts w:ascii="Calibri" w:hAnsi="Calibri" w:cs="Calibri"/>
          <w:sz w:val="22"/>
          <w:szCs w:val="22"/>
        </w:rPr>
        <w:t xml:space="preserve">Scheduled revenues increased </w:t>
      </w:r>
      <w:r w:rsidRPr="00607DDD">
        <w:rPr>
          <w:rFonts w:ascii="Calibri" w:hAnsi="Calibri" w:cs="Calibri"/>
          <w:b/>
          <w:bCs/>
          <w:sz w:val="22"/>
          <w:szCs w:val="22"/>
        </w:rPr>
        <w:t>21</w:t>
      </w:r>
      <w:r w:rsidRPr="00607DDD">
        <w:rPr>
          <w:rFonts w:ascii="Calibri" w:hAnsi="Calibri" w:cs="Calibri"/>
          <w:b/>
          <w:sz w:val="22"/>
          <w:szCs w:val="22"/>
        </w:rPr>
        <w:t>% to €1.7</w:t>
      </w:r>
      <w:r>
        <w:rPr>
          <w:rFonts w:ascii="Calibri" w:hAnsi="Calibri" w:cs="Calibri"/>
          <w:b/>
          <w:sz w:val="22"/>
          <w:szCs w:val="22"/>
        </w:rPr>
        <w:t>5</w:t>
      </w:r>
      <w:r w:rsidRPr="00607DDD">
        <w:rPr>
          <w:rFonts w:ascii="Calibri" w:hAnsi="Calibri" w:cs="Calibri"/>
          <w:b/>
          <w:sz w:val="22"/>
          <w:szCs w:val="22"/>
        </w:rPr>
        <w:t>BN</w:t>
      </w:r>
      <w:r w:rsidRPr="00607DDD">
        <w:rPr>
          <w:rFonts w:ascii="Calibri" w:hAnsi="Calibri" w:cs="Calibri"/>
          <w:sz w:val="22"/>
          <w:szCs w:val="22"/>
        </w:rPr>
        <w:t xml:space="preserve"> due to 7% traffic growth (from </w:t>
      </w:r>
      <w:r w:rsidRPr="00607DDD">
        <w:rPr>
          <w:rFonts w:ascii="Calibri" w:hAnsi="Calibri" w:cs="Calibri"/>
          <w:b/>
          <w:bCs/>
          <w:sz w:val="22"/>
          <w:szCs w:val="22"/>
        </w:rPr>
        <w:t>38.5M</w:t>
      </w:r>
      <w:r w:rsidRPr="00607DDD">
        <w:rPr>
          <w:rFonts w:ascii="Calibri" w:hAnsi="Calibri" w:cs="Calibri"/>
          <w:sz w:val="22"/>
          <w:szCs w:val="22"/>
        </w:rPr>
        <w:t xml:space="preserve"> to </w:t>
      </w:r>
      <w:r w:rsidRPr="00607DDD">
        <w:rPr>
          <w:rFonts w:ascii="Calibri" w:hAnsi="Calibri" w:cs="Calibri"/>
          <w:b/>
          <w:bCs/>
          <w:sz w:val="22"/>
          <w:szCs w:val="22"/>
        </w:rPr>
        <w:t>41.4M</w:t>
      </w:r>
      <w:r w:rsidRPr="00607DDD">
        <w:rPr>
          <w:rFonts w:ascii="Calibri" w:hAnsi="Calibri" w:cs="Calibri"/>
          <w:sz w:val="22"/>
          <w:szCs w:val="22"/>
        </w:rPr>
        <w:t xml:space="preserve">) and a 13% increase in average fares to </w:t>
      </w:r>
      <w:r w:rsidR="003A428B">
        <w:rPr>
          <w:rFonts w:ascii="Calibri" w:hAnsi="Calibri" w:cs="Calibri"/>
          <w:sz w:val="22"/>
          <w:szCs w:val="22"/>
        </w:rPr>
        <w:t>over</w:t>
      </w:r>
      <w:r w:rsidRPr="00607DDD">
        <w:rPr>
          <w:rFonts w:ascii="Calibri" w:hAnsi="Calibri" w:cs="Calibri"/>
          <w:sz w:val="22"/>
          <w:szCs w:val="22"/>
        </w:rPr>
        <w:t xml:space="preserve"> €42. </w:t>
      </w:r>
    </w:p>
    <w:p w14:paraId="65C1FBB9" w14:textId="77777777" w:rsidR="007850A0" w:rsidRPr="00607DDD" w:rsidRDefault="007850A0" w:rsidP="007850A0">
      <w:pPr>
        <w:ind w:right="-142"/>
        <w:jc w:val="both"/>
        <w:rPr>
          <w:rFonts w:ascii="Calibri" w:hAnsi="Calibri" w:cs="Calibri"/>
          <w:sz w:val="22"/>
          <w:szCs w:val="22"/>
        </w:rPr>
      </w:pPr>
    </w:p>
    <w:p w14:paraId="5DE2D54D" w14:textId="77777777" w:rsidR="007850A0" w:rsidRPr="00607DDD" w:rsidRDefault="007850A0" w:rsidP="007850A0">
      <w:pPr>
        <w:ind w:right="-142"/>
        <w:jc w:val="both"/>
        <w:rPr>
          <w:rFonts w:ascii="Calibri" w:hAnsi="Calibri" w:cs="Calibri"/>
          <w:b/>
          <w:sz w:val="22"/>
          <w:szCs w:val="22"/>
        </w:rPr>
      </w:pPr>
      <w:r w:rsidRPr="00607DDD">
        <w:rPr>
          <w:rFonts w:ascii="Calibri" w:hAnsi="Calibri" w:cs="Calibri"/>
          <w:b/>
          <w:sz w:val="22"/>
          <w:szCs w:val="22"/>
        </w:rPr>
        <w:t>Ancillary revenues:</w:t>
      </w:r>
    </w:p>
    <w:p w14:paraId="621DD6CB" w14:textId="77777777" w:rsidR="007850A0" w:rsidRPr="00607DDD" w:rsidRDefault="007850A0" w:rsidP="007850A0">
      <w:pPr>
        <w:ind w:right="-142"/>
        <w:contextualSpacing/>
        <w:jc w:val="both"/>
        <w:rPr>
          <w:rFonts w:ascii="Calibri" w:hAnsi="Calibri" w:cs="Calibri"/>
          <w:sz w:val="22"/>
          <w:szCs w:val="22"/>
        </w:rPr>
      </w:pPr>
      <w:r w:rsidRPr="00607DDD">
        <w:rPr>
          <w:rFonts w:ascii="Calibri" w:hAnsi="Calibri" w:cs="Calibri"/>
          <w:sz w:val="22"/>
          <w:szCs w:val="22"/>
        </w:rPr>
        <w:t xml:space="preserve">Ancillary revenues increased </w:t>
      </w:r>
      <w:r w:rsidRPr="00607DDD">
        <w:rPr>
          <w:rFonts w:ascii="Calibri" w:hAnsi="Calibri" w:cs="Calibri"/>
          <w:b/>
          <w:bCs/>
          <w:sz w:val="22"/>
          <w:szCs w:val="22"/>
        </w:rPr>
        <w:t>10%</w:t>
      </w:r>
      <w:r w:rsidRPr="00607DDD">
        <w:rPr>
          <w:rFonts w:ascii="Calibri" w:hAnsi="Calibri" w:cs="Calibri"/>
          <w:sz w:val="22"/>
          <w:szCs w:val="22"/>
        </w:rPr>
        <w:t xml:space="preserve"> </w:t>
      </w:r>
      <w:r w:rsidRPr="00607DDD">
        <w:rPr>
          <w:rFonts w:ascii="Calibri" w:hAnsi="Calibri" w:cs="Calibri"/>
          <w:bCs/>
          <w:sz w:val="22"/>
          <w:szCs w:val="22"/>
        </w:rPr>
        <w:t>to</w:t>
      </w:r>
      <w:r w:rsidRPr="00607DDD">
        <w:rPr>
          <w:rFonts w:ascii="Calibri" w:hAnsi="Calibri" w:cs="Calibri"/>
          <w:b/>
          <w:sz w:val="22"/>
          <w:szCs w:val="22"/>
        </w:rPr>
        <w:t xml:space="preserve"> €</w:t>
      </w:r>
      <w:r w:rsidR="003A428B">
        <w:rPr>
          <w:rFonts w:ascii="Calibri" w:hAnsi="Calibri" w:cs="Calibri"/>
          <w:b/>
          <w:sz w:val="22"/>
          <w:szCs w:val="22"/>
        </w:rPr>
        <w:t>0.95BN</w:t>
      </w:r>
      <w:r w:rsidRPr="00607DDD">
        <w:rPr>
          <w:rFonts w:ascii="Calibri" w:hAnsi="Calibri" w:cs="Calibri"/>
          <w:sz w:val="22"/>
          <w:szCs w:val="22"/>
        </w:rPr>
        <w:t xml:space="preserve"> as traffic grew (up 7%) and spend on discretionary services such as priority boarding, reserved seating and inflight sales increased</w:t>
      </w:r>
      <w:r w:rsidR="00E20394">
        <w:rPr>
          <w:rFonts w:ascii="Calibri" w:hAnsi="Calibri" w:cs="Calibri"/>
          <w:sz w:val="22"/>
          <w:szCs w:val="22"/>
        </w:rPr>
        <w:t xml:space="preserve"> </w:t>
      </w:r>
      <w:r w:rsidRPr="00607DDD">
        <w:rPr>
          <w:rFonts w:ascii="Calibri" w:hAnsi="Calibri" w:cs="Calibri"/>
          <w:sz w:val="22"/>
          <w:szCs w:val="22"/>
        </w:rPr>
        <w:t>to almost €23 per passenger.</w:t>
      </w:r>
    </w:p>
    <w:p w14:paraId="2DC61233" w14:textId="77777777" w:rsidR="007850A0" w:rsidRPr="00607DDD" w:rsidRDefault="007850A0" w:rsidP="007850A0">
      <w:pPr>
        <w:ind w:right="-142"/>
        <w:contextualSpacing/>
        <w:jc w:val="both"/>
        <w:rPr>
          <w:rFonts w:ascii="Calibri" w:hAnsi="Calibri" w:cs="Calibri"/>
          <w:sz w:val="22"/>
          <w:szCs w:val="22"/>
        </w:rPr>
      </w:pPr>
    </w:p>
    <w:p w14:paraId="22B4E9F3" w14:textId="77777777" w:rsidR="007850A0" w:rsidRPr="00607DDD" w:rsidRDefault="007850A0" w:rsidP="007850A0">
      <w:pPr>
        <w:ind w:right="-142"/>
        <w:contextualSpacing/>
        <w:jc w:val="both"/>
        <w:rPr>
          <w:rFonts w:ascii="Calibri" w:hAnsi="Calibri" w:cs="Calibri"/>
          <w:b/>
          <w:sz w:val="22"/>
          <w:szCs w:val="22"/>
        </w:rPr>
      </w:pPr>
      <w:r w:rsidRPr="00607DDD">
        <w:rPr>
          <w:rFonts w:ascii="Calibri" w:hAnsi="Calibri" w:cs="Calibri"/>
          <w:b/>
          <w:sz w:val="22"/>
          <w:szCs w:val="22"/>
        </w:rPr>
        <w:t>Total revenues:</w:t>
      </w:r>
    </w:p>
    <w:p w14:paraId="117FC454" w14:textId="77777777" w:rsidR="007850A0" w:rsidRPr="00607DDD" w:rsidRDefault="007850A0" w:rsidP="007850A0">
      <w:pPr>
        <w:ind w:right="-142"/>
        <w:contextualSpacing/>
        <w:jc w:val="both"/>
        <w:rPr>
          <w:rFonts w:ascii="Calibri" w:hAnsi="Calibri" w:cs="Calibri"/>
          <w:b/>
          <w:sz w:val="22"/>
          <w:szCs w:val="22"/>
        </w:rPr>
      </w:pPr>
      <w:r w:rsidRPr="00607DDD">
        <w:rPr>
          <w:rFonts w:ascii="Calibri" w:hAnsi="Calibri" w:cs="Calibri"/>
          <w:sz w:val="22"/>
          <w:szCs w:val="22"/>
        </w:rPr>
        <w:t xml:space="preserve">As a result of the above, total revenues increased </w:t>
      </w:r>
      <w:r w:rsidRPr="00607DDD">
        <w:rPr>
          <w:rFonts w:ascii="Calibri" w:hAnsi="Calibri" w:cs="Calibri"/>
          <w:b/>
          <w:sz w:val="22"/>
          <w:szCs w:val="22"/>
        </w:rPr>
        <w:t>17% to €2.70BN.</w:t>
      </w:r>
    </w:p>
    <w:p w14:paraId="6D9B9511" w14:textId="77777777" w:rsidR="007850A0" w:rsidRPr="00607DDD" w:rsidRDefault="007850A0" w:rsidP="007850A0">
      <w:pPr>
        <w:ind w:right="-142"/>
        <w:contextualSpacing/>
        <w:jc w:val="both"/>
        <w:rPr>
          <w:rFonts w:ascii="Calibri" w:hAnsi="Calibri" w:cs="Calibri"/>
          <w:b/>
          <w:sz w:val="22"/>
          <w:szCs w:val="22"/>
        </w:rPr>
      </w:pPr>
    </w:p>
    <w:p w14:paraId="04B2A31E" w14:textId="77777777" w:rsidR="007850A0" w:rsidRPr="00607DDD" w:rsidRDefault="007850A0" w:rsidP="007850A0">
      <w:pPr>
        <w:ind w:right="-142"/>
        <w:jc w:val="both"/>
        <w:rPr>
          <w:rFonts w:ascii="Calibri" w:hAnsi="Calibri" w:cs="Calibri"/>
          <w:b/>
          <w:sz w:val="22"/>
          <w:szCs w:val="22"/>
        </w:rPr>
      </w:pPr>
      <w:r w:rsidRPr="00607DDD">
        <w:rPr>
          <w:rFonts w:ascii="Calibri" w:hAnsi="Calibri" w:cs="Calibri"/>
          <w:b/>
          <w:sz w:val="22"/>
          <w:szCs w:val="22"/>
        </w:rPr>
        <w:t>Operating Expenses:</w:t>
      </w:r>
    </w:p>
    <w:p w14:paraId="542865C7" w14:textId="77777777" w:rsidR="007850A0" w:rsidRPr="00607DDD" w:rsidRDefault="007850A0" w:rsidP="007850A0">
      <w:pPr>
        <w:ind w:right="-142"/>
        <w:jc w:val="both"/>
        <w:rPr>
          <w:rFonts w:ascii="Calibri" w:hAnsi="Calibri" w:cs="Calibri"/>
          <w:b/>
          <w:sz w:val="22"/>
          <w:szCs w:val="22"/>
        </w:rPr>
      </w:pPr>
    </w:p>
    <w:p w14:paraId="2CD55FC2" w14:textId="77777777" w:rsidR="007850A0" w:rsidRPr="009E26FD" w:rsidRDefault="007850A0" w:rsidP="007850A0">
      <w:pPr>
        <w:ind w:right="-142"/>
        <w:jc w:val="both"/>
        <w:rPr>
          <w:rFonts w:ascii="Calibri" w:hAnsi="Calibri" w:cs="Calibri"/>
          <w:b/>
          <w:sz w:val="22"/>
          <w:szCs w:val="22"/>
        </w:rPr>
      </w:pPr>
      <w:r w:rsidRPr="009E26FD">
        <w:rPr>
          <w:rFonts w:ascii="Calibri" w:hAnsi="Calibri" w:cs="Calibri"/>
          <w:b/>
          <w:sz w:val="22"/>
          <w:szCs w:val="22"/>
        </w:rPr>
        <w:t>Fuel and oil:</w:t>
      </w:r>
    </w:p>
    <w:p w14:paraId="10C74E80" w14:textId="77777777" w:rsidR="007850A0" w:rsidRPr="009E26FD" w:rsidRDefault="007850A0" w:rsidP="007850A0">
      <w:pPr>
        <w:ind w:right="-142"/>
        <w:jc w:val="both"/>
        <w:rPr>
          <w:rFonts w:ascii="Calibri" w:hAnsi="Calibri" w:cs="Calibri"/>
          <w:sz w:val="22"/>
          <w:szCs w:val="22"/>
        </w:rPr>
      </w:pPr>
      <w:r w:rsidRPr="009E26FD">
        <w:rPr>
          <w:rFonts w:ascii="Calibri" w:hAnsi="Calibri" w:cs="Calibri"/>
          <w:sz w:val="22"/>
          <w:szCs w:val="22"/>
        </w:rPr>
        <w:t xml:space="preserve">Fuel and oil rose </w:t>
      </w:r>
      <w:r w:rsidRPr="009E26FD">
        <w:rPr>
          <w:rFonts w:ascii="Calibri" w:hAnsi="Calibri" w:cs="Calibri"/>
          <w:b/>
          <w:sz w:val="22"/>
          <w:szCs w:val="22"/>
        </w:rPr>
        <w:t xml:space="preserve">35% to €1.22BN </w:t>
      </w:r>
      <w:r w:rsidRPr="009E26FD">
        <w:rPr>
          <w:rFonts w:ascii="Calibri" w:hAnsi="Calibri" w:cs="Calibri"/>
          <w:sz w:val="22"/>
          <w:szCs w:val="22"/>
        </w:rPr>
        <w:t xml:space="preserve">due to an 8% increase in sectors flown and </w:t>
      </w:r>
      <w:r w:rsidR="003A428B">
        <w:rPr>
          <w:rFonts w:ascii="Calibri" w:hAnsi="Calibri" w:cs="Calibri"/>
          <w:sz w:val="22"/>
          <w:szCs w:val="22"/>
        </w:rPr>
        <w:t xml:space="preserve">significantly </w:t>
      </w:r>
      <w:r w:rsidRPr="009E26FD">
        <w:rPr>
          <w:rFonts w:ascii="Calibri" w:hAnsi="Calibri" w:cs="Calibri"/>
          <w:sz w:val="22"/>
          <w:szCs w:val="22"/>
        </w:rPr>
        <w:t>higher jet fuel prices offset by fuel burn savings on the new B737-8200 “Gamechanger” aircraft.</w:t>
      </w:r>
    </w:p>
    <w:p w14:paraId="491B40BE" w14:textId="77777777" w:rsidR="007850A0" w:rsidRPr="00607DDD" w:rsidRDefault="007850A0" w:rsidP="007850A0">
      <w:pPr>
        <w:ind w:right="-142"/>
        <w:jc w:val="both"/>
        <w:rPr>
          <w:rFonts w:ascii="Calibri" w:hAnsi="Calibri" w:cs="Calibri"/>
          <w:b/>
          <w:sz w:val="22"/>
          <w:szCs w:val="22"/>
          <w:highlight w:val="yellow"/>
        </w:rPr>
      </w:pPr>
    </w:p>
    <w:p w14:paraId="358F945D" w14:textId="77777777" w:rsidR="007850A0" w:rsidRPr="00C3633A" w:rsidRDefault="007850A0" w:rsidP="007850A0">
      <w:pPr>
        <w:ind w:right="-142"/>
        <w:jc w:val="both"/>
        <w:rPr>
          <w:rFonts w:ascii="Calibri" w:hAnsi="Calibri" w:cs="Calibri"/>
          <w:b/>
          <w:sz w:val="22"/>
          <w:szCs w:val="22"/>
        </w:rPr>
      </w:pPr>
      <w:bookmarkStart w:id="8" w:name="_Hlk6923407"/>
      <w:r w:rsidRPr="00C3633A">
        <w:rPr>
          <w:rFonts w:ascii="Calibri" w:hAnsi="Calibri" w:cs="Calibri"/>
          <w:b/>
          <w:sz w:val="22"/>
          <w:szCs w:val="22"/>
        </w:rPr>
        <w:t>Staff costs:</w:t>
      </w:r>
    </w:p>
    <w:p w14:paraId="603B775E" w14:textId="77777777" w:rsidR="007850A0" w:rsidRPr="00C3633A" w:rsidRDefault="007850A0" w:rsidP="007850A0">
      <w:pPr>
        <w:ind w:right="-142"/>
        <w:jc w:val="both"/>
        <w:rPr>
          <w:rFonts w:ascii="Calibri" w:hAnsi="Calibri" w:cs="Calibri"/>
          <w:sz w:val="22"/>
          <w:szCs w:val="22"/>
        </w:rPr>
      </w:pPr>
      <w:r w:rsidRPr="00C3633A">
        <w:rPr>
          <w:rFonts w:ascii="Calibri" w:hAnsi="Calibri" w:cs="Calibri"/>
          <w:sz w:val="22"/>
          <w:szCs w:val="22"/>
        </w:rPr>
        <w:t xml:space="preserve">Staff costs increased </w:t>
      </w:r>
      <w:r w:rsidRPr="00C3633A">
        <w:rPr>
          <w:rFonts w:ascii="Calibri" w:hAnsi="Calibri" w:cs="Calibri"/>
          <w:b/>
          <w:bCs/>
          <w:sz w:val="22"/>
          <w:szCs w:val="22"/>
        </w:rPr>
        <w:t>30% to €382M</w:t>
      </w:r>
      <w:r w:rsidRPr="00C3633A">
        <w:rPr>
          <w:rFonts w:ascii="Calibri" w:hAnsi="Calibri" w:cs="Calibri"/>
          <w:sz w:val="22"/>
          <w:szCs w:val="22"/>
        </w:rPr>
        <w:t xml:space="preserve"> due to the larger fleet, </w:t>
      </w:r>
      <w:r w:rsidR="003A428B">
        <w:rPr>
          <w:rFonts w:ascii="Calibri" w:hAnsi="Calibri" w:cs="Calibri"/>
          <w:sz w:val="22"/>
          <w:szCs w:val="22"/>
        </w:rPr>
        <w:t xml:space="preserve">8% higher sectors, </w:t>
      </w:r>
      <w:r w:rsidRPr="00C3633A">
        <w:rPr>
          <w:rFonts w:ascii="Calibri" w:hAnsi="Calibri" w:cs="Calibri"/>
          <w:sz w:val="22"/>
          <w:szCs w:val="22"/>
        </w:rPr>
        <w:t xml:space="preserve">investment </w:t>
      </w:r>
      <w:r>
        <w:rPr>
          <w:rFonts w:ascii="Calibri" w:hAnsi="Calibri" w:cs="Calibri"/>
          <w:sz w:val="22"/>
          <w:szCs w:val="22"/>
        </w:rPr>
        <w:t xml:space="preserve">in </w:t>
      </w:r>
      <w:r w:rsidRPr="00C3633A">
        <w:rPr>
          <w:rFonts w:ascii="Calibri" w:hAnsi="Calibri" w:cs="Calibri"/>
          <w:sz w:val="22"/>
          <w:szCs w:val="22"/>
        </w:rPr>
        <w:t>operational resilience with higher crewing ratios, restoration of Covid-19 pay reductions</w:t>
      </w:r>
      <w:r w:rsidR="003A428B">
        <w:rPr>
          <w:rFonts w:ascii="Calibri" w:hAnsi="Calibri" w:cs="Calibri"/>
          <w:sz w:val="22"/>
          <w:szCs w:val="22"/>
        </w:rPr>
        <w:t xml:space="preserve"> and</w:t>
      </w:r>
      <w:r w:rsidRPr="00C3633A">
        <w:rPr>
          <w:rFonts w:ascii="Calibri" w:hAnsi="Calibri" w:cs="Calibri"/>
          <w:sz w:val="22"/>
          <w:szCs w:val="22"/>
        </w:rPr>
        <w:t xml:space="preserve"> crew </w:t>
      </w:r>
      <w:r w:rsidR="00E20394">
        <w:rPr>
          <w:rFonts w:ascii="Calibri" w:hAnsi="Calibri" w:cs="Calibri"/>
          <w:sz w:val="22"/>
          <w:szCs w:val="22"/>
        </w:rPr>
        <w:t xml:space="preserve">productivity </w:t>
      </w:r>
      <w:r w:rsidRPr="00C3633A">
        <w:rPr>
          <w:rFonts w:ascii="Calibri" w:hAnsi="Calibri" w:cs="Calibri"/>
          <w:sz w:val="22"/>
          <w:szCs w:val="22"/>
        </w:rPr>
        <w:t>pay increases implemented.</w:t>
      </w:r>
    </w:p>
    <w:p w14:paraId="645F4B34" w14:textId="77777777" w:rsidR="007850A0" w:rsidRDefault="007850A0" w:rsidP="007850A0">
      <w:pPr>
        <w:ind w:right="-142"/>
        <w:jc w:val="both"/>
        <w:rPr>
          <w:rFonts w:ascii="Calibri" w:hAnsi="Calibri" w:cs="Calibri"/>
          <w:b/>
          <w:sz w:val="22"/>
          <w:szCs w:val="22"/>
        </w:rPr>
      </w:pPr>
    </w:p>
    <w:p w14:paraId="36D505F9" w14:textId="77777777" w:rsidR="007850A0" w:rsidRPr="00C3633A" w:rsidRDefault="007850A0" w:rsidP="007850A0">
      <w:pPr>
        <w:ind w:right="-142"/>
        <w:jc w:val="both"/>
        <w:rPr>
          <w:rFonts w:ascii="Calibri" w:hAnsi="Calibri" w:cs="Calibri"/>
          <w:b/>
          <w:sz w:val="22"/>
          <w:szCs w:val="22"/>
        </w:rPr>
      </w:pPr>
      <w:r w:rsidRPr="00C3633A">
        <w:rPr>
          <w:rFonts w:ascii="Calibri" w:hAnsi="Calibri" w:cs="Calibri"/>
          <w:b/>
          <w:sz w:val="22"/>
          <w:szCs w:val="22"/>
        </w:rPr>
        <w:t>Airport and handling charges:</w:t>
      </w:r>
    </w:p>
    <w:bookmarkEnd w:id="8"/>
    <w:p w14:paraId="2552F381" w14:textId="77777777" w:rsidR="007850A0" w:rsidRPr="00607DDD" w:rsidRDefault="007850A0" w:rsidP="007850A0">
      <w:pPr>
        <w:ind w:right="-142"/>
        <w:jc w:val="both"/>
        <w:rPr>
          <w:rFonts w:ascii="Calibri" w:hAnsi="Calibri" w:cs="Calibri"/>
          <w:sz w:val="22"/>
          <w:szCs w:val="22"/>
          <w:highlight w:val="yellow"/>
        </w:rPr>
      </w:pPr>
      <w:r w:rsidRPr="00C3633A">
        <w:rPr>
          <w:rFonts w:ascii="Calibri" w:hAnsi="Calibri" w:cs="Calibri"/>
          <w:sz w:val="22"/>
          <w:szCs w:val="22"/>
        </w:rPr>
        <w:t xml:space="preserve">Airport and handling charges rose </w:t>
      </w:r>
      <w:r w:rsidRPr="00C3633A">
        <w:rPr>
          <w:rFonts w:ascii="Calibri" w:hAnsi="Calibri" w:cs="Calibri"/>
          <w:b/>
          <w:bCs/>
          <w:sz w:val="22"/>
          <w:szCs w:val="22"/>
        </w:rPr>
        <w:t>14% to €326M</w:t>
      </w:r>
      <w:r w:rsidRPr="00C3633A">
        <w:rPr>
          <w:rFonts w:ascii="Calibri" w:hAnsi="Calibri" w:cs="Calibri"/>
          <w:sz w:val="22"/>
          <w:szCs w:val="22"/>
        </w:rPr>
        <w:t xml:space="preserve">, due </w:t>
      </w:r>
      <w:r w:rsidRPr="00D05039">
        <w:rPr>
          <w:rFonts w:ascii="Calibri" w:hAnsi="Calibri" w:cs="Calibri"/>
          <w:sz w:val="22"/>
          <w:szCs w:val="22"/>
        </w:rPr>
        <w:t xml:space="preserve">to 7% traffic growth, higher </w:t>
      </w:r>
      <w:r w:rsidR="003A428B">
        <w:rPr>
          <w:rFonts w:ascii="Calibri" w:hAnsi="Calibri" w:cs="Calibri"/>
          <w:sz w:val="22"/>
          <w:szCs w:val="22"/>
        </w:rPr>
        <w:t xml:space="preserve">ground </w:t>
      </w:r>
      <w:r w:rsidRPr="00D05039">
        <w:rPr>
          <w:rFonts w:ascii="Calibri" w:hAnsi="Calibri" w:cs="Calibri"/>
          <w:sz w:val="22"/>
          <w:szCs w:val="22"/>
        </w:rPr>
        <w:t>ATC</w:t>
      </w:r>
      <w:r w:rsidR="003A428B">
        <w:rPr>
          <w:rFonts w:ascii="Calibri" w:hAnsi="Calibri" w:cs="Calibri"/>
          <w:sz w:val="22"/>
          <w:szCs w:val="22"/>
        </w:rPr>
        <w:t xml:space="preserve"> and handling</w:t>
      </w:r>
      <w:r w:rsidRPr="00D05039">
        <w:rPr>
          <w:rFonts w:ascii="Calibri" w:hAnsi="Calibri" w:cs="Calibri"/>
          <w:sz w:val="22"/>
          <w:szCs w:val="22"/>
        </w:rPr>
        <w:t xml:space="preserve"> rates, and termination of temporary Covid reliefs (included in the prior period comparative).</w:t>
      </w:r>
    </w:p>
    <w:p w14:paraId="7A5471BA" w14:textId="77777777" w:rsidR="007850A0" w:rsidRPr="00C3633A" w:rsidRDefault="007850A0" w:rsidP="007850A0">
      <w:pPr>
        <w:ind w:right="-142"/>
        <w:jc w:val="both"/>
        <w:rPr>
          <w:rFonts w:ascii="Calibri" w:hAnsi="Calibri" w:cs="Calibri"/>
          <w:sz w:val="22"/>
          <w:szCs w:val="22"/>
        </w:rPr>
      </w:pPr>
    </w:p>
    <w:p w14:paraId="149BF2EB" w14:textId="77777777" w:rsidR="007850A0" w:rsidRPr="00C3633A" w:rsidRDefault="007850A0" w:rsidP="007850A0">
      <w:pPr>
        <w:ind w:right="-142"/>
        <w:jc w:val="both"/>
        <w:rPr>
          <w:rFonts w:ascii="Calibri" w:hAnsi="Calibri" w:cs="Calibri"/>
          <w:b/>
          <w:sz w:val="22"/>
          <w:szCs w:val="22"/>
        </w:rPr>
      </w:pPr>
      <w:r w:rsidRPr="00C3633A">
        <w:rPr>
          <w:rFonts w:ascii="Calibri" w:hAnsi="Calibri" w:cs="Calibri"/>
          <w:b/>
          <w:sz w:val="22"/>
          <w:szCs w:val="22"/>
        </w:rPr>
        <w:t>Depreciation:</w:t>
      </w:r>
    </w:p>
    <w:p w14:paraId="3DC2EF12" w14:textId="77777777" w:rsidR="007850A0" w:rsidRPr="00C3633A" w:rsidRDefault="007850A0" w:rsidP="003A428B">
      <w:pPr>
        <w:ind w:right="-142"/>
        <w:jc w:val="both"/>
        <w:rPr>
          <w:rFonts w:ascii="Calibri" w:hAnsi="Calibri" w:cs="Calibri"/>
          <w:sz w:val="22"/>
          <w:szCs w:val="22"/>
        </w:rPr>
      </w:pPr>
      <w:r w:rsidRPr="00C3633A">
        <w:rPr>
          <w:rFonts w:ascii="Calibri" w:hAnsi="Calibri" w:cs="Calibri"/>
          <w:sz w:val="22"/>
          <w:szCs w:val="22"/>
        </w:rPr>
        <w:t xml:space="preserve">Depreciation increased </w:t>
      </w:r>
      <w:r w:rsidRPr="00C3633A">
        <w:rPr>
          <w:rFonts w:ascii="Calibri" w:hAnsi="Calibri" w:cs="Calibri"/>
          <w:b/>
          <w:bCs/>
          <w:sz w:val="22"/>
          <w:szCs w:val="22"/>
        </w:rPr>
        <w:t>24% to €263M</w:t>
      </w:r>
      <w:r w:rsidRPr="00C3633A">
        <w:rPr>
          <w:rFonts w:ascii="Calibri" w:hAnsi="Calibri" w:cs="Calibri"/>
          <w:sz w:val="22"/>
          <w:szCs w:val="22"/>
        </w:rPr>
        <w:t>, primarily due to higher amortisation resulting from higher aircraft utilisation (</w:t>
      </w:r>
      <w:r>
        <w:rPr>
          <w:rFonts w:ascii="Calibri" w:hAnsi="Calibri" w:cs="Calibri"/>
          <w:sz w:val="22"/>
          <w:szCs w:val="22"/>
        </w:rPr>
        <w:t>flight hours</w:t>
      </w:r>
      <w:r w:rsidRPr="00C3633A">
        <w:rPr>
          <w:rFonts w:ascii="Calibri" w:hAnsi="Calibri" w:cs="Calibri"/>
          <w:sz w:val="22"/>
          <w:szCs w:val="22"/>
        </w:rPr>
        <w:t xml:space="preserve"> up </w:t>
      </w:r>
      <w:r>
        <w:rPr>
          <w:rFonts w:ascii="Calibri" w:hAnsi="Calibri" w:cs="Calibri"/>
          <w:sz w:val="22"/>
          <w:szCs w:val="22"/>
        </w:rPr>
        <w:t>9</w:t>
      </w:r>
      <w:r w:rsidRPr="00C3633A">
        <w:rPr>
          <w:rFonts w:ascii="Calibri" w:hAnsi="Calibri" w:cs="Calibri"/>
          <w:sz w:val="22"/>
          <w:szCs w:val="22"/>
        </w:rPr>
        <w:t xml:space="preserve">%), the delivery of 52 new “Gamechanger” aircraft and increased depreciation on capitalised maintenance for leased A320 aircraft (24 leases were extended in Q2 FY23). </w:t>
      </w:r>
      <w:r w:rsidR="003A428B" w:rsidRPr="003A428B">
        <w:rPr>
          <w:rFonts w:ascii="Calibri" w:hAnsi="Calibri" w:cs="Calibri"/>
          <w:sz w:val="22"/>
          <w:szCs w:val="22"/>
        </w:rPr>
        <w:t>There is a partial timing offset in maintenance, materials and repairs below, arising from the extension of A320 leases in FY23.</w:t>
      </w:r>
    </w:p>
    <w:p w14:paraId="7A5A6D3D" w14:textId="77777777" w:rsidR="007850A0" w:rsidRDefault="007850A0" w:rsidP="007850A0">
      <w:pPr>
        <w:ind w:right="-142"/>
        <w:jc w:val="both"/>
        <w:rPr>
          <w:rFonts w:ascii="Calibri" w:hAnsi="Calibri" w:cs="Calibri"/>
          <w:b/>
          <w:sz w:val="22"/>
          <w:szCs w:val="22"/>
        </w:rPr>
      </w:pPr>
    </w:p>
    <w:p w14:paraId="7A1DA5FB" w14:textId="77777777" w:rsidR="007850A0" w:rsidRPr="00C3633A" w:rsidRDefault="007850A0" w:rsidP="007850A0">
      <w:pPr>
        <w:ind w:right="-142"/>
        <w:jc w:val="both"/>
        <w:rPr>
          <w:rFonts w:ascii="Calibri" w:hAnsi="Calibri" w:cs="Calibri"/>
          <w:b/>
          <w:sz w:val="22"/>
          <w:szCs w:val="22"/>
        </w:rPr>
      </w:pPr>
      <w:r w:rsidRPr="00C3633A">
        <w:rPr>
          <w:rFonts w:ascii="Calibri" w:hAnsi="Calibri" w:cs="Calibri"/>
          <w:b/>
          <w:sz w:val="22"/>
          <w:szCs w:val="22"/>
        </w:rPr>
        <w:t>Route charges:</w:t>
      </w:r>
    </w:p>
    <w:p w14:paraId="5E7592E1" w14:textId="77777777" w:rsidR="007850A0" w:rsidRPr="00507772" w:rsidRDefault="007850A0" w:rsidP="007850A0">
      <w:pPr>
        <w:ind w:right="-142"/>
        <w:jc w:val="both"/>
        <w:rPr>
          <w:rFonts w:ascii="Calibri" w:hAnsi="Calibri" w:cs="Calibri"/>
          <w:sz w:val="22"/>
          <w:szCs w:val="22"/>
        </w:rPr>
      </w:pPr>
      <w:r w:rsidRPr="00507772">
        <w:rPr>
          <w:rFonts w:ascii="Calibri" w:hAnsi="Calibri" w:cs="Calibri"/>
          <w:sz w:val="22"/>
          <w:szCs w:val="22"/>
        </w:rPr>
        <w:t xml:space="preserve">Route charges increased </w:t>
      </w:r>
      <w:r w:rsidRPr="00507772">
        <w:rPr>
          <w:rFonts w:ascii="Calibri" w:hAnsi="Calibri" w:cs="Calibri"/>
          <w:b/>
          <w:bCs/>
          <w:sz w:val="22"/>
          <w:szCs w:val="22"/>
        </w:rPr>
        <w:t>18% to €237M</w:t>
      </w:r>
      <w:r w:rsidRPr="00507772">
        <w:rPr>
          <w:rFonts w:ascii="Calibri" w:hAnsi="Calibri" w:cs="Calibri"/>
          <w:sz w:val="22"/>
          <w:szCs w:val="22"/>
        </w:rPr>
        <w:t>, due to 9% increase in flight hours and higher Eurocontrol rates.</w:t>
      </w:r>
    </w:p>
    <w:p w14:paraId="5F90B5F3" w14:textId="77777777" w:rsidR="007850A0" w:rsidRPr="00507772" w:rsidRDefault="007850A0" w:rsidP="007850A0">
      <w:pPr>
        <w:ind w:right="-142"/>
        <w:jc w:val="both"/>
        <w:rPr>
          <w:rFonts w:ascii="Calibri" w:hAnsi="Calibri" w:cs="Calibri"/>
          <w:b/>
          <w:sz w:val="22"/>
          <w:szCs w:val="22"/>
        </w:rPr>
      </w:pPr>
    </w:p>
    <w:p w14:paraId="4DA120EA" w14:textId="77777777" w:rsidR="007850A0" w:rsidRPr="00507772" w:rsidRDefault="007850A0" w:rsidP="007850A0">
      <w:pPr>
        <w:ind w:right="-142"/>
        <w:jc w:val="both"/>
        <w:rPr>
          <w:rFonts w:ascii="Calibri" w:hAnsi="Calibri" w:cs="Calibri"/>
          <w:b/>
          <w:sz w:val="22"/>
          <w:szCs w:val="22"/>
        </w:rPr>
      </w:pPr>
      <w:r w:rsidRPr="00507772">
        <w:rPr>
          <w:rFonts w:ascii="Calibri" w:hAnsi="Calibri" w:cs="Calibri"/>
          <w:b/>
          <w:sz w:val="22"/>
          <w:szCs w:val="22"/>
        </w:rPr>
        <w:t xml:space="preserve">Marketing, distribution and other: </w:t>
      </w:r>
    </w:p>
    <w:p w14:paraId="39789197" w14:textId="77777777" w:rsidR="00E648C7" w:rsidRDefault="007850A0" w:rsidP="007850A0">
      <w:pPr>
        <w:ind w:right="-142"/>
        <w:jc w:val="both"/>
        <w:rPr>
          <w:rFonts w:ascii="Calibri" w:hAnsi="Calibri" w:cs="Calibri"/>
          <w:sz w:val="22"/>
          <w:szCs w:val="22"/>
        </w:rPr>
      </w:pPr>
      <w:r w:rsidRPr="00507772">
        <w:rPr>
          <w:rFonts w:ascii="Calibri" w:hAnsi="Calibri" w:cs="Calibri"/>
          <w:sz w:val="22"/>
          <w:szCs w:val="22"/>
        </w:rPr>
        <w:t xml:space="preserve">Marketing, distribution and </w:t>
      </w:r>
      <w:r w:rsidR="00D54BBF">
        <w:rPr>
          <w:rFonts w:ascii="Calibri" w:hAnsi="Calibri" w:cs="Calibri"/>
          <w:sz w:val="22"/>
          <w:szCs w:val="22"/>
        </w:rPr>
        <w:t xml:space="preserve">other </w:t>
      </w:r>
      <w:r w:rsidR="00433F00">
        <w:rPr>
          <w:rFonts w:ascii="Calibri" w:hAnsi="Calibri" w:cs="Calibri"/>
          <w:sz w:val="22"/>
          <w:szCs w:val="22"/>
        </w:rPr>
        <w:t>dropped marginally (€5M)</w:t>
      </w:r>
      <w:r w:rsidRPr="00507772">
        <w:rPr>
          <w:rFonts w:ascii="Calibri" w:hAnsi="Calibri" w:cs="Calibri"/>
          <w:b/>
          <w:bCs/>
          <w:sz w:val="22"/>
          <w:szCs w:val="22"/>
        </w:rPr>
        <w:t xml:space="preserve"> to €155M</w:t>
      </w:r>
      <w:r w:rsidRPr="00507772">
        <w:rPr>
          <w:rFonts w:ascii="Calibri" w:hAnsi="Calibri" w:cs="Calibri"/>
          <w:sz w:val="22"/>
          <w:szCs w:val="22"/>
        </w:rPr>
        <w:t xml:space="preserve"> </w:t>
      </w:r>
      <w:bookmarkStart w:id="9" w:name="_Hlk155683402"/>
      <w:r w:rsidR="00433F00">
        <w:rPr>
          <w:rFonts w:ascii="Calibri" w:hAnsi="Calibri" w:cs="Calibri"/>
          <w:sz w:val="22"/>
          <w:szCs w:val="22"/>
        </w:rPr>
        <w:t>due to</w:t>
      </w:r>
      <w:r w:rsidR="00E20394">
        <w:rPr>
          <w:rFonts w:ascii="Calibri" w:hAnsi="Calibri" w:cs="Calibri"/>
          <w:sz w:val="22"/>
          <w:szCs w:val="22"/>
        </w:rPr>
        <w:t xml:space="preserve"> lower</w:t>
      </w:r>
      <w:r w:rsidR="008F7DBD" w:rsidRPr="00507772">
        <w:rPr>
          <w:rFonts w:ascii="Calibri" w:hAnsi="Calibri" w:cs="Calibri"/>
          <w:sz w:val="22"/>
          <w:szCs w:val="22"/>
        </w:rPr>
        <w:t xml:space="preserve"> </w:t>
      </w:r>
      <w:bookmarkEnd w:id="9"/>
      <w:r w:rsidR="008F7DBD" w:rsidRPr="00507772">
        <w:rPr>
          <w:rFonts w:ascii="Calibri" w:hAnsi="Calibri" w:cs="Calibri"/>
          <w:sz w:val="22"/>
          <w:szCs w:val="22"/>
        </w:rPr>
        <w:t xml:space="preserve">marketing </w:t>
      </w:r>
      <w:r w:rsidR="00433F00">
        <w:rPr>
          <w:rFonts w:ascii="Calibri" w:hAnsi="Calibri" w:cs="Calibri"/>
          <w:sz w:val="22"/>
          <w:szCs w:val="22"/>
        </w:rPr>
        <w:t>and other expenses</w:t>
      </w:r>
      <w:r w:rsidRPr="00507772">
        <w:rPr>
          <w:rFonts w:ascii="Calibri" w:hAnsi="Calibri" w:cs="Calibri"/>
          <w:sz w:val="22"/>
          <w:szCs w:val="22"/>
        </w:rPr>
        <w:t>.</w:t>
      </w:r>
      <w:bookmarkStart w:id="10" w:name="_Hlk526772342"/>
    </w:p>
    <w:p w14:paraId="61762CDD" w14:textId="77777777" w:rsidR="007850A0" w:rsidRPr="00C3633A" w:rsidRDefault="00E648C7" w:rsidP="007850A0">
      <w:pPr>
        <w:ind w:right="-142"/>
        <w:jc w:val="both"/>
        <w:rPr>
          <w:rFonts w:ascii="Calibri" w:hAnsi="Calibri" w:cs="Calibri"/>
          <w:b/>
          <w:sz w:val="22"/>
          <w:szCs w:val="22"/>
        </w:rPr>
      </w:pPr>
      <w:r>
        <w:rPr>
          <w:rFonts w:ascii="Calibri" w:hAnsi="Calibri" w:cs="Calibri"/>
          <w:sz w:val="22"/>
          <w:szCs w:val="22"/>
        </w:rPr>
        <w:br w:type="page"/>
      </w:r>
      <w:r w:rsidR="007850A0" w:rsidRPr="00C3633A">
        <w:rPr>
          <w:rFonts w:ascii="Calibri" w:hAnsi="Calibri" w:cs="Calibri"/>
          <w:b/>
          <w:sz w:val="22"/>
          <w:szCs w:val="22"/>
        </w:rPr>
        <w:lastRenderedPageBreak/>
        <w:t xml:space="preserve">Maintenance, materials and repairs: </w:t>
      </w:r>
    </w:p>
    <w:bookmarkEnd w:id="10"/>
    <w:p w14:paraId="0DA4006A" w14:textId="77777777" w:rsidR="007850A0" w:rsidRPr="0081763F" w:rsidRDefault="007850A0" w:rsidP="007850A0">
      <w:pPr>
        <w:ind w:right="-142"/>
        <w:jc w:val="both"/>
        <w:rPr>
          <w:rFonts w:ascii="Calibri" w:hAnsi="Calibri" w:cs="Calibri"/>
          <w:sz w:val="22"/>
          <w:szCs w:val="22"/>
        </w:rPr>
      </w:pPr>
      <w:r w:rsidRPr="00C3633A">
        <w:rPr>
          <w:rFonts w:ascii="Calibri" w:hAnsi="Calibri" w:cs="Calibri"/>
          <w:sz w:val="22"/>
          <w:szCs w:val="22"/>
        </w:rPr>
        <w:t xml:space="preserve">Maintenance, materials and repairs increased </w:t>
      </w:r>
      <w:r w:rsidRPr="00C3633A">
        <w:rPr>
          <w:rFonts w:ascii="Calibri" w:hAnsi="Calibri" w:cs="Calibri"/>
          <w:b/>
          <w:bCs/>
          <w:sz w:val="22"/>
          <w:szCs w:val="22"/>
        </w:rPr>
        <w:t>40% to €130M</w:t>
      </w:r>
      <w:r w:rsidRPr="00C3633A">
        <w:rPr>
          <w:rFonts w:ascii="Calibri" w:hAnsi="Calibri" w:cs="Calibri"/>
          <w:sz w:val="22"/>
          <w:szCs w:val="22"/>
        </w:rPr>
        <w:t xml:space="preserve"> due to the timing of aircraft checks</w:t>
      </w:r>
      <w:r w:rsidR="00633FF4">
        <w:rPr>
          <w:rFonts w:ascii="Calibri" w:hAnsi="Calibri" w:cs="Calibri"/>
          <w:sz w:val="22"/>
          <w:szCs w:val="22"/>
        </w:rPr>
        <w:t xml:space="preserve"> from Q4</w:t>
      </w:r>
      <w:r>
        <w:rPr>
          <w:rFonts w:ascii="Calibri" w:hAnsi="Calibri" w:cs="Calibri"/>
          <w:sz w:val="22"/>
          <w:szCs w:val="22"/>
        </w:rPr>
        <w:t>, higher utilisation</w:t>
      </w:r>
      <w:r w:rsidR="00E20394">
        <w:rPr>
          <w:rFonts w:ascii="Calibri" w:hAnsi="Calibri" w:cs="Calibri"/>
          <w:sz w:val="22"/>
          <w:szCs w:val="22"/>
        </w:rPr>
        <w:t>, engineering pay increases</w:t>
      </w:r>
      <w:r>
        <w:rPr>
          <w:rFonts w:ascii="Calibri" w:hAnsi="Calibri" w:cs="Calibri"/>
          <w:sz w:val="22"/>
          <w:szCs w:val="22"/>
        </w:rPr>
        <w:t xml:space="preserve"> and </w:t>
      </w:r>
      <w:r w:rsidR="003A428B">
        <w:rPr>
          <w:rFonts w:ascii="Calibri" w:hAnsi="Calibri" w:cs="Calibri"/>
          <w:sz w:val="22"/>
          <w:szCs w:val="22"/>
        </w:rPr>
        <w:t xml:space="preserve">A320 lease </w:t>
      </w:r>
      <w:r>
        <w:rPr>
          <w:rFonts w:ascii="Calibri" w:hAnsi="Calibri" w:cs="Calibri"/>
          <w:sz w:val="22"/>
          <w:szCs w:val="22"/>
        </w:rPr>
        <w:t>handback</w:t>
      </w:r>
      <w:r w:rsidR="003A428B">
        <w:rPr>
          <w:rFonts w:ascii="Calibri" w:hAnsi="Calibri" w:cs="Calibri"/>
          <w:sz w:val="22"/>
          <w:szCs w:val="22"/>
        </w:rPr>
        <w:t xml:space="preserve"> cost</w:t>
      </w:r>
      <w:r>
        <w:rPr>
          <w:rFonts w:ascii="Calibri" w:hAnsi="Calibri" w:cs="Calibri"/>
          <w:sz w:val="22"/>
          <w:szCs w:val="22"/>
        </w:rPr>
        <w:t>s.</w:t>
      </w:r>
      <w:r w:rsidR="003A428B">
        <w:rPr>
          <w:rFonts w:ascii="Calibri" w:hAnsi="Calibri" w:cs="Calibri"/>
          <w:sz w:val="22"/>
          <w:szCs w:val="22"/>
        </w:rPr>
        <w:t xml:space="preserve"> </w:t>
      </w:r>
      <w:r w:rsidR="003A428B" w:rsidRPr="003A428B">
        <w:rPr>
          <w:rFonts w:ascii="Calibri" w:hAnsi="Calibri" w:cs="Calibri"/>
          <w:sz w:val="22"/>
          <w:szCs w:val="22"/>
        </w:rPr>
        <w:t xml:space="preserve">There is a partial timing offset in </w:t>
      </w:r>
      <w:r w:rsidR="003A428B">
        <w:rPr>
          <w:rFonts w:ascii="Calibri" w:hAnsi="Calibri" w:cs="Calibri"/>
          <w:sz w:val="22"/>
          <w:szCs w:val="22"/>
        </w:rPr>
        <w:t>depreciation</w:t>
      </w:r>
      <w:r w:rsidR="003A428B" w:rsidRPr="003A428B">
        <w:rPr>
          <w:rFonts w:ascii="Calibri" w:hAnsi="Calibri" w:cs="Calibri"/>
          <w:sz w:val="22"/>
          <w:szCs w:val="22"/>
        </w:rPr>
        <w:t xml:space="preserve"> </w:t>
      </w:r>
      <w:r w:rsidR="003A428B">
        <w:rPr>
          <w:rFonts w:ascii="Calibri" w:hAnsi="Calibri" w:cs="Calibri"/>
          <w:sz w:val="22"/>
          <w:szCs w:val="22"/>
        </w:rPr>
        <w:t>above</w:t>
      </w:r>
      <w:r w:rsidR="003A428B" w:rsidRPr="003A428B">
        <w:rPr>
          <w:rFonts w:ascii="Calibri" w:hAnsi="Calibri" w:cs="Calibri"/>
          <w:sz w:val="22"/>
          <w:szCs w:val="22"/>
        </w:rPr>
        <w:t>, arising from the extension of A320 leases in FY23.</w:t>
      </w:r>
    </w:p>
    <w:p w14:paraId="67B0AC16" w14:textId="77777777" w:rsidR="003A428B" w:rsidRDefault="003A428B" w:rsidP="007850A0">
      <w:pPr>
        <w:ind w:right="-142"/>
        <w:jc w:val="both"/>
        <w:rPr>
          <w:rFonts w:ascii="Calibri" w:hAnsi="Calibri" w:cs="Calibri"/>
          <w:b/>
          <w:sz w:val="22"/>
          <w:szCs w:val="22"/>
        </w:rPr>
      </w:pPr>
    </w:p>
    <w:p w14:paraId="7FC6B010" w14:textId="77777777" w:rsidR="007850A0" w:rsidRPr="008930E7" w:rsidRDefault="007850A0" w:rsidP="007850A0">
      <w:pPr>
        <w:ind w:right="-142"/>
        <w:jc w:val="both"/>
        <w:rPr>
          <w:rFonts w:ascii="Calibri" w:hAnsi="Calibri" w:cs="Calibri"/>
          <w:b/>
          <w:sz w:val="22"/>
          <w:szCs w:val="22"/>
        </w:rPr>
      </w:pPr>
      <w:r w:rsidRPr="008930E7">
        <w:rPr>
          <w:rFonts w:ascii="Calibri" w:hAnsi="Calibri" w:cs="Calibri"/>
          <w:b/>
          <w:sz w:val="22"/>
          <w:szCs w:val="22"/>
        </w:rPr>
        <w:t xml:space="preserve">Other </w:t>
      </w:r>
      <w:r w:rsidR="00E624C2">
        <w:rPr>
          <w:rFonts w:ascii="Calibri" w:hAnsi="Calibri" w:cs="Calibri"/>
          <w:b/>
          <w:sz w:val="22"/>
          <w:szCs w:val="22"/>
        </w:rPr>
        <w:t>income/(</w:t>
      </w:r>
      <w:r w:rsidRPr="008930E7">
        <w:rPr>
          <w:rFonts w:ascii="Calibri" w:hAnsi="Calibri" w:cs="Calibri"/>
          <w:b/>
          <w:sz w:val="22"/>
          <w:szCs w:val="22"/>
        </w:rPr>
        <w:t>expense</w:t>
      </w:r>
      <w:r w:rsidR="00E624C2">
        <w:rPr>
          <w:rFonts w:ascii="Calibri" w:hAnsi="Calibri" w:cs="Calibri"/>
          <w:b/>
          <w:sz w:val="22"/>
          <w:szCs w:val="22"/>
        </w:rPr>
        <w:t>)</w:t>
      </w:r>
      <w:r w:rsidRPr="008930E7">
        <w:rPr>
          <w:rFonts w:ascii="Calibri" w:hAnsi="Calibri" w:cs="Calibri"/>
          <w:b/>
          <w:sz w:val="22"/>
          <w:szCs w:val="22"/>
        </w:rPr>
        <w:t>:</w:t>
      </w:r>
      <w:r w:rsidRPr="008930E7">
        <w:rPr>
          <w:rFonts w:ascii="Calibri" w:hAnsi="Calibri" w:cs="Calibri"/>
          <w:b/>
          <w:sz w:val="22"/>
          <w:szCs w:val="22"/>
        </w:rPr>
        <w:tab/>
      </w:r>
    </w:p>
    <w:p w14:paraId="045D617C" w14:textId="77777777" w:rsidR="007850A0" w:rsidRPr="008930E7" w:rsidRDefault="007850A0" w:rsidP="007850A0">
      <w:pPr>
        <w:ind w:right="-142"/>
        <w:jc w:val="both"/>
        <w:rPr>
          <w:rFonts w:ascii="Calibri" w:hAnsi="Calibri" w:cs="Calibri"/>
          <w:sz w:val="22"/>
          <w:szCs w:val="22"/>
        </w:rPr>
      </w:pPr>
      <w:r w:rsidRPr="008930E7">
        <w:rPr>
          <w:rFonts w:ascii="Calibri" w:hAnsi="Calibri" w:cs="Calibri"/>
          <w:sz w:val="22"/>
          <w:szCs w:val="22"/>
        </w:rPr>
        <w:t xml:space="preserve">Net finance income was positive at </w:t>
      </w:r>
      <w:r w:rsidRPr="008930E7">
        <w:rPr>
          <w:rFonts w:ascii="Calibri" w:hAnsi="Calibri" w:cs="Calibri"/>
          <w:b/>
          <w:bCs/>
          <w:sz w:val="22"/>
          <w:szCs w:val="22"/>
        </w:rPr>
        <w:t xml:space="preserve">€16M </w:t>
      </w:r>
      <w:r w:rsidRPr="008930E7">
        <w:rPr>
          <w:rFonts w:ascii="Calibri" w:hAnsi="Calibri" w:cs="Calibri"/>
          <w:sz w:val="22"/>
          <w:szCs w:val="22"/>
        </w:rPr>
        <w:t xml:space="preserve">due to </w:t>
      </w:r>
      <w:r w:rsidR="00E20394">
        <w:rPr>
          <w:rFonts w:ascii="Calibri" w:hAnsi="Calibri" w:cs="Calibri"/>
          <w:sz w:val="22"/>
          <w:szCs w:val="22"/>
        </w:rPr>
        <w:t>higher</w:t>
      </w:r>
      <w:r w:rsidRPr="008930E7">
        <w:rPr>
          <w:rFonts w:ascii="Calibri" w:hAnsi="Calibri" w:cs="Calibri"/>
          <w:sz w:val="22"/>
          <w:szCs w:val="22"/>
        </w:rPr>
        <w:t xml:space="preserve"> deposit interest rates, lower gross debt and a net cash position throughout the period. Foreign exchange translation reflects the impact of €/US$ exchange rate movements on balance sheet revaluations.</w:t>
      </w:r>
    </w:p>
    <w:p w14:paraId="0D717557" w14:textId="77777777" w:rsidR="007850A0" w:rsidRDefault="007850A0" w:rsidP="003414FD">
      <w:pPr>
        <w:ind w:right="-142"/>
        <w:jc w:val="both"/>
        <w:rPr>
          <w:rFonts w:ascii="Calibri" w:hAnsi="Calibri" w:cs="Calibri"/>
          <w:b/>
          <w:sz w:val="22"/>
          <w:szCs w:val="22"/>
        </w:rPr>
      </w:pPr>
    </w:p>
    <w:p w14:paraId="54AF5349" w14:textId="77777777" w:rsidR="00CA6F7F" w:rsidRPr="00607DDD" w:rsidRDefault="00CA6F7F" w:rsidP="00892846">
      <w:pPr>
        <w:ind w:right="-142"/>
        <w:jc w:val="both"/>
        <w:rPr>
          <w:rFonts w:ascii="Calibri" w:hAnsi="Calibri" w:cs="Calibri"/>
          <w:b/>
          <w:sz w:val="22"/>
          <w:szCs w:val="22"/>
        </w:rPr>
      </w:pPr>
      <w:bookmarkStart w:id="11" w:name="_Hlk496863401"/>
      <w:bookmarkStart w:id="12" w:name="_Hlk527704259"/>
    </w:p>
    <w:p w14:paraId="651AF8B3" w14:textId="77777777" w:rsidR="00063A4D" w:rsidRPr="00E6113C" w:rsidRDefault="00655B29" w:rsidP="00CE13BB">
      <w:pPr>
        <w:pStyle w:val="CG-Title-Center-Bold"/>
        <w:keepNext w:val="0"/>
        <w:tabs>
          <w:tab w:val="left" w:pos="-600"/>
          <w:tab w:val="left" w:pos="6120"/>
          <w:tab w:val="left" w:pos="6360"/>
          <w:tab w:val="left" w:pos="7800"/>
        </w:tabs>
        <w:spacing w:after="0"/>
        <w:ind w:left="-601" w:right="-142"/>
        <w:rPr>
          <w:rFonts w:ascii="Calibri" w:hAnsi="Calibri" w:cs="Calibri"/>
          <w:sz w:val="24"/>
          <w:szCs w:val="24"/>
        </w:rPr>
      </w:pPr>
      <w:r w:rsidRPr="0081763F">
        <w:rPr>
          <w:rFonts w:ascii="Calibri" w:hAnsi="Calibri" w:cs="Calibri"/>
          <w:sz w:val="24"/>
          <w:szCs w:val="24"/>
        </w:rPr>
        <w:br w:type="page"/>
      </w:r>
      <w:r w:rsidR="00063A4D" w:rsidRPr="00E6113C">
        <w:rPr>
          <w:rFonts w:ascii="Calibri" w:hAnsi="Calibri" w:cs="Calibri"/>
          <w:sz w:val="24"/>
          <w:szCs w:val="24"/>
        </w:rPr>
        <w:lastRenderedPageBreak/>
        <w:t>Ryanair Holdings plc and Subsidiaries</w:t>
      </w:r>
    </w:p>
    <w:p w14:paraId="56C3DB6B" w14:textId="77777777" w:rsidR="00063A4D" w:rsidRPr="00E6113C" w:rsidRDefault="00063A4D" w:rsidP="00CE13BB">
      <w:pPr>
        <w:pStyle w:val="CG-Title-Center-Bold"/>
        <w:keepNext w:val="0"/>
        <w:tabs>
          <w:tab w:val="left" w:pos="-600"/>
          <w:tab w:val="left" w:pos="6120"/>
          <w:tab w:val="left" w:pos="6360"/>
          <w:tab w:val="left" w:pos="7800"/>
        </w:tabs>
        <w:spacing w:after="0"/>
        <w:ind w:left="-601" w:right="-142"/>
        <w:rPr>
          <w:rFonts w:ascii="Calibri" w:hAnsi="Calibri" w:cs="Calibri"/>
          <w:sz w:val="24"/>
          <w:szCs w:val="24"/>
        </w:rPr>
      </w:pPr>
      <w:r w:rsidRPr="00E6113C">
        <w:rPr>
          <w:rFonts w:ascii="Calibri" w:hAnsi="Calibri" w:cs="Calibri"/>
          <w:sz w:val="24"/>
          <w:szCs w:val="24"/>
        </w:rPr>
        <w:t>Interim Management Report</w:t>
      </w:r>
    </w:p>
    <w:p w14:paraId="32C58365" w14:textId="77777777" w:rsidR="00063A4D" w:rsidRPr="00E6113C" w:rsidRDefault="00063A4D" w:rsidP="00063A4D">
      <w:pPr>
        <w:rPr>
          <w:rFonts w:ascii="Calibri" w:hAnsi="Calibri" w:cs="Calibri"/>
        </w:rPr>
      </w:pPr>
    </w:p>
    <w:p w14:paraId="5E4E8644" w14:textId="77777777" w:rsidR="00063A4D" w:rsidRPr="00E6113C" w:rsidRDefault="00063A4D" w:rsidP="00CE13BB">
      <w:pPr>
        <w:spacing w:line="300" w:lineRule="exact"/>
        <w:ind w:right="-142"/>
        <w:jc w:val="both"/>
        <w:rPr>
          <w:rFonts w:ascii="Calibri" w:hAnsi="Calibri" w:cs="Calibri"/>
          <w:b/>
          <w:sz w:val="22"/>
          <w:szCs w:val="22"/>
        </w:rPr>
      </w:pPr>
      <w:r w:rsidRPr="00E6113C">
        <w:rPr>
          <w:rFonts w:ascii="Calibri" w:hAnsi="Calibri" w:cs="Calibri"/>
          <w:b/>
          <w:sz w:val="22"/>
          <w:szCs w:val="22"/>
        </w:rPr>
        <w:t>Introduction</w:t>
      </w:r>
    </w:p>
    <w:p w14:paraId="0581D0F9" w14:textId="77777777" w:rsidR="00063A4D" w:rsidRPr="00E6113C" w:rsidRDefault="00063A4D" w:rsidP="00CE13BB">
      <w:pPr>
        <w:spacing w:line="300" w:lineRule="exact"/>
        <w:ind w:right="-142"/>
        <w:jc w:val="both"/>
        <w:rPr>
          <w:rFonts w:ascii="Calibri" w:hAnsi="Calibri" w:cs="Calibri"/>
          <w:b/>
          <w:sz w:val="22"/>
          <w:szCs w:val="22"/>
        </w:rPr>
      </w:pPr>
    </w:p>
    <w:p w14:paraId="603A9402" w14:textId="77777777" w:rsidR="00063A4D" w:rsidRPr="00E6113C" w:rsidRDefault="00063A4D" w:rsidP="00CE13BB">
      <w:pPr>
        <w:autoSpaceDE w:val="0"/>
        <w:autoSpaceDN w:val="0"/>
        <w:adjustRightInd w:val="0"/>
        <w:spacing w:line="300" w:lineRule="exact"/>
        <w:ind w:right="-142"/>
        <w:jc w:val="both"/>
        <w:rPr>
          <w:rFonts w:ascii="Calibri" w:hAnsi="Calibri" w:cs="Calibri"/>
          <w:sz w:val="22"/>
          <w:szCs w:val="22"/>
        </w:rPr>
      </w:pPr>
      <w:r w:rsidRPr="00E6113C">
        <w:rPr>
          <w:rFonts w:ascii="Calibri" w:hAnsi="Calibri" w:cs="Calibri"/>
          <w:sz w:val="22"/>
          <w:szCs w:val="22"/>
        </w:rPr>
        <w:t xml:space="preserve">This financial report for the </w:t>
      </w:r>
      <w:r w:rsidR="00D438CE" w:rsidRPr="00E6113C">
        <w:rPr>
          <w:rFonts w:ascii="Calibri" w:hAnsi="Calibri" w:cs="Calibri"/>
          <w:sz w:val="22"/>
          <w:szCs w:val="22"/>
        </w:rPr>
        <w:t>nine months</w:t>
      </w:r>
      <w:r w:rsidRPr="00E6113C">
        <w:rPr>
          <w:rFonts w:ascii="Calibri" w:hAnsi="Calibri" w:cs="Calibri"/>
          <w:sz w:val="22"/>
          <w:szCs w:val="22"/>
        </w:rPr>
        <w:t xml:space="preserve"> ended </w:t>
      </w:r>
      <w:r w:rsidR="00D438CE" w:rsidRPr="00E6113C">
        <w:rPr>
          <w:rFonts w:ascii="Calibri" w:hAnsi="Calibri" w:cs="Calibri"/>
          <w:sz w:val="22"/>
          <w:szCs w:val="22"/>
        </w:rPr>
        <w:t>December 31</w:t>
      </w:r>
      <w:r w:rsidRPr="00E6113C">
        <w:rPr>
          <w:rFonts w:ascii="Calibri" w:hAnsi="Calibri" w:cs="Calibri"/>
          <w:sz w:val="22"/>
          <w:szCs w:val="22"/>
        </w:rPr>
        <w:t xml:space="preserve">, </w:t>
      </w:r>
      <w:r w:rsidR="00867EA4" w:rsidRPr="00E6113C">
        <w:rPr>
          <w:rFonts w:ascii="Calibri" w:hAnsi="Calibri" w:cs="Calibri"/>
          <w:sz w:val="22"/>
          <w:szCs w:val="22"/>
        </w:rPr>
        <w:t>202</w:t>
      </w:r>
      <w:r w:rsidR="00504DD3" w:rsidRPr="00E6113C">
        <w:rPr>
          <w:rFonts w:ascii="Calibri" w:hAnsi="Calibri" w:cs="Calibri"/>
          <w:sz w:val="22"/>
          <w:szCs w:val="22"/>
        </w:rPr>
        <w:t xml:space="preserve">3 </w:t>
      </w:r>
      <w:r w:rsidRPr="00E6113C">
        <w:rPr>
          <w:rFonts w:ascii="Calibri" w:hAnsi="Calibri" w:cs="Calibri"/>
          <w:sz w:val="22"/>
          <w:szCs w:val="22"/>
        </w:rPr>
        <w:t xml:space="preserve">meets the reporting requirements pursuant to the Transparency (Directive 2004/109/EC) Regulations 2007 and the </w:t>
      </w:r>
      <w:r w:rsidR="00E51A1B" w:rsidRPr="00E6113C">
        <w:rPr>
          <w:rFonts w:ascii="Calibri" w:hAnsi="Calibri" w:cs="Calibri"/>
          <w:sz w:val="22"/>
          <w:szCs w:val="22"/>
        </w:rPr>
        <w:t>Central Bank</w:t>
      </w:r>
      <w:r w:rsidR="00397D1F" w:rsidRPr="00E6113C">
        <w:rPr>
          <w:rFonts w:ascii="Calibri" w:hAnsi="Calibri" w:cs="Calibri"/>
          <w:sz w:val="22"/>
          <w:szCs w:val="22"/>
        </w:rPr>
        <w:t xml:space="preserve"> (Investment Market Conduct) Rules 2019</w:t>
      </w:r>
      <w:r w:rsidRPr="00E6113C">
        <w:rPr>
          <w:rFonts w:ascii="Calibri" w:hAnsi="Calibri" w:cs="Calibri"/>
          <w:sz w:val="22"/>
          <w:szCs w:val="22"/>
        </w:rPr>
        <w:t>.</w:t>
      </w:r>
    </w:p>
    <w:p w14:paraId="424CE95E" w14:textId="77777777" w:rsidR="008123E1" w:rsidRPr="00E6113C" w:rsidRDefault="008123E1" w:rsidP="00CE13BB">
      <w:pPr>
        <w:autoSpaceDE w:val="0"/>
        <w:autoSpaceDN w:val="0"/>
        <w:adjustRightInd w:val="0"/>
        <w:spacing w:line="300" w:lineRule="exact"/>
        <w:ind w:right="-142"/>
        <w:jc w:val="both"/>
        <w:rPr>
          <w:rFonts w:ascii="Calibri" w:hAnsi="Calibri" w:cs="Calibri"/>
          <w:sz w:val="22"/>
          <w:szCs w:val="22"/>
        </w:rPr>
      </w:pPr>
    </w:p>
    <w:p w14:paraId="1BA1906B" w14:textId="77777777" w:rsidR="00063A4D" w:rsidRPr="00E6113C" w:rsidRDefault="00063A4D" w:rsidP="00CE13BB">
      <w:pPr>
        <w:autoSpaceDE w:val="0"/>
        <w:autoSpaceDN w:val="0"/>
        <w:adjustRightInd w:val="0"/>
        <w:spacing w:line="300" w:lineRule="exact"/>
        <w:ind w:right="-142"/>
        <w:jc w:val="both"/>
        <w:rPr>
          <w:rFonts w:ascii="Calibri" w:hAnsi="Calibri" w:cs="Calibri"/>
          <w:sz w:val="22"/>
          <w:szCs w:val="22"/>
        </w:rPr>
      </w:pPr>
      <w:r w:rsidRPr="00E6113C">
        <w:rPr>
          <w:rFonts w:ascii="Calibri" w:hAnsi="Calibri" w:cs="Calibri"/>
          <w:sz w:val="22"/>
          <w:szCs w:val="22"/>
        </w:rPr>
        <w:t xml:space="preserve">This interim management report includes the following: </w:t>
      </w:r>
    </w:p>
    <w:p w14:paraId="202E2779" w14:textId="77777777" w:rsidR="00063A4D" w:rsidRPr="00E6113C" w:rsidRDefault="00063A4D" w:rsidP="00CE13BB">
      <w:pPr>
        <w:tabs>
          <w:tab w:val="num" w:pos="240"/>
        </w:tabs>
        <w:autoSpaceDE w:val="0"/>
        <w:autoSpaceDN w:val="0"/>
        <w:adjustRightInd w:val="0"/>
        <w:ind w:right="-142"/>
        <w:jc w:val="both"/>
        <w:rPr>
          <w:rFonts w:ascii="Calibri" w:hAnsi="Calibri" w:cs="Calibri"/>
          <w:sz w:val="22"/>
          <w:szCs w:val="22"/>
        </w:rPr>
      </w:pPr>
    </w:p>
    <w:p w14:paraId="25AD1531" w14:textId="77777777" w:rsidR="00063A4D" w:rsidRPr="00E6113C" w:rsidRDefault="00063A4D" w:rsidP="00CE13BB">
      <w:pPr>
        <w:numPr>
          <w:ilvl w:val="0"/>
          <w:numId w:val="4"/>
        </w:numPr>
        <w:tabs>
          <w:tab w:val="clear" w:pos="720"/>
          <w:tab w:val="num" w:pos="240"/>
        </w:tabs>
        <w:autoSpaceDE w:val="0"/>
        <w:autoSpaceDN w:val="0"/>
        <w:adjustRightInd w:val="0"/>
        <w:ind w:left="426" w:right="-142" w:hanging="339"/>
        <w:jc w:val="both"/>
        <w:rPr>
          <w:rFonts w:ascii="Calibri" w:hAnsi="Calibri" w:cs="Calibri"/>
          <w:sz w:val="22"/>
          <w:szCs w:val="22"/>
        </w:rPr>
      </w:pPr>
      <w:r w:rsidRPr="00E6113C">
        <w:rPr>
          <w:rFonts w:ascii="Calibri" w:hAnsi="Calibri" w:cs="Calibri"/>
          <w:sz w:val="22"/>
          <w:szCs w:val="22"/>
        </w:rPr>
        <w:t xml:space="preserve">Principal risks and uncertainties relating to the remaining </w:t>
      </w:r>
      <w:r w:rsidR="00715076" w:rsidRPr="00E6113C">
        <w:rPr>
          <w:rFonts w:ascii="Calibri" w:hAnsi="Calibri" w:cs="Calibri"/>
          <w:sz w:val="22"/>
          <w:szCs w:val="22"/>
        </w:rPr>
        <w:t xml:space="preserve">three </w:t>
      </w:r>
      <w:r w:rsidRPr="00E6113C">
        <w:rPr>
          <w:rFonts w:ascii="Calibri" w:hAnsi="Calibri" w:cs="Calibri"/>
          <w:sz w:val="22"/>
          <w:szCs w:val="22"/>
        </w:rPr>
        <w:t>months of the year;</w:t>
      </w:r>
    </w:p>
    <w:p w14:paraId="7C12B02B" w14:textId="77777777" w:rsidR="00063A4D" w:rsidRPr="00E6113C" w:rsidRDefault="00063A4D" w:rsidP="00CE13BB">
      <w:pPr>
        <w:tabs>
          <w:tab w:val="num" w:pos="240"/>
        </w:tabs>
        <w:autoSpaceDE w:val="0"/>
        <w:autoSpaceDN w:val="0"/>
        <w:adjustRightInd w:val="0"/>
        <w:ind w:left="426" w:right="-142" w:hanging="339"/>
        <w:jc w:val="both"/>
        <w:rPr>
          <w:rFonts w:ascii="Calibri" w:hAnsi="Calibri" w:cs="Calibri"/>
          <w:sz w:val="22"/>
          <w:szCs w:val="22"/>
        </w:rPr>
      </w:pPr>
    </w:p>
    <w:p w14:paraId="73FD6ABD" w14:textId="77777777" w:rsidR="00063A4D" w:rsidRPr="00E6113C" w:rsidRDefault="00063A4D" w:rsidP="00CE13BB">
      <w:pPr>
        <w:numPr>
          <w:ilvl w:val="0"/>
          <w:numId w:val="4"/>
        </w:numPr>
        <w:tabs>
          <w:tab w:val="clear" w:pos="720"/>
          <w:tab w:val="num" w:pos="240"/>
        </w:tabs>
        <w:autoSpaceDE w:val="0"/>
        <w:autoSpaceDN w:val="0"/>
        <w:adjustRightInd w:val="0"/>
        <w:ind w:left="426" w:right="-142" w:hanging="339"/>
        <w:jc w:val="both"/>
        <w:rPr>
          <w:rFonts w:ascii="Calibri" w:hAnsi="Calibri" w:cs="Calibri"/>
          <w:sz w:val="22"/>
          <w:szCs w:val="22"/>
        </w:rPr>
      </w:pPr>
      <w:r w:rsidRPr="00E6113C">
        <w:rPr>
          <w:rFonts w:ascii="Calibri" w:hAnsi="Calibri" w:cs="Calibri"/>
          <w:sz w:val="22"/>
          <w:szCs w:val="22"/>
        </w:rPr>
        <w:t>Related party transactions; and</w:t>
      </w:r>
    </w:p>
    <w:p w14:paraId="5BF4BE15" w14:textId="77777777" w:rsidR="00063A4D" w:rsidRPr="00E6113C" w:rsidRDefault="00063A4D" w:rsidP="00CE13BB">
      <w:pPr>
        <w:tabs>
          <w:tab w:val="num" w:pos="240"/>
        </w:tabs>
        <w:autoSpaceDE w:val="0"/>
        <w:autoSpaceDN w:val="0"/>
        <w:adjustRightInd w:val="0"/>
        <w:ind w:left="426" w:right="-142" w:hanging="339"/>
        <w:jc w:val="both"/>
        <w:rPr>
          <w:rFonts w:ascii="Calibri" w:hAnsi="Calibri" w:cs="Calibri"/>
          <w:sz w:val="22"/>
          <w:szCs w:val="22"/>
        </w:rPr>
      </w:pPr>
    </w:p>
    <w:p w14:paraId="572D1B59" w14:textId="77777777" w:rsidR="00047371" w:rsidRPr="00E6113C" w:rsidRDefault="00063A4D" w:rsidP="00CE13BB">
      <w:pPr>
        <w:numPr>
          <w:ilvl w:val="0"/>
          <w:numId w:val="4"/>
        </w:numPr>
        <w:tabs>
          <w:tab w:val="clear" w:pos="720"/>
          <w:tab w:val="num" w:pos="240"/>
        </w:tabs>
        <w:autoSpaceDE w:val="0"/>
        <w:autoSpaceDN w:val="0"/>
        <w:adjustRightInd w:val="0"/>
        <w:ind w:left="426" w:right="-142" w:hanging="339"/>
        <w:jc w:val="both"/>
        <w:rPr>
          <w:rFonts w:ascii="Calibri" w:hAnsi="Calibri" w:cs="Calibri"/>
          <w:sz w:val="22"/>
          <w:szCs w:val="22"/>
        </w:rPr>
      </w:pPr>
      <w:r w:rsidRPr="00E6113C">
        <w:rPr>
          <w:rFonts w:ascii="Calibri" w:hAnsi="Calibri" w:cs="Calibri"/>
          <w:sz w:val="22"/>
          <w:szCs w:val="22"/>
        </w:rPr>
        <w:t xml:space="preserve">Post balance sheet events. </w:t>
      </w:r>
    </w:p>
    <w:p w14:paraId="787EF880" w14:textId="77777777" w:rsidR="00047371" w:rsidRPr="00E6113C" w:rsidRDefault="00047371" w:rsidP="00CE13BB">
      <w:pPr>
        <w:autoSpaceDE w:val="0"/>
        <w:autoSpaceDN w:val="0"/>
        <w:adjustRightInd w:val="0"/>
        <w:spacing w:line="276" w:lineRule="auto"/>
        <w:ind w:right="-142"/>
        <w:jc w:val="both"/>
        <w:rPr>
          <w:rFonts w:ascii="Calibri" w:hAnsi="Calibri" w:cs="Calibri"/>
          <w:sz w:val="22"/>
          <w:szCs w:val="22"/>
        </w:rPr>
      </w:pPr>
    </w:p>
    <w:p w14:paraId="3A10382B" w14:textId="77777777" w:rsidR="00063A4D" w:rsidRPr="00E6113C" w:rsidRDefault="00063A4D" w:rsidP="00CE13BB">
      <w:pPr>
        <w:tabs>
          <w:tab w:val="num" w:pos="-240"/>
        </w:tabs>
        <w:spacing w:line="300" w:lineRule="exact"/>
        <w:ind w:right="-142"/>
        <w:jc w:val="both"/>
        <w:rPr>
          <w:rFonts w:ascii="Calibri" w:hAnsi="Calibri" w:cs="Calibri"/>
          <w:sz w:val="22"/>
          <w:szCs w:val="22"/>
        </w:rPr>
      </w:pPr>
      <w:r w:rsidRPr="00E6113C">
        <w:rPr>
          <w:rFonts w:ascii="Calibri" w:hAnsi="Calibri" w:cs="Calibri"/>
          <w:sz w:val="22"/>
          <w:szCs w:val="22"/>
        </w:rPr>
        <w:t xml:space="preserve">Results of operations for the </w:t>
      </w:r>
      <w:r w:rsidR="00D438CE" w:rsidRPr="00E6113C">
        <w:rPr>
          <w:rFonts w:ascii="Calibri" w:hAnsi="Calibri" w:cs="Calibri"/>
          <w:sz w:val="22"/>
          <w:szCs w:val="22"/>
        </w:rPr>
        <w:t>nine</w:t>
      </w:r>
      <w:r w:rsidR="00861314">
        <w:rPr>
          <w:rFonts w:ascii="Calibri" w:hAnsi="Calibri" w:cs="Calibri"/>
          <w:sz w:val="22"/>
          <w:szCs w:val="22"/>
        </w:rPr>
        <w:t xml:space="preserve"> </w:t>
      </w:r>
      <w:r w:rsidR="006745AA" w:rsidRPr="00E6113C">
        <w:rPr>
          <w:rFonts w:ascii="Calibri" w:hAnsi="Calibri" w:cs="Calibri"/>
          <w:sz w:val="22"/>
          <w:szCs w:val="22"/>
        </w:rPr>
        <w:t>month</w:t>
      </w:r>
      <w:r w:rsidRPr="00E6113C">
        <w:rPr>
          <w:rFonts w:ascii="Calibri" w:hAnsi="Calibri" w:cs="Calibri"/>
          <w:sz w:val="22"/>
          <w:szCs w:val="22"/>
        </w:rPr>
        <w:t xml:space="preserve"> period ended </w:t>
      </w:r>
      <w:r w:rsidR="00D438CE" w:rsidRPr="00E6113C">
        <w:rPr>
          <w:rFonts w:ascii="Calibri" w:hAnsi="Calibri" w:cs="Calibri"/>
          <w:sz w:val="22"/>
          <w:szCs w:val="22"/>
        </w:rPr>
        <w:t>December 31</w:t>
      </w:r>
      <w:r w:rsidRPr="00E6113C">
        <w:rPr>
          <w:rFonts w:ascii="Calibri" w:hAnsi="Calibri" w:cs="Calibri"/>
          <w:sz w:val="22"/>
          <w:szCs w:val="22"/>
        </w:rPr>
        <w:t>, 20</w:t>
      </w:r>
      <w:r w:rsidR="005C0750" w:rsidRPr="00E6113C">
        <w:rPr>
          <w:rFonts w:ascii="Calibri" w:hAnsi="Calibri" w:cs="Calibri"/>
          <w:sz w:val="22"/>
          <w:szCs w:val="22"/>
        </w:rPr>
        <w:t>2</w:t>
      </w:r>
      <w:r w:rsidR="00504DD3" w:rsidRPr="00E6113C">
        <w:rPr>
          <w:rFonts w:ascii="Calibri" w:hAnsi="Calibri" w:cs="Calibri"/>
          <w:sz w:val="22"/>
          <w:szCs w:val="22"/>
        </w:rPr>
        <w:t>3</w:t>
      </w:r>
      <w:r w:rsidRPr="00E6113C">
        <w:rPr>
          <w:rFonts w:ascii="Calibri" w:hAnsi="Calibri" w:cs="Calibri"/>
          <w:sz w:val="22"/>
          <w:szCs w:val="22"/>
        </w:rPr>
        <w:t xml:space="preserve"> compared to the </w:t>
      </w:r>
      <w:r w:rsidR="00D438CE" w:rsidRPr="00E6113C">
        <w:rPr>
          <w:rFonts w:ascii="Calibri" w:hAnsi="Calibri" w:cs="Calibri"/>
          <w:sz w:val="22"/>
          <w:szCs w:val="22"/>
        </w:rPr>
        <w:t>nine</w:t>
      </w:r>
      <w:r w:rsidR="00B47D39" w:rsidRPr="00E6113C">
        <w:rPr>
          <w:rFonts w:ascii="Calibri" w:hAnsi="Calibri" w:cs="Calibri"/>
          <w:sz w:val="22"/>
          <w:szCs w:val="22"/>
        </w:rPr>
        <w:t>-</w:t>
      </w:r>
      <w:r w:rsidRPr="00E6113C">
        <w:rPr>
          <w:rFonts w:ascii="Calibri" w:hAnsi="Calibri" w:cs="Calibri"/>
          <w:sz w:val="22"/>
          <w:szCs w:val="22"/>
        </w:rPr>
        <w:t xml:space="preserve">month period ended </w:t>
      </w:r>
      <w:r w:rsidR="00D438CE" w:rsidRPr="00E6113C">
        <w:rPr>
          <w:rFonts w:ascii="Calibri" w:hAnsi="Calibri" w:cs="Calibri"/>
          <w:sz w:val="22"/>
          <w:szCs w:val="22"/>
        </w:rPr>
        <w:t>December 31</w:t>
      </w:r>
      <w:r w:rsidRPr="00E6113C">
        <w:rPr>
          <w:rFonts w:ascii="Calibri" w:hAnsi="Calibri" w:cs="Calibri"/>
          <w:sz w:val="22"/>
          <w:szCs w:val="22"/>
        </w:rPr>
        <w:t xml:space="preserve">, </w:t>
      </w:r>
      <w:r w:rsidR="00867EA4" w:rsidRPr="00E6113C">
        <w:rPr>
          <w:rFonts w:ascii="Calibri" w:hAnsi="Calibri" w:cs="Calibri"/>
          <w:sz w:val="22"/>
          <w:szCs w:val="22"/>
        </w:rPr>
        <w:t>20</w:t>
      </w:r>
      <w:r w:rsidR="003861E2" w:rsidRPr="00E6113C">
        <w:rPr>
          <w:rFonts w:ascii="Calibri" w:hAnsi="Calibri" w:cs="Calibri"/>
          <w:sz w:val="22"/>
          <w:szCs w:val="22"/>
        </w:rPr>
        <w:t>2</w:t>
      </w:r>
      <w:r w:rsidR="00504DD3" w:rsidRPr="00E6113C">
        <w:rPr>
          <w:rFonts w:ascii="Calibri" w:hAnsi="Calibri" w:cs="Calibri"/>
          <w:sz w:val="22"/>
          <w:szCs w:val="22"/>
        </w:rPr>
        <w:t>2</w:t>
      </w:r>
      <w:r w:rsidRPr="00E6113C">
        <w:rPr>
          <w:rFonts w:ascii="Calibri" w:hAnsi="Calibri" w:cs="Calibri"/>
          <w:sz w:val="22"/>
          <w:szCs w:val="22"/>
        </w:rPr>
        <w:t xml:space="preserve">, including important events that occurred during the </w:t>
      </w:r>
      <w:r w:rsidR="000B43EE">
        <w:rPr>
          <w:rFonts w:ascii="Calibri" w:hAnsi="Calibri" w:cs="Calibri"/>
          <w:sz w:val="22"/>
          <w:szCs w:val="22"/>
        </w:rPr>
        <w:t>nine months</w:t>
      </w:r>
      <w:r w:rsidRPr="00E6113C">
        <w:rPr>
          <w:rFonts w:ascii="Calibri" w:hAnsi="Calibri" w:cs="Calibri"/>
          <w:sz w:val="22"/>
          <w:szCs w:val="22"/>
        </w:rPr>
        <w:t>, are set forth above in the MD&amp;A.</w:t>
      </w:r>
    </w:p>
    <w:p w14:paraId="1B47923B" w14:textId="77777777" w:rsidR="00063A4D" w:rsidRPr="00E6113C" w:rsidRDefault="00063A4D" w:rsidP="00CE13BB">
      <w:pPr>
        <w:pStyle w:val="S2"/>
        <w:spacing w:after="0" w:line="300" w:lineRule="exact"/>
        <w:ind w:right="-142" w:firstLine="431"/>
        <w:rPr>
          <w:rFonts w:ascii="Calibri" w:hAnsi="Calibri" w:cs="Calibri"/>
          <w:szCs w:val="22"/>
        </w:rPr>
      </w:pPr>
    </w:p>
    <w:p w14:paraId="23C19549" w14:textId="77777777" w:rsidR="00063A4D" w:rsidRPr="00E6113C" w:rsidRDefault="00063A4D" w:rsidP="00CE13BB">
      <w:pPr>
        <w:spacing w:line="300" w:lineRule="exact"/>
        <w:ind w:right="-142"/>
        <w:jc w:val="both"/>
        <w:rPr>
          <w:rFonts w:ascii="Calibri" w:hAnsi="Calibri" w:cs="Calibri"/>
          <w:b/>
          <w:sz w:val="22"/>
          <w:szCs w:val="22"/>
        </w:rPr>
      </w:pPr>
      <w:r w:rsidRPr="00E6113C">
        <w:rPr>
          <w:rFonts w:ascii="Calibri" w:hAnsi="Calibri" w:cs="Calibri"/>
          <w:b/>
          <w:sz w:val="22"/>
          <w:szCs w:val="22"/>
        </w:rPr>
        <w:t>Principal risks and uncertainties for the remainder of the year</w:t>
      </w:r>
    </w:p>
    <w:p w14:paraId="5488DFAB" w14:textId="77777777" w:rsidR="00017906" w:rsidRPr="00E6113C" w:rsidRDefault="00017906" w:rsidP="00CE13BB">
      <w:pPr>
        <w:keepNext/>
        <w:ind w:right="-142" w:firstLine="720"/>
        <w:jc w:val="both"/>
        <w:rPr>
          <w:rFonts w:ascii="Calibri" w:hAnsi="Calibri" w:cs="Calibri"/>
          <w:sz w:val="22"/>
          <w:szCs w:val="22"/>
        </w:rPr>
      </w:pPr>
    </w:p>
    <w:p w14:paraId="21F98E45" w14:textId="77777777" w:rsidR="00504DD3" w:rsidRPr="00E6113C" w:rsidRDefault="00504DD3" w:rsidP="00504DD3">
      <w:pPr>
        <w:spacing w:line="300" w:lineRule="exact"/>
        <w:ind w:right="-142"/>
        <w:jc w:val="both"/>
        <w:rPr>
          <w:rFonts w:ascii="Calibri" w:hAnsi="Calibri" w:cs="Calibri"/>
          <w:sz w:val="22"/>
          <w:szCs w:val="22"/>
        </w:rPr>
      </w:pPr>
      <w:r w:rsidRPr="00E6113C">
        <w:rPr>
          <w:rFonts w:ascii="Calibri" w:hAnsi="Calibri" w:cs="Calibri"/>
          <w:sz w:val="22"/>
          <w:szCs w:val="22"/>
        </w:rPr>
        <w:t xml:space="preserve">Jet fuel is subject to wide price fluctuations as a result of many economic and political factors and events occurring throughout the world that Ryanair can neither control nor accurately predict, </w:t>
      </w:r>
      <w:bookmarkStart w:id="13" w:name="_Hlk148705425"/>
      <w:r w:rsidR="00330A9E" w:rsidRPr="00E6113C">
        <w:rPr>
          <w:rFonts w:ascii="Calibri" w:hAnsi="Calibri" w:cs="Calibri"/>
          <w:sz w:val="22"/>
          <w:szCs w:val="22"/>
        </w:rPr>
        <w:t>including</w:t>
      </w:r>
      <w:bookmarkEnd w:id="13"/>
      <w:r w:rsidR="00F447BF" w:rsidRPr="00E6113C">
        <w:rPr>
          <w:rFonts w:ascii="Calibri" w:hAnsi="Calibri" w:cs="Calibri"/>
          <w:sz w:val="22"/>
          <w:szCs w:val="22"/>
        </w:rPr>
        <w:t xml:space="preserve"> </w:t>
      </w:r>
      <w:r w:rsidRPr="00E6113C">
        <w:rPr>
          <w:rFonts w:ascii="Calibri" w:hAnsi="Calibri" w:cs="Calibri"/>
          <w:sz w:val="22"/>
          <w:szCs w:val="22"/>
        </w:rPr>
        <w:t xml:space="preserve">increases in demand, sudden disruptions in supply and other concerns about global supply, </w:t>
      </w:r>
      <w:r w:rsidR="00ED6A42" w:rsidRPr="00E6113C">
        <w:rPr>
          <w:rFonts w:ascii="Calibri" w:hAnsi="Calibri" w:cs="Calibri"/>
          <w:sz w:val="22"/>
          <w:szCs w:val="22"/>
        </w:rPr>
        <w:t xml:space="preserve">as well </w:t>
      </w:r>
      <w:r w:rsidRPr="00E6113C">
        <w:rPr>
          <w:rFonts w:ascii="Calibri" w:hAnsi="Calibri" w:cs="Calibri"/>
          <w:sz w:val="22"/>
          <w:szCs w:val="22"/>
        </w:rPr>
        <w:t>as market speculation. Oil prices increased significantly following Russia’s invasion of Ukraine in February 2022</w:t>
      </w:r>
      <w:r w:rsidR="00592F12" w:rsidRPr="00E6113C">
        <w:rPr>
          <w:rFonts w:ascii="Calibri" w:hAnsi="Calibri" w:cs="Calibri"/>
          <w:sz w:val="22"/>
          <w:szCs w:val="22"/>
        </w:rPr>
        <w:t xml:space="preserve"> and </w:t>
      </w:r>
      <w:r w:rsidR="00531AB4">
        <w:rPr>
          <w:rFonts w:ascii="Calibri" w:hAnsi="Calibri" w:cs="Calibri"/>
          <w:sz w:val="22"/>
          <w:szCs w:val="22"/>
        </w:rPr>
        <w:t xml:space="preserve">have </w:t>
      </w:r>
      <w:r w:rsidR="00592F12" w:rsidRPr="00E6113C">
        <w:rPr>
          <w:rFonts w:ascii="Calibri" w:hAnsi="Calibri" w:cs="Calibri"/>
          <w:sz w:val="22"/>
          <w:szCs w:val="22"/>
        </w:rPr>
        <w:t>remain</w:t>
      </w:r>
      <w:r w:rsidR="00531AB4">
        <w:rPr>
          <w:rFonts w:ascii="Calibri" w:hAnsi="Calibri" w:cs="Calibri"/>
          <w:sz w:val="22"/>
          <w:szCs w:val="22"/>
        </w:rPr>
        <w:t>ed</w:t>
      </w:r>
      <w:r w:rsidR="00592F12" w:rsidRPr="00E6113C">
        <w:rPr>
          <w:rFonts w:ascii="Calibri" w:hAnsi="Calibri" w:cs="Calibri"/>
          <w:sz w:val="22"/>
          <w:szCs w:val="22"/>
        </w:rPr>
        <w:t xml:space="preserve"> volatile</w:t>
      </w:r>
      <w:r w:rsidR="00531AB4">
        <w:rPr>
          <w:rFonts w:ascii="Calibri" w:hAnsi="Calibri" w:cs="Calibri"/>
          <w:sz w:val="22"/>
          <w:szCs w:val="22"/>
        </w:rPr>
        <w:t xml:space="preserve"> in light of the Israel-Hamas </w:t>
      </w:r>
      <w:r w:rsidR="00E20394">
        <w:rPr>
          <w:rFonts w:ascii="Calibri" w:hAnsi="Calibri" w:cs="Calibri"/>
          <w:sz w:val="22"/>
          <w:szCs w:val="22"/>
        </w:rPr>
        <w:t>conflict</w:t>
      </w:r>
      <w:r w:rsidRPr="00E6113C">
        <w:rPr>
          <w:rFonts w:ascii="Calibri" w:hAnsi="Calibri" w:cs="Calibri"/>
          <w:sz w:val="22"/>
          <w:szCs w:val="22"/>
        </w:rPr>
        <w:t xml:space="preserve">. </w:t>
      </w:r>
    </w:p>
    <w:p w14:paraId="7DD3BD29" w14:textId="77777777" w:rsidR="00504DD3" w:rsidRPr="00E6113C" w:rsidRDefault="00504DD3" w:rsidP="00504DD3">
      <w:pPr>
        <w:spacing w:line="300" w:lineRule="exact"/>
        <w:ind w:right="-142"/>
        <w:jc w:val="both"/>
        <w:rPr>
          <w:rFonts w:ascii="Calibri" w:hAnsi="Calibri" w:cs="Calibri"/>
          <w:sz w:val="22"/>
          <w:szCs w:val="22"/>
        </w:rPr>
      </w:pPr>
    </w:p>
    <w:p w14:paraId="3F0CD4C4" w14:textId="77777777" w:rsidR="00504DD3" w:rsidRPr="00E6113C" w:rsidRDefault="00504DD3" w:rsidP="00504DD3">
      <w:pPr>
        <w:spacing w:line="300" w:lineRule="exact"/>
        <w:ind w:right="-142"/>
        <w:jc w:val="both"/>
        <w:rPr>
          <w:rFonts w:ascii="Calibri" w:hAnsi="Calibri" w:cs="Calibri"/>
          <w:sz w:val="22"/>
          <w:szCs w:val="22"/>
        </w:rPr>
      </w:pPr>
      <w:r w:rsidRPr="00E6113C">
        <w:rPr>
          <w:rFonts w:ascii="Calibri" w:hAnsi="Calibri" w:cs="Calibri"/>
          <w:sz w:val="22"/>
          <w:szCs w:val="22"/>
        </w:rPr>
        <w:t>Despite the Group’s strong recovery from the Covid-19 pandemic, future developments may again have a material adverse impact on the Company’s business, results of operations, financial condition and liquidity.</w:t>
      </w:r>
    </w:p>
    <w:p w14:paraId="6A4B3B3E" w14:textId="77777777" w:rsidR="00504DD3" w:rsidRPr="00E6113C" w:rsidRDefault="00504DD3" w:rsidP="00504DD3">
      <w:pPr>
        <w:spacing w:line="300" w:lineRule="exact"/>
        <w:ind w:right="-142"/>
        <w:jc w:val="both"/>
        <w:rPr>
          <w:rFonts w:ascii="Calibri" w:hAnsi="Calibri" w:cs="Calibri"/>
          <w:sz w:val="22"/>
          <w:szCs w:val="22"/>
        </w:rPr>
      </w:pPr>
    </w:p>
    <w:p w14:paraId="632CA3C5" w14:textId="77777777" w:rsidR="00063A4D" w:rsidRPr="00E6113C" w:rsidRDefault="00504DD3" w:rsidP="00504DD3">
      <w:pPr>
        <w:spacing w:line="300" w:lineRule="exact"/>
        <w:ind w:right="-142"/>
        <w:jc w:val="both"/>
        <w:rPr>
          <w:rFonts w:ascii="Calibri" w:hAnsi="Calibri" w:cs="Calibri"/>
          <w:sz w:val="22"/>
          <w:szCs w:val="22"/>
        </w:rPr>
      </w:pPr>
      <w:r w:rsidRPr="00E6113C">
        <w:rPr>
          <w:rFonts w:ascii="Calibri" w:hAnsi="Calibri" w:cs="Calibri"/>
          <w:sz w:val="22"/>
          <w:szCs w:val="22"/>
        </w:rPr>
        <w:t xml:space="preserve">Among </w:t>
      </w:r>
      <w:r w:rsidR="00330A9E" w:rsidRPr="00E6113C">
        <w:rPr>
          <w:rFonts w:ascii="Calibri" w:hAnsi="Calibri" w:cs="Calibri"/>
          <w:sz w:val="22"/>
          <w:szCs w:val="22"/>
        </w:rPr>
        <w:t>the</w:t>
      </w:r>
      <w:r w:rsidRPr="00E6113C">
        <w:rPr>
          <w:rFonts w:ascii="Calibri" w:hAnsi="Calibri" w:cs="Calibri"/>
          <w:sz w:val="22"/>
          <w:szCs w:val="22"/>
        </w:rPr>
        <w:t xml:space="preserve"> factors that are subject to change and could significantly impact Ryanair’s expected results for the remainder of the year are the airline pricing environment, capacity growth in Europe, competition from new and existing carriers, market prices for the replacement of aircraft, costs associated with environmental, safety and security measures, the availability of appropriate insurance coverage, actions of the Irish, U.K., European Union (“EU”) and other governments and their respective regulatory agencies, delays in the delivery of contracted aircraft, supply chain disruptions/delays, weather related disruptions, ATC strikes and staffing related disruptions, uncertainties surrounding Brexit, fluctuations in currency exchange rates and interest rates, airport access and charges, labour relations, the economic environment of the airline industry, the general economic environment in Ireland, the U.K., and Continental Europe, including the risk of a recession or significant economic slowdown, the general willingness of passengers to travel, other economic, social and political factors and unforeseen security events.</w:t>
      </w:r>
    </w:p>
    <w:p w14:paraId="4293AC23" w14:textId="77777777" w:rsidR="00504DD3" w:rsidRPr="00E6113C" w:rsidRDefault="00504DD3" w:rsidP="00504DD3">
      <w:pPr>
        <w:spacing w:line="300" w:lineRule="exact"/>
        <w:ind w:right="-142"/>
        <w:jc w:val="both"/>
        <w:rPr>
          <w:rFonts w:ascii="Calibri" w:hAnsi="Calibri" w:cs="Calibri"/>
          <w:sz w:val="22"/>
          <w:szCs w:val="22"/>
        </w:rPr>
      </w:pPr>
    </w:p>
    <w:p w14:paraId="363F7FF3" w14:textId="77777777" w:rsidR="00063A4D" w:rsidRPr="00E6113C" w:rsidRDefault="00063A4D" w:rsidP="00CE13BB">
      <w:pPr>
        <w:ind w:right="-142"/>
        <w:jc w:val="both"/>
        <w:rPr>
          <w:rFonts w:ascii="Calibri" w:hAnsi="Calibri" w:cs="Calibri"/>
          <w:b/>
          <w:sz w:val="22"/>
          <w:szCs w:val="22"/>
        </w:rPr>
      </w:pPr>
      <w:r w:rsidRPr="00E6113C">
        <w:rPr>
          <w:rFonts w:ascii="Calibri" w:hAnsi="Calibri" w:cs="Calibri"/>
          <w:b/>
          <w:sz w:val="22"/>
          <w:szCs w:val="22"/>
        </w:rPr>
        <w:t>Board of Directors</w:t>
      </w:r>
    </w:p>
    <w:p w14:paraId="3D1C60D3" w14:textId="77777777" w:rsidR="00063A4D" w:rsidRPr="00E6113C" w:rsidRDefault="00063A4D" w:rsidP="00CE13BB">
      <w:pPr>
        <w:ind w:right="-142"/>
        <w:jc w:val="both"/>
        <w:rPr>
          <w:rFonts w:ascii="Calibri" w:hAnsi="Calibri" w:cs="Calibri"/>
          <w:sz w:val="22"/>
          <w:szCs w:val="22"/>
        </w:rPr>
      </w:pPr>
    </w:p>
    <w:p w14:paraId="04BB4670" w14:textId="77777777" w:rsidR="00504DD3" w:rsidRPr="00E6113C" w:rsidRDefault="00504DD3" w:rsidP="00CE13BB">
      <w:pPr>
        <w:autoSpaceDE w:val="0"/>
        <w:autoSpaceDN w:val="0"/>
        <w:adjustRightInd w:val="0"/>
        <w:spacing w:line="300" w:lineRule="exact"/>
        <w:ind w:right="-142"/>
        <w:jc w:val="both"/>
        <w:rPr>
          <w:rFonts w:ascii="Calibri" w:hAnsi="Calibri" w:cs="Calibri"/>
          <w:sz w:val="22"/>
          <w:szCs w:val="22"/>
        </w:rPr>
      </w:pPr>
      <w:r w:rsidRPr="00E6113C">
        <w:rPr>
          <w:rFonts w:ascii="Calibri" w:hAnsi="Calibri" w:cs="Calibri"/>
          <w:sz w:val="22"/>
          <w:szCs w:val="22"/>
        </w:rPr>
        <w:t>Details of the members of the Company’s Board of Directors are set forth on pages 119 and 120 of the Group’s 2023 Annual Report.</w:t>
      </w:r>
      <w:r w:rsidR="00A86912" w:rsidRPr="00E6113C">
        <w:rPr>
          <w:rFonts w:ascii="Calibri" w:hAnsi="Calibri" w:cs="Calibri"/>
          <w:sz w:val="22"/>
          <w:szCs w:val="22"/>
        </w:rPr>
        <w:t xml:space="preserve"> Bertrand Grabowski was appointed to the Board </w:t>
      </w:r>
      <w:r w:rsidR="006131F7" w:rsidRPr="00E6113C">
        <w:rPr>
          <w:rFonts w:ascii="Calibri" w:hAnsi="Calibri" w:cs="Calibri"/>
          <w:sz w:val="22"/>
          <w:szCs w:val="22"/>
        </w:rPr>
        <w:t>with effect from</w:t>
      </w:r>
      <w:r w:rsidR="00A86912" w:rsidRPr="00E6113C">
        <w:rPr>
          <w:rFonts w:ascii="Calibri" w:hAnsi="Calibri" w:cs="Calibri"/>
          <w:sz w:val="22"/>
          <w:szCs w:val="22"/>
        </w:rPr>
        <w:t xml:space="preserve"> October</w:t>
      </w:r>
      <w:r w:rsidR="006131F7" w:rsidRPr="00E6113C">
        <w:rPr>
          <w:rFonts w:ascii="Calibri" w:hAnsi="Calibri" w:cs="Calibri"/>
          <w:sz w:val="22"/>
          <w:szCs w:val="22"/>
        </w:rPr>
        <w:t xml:space="preserve"> 1,</w:t>
      </w:r>
      <w:r w:rsidR="00A86912" w:rsidRPr="00E6113C">
        <w:rPr>
          <w:rFonts w:ascii="Calibri" w:hAnsi="Calibri" w:cs="Calibri"/>
          <w:sz w:val="22"/>
          <w:szCs w:val="22"/>
        </w:rPr>
        <w:t xml:space="preserve"> 2023</w:t>
      </w:r>
      <w:r w:rsidR="00E20394">
        <w:rPr>
          <w:rFonts w:ascii="Calibri" w:hAnsi="Calibri" w:cs="Calibri"/>
          <w:sz w:val="22"/>
          <w:szCs w:val="22"/>
        </w:rPr>
        <w:t xml:space="preserve"> and</w:t>
      </w:r>
      <w:r w:rsidR="00837FDD" w:rsidRPr="00E6113C">
        <w:rPr>
          <w:rFonts w:ascii="Calibri" w:hAnsi="Calibri" w:cs="Calibri"/>
          <w:sz w:val="22"/>
          <w:szCs w:val="22"/>
        </w:rPr>
        <w:t xml:space="preserve"> Dick Milliken re</w:t>
      </w:r>
      <w:r w:rsidR="006534C0" w:rsidRPr="00E6113C">
        <w:rPr>
          <w:rFonts w:ascii="Calibri" w:hAnsi="Calibri" w:cs="Calibri"/>
          <w:sz w:val="22"/>
          <w:szCs w:val="22"/>
        </w:rPr>
        <w:t>tir</w:t>
      </w:r>
      <w:r w:rsidR="00837FDD" w:rsidRPr="00E6113C">
        <w:rPr>
          <w:rFonts w:ascii="Calibri" w:hAnsi="Calibri" w:cs="Calibri"/>
          <w:sz w:val="22"/>
          <w:szCs w:val="22"/>
        </w:rPr>
        <w:t>ed from the Board with effect from September 14, 2023.</w:t>
      </w:r>
    </w:p>
    <w:p w14:paraId="1F89EA9D" w14:textId="77777777" w:rsidR="00A86912" w:rsidRPr="00E6113C" w:rsidRDefault="00A86912" w:rsidP="003B1952">
      <w:pPr>
        <w:autoSpaceDE w:val="0"/>
        <w:autoSpaceDN w:val="0"/>
        <w:adjustRightInd w:val="0"/>
        <w:spacing w:line="300" w:lineRule="exact"/>
        <w:ind w:right="-142"/>
        <w:jc w:val="both"/>
        <w:rPr>
          <w:rFonts w:ascii="Calibri" w:hAnsi="Calibri" w:cs="Calibri"/>
          <w:b/>
          <w:sz w:val="22"/>
          <w:szCs w:val="22"/>
        </w:rPr>
      </w:pPr>
    </w:p>
    <w:p w14:paraId="08FA5E28" w14:textId="77777777" w:rsidR="00063A4D" w:rsidRPr="00E6113C" w:rsidRDefault="00063A4D" w:rsidP="00CE13BB">
      <w:pPr>
        <w:ind w:right="-142"/>
        <w:jc w:val="both"/>
        <w:rPr>
          <w:rFonts w:ascii="Calibri" w:hAnsi="Calibri" w:cs="Calibri"/>
          <w:sz w:val="22"/>
          <w:szCs w:val="22"/>
        </w:rPr>
      </w:pPr>
      <w:r w:rsidRPr="00E6113C">
        <w:rPr>
          <w:rFonts w:ascii="Calibri" w:hAnsi="Calibri" w:cs="Calibri"/>
          <w:b/>
          <w:sz w:val="22"/>
          <w:szCs w:val="22"/>
        </w:rPr>
        <w:t>Related party transactions</w:t>
      </w:r>
      <w:r w:rsidR="008123E1" w:rsidRPr="00E6113C">
        <w:rPr>
          <w:rFonts w:ascii="Calibri" w:hAnsi="Calibri" w:cs="Calibri"/>
          <w:b/>
          <w:sz w:val="22"/>
          <w:szCs w:val="22"/>
        </w:rPr>
        <w:t xml:space="preserve"> </w:t>
      </w:r>
      <w:r w:rsidR="008123E1" w:rsidRPr="00E6113C">
        <w:rPr>
          <w:rFonts w:ascii="Calibri" w:hAnsi="Calibri" w:cs="Calibri"/>
          <w:sz w:val="22"/>
          <w:szCs w:val="22"/>
        </w:rPr>
        <w:t>–</w:t>
      </w:r>
      <w:r w:rsidR="008123E1" w:rsidRPr="00E6113C">
        <w:rPr>
          <w:rFonts w:ascii="Calibri" w:hAnsi="Calibri" w:cs="Calibri"/>
          <w:b/>
          <w:sz w:val="22"/>
          <w:szCs w:val="22"/>
        </w:rPr>
        <w:t xml:space="preserve"> </w:t>
      </w:r>
      <w:r w:rsidR="008123E1" w:rsidRPr="00E6113C">
        <w:rPr>
          <w:rFonts w:ascii="Calibri" w:hAnsi="Calibri" w:cs="Calibri"/>
          <w:sz w:val="22"/>
          <w:szCs w:val="22"/>
        </w:rPr>
        <w:t>Please see note</w:t>
      </w:r>
      <w:r w:rsidR="00E36553" w:rsidRPr="00E6113C">
        <w:rPr>
          <w:rFonts w:ascii="Calibri" w:hAnsi="Calibri" w:cs="Calibri"/>
          <w:sz w:val="22"/>
          <w:szCs w:val="22"/>
        </w:rPr>
        <w:t xml:space="preserve"> 9</w:t>
      </w:r>
      <w:r w:rsidR="008123E1" w:rsidRPr="00E6113C">
        <w:rPr>
          <w:rFonts w:ascii="Calibri" w:hAnsi="Calibri" w:cs="Calibri"/>
          <w:sz w:val="22"/>
          <w:szCs w:val="22"/>
        </w:rPr>
        <w:t>.</w:t>
      </w:r>
    </w:p>
    <w:p w14:paraId="07FAE533" w14:textId="77777777" w:rsidR="00A8604B" w:rsidRDefault="00A8604B" w:rsidP="00892846">
      <w:pPr>
        <w:ind w:right="-142"/>
        <w:jc w:val="both"/>
        <w:rPr>
          <w:rFonts w:ascii="Calibri" w:hAnsi="Calibri" w:cs="Calibri"/>
          <w:b/>
          <w:sz w:val="22"/>
          <w:szCs w:val="22"/>
        </w:rPr>
      </w:pPr>
    </w:p>
    <w:p w14:paraId="3F377FA3" w14:textId="77777777" w:rsidR="00892846" w:rsidRPr="00E6113C" w:rsidRDefault="00063A4D" w:rsidP="00892846">
      <w:pPr>
        <w:ind w:right="-142"/>
        <w:jc w:val="both"/>
        <w:rPr>
          <w:rFonts w:ascii="Calibri" w:hAnsi="Calibri" w:cs="Calibri"/>
          <w:sz w:val="22"/>
          <w:szCs w:val="22"/>
        </w:rPr>
      </w:pPr>
      <w:r w:rsidRPr="00E6113C">
        <w:rPr>
          <w:rFonts w:ascii="Calibri" w:hAnsi="Calibri" w:cs="Calibri"/>
          <w:b/>
          <w:sz w:val="22"/>
          <w:szCs w:val="22"/>
        </w:rPr>
        <w:t>Post balance sheet events</w:t>
      </w:r>
      <w:r w:rsidR="008123E1" w:rsidRPr="00E6113C">
        <w:rPr>
          <w:rFonts w:ascii="Calibri" w:hAnsi="Calibri" w:cs="Calibri"/>
          <w:b/>
          <w:sz w:val="22"/>
          <w:szCs w:val="22"/>
        </w:rPr>
        <w:t xml:space="preserve"> </w:t>
      </w:r>
      <w:r w:rsidR="008123E1" w:rsidRPr="00E6113C">
        <w:rPr>
          <w:rFonts w:ascii="Calibri" w:hAnsi="Calibri" w:cs="Calibri"/>
          <w:sz w:val="22"/>
          <w:szCs w:val="22"/>
        </w:rPr>
        <w:t>–</w:t>
      </w:r>
      <w:r w:rsidR="008123E1" w:rsidRPr="00E6113C">
        <w:rPr>
          <w:rFonts w:ascii="Calibri" w:hAnsi="Calibri" w:cs="Calibri"/>
          <w:b/>
          <w:sz w:val="22"/>
          <w:szCs w:val="22"/>
        </w:rPr>
        <w:t xml:space="preserve"> </w:t>
      </w:r>
      <w:r w:rsidR="008123E1" w:rsidRPr="00E6113C">
        <w:rPr>
          <w:rFonts w:ascii="Calibri" w:hAnsi="Calibri" w:cs="Calibri"/>
          <w:sz w:val="22"/>
          <w:szCs w:val="22"/>
        </w:rPr>
        <w:t xml:space="preserve">Please see note </w:t>
      </w:r>
      <w:r w:rsidR="00FB1140" w:rsidRPr="00E6113C">
        <w:rPr>
          <w:rFonts w:ascii="Calibri" w:hAnsi="Calibri" w:cs="Calibri"/>
          <w:sz w:val="22"/>
          <w:szCs w:val="22"/>
        </w:rPr>
        <w:t>1</w:t>
      </w:r>
      <w:r w:rsidR="004A6FF0" w:rsidRPr="00E6113C">
        <w:rPr>
          <w:rFonts w:ascii="Calibri" w:hAnsi="Calibri" w:cs="Calibri"/>
          <w:sz w:val="22"/>
          <w:szCs w:val="22"/>
        </w:rPr>
        <w:t>2</w:t>
      </w:r>
      <w:r w:rsidR="008123E1" w:rsidRPr="00E6113C">
        <w:rPr>
          <w:rFonts w:ascii="Calibri" w:hAnsi="Calibri" w:cs="Calibri"/>
          <w:sz w:val="22"/>
          <w:szCs w:val="22"/>
        </w:rPr>
        <w:t xml:space="preserve">. </w:t>
      </w:r>
      <w:bookmarkStart w:id="14" w:name="_Hlk527704336"/>
      <w:bookmarkEnd w:id="12"/>
    </w:p>
    <w:p w14:paraId="4F286D33" w14:textId="77777777" w:rsidR="00892846" w:rsidRPr="00E6113C" w:rsidRDefault="00892846" w:rsidP="00892846">
      <w:pPr>
        <w:ind w:right="-142"/>
        <w:jc w:val="both"/>
        <w:rPr>
          <w:rFonts w:ascii="Calibri" w:hAnsi="Calibri" w:cs="Calibri"/>
          <w:sz w:val="22"/>
          <w:szCs w:val="22"/>
        </w:rPr>
      </w:pPr>
    </w:p>
    <w:p w14:paraId="5CF22753" w14:textId="77777777" w:rsidR="00063A4D" w:rsidRPr="00E6113C" w:rsidRDefault="00063A4D" w:rsidP="00892846">
      <w:pPr>
        <w:ind w:right="-142"/>
        <w:jc w:val="both"/>
        <w:rPr>
          <w:rFonts w:ascii="Calibri" w:hAnsi="Calibri" w:cs="Calibri"/>
          <w:b/>
          <w:bCs/>
          <w:sz w:val="22"/>
          <w:szCs w:val="22"/>
        </w:rPr>
      </w:pPr>
      <w:r w:rsidRPr="00E6113C">
        <w:rPr>
          <w:rFonts w:ascii="Calibri" w:hAnsi="Calibri" w:cs="Calibri"/>
          <w:b/>
          <w:bCs/>
          <w:sz w:val="22"/>
          <w:szCs w:val="22"/>
        </w:rPr>
        <w:t>Going concern</w:t>
      </w:r>
    </w:p>
    <w:bookmarkEnd w:id="7"/>
    <w:bookmarkEnd w:id="11"/>
    <w:bookmarkEnd w:id="14"/>
    <w:p w14:paraId="50DB8746" w14:textId="77777777" w:rsidR="008A6095" w:rsidRPr="00E6113C" w:rsidRDefault="008A6095" w:rsidP="009C5CA5">
      <w:pPr>
        <w:autoSpaceDE w:val="0"/>
        <w:autoSpaceDN w:val="0"/>
        <w:adjustRightInd w:val="0"/>
        <w:spacing w:line="300" w:lineRule="exact"/>
        <w:ind w:right="-143"/>
        <w:jc w:val="both"/>
        <w:rPr>
          <w:rFonts w:ascii="Calibri" w:hAnsi="Calibri" w:cs="Calibri"/>
          <w:sz w:val="22"/>
          <w:szCs w:val="22"/>
        </w:rPr>
      </w:pPr>
      <w:r w:rsidRPr="00E6113C">
        <w:rPr>
          <w:rFonts w:ascii="Calibri" w:hAnsi="Calibri" w:cs="Calibri"/>
          <w:sz w:val="22"/>
          <w:szCs w:val="22"/>
        </w:rPr>
        <w:t xml:space="preserve">The Directors, having made inquiries, believe that the Group has adequate resources to continue in operational existence for at least the next 12 months and that it is appropriate to adopt the going concern basis in preparing these interim financial statements. The continued preparation of the Group’s consolidated interim financial statements on the going concern basis is supported by the financial projections prepared by the Group. </w:t>
      </w:r>
    </w:p>
    <w:p w14:paraId="10E16665" w14:textId="77777777" w:rsidR="008A6095" w:rsidRPr="00E6113C" w:rsidRDefault="008A6095" w:rsidP="009C5CA5">
      <w:pPr>
        <w:autoSpaceDE w:val="0"/>
        <w:autoSpaceDN w:val="0"/>
        <w:adjustRightInd w:val="0"/>
        <w:spacing w:line="300" w:lineRule="exact"/>
        <w:ind w:right="-143"/>
        <w:jc w:val="both"/>
        <w:rPr>
          <w:rFonts w:ascii="Calibri" w:hAnsi="Calibri" w:cs="Calibri"/>
          <w:sz w:val="22"/>
          <w:szCs w:val="22"/>
        </w:rPr>
      </w:pPr>
    </w:p>
    <w:p w14:paraId="3221DBA0" w14:textId="77777777" w:rsidR="008A6095" w:rsidRPr="00E6113C" w:rsidRDefault="008A6095" w:rsidP="009C5CA5">
      <w:pPr>
        <w:autoSpaceDE w:val="0"/>
        <w:autoSpaceDN w:val="0"/>
        <w:adjustRightInd w:val="0"/>
        <w:spacing w:line="300" w:lineRule="exact"/>
        <w:ind w:right="-143"/>
        <w:jc w:val="both"/>
        <w:rPr>
          <w:rFonts w:ascii="Calibri" w:hAnsi="Calibri" w:cs="Calibri"/>
          <w:bCs/>
          <w:sz w:val="22"/>
          <w:szCs w:val="22"/>
        </w:rPr>
      </w:pPr>
      <w:r w:rsidRPr="00E6113C">
        <w:rPr>
          <w:rFonts w:ascii="Calibri" w:hAnsi="Calibri" w:cs="Calibri"/>
          <w:bCs/>
          <w:sz w:val="22"/>
          <w:szCs w:val="22"/>
        </w:rPr>
        <w:t>In arriving at this decision to adopt the going concern basis of accounting, the Board has considered, among other things:</w:t>
      </w:r>
    </w:p>
    <w:p w14:paraId="57F36609" w14:textId="77777777" w:rsidR="008A6095" w:rsidRPr="00E6113C" w:rsidRDefault="008A6095" w:rsidP="009C5CA5">
      <w:pPr>
        <w:pStyle w:val="CG-Title-Center-Bold"/>
        <w:keepNext w:val="0"/>
        <w:tabs>
          <w:tab w:val="left" w:pos="-600"/>
          <w:tab w:val="left" w:pos="6120"/>
          <w:tab w:val="left" w:pos="6360"/>
          <w:tab w:val="left" w:pos="7800"/>
        </w:tabs>
        <w:spacing w:after="0"/>
        <w:ind w:right="-143"/>
        <w:jc w:val="both"/>
        <w:rPr>
          <w:rFonts w:ascii="Calibri" w:hAnsi="Calibri" w:cs="Calibri"/>
          <w:sz w:val="22"/>
          <w:szCs w:val="22"/>
        </w:rPr>
      </w:pPr>
    </w:p>
    <w:p w14:paraId="2F9E4A1A" w14:textId="77777777" w:rsidR="008A6095" w:rsidRPr="00E6113C" w:rsidRDefault="008A6095" w:rsidP="00433F00">
      <w:pPr>
        <w:numPr>
          <w:ilvl w:val="0"/>
          <w:numId w:val="11"/>
        </w:numPr>
        <w:spacing w:line="300" w:lineRule="exact"/>
        <w:ind w:left="714" w:right="-143" w:hanging="357"/>
        <w:jc w:val="both"/>
        <w:rPr>
          <w:rFonts w:ascii="Calibri" w:hAnsi="Calibri" w:cs="Calibri"/>
          <w:bCs/>
          <w:sz w:val="22"/>
          <w:szCs w:val="22"/>
        </w:rPr>
      </w:pPr>
      <w:r w:rsidRPr="00E6113C">
        <w:rPr>
          <w:rFonts w:ascii="Calibri" w:hAnsi="Calibri" w:cs="Calibri"/>
          <w:bCs/>
          <w:sz w:val="22"/>
          <w:szCs w:val="22"/>
        </w:rPr>
        <w:t>The Group’s net profit of €</w:t>
      </w:r>
      <w:r w:rsidR="00477908" w:rsidRPr="00E6113C">
        <w:rPr>
          <w:rFonts w:ascii="Calibri" w:hAnsi="Calibri" w:cs="Calibri"/>
          <w:bCs/>
          <w:sz w:val="22"/>
          <w:szCs w:val="22"/>
        </w:rPr>
        <w:t>2.19</w:t>
      </w:r>
      <w:r w:rsidRPr="00E6113C">
        <w:rPr>
          <w:rFonts w:ascii="Calibri" w:hAnsi="Calibri" w:cs="Calibri"/>
          <w:bCs/>
          <w:sz w:val="22"/>
          <w:szCs w:val="22"/>
        </w:rPr>
        <w:t>BN</w:t>
      </w:r>
      <w:r w:rsidR="004E6C0E" w:rsidRPr="00E6113C">
        <w:rPr>
          <w:rFonts w:ascii="Calibri" w:hAnsi="Calibri" w:cs="Calibri"/>
          <w:bCs/>
          <w:sz w:val="22"/>
          <w:szCs w:val="22"/>
        </w:rPr>
        <w:t xml:space="preserve"> </w:t>
      </w:r>
      <w:r w:rsidRPr="00E6113C">
        <w:rPr>
          <w:rFonts w:ascii="Calibri" w:hAnsi="Calibri" w:cs="Calibri"/>
          <w:bCs/>
          <w:sz w:val="22"/>
          <w:szCs w:val="22"/>
        </w:rPr>
        <w:t xml:space="preserve">in the </w:t>
      </w:r>
      <w:r w:rsidR="00D438CE" w:rsidRPr="00E6113C">
        <w:rPr>
          <w:rFonts w:ascii="Calibri" w:hAnsi="Calibri" w:cs="Calibri"/>
          <w:bCs/>
          <w:sz w:val="22"/>
          <w:szCs w:val="22"/>
        </w:rPr>
        <w:t xml:space="preserve">nine months </w:t>
      </w:r>
      <w:r w:rsidRPr="00E6113C">
        <w:rPr>
          <w:rFonts w:ascii="Calibri" w:hAnsi="Calibri" w:cs="Calibri"/>
          <w:bCs/>
          <w:sz w:val="22"/>
          <w:szCs w:val="22"/>
        </w:rPr>
        <w:t xml:space="preserve">ended </w:t>
      </w:r>
      <w:r w:rsidR="00D438CE" w:rsidRPr="00E6113C">
        <w:rPr>
          <w:rFonts w:ascii="Calibri" w:hAnsi="Calibri" w:cs="Calibri"/>
          <w:bCs/>
          <w:sz w:val="22"/>
          <w:szCs w:val="22"/>
        </w:rPr>
        <w:t>December 31</w:t>
      </w:r>
      <w:r w:rsidRPr="00E6113C">
        <w:rPr>
          <w:rFonts w:ascii="Calibri" w:hAnsi="Calibri" w:cs="Calibri"/>
          <w:bCs/>
          <w:sz w:val="22"/>
          <w:szCs w:val="22"/>
        </w:rPr>
        <w:t>, 202</w:t>
      </w:r>
      <w:r w:rsidR="00504DD3" w:rsidRPr="00E6113C">
        <w:rPr>
          <w:rFonts w:ascii="Calibri" w:hAnsi="Calibri" w:cs="Calibri"/>
          <w:bCs/>
          <w:sz w:val="22"/>
          <w:szCs w:val="22"/>
        </w:rPr>
        <w:t>3</w:t>
      </w:r>
      <w:r w:rsidRPr="00E6113C">
        <w:rPr>
          <w:rFonts w:ascii="Calibri" w:hAnsi="Calibri" w:cs="Calibri"/>
          <w:bCs/>
          <w:sz w:val="22"/>
          <w:szCs w:val="22"/>
        </w:rPr>
        <w:t>;</w:t>
      </w:r>
    </w:p>
    <w:p w14:paraId="668D9153" w14:textId="77777777" w:rsidR="008A6095" w:rsidRPr="00E6113C" w:rsidRDefault="008A6095" w:rsidP="00433F00">
      <w:pPr>
        <w:numPr>
          <w:ilvl w:val="0"/>
          <w:numId w:val="11"/>
        </w:numPr>
        <w:spacing w:line="300" w:lineRule="exact"/>
        <w:ind w:left="714" w:right="-143" w:hanging="357"/>
        <w:jc w:val="both"/>
        <w:rPr>
          <w:rFonts w:ascii="Calibri" w:hAnsi="Calibri" w:cs="Calibri"/>
          <w:bCs/>
          <w:sz w:val="22"/>
          <w:szCs w:val="22"/>
        </w:rPr>
      </w:pPr>
      <w:r w:rsidRPr="00E6113C">
        <w:rPr>
          <w:rFonts w:ascii="Calibri" w:hAnsi="Calibri" w:cs="Calibri"/>
          <w:bCs/>
          <w:sz w:val="22"/>
          <w:szCs w:val="22"/>
        </w:rPr>
        <w:t>The Group’s liquidity, with €</w:t>
      </w:r>
      <w:r w:rsidR="00477908" w:rsidRPr="00E6113C">
        <w:rPr>
          <w:rFonts w:ascii="Calibri" w:hAnsi="Calibri" w:cs="Calibri"/>
          <w:bCs/>
          <w:sz w:val="22"/>
          <w:szCs w:val="22"/>
        </w:rPr>
        <w:t>2.92</w:t>
      </w:r>
      <w:r w:rsidR="00504DD3" w:rsidRPr="00E6113C">
        <w:rPr>
          <w:rFonts w:ascii="Calibri" w:hAnsi="Calibri" w:cs="Calibri"/>
          <w:bCs/>
          <w:sz w:val="22"/>
          <w:szCs w:val="22"/>
        </w:rPr>
        <w:t>B</w:t>
      </w:r>
      <w:r w:rsidRPr="00E6113C">
        <w:rPr>
          <w:rFonts w:ascii="Calibri" w:hAnsi="Calibri" w:cs="Calibri"/>
          <w:bCs/>
          <w:sz w:val="22"/>
          <w:szCs w:val="22"/>
        </w:rPr>
        <w:t xml:space="preserve">N </w:t>
      </w:r>
      <w:r w:rsidR="006131F7" w:rsidRPr="00E6113C">
        <w:rPr>
          <w:rFonts w:ascii="Calibri" w:hAnsi="Calibri" w:cs="Calibri"/>
          <w:bCs/>
          <w:sz w:val="22"/>
          <w:szCs w:val="22"/>
        </w:rPr>
        <w:t xml:space="preserve">gross </w:t>
      </w:r>
      <w:r w:rsidRPr="00E6113C">
        <w:rPr>
          <w:rFonts w:ascii="Calibri" w:hAnsi="Calibri" w:cs="Calibri"/>
          <w:bCs/>
          <w:sz w:val="22"/>
          <w:szCs w:val="22"/>
        </w:rPr>
        <w:t xml:space="preserve">cash </w:t>
      </w:r>
      <w:r w:rsidR="006131F7" w:rsidRPr="00E6113C">
        <w:rPr>
          <w:rFonts w:ascii="Calibri" w:hAnsi="Calibri" w:cs="Calibri"/>
          <w:bCs/>
          <w:sz w:val="22"/>
          <w:szCs w:val="22"/>
        </w:rPr>
        <w:t>and €</w:t>
      </w:r>
      <w:r w:rsidR="00531AB4">
        <w:rPr>
          <w:rFonts w:ascii="Calibri" w:hAnsi="Calibri" w:cs="Calibri"/>
          <w:bCs/>
          <w:sz w:val="22"/>
          <w:szCs w:val="22"/>
        </w:rPr>
        <w:t>0.15BN</w:t>
      </w:r>
      <w:r w:rsidR="006131F7" w:rsidRPr="00E6113C">
        <w:rPr>
          <w:rFonts w:ascii="Calibri" w:hAnsi="Calibri" w:cs="Calibri"/>
          <w:bCs/>
          <w:sz w:val="22"/>
          <w:szCs w:val="22"/>
        </w:rPr>
        <w:t xml:space="preserve"> net cash </w:t>
      </w:r>
      <w:r w:rsidRPr="00E6113C">
        <w:rPr>
          <w:rFonts w:ascii="Calibri" w:hAnsi="Calibri" w:cs="Calibri"/>
          <w:bCs/>
          <w:sz w:val="22"/>
          <w:szCs w:val="22"/>
        </w:rPr>
        <w:t xml:space="preserve">at </w:t>
      </w:r>
      <w:r w:rsidR="00D438CE" w:rsidRPr="00E6113C">
        <w:rPr>
          <w:rFonts w:ascii="Calibri" w:hAnsi="Calibri" w:cs="Calibri"/>
          <w:bCs/>
          <w:sz w:val="22"/>
          <w:szCs w:val="22"/>
        </w:rPr>
        <w:t>December 31</w:t>
      </w:r>
      <w:r w:rsidRPr="00E6113C">
        <w:rPr>
          <w:rFonts w:ascii="Calibri" w:hAnsi="Calibri" w:cs="Calibri"/>
          <w:bCs/>
          <w:sz w:val="22"/>
          <w:szCs w:val="22"/>
        </w:rPr>
        <w:t>, 202</w:t>
      </w:r>
      <w:r w:rsidR="00504DD3" w:rsidRPr="00E6113C">
        <w:rPr>
          <w:rFonts w:ascii="Calibri" w:hAnsi="Calibri" w:cs="Calibri"/>
          <w:bCs/>
          <w:sz w:val="22"/>
          <w:szCs w:val="22"/>
        </w:rPr>
        <w:t>3</w:t>
      </w:r>
      <w:r w:rsidRPr="00E6113C">
        <w:rPr>
          <w:rFonts w:ascii="Calibri" w:hAnsi="Calibri" w:cs="Calibri"/>
          <w:bCs/>
          <w:sz w:val="22"/>
          <w:szCs w:val="22"/>
        </w:rPr>
        <w:t xml:space="preserve">, </w:t>
      </w:r>
      <w:r w:rsidR="00DA295D" w:rsidRPr="00E6113C">
        <w:rPr>
          <w:rFonts w:ascii="Calibri" w:hAnsi="Calibri" w:cs="Calibri"/>
          <w:bCs/>
          <w:sz w:val="22"/>
          <w:szCs w:val="22"/>
        </w:rPr>
        <w:t>€</w:t>
      </w:r>
      <w:r w:rsidR="00962074" w:rsidRPr="00E6113C">
        <w:rPr>
          <w:rFonts w:ascii="Calibri" w:hAnsi="Calibri" w:cs="Calibri"/>
          <w:bCs/>
          <w:sz w:val="22"/>
          <w:szCs w:val="22"/>
        </w:rPr>
        <w:t>0</w:t>
      </w:r>
      <w:r w:rsidR="00634773" w:rsidRPr="00E6113C">
        <w:rPr>
          <w:rFonts w:ascii="Calibri" w:hAnsi="Calibri" w:cs="Calibri"/>
          <w:bCs/>
          <w:sz w:val="22"/>
          <w:szCs w:val="22"/>
        </w:rPr>
        <w:t>.</w:t>
      </w:r>
      <w:r w:rsidR="00962074" w:rsidRPr="00E6113C">
        <w:rPr>
          <w:rFonts w:ascii="Calibri" w:hAnsi="Calibri" w:cs="Calibri"/>
          <w:bCs/>
          <w:sz w:val="22"/>
          <w:szCs w:val="22"/>
        </w:rPr>
        <w:t>26</w:t>
      </w:r>
      <w:r w:rsidR="006534C0" w:rsidRPr="00E6113C">
        <w:rPr>
          <w:rFonts w:ascii="Calibri" w:hAnsi="Calibri" w:cs="Calibri"/>
          <w:bCs/>
          <w:sz w:val="22"/>
          <w:szCs w:val="22"/>
        </w:rPr>
        <w:t>BN</w:t>
      </w:r>
      <w:r w:rsidR="00DA295D" w:rsidRPr="00E6113C">
        <w:rPr>
          <w:rFonts w:ascii="Calibri" w:hAnsi="Calibri" w:cs="Calibri"/>
          <w:bCs/>
          <w:sz w:val="22"/>
          <w:szCs w:val="22"/>
        </w:rPr>
        <w:t xml:space="preserve"> undrawn funds under the Group’s </w:t>
      </w:r>
      <w:r w:rsidR="006534C0" w:rsidRPr="00E6113C">
        <w:rPr>
          <w:rFonts w:ascii="Calibri" w:hAnsi="Calibri" w:cs="Calibri"/>
          <w:bCs/>
          <w:sz w:val="22"/>
          <w:szCs w:val="22"/>
        </w:rPr>
        <w:t>€</w:t>
      </w:r>
      <w:r w:rsidR="00962074" w:rsidRPr="00E6113C">
        <w:rPr>
          <w:rFonts w:ascii="Calibri" w:hAnsi="Calibri" w:cs="Calibri"/>
          <w:bCs/>
          <w:sz w:val="22"/>
          <w:szCs w:val="22"/>
        </w:rPr>
        <w:t>0.75</w:t>
      </w:r>
      <w:r w:rsidR="006534C0" w:rsidRPr="00E6113C">
        <w:rPr>
          <w:rFonts w:ascii="Calibri" w:hAnsi="Calibri" w:cs="Calibri"/>
          <w:bCs/>
          <w:sz w:val="22"/>
          <w:szCs w:val="22"/>
        </w:rPr>
        <w:t xml:space="preserve">BN </w:t>
      </w:r>
      <w:r w:rsidR="00DA295D" w:rsidRPr="00E6113C">
        <w:rPr>
          <w:rFonts w:ascii="Calibri" w:hAnsi="Calibri" w:cs="Calibri"/>
          <w:bCs/>
          <w:sz w:val="22"/>
          <w:szCs w:val="22"/>
        </w:rPr>
        <w:t xml:space="preserve">revolving credit facility </w:t>
      </w:r>
      <w:r w:rsidRPr="00E6113C">
        <w:rPr>
          <w:rFonts w:ascii="Calibri" w:hAnsi="Calibri" w:cs="Calibri"/>
          <w:bCs/>
          <w:sz w:val="22"/>
          <w:szCs w:val="22"/>
        </w:rPr>
        <w:t>and the Group’s continued focus on cash management;</w:t>
      </w:r>
    </w:p>
    <w:p w14:paraId="600CFABC" w14:textId="77777777" w:rsidR="008A6095" w:rsidRPr="00E6113C" w:rsidRDefault="008A6095" w:rsidP="00433F00">
      <w:pPr>
        <w:numPr>
          <w:ilvl w:val="0"/>
          <w:numId w:val="11"/>
        </w:numPr>
        <w:spacing w:line="300" w:lineRule="exact"/>
        <w:ind w:left="714" w:right="-143" w:hanging="357"/>
        <w:jc w:val="both"/>
        <w:rPr>
          <w:rFonts w:ascii="Calibri" w:hAnsi="Calibri" w:cs="Calibri"/>
          <w:bCs/>
          <w:sz w:val="22"/>
          <w:szCs w:val="22"/>
        </w:rPr>
      </w:pPr>
      <w:r w:rsidRPr="00E6113C">
        <w:rPr>
          <w:rFonts w:ascii="Calibri" w:hAnsi="Calibri" w:cs="Calibri"/>
          <w:bCs/>
          <w:sz w:val="22"/>
          <w:szCs w:val="22"/>
        </w:rPr>
        <w:t>The Group’s BBB</w:t>
      </w:r>
      <w:r w:rsidR="00504DD3" w:rsidRPr="00E6113C">
        <w:rPr>
          <w:rFonts w:ascii="Calibri" w:hAnsi="Calibri" w:cs="Calibri"/>
          <w:bCs/>
          <w:sz w:val="22"/>
          <w:szCs w:val="22"/>
        </w:rPr>
        <w:t>+ (stable)</w:t>
      </w:r>
      <w:r w:rsidRPr="00E6113C">
        <w:rPr>
          <w:rFonts w:ascii="Calibri" w:hAnsi="Calibri" w:cs="Calibri"/>
          <w:bCs/>
          <w:sz w:val="22"/>
          <w:szCs w:val="22"/>
        </w:rPr>
        <w:t xml:space="preserve"> credit </w:t>
      </w:r>
      <w:r w:rsidR="006131F7" w:rsidRPr="00E6113C">
        <w:rPr>
          <w:rFonts w:ascii="Calibri" w:hAnsi="Calibri" w:cs="Calibri"/>
          <w:bCs/>
          <w:sz w:val="22"/>
          <w:szCs w:val="22"/>
        </w:rPr>
        <w:t xml:space="preserve">ratings </w:t>
      </w:r>
      <w:r w:rsidRPr="00E6113C">
        <w:rPr>
          <w:rFonts w:ascii="Calibri" w:hAnsi="Calibri" w:cs="Calibri"/>
          <w:bCs/>
          <w:sz w:val="22"/>
          <w:szCs w:val="22"/>
        </w:rPr>
        <w:t xml:space="preserve">from both S&amp;P and Fitch Ratings; </w:t>
      </w:r>
    </w:p>
    <w:p w14:paraId="6CFBF97A" w14:textId="77777777" w:rsidR="008A6095" w:rsidRPr="00E6113C" w:rsidRDefault="008A6095" w:rsidP="00433F00">
      <w:pPr>
        <w:numPr>
          <w:ilvl w:val="0"/>
          <w:numId w:val="11"/>
        </w:numPr>
        <w:spacing w:line="300" w:lineRule="exact"/>
        <w:ind w:left="714" w:right="-143" w:hanging="357"/>
        <w:jc w:val="both"/>
        <w:rPr>
          <w:rFonts w:ascii="Calibri" w:hAnsi="Calibri" w:cs="Calibri"/>
          <w:bCs/>
          <w:sz w:val="22"/>
          <w:szCs w:val="22"/>
        </w:rPr>
      </w:pPr>
      <w:r w:rsidRPr="00E6113C">
        <w:rPr>
          <w:rFonts w:ascii="Calibri" w:hAnsi="Calibri" w:cs="Calibri"/>
          <w:bCs/>
          <w:sz w:val="22"/>
          <w:szCs w:val="22"/>
        </w:rPr>
        <w:t>The Group’s strong balance sheet position with</w:t>
      </w:r>
      <w:r w:rsidR="00C4701B" w:rsidRPr="00E6113C">
        <w:rPr>
          <w:rFonts w:ascii="Calibri" w:hAnsi="Calibri" w:cs="Calibri"/>
          <w:sz w:val="22"/>
          <w:szCs w:val="22"/>
        </w:rPr>
        <w:t xml:space="preserve"> its </w:t>
      </w:r>
      <w:r w:rsidR="00962074" w:rsidRPr="00E6113C">
        <w:rPr>
          <w:rFonts w:ascii="Calibri" w:hAnsi="Calibri" w:cs="Calibri"/>
          <w:sz w:val="22"/>
          <w:szCs w:val="22"/>
        </w:rPr>
        <w:t>546</w:t>
      </w:r>
      <w:r w:rsidR="006534C0" w:rsidRPr="00E6113C">
        <w:rPr>
          <w:rFonts w:ascii="Calibri" w:hAnsi="Calibri" w:cs="Calibri"/>
          <w:sz w:val="22"/>
          <w:szCs w:val="22"/>
        </w:rPr>
        <w:t xml:space="preserve"> owned </w:t>
      </w:r>
      <w:r w:rsidR="00C4701B" w:rsidRPr="00E6113C">
        <w:rPr>
          <w:rFonts w:ascii="Calibri" w:hAnsi="Calibri" w:cs="Calibri"/>
          <w:sz w:val="22"/>
          <w:szCs w:val="22"/>
        </w:rPr>
        <w:t>B737 fleet unencumbered</w:t>
      </w:r>
      <w:r w:rsidRPr="00E6113C">
        <w:rPr>
          <w:rFonts w:ascii="Calibri" w:hAnsi="Calibri" w:cs="Calibri"/>
          <w:bCs/>
          <w:sz w:val="22"/>
          <w:szCs w:val="22"/>
        </w:rPr>
        <w:t xml:space="preserve">; </w:t>
      </w:r>
    </w:p>
    <w:p w14:paraId="199EAED7" w14:textId="77777777" w:rsidR="008A6095" w:rsidRPr="00E6113C" w:rsidRDefault="008A6095" w:rsidP="00433F00">
      <w:pPr>
        <w:numPr>
          <w:ilvl w:val="0"/>
          <w:numId w:val="11"/>
        </w:numPr>
        <w:spacing w:line="300" w:lineRule="exact"/>
        <w:ind w:left="714" w:right="-143" w:hanging="357"/>
        <w:jc w:val="both"/>
        <w:rPr>
          <w:rFonts w:ascii="Calibri" w:hAnsi="Calibri" w:cs="Calibri"/>
          <w:bCs/>
          <w:sz w:val="22"/>
          <w:szCs w:val="22"/>
        </w:rPr>
      </w:pPr>
      <w:r w:rsidRPr="00E6113C">
        <w:rPr>
          <w:rFonts w:ascii="Calibri" w:hAnsi="Calibri" w:cs="Calibri"/>
          <w:bCs/>
          <w:sz w:val="22"/>
          <w:szCs w:val="22"/>
        </w:rPr>
        <w:t>The Group’s access to the debt capital markets, unsecured</w:t>
      </w:r>
      <w:r w:rsidR="004E6C0E" w:rsidRPr="00E6113C">
        <w:rPr>
          <w:rFonts w:ascii="Calibri" w:hAnsi="Calibri" w:cs="Calibri"/>
          <w:bCs/>
          <w:sz w:val="22"/>
          <w:szCs w:val="22"/>
        </w:rPr>
        <w:t>/secured</w:t>
      </w:r>
      <w:r w:rsidRPr="00E6113C">
        <w:rPr>
          <w:rFonts w:ascii="Calibri" w:hAnsi="Calibri" w:cs="Calibri"/>
          <w:bCs/>
          <w:sz w:val="22"/>
          <w:szCs w:val="22"/>
        </w:rPr>
        <w:t xml:space="preserve"> bank debt and sale </w:t>
      </w:r>
      <w:r w:rsidR="00531AB4">
        <w:rPr>
          <w:rFonts w:ascii="Calibri" w:hAnsi="Calibri" w:cs="Calibri"/>
          <w:bCs/>
          <w:sz w:val="22"/>
          <w:szCs w:val="22"/>
        </w:rPr>
        <w:t>&amp;</w:t>
      </w:r>
      <w:r w:rsidRPr="00E6113C">
        <w:rPr>
          <w:rFonts w:ascii="Calibri" w:hAnsi="Calibri" w:cs="Calibri"/>
          <w:bCs/>
          <w:sz w:val="22"/>
          <w:szCs w:val="22"/>
        </w:rPr>
        <w:t xml:space="preserve"> leaseback transactions;</w:t>
      </w:r>
    </w:p>
    <w:p w14:paraId="77A628C5" w14:textId="77777777" w:rsidR="008A6095" w:rsidRPr="00E6113C" w:rsidRDefault="009B5068" w:rsidP="00433F00">
      <w:pPr>
        <w:numPr>
          <w:ilvl w:val="0"/>
          <w:numId w:val="11"/>
        </w:numPr>
        <w:autoSpaceDE w:val="0"/>
        <w:autoSpaceDN w:val="0"/>
        <w:adjustRightInd w:val="0"/>
        <w:spacing w:line="300" w:lineRule="exact"/>
        <w:ind w:left="714" w:right="-143" w:hanging="357"/>
        <w:jc w:val="both"/>
        <w:rPr>
          <w:rFonts w:ascii="Calibri" w:hAnsi="Calibri" w:cs="Calibri"/>
          <w:sz w:val="22"/>
          <w:szCs w:val="22"/>
        </w:rPr>
      </w:pPr>
      <w:r w:rsidRPr="00E6113C">
        <w:rPr>
          <w:rFonts w:ascii="Calibri" w:hAnsi="Calibri" w:cs="Calibri"/>
          <w:sz w:val="22"/>
          <w:szCs w:val="22"/>
        </w:rPr>
        <w:t>Strong cost control across the Group;</w:t>
      </w:r>
    </w:p>
    <w:p w14:paraId="3C771663" w14:textId="77777777" w:rsidR="00C4701B" w:rsidRPr="00E6113C" w:rsidRDefault="00C4701B" w:rsidP="00433F00">
      <w:pPr>
        <w:numPr>
          <w:ilvl w:val="0"/>
          <w:numId w:val="11"/>
        </w:numPr>
        <w:spacing w:line="300" w:lineRule="exact"/>
        <w:ind w:left="714" w:right="-143" w:hanging="357"/>
        <w:jc w:val="both"/>
        <w:rPr>
          <w:rFonts w:ascii="Calibri" w:hAnsi="Calibri" w:cs="Calibri"/>
          <w:bCs/>
          <w:sz w:val="22"/>
          <w:szCs w:val="22"/>
        </w:rPr>
      </w:pPr>
      <w:bookmarkStart w:id="15" w:name="_Hlk155345171"/>
      <w:r w:rsidRPr="00E6113C">
        <w:rPr>
          <w:rFonts w:ascii="Calibri" w:hAnsi="Calibri" w:cs="Calibri"/>
          <w:bCs/>
          <w:sz w:val="22"/>
          <w:szCs w:val="22"/>
        </w:rPr>
        <w:t>The Group’s fuel hedging position (</w:t>
      </w:r>
      <w:bookmarkStart w:id="16" w:name="_Hlk147477588"/>
      <w:r w:rsidRPr="00E6113C">
        <w:rPr>
          <w:rFonts w:ascii="Calibri" w:hAnsi="Calibri" w:cs="Calibri"/>
          <w:bCs/>
          <w:sz w:val="22"/>
          <w:szCs w:val="22"/>
        </w:rPr>
        <w:t xml:space="preserve">FY24 fuel requirements </w:t>
      </w:r>
      <w:r w:rsidR="00DA295D" w:rsidRPr="00E6113C">
        <w:rPr>
          <w:rFonts w:ascii="Calibri" w:hAnsi="Calibri" w:cs="Calibri"/>
          <w:bCs/>
          <w:sz w:val="22"/>
          <w:szCs w:val="22"/>
        </w:rPr>
        <w:t>we</w:t>
      </w:r>
      <w:r w:rsidRPr="00E6113C">
        <w:rPr>
          <w:rFonts w:ascii="Calibri" w:hAnsi="Calibri" w:cs="Calibri"/>
          <w:bCs/>
          <w:sz w:val="22"/>
          <w:szCs w:val="22"/>
        </w:rPr>
        <w:t xml:space="preserve">re </w:t>
      </w:r>
      <w:r w:rsidR="00ED7EEC" w:rsidRPr="00E6113C">
        <w:rPr>
          <w:rFonts w:ascii="Calibri" w:hAnsi="Calibri" w:cs="Calibri"/>
          <w:bCs/>
          <w:sz w:val="22"/>
          <w:szCs w:val="22"/>
        </w:rPr>
        <w:t>8</w:t>
      </w:r>
      <w:r w:rsidR="009A66BB">
        <w:rPr>
          <w:rFonts w:ascii="Calibri" w:hAnsi="Calibri" w:cs="Calibri"/>
          <w:bCs/>
          <w:sz w:val="22"/>
          <w:szCs w:val="22"/>
        </w:rPr>
        <w:t>4</w:t>
      </w:r>
      <w:r w:rsidRPr="00E6113C">
        <w:rPr>
          <w:rFonts w:ascii="Calibri" w:hAnsi="Calibri" w:cs="Calibri"/>
          <w:bCs/>
          <w:sz w:val="22"/>
          <w:szCs w:val="22"/>
        </w:rPr>
        <w:t>% hedged (</w:t>
      </w:r>
      <w:r w:rsidR="00DA2F6F" w:rsidRPr="00E6113C">
        <w:rPr>
          <w:rFonts w:ascii="Calibri" w:hAnsi="Calibri" w:cs="Calibri"/>
          <w:bCs/>
          <w:sz w:val="22"/>
          <w:szCs w:val="22"/>
        </w:rPr>
        <w:t>via swaps and caps</w:t>
      </w:r>
      <w:r w:rsidRPr="00E6113C">
        <w:rPr>
          <w:rFonts w:ascii="Calibri" w:hAnsi="Calibri" w:cs="Calibri"/>
          <w:bCs/>
          <w:sz w:val="22"/>
          <w:szCs w:val="22"/>
        </w:rPr>
        <w:t xml:space="preserve">) and </w:t>
      </w:r>
      <w:r w:rsidR="00ED7EEC" w:rsidRPr="00E6113C">
        <w:rPr>
          <w:rFonts w:ascii="Calibri" w:hAnsi="Calibri" w:cs="Calibri"/>
          <w:bCs/>
          <w:sz w:val="22"/>
          <w:szCs w:val="22"/>
        </w:rPr>
        <w:t>65</w:t>
      </w:r>
      <w:r w:rsidRPr="00E6113C">
        <w:rPr>
          <w:rFonts w:ascii="Calibri" w:hAnsi="Calibri" w:cs="Calibri"/>
          <w:bCs/>
          <w:sz w:val="22"/>
          <w:szCs w:val="22"/>
        </w:rPr>
        <w:t xml:space="preserve">% of FY25 jet fuel requirements </w:t>
      </w:r>
      <w:r w:rsidR="006131F7" w:rsidRPr="00E6113C">
        <w:rPr>
          <w:rFonts w:ascii="Calibri" w:hAnsi="Calibri" w:cs="Calibri"/>
          <w:bCs/>
          <w:sz w:val="22"/>
          <w:szCs w:val="22"/>
        </w:rPr>
        <w:t>we</w:t>
      </w:r>
      <w:r w:rsidRPr="00E6113C">
        <w:rPr>
          <w:rFonts w:ascii="Calibri" w:hAnsi="Calibri" w:cs="Calibri"/>
          <w:bCs/>
          <w:sz w:val="22"/>
          <w:szCs w:val="22"/>
        </w:rPr>
        <w:t xml:space="preserve">re hedged at </w:t>
      </w:r>
      <w:r w:rsidR="00D438CE" w:rsidRPr="00E6113C">
        <w:rPr>
          <w:rFonts w:ascii="Calibri" w:hAnsi="Calibri" w:cs="Calibri"/>
          <w:bCs/>
          <w:sz w:val="22"/>
          <w:szCs w:val="22"/>
        </w:rPr>
        <w:t>December 31</w:t>
      </w:r>
      <w:r w:rsidRPr="00E6113C">
        <w:rPr>
          <w:rFonts w:ascii="Calibri" w:hAnsi="Calibri" w:cs="Calibri"/>
          <w:bCs/>
          <w:sz w:val="22"/>
          <w:szCs w:val="22"/>
        </w:rPr>
        <w:t xml:space="preserve">, 2023); </w:t>
      </w:r>
      <w:bookmarkEnd w:id="15"/>
      <w:r w:rsidRPr="00E6113C">
        <w:rPr>
          <w:rFonts w:ascii="Calibri" w:hAnsi="Calibri" w:cs="Calibri"/>
          <w:bCs/>
          <w:sz w:val="22"/>
          <w:szCs w:val="22"/>
        </w:rPr>
        <w:t>and</w:t>
      </w:r>
    </w:p>
    <w:p w14:paraId="3FA2A184" w14:textId="77777777" w:rsidR="008A6095" w:rsidRPr="00E6113C" w:rsidRDefault="008A6095" w:rsidP="00433F00">
      <w:pPr>
        <w:numPr>
          <w:ilvl w:val="0"/>
          <w:numId w:val="11"/>
        </w:numPr>
        <w:spacing w:line="300" w:lineRule="exact"/>
        <w:ind w:left="714" w:right="-143" w:hanging="357"/>
        <w:jc w:val="both"/>
        <w:rPr>
          <w:rFonts w:ascii="Calibri" w:hAnsi="Calibri" w:cs="Calibri"/>
          <w:bCs/>
          <w:sz w:val="22"/>
          <w:szCs w:val="22"/>
        </w:rPr>
      </w:pPr>
      <w:r w:rsidRPr="00E6113C">
        <w:rPr>
          <w:rFonts w:ascii="Calibri" w:hAnsi="Calibri" w:cs="Calibri"/>
          <w:bCs/>
          <w:sz w:val="22"/>
          <w:szCs w:val="22"/>
        </w:rPr>
        <w:t xml:space="preserve">The Group’s ability, </w:t>
      </w:r>
      <w:bookmarkEnd w:id="16"/>
      <w:r w:rsidRPr="00E6113C">
        <w:rPr>
          <w:rFonts w:ascii="Calibri" w:hAnsi="Calibri" w:cs="Calibri"/>
          <w:bCs/>
          <w:sz w:val="22"/>
          <w:szCs w:val="22"/>
        </w:rPr>
        <w:t>as evidenced throughout the Covid-19 crisis, to preserve cash and reduce operational and capital expenditure in a downturn.</w:t>
      </w:r>
    </w:p>
    <w:p w14:paraId="5D1B1EB7" w14:textId="77777777" w:rsidR="00C24E17" w:rsidRPr="006D09A6" w:rsidRDefault="00C24E17" w:rsidP="00AD289F">
      <w:pPr>
        <w:autoSpaceDE w:val="0"/>
        <w:autoSpaceDN w:val="0"/>
        <w:adjustRightInd w:val="0"/>
        <w:spacing w:line="300" w:lineRule="exact"/>
        <w:jc w:val="both"/>
        <w:rPr>
          <w:rFonts w:ascii="Calibri" w:hAnsi="Calibri" w:cs="Calibri"/>
          <w:sz w:val="22"/>
          <w:szCs w:val="22"/>
        </w:rPr>
      </w:pPr>
    </w:p>
    <w:p w14:paraId="7476438B" w14:textId="77777777" w:rsidR="00097571" w:rsidRPr="00E6113C" w:rsidRDefault="0095240F" w:rsidP="00097571">
      <w:pPr>
        <w:pStyle w:val="CG-Title-Center-Bold"/>
        <w:keepNext w:val="0"/>
        <w:tabs>
          <w:tab w:val="left" w:pos="-600"/>
          <w:tab w:val="left" w:pos="6120"/>
          <w:tab w:val="left" w:pos="6360"/>
          <w:tab w:val="left" w:pos="7800"/>
        </w:tabs>
        <w:spacing w:after="0"/>
        <w:ind w:left="-839" w:right="-595"/>
        <w:rPr>
          <w:rFonts w:ascii="Calibri" w:hAnsi="Calibri" w:cs="Calibri"/>
        </w:rPr>
      </w:pPr>
      <w:r w:rsidRPr="00C22F7C">
        <w:rPr>
          <w:rFonts w:ascii="Calibri" w:hAnsi="Calibri" w:cs="Calibri"/>
          <w:sz w:val="22"/>
          <w:szCs w:val="22"/>
        </w:rPr>
        <w:br w:type="page"/>
      </w:r>
      <w:bookmarkStart w:id="17" w:name="_Hlk527706211"/>
      <w:bookmarkEnd w:id="4"/>
      <w:bookmarkEnd w:id="5"/>
      <w:bookmarkEnd w:id="6"/>
      <w:r w:rsidR="00097571" w:rsidRPr="00E6113C">
        <w:rPr>
          <w:rFonts w:ascii="Calibri" w:hAnsi="Calibri" w:cs="Calibri"/>
          <w:sz w:val="24"/>
          <w:szCs w:val="24"/>
        </w:rPr>
        <w:t>Ryanair Holdings plc and Subsidiaries</w:t>
      </w:r>
    </w:p>
    <w:p w14:paraId="780A2F5E" w14:textId="77777777" w:rsidR="00097571" w:rsidRPr="00E6113C" w:rsidRDefault="00097571" w:rsidP="00097571">
      <w:pPr>
        <w:pStyle w:val="CG-Title-Center-Bold"/>
        <w:keepNext w:val="0"/>
        <w:tabs>
          <w:tab w:val="left" w:pos="-600"/>
          <w:tab w:val="left" w:pos="6120"/>
          <w:tab w:val="left" w:pos="6360"/>
          <w:tab w:val="left" w:pos="7800"/>
        </w:tabs>
        <w:spacing w:after="0"/>
        <w:ind w:left="-839" w:right="-595"/>
        <w:rPr>
          <w:rFonts w:ascii="Calibri" w:hAnsi="Calibri" w:cs="Calibri"/>
          <w:sz w:val="24"/>
          <w:szCs w:val="24"/>
        </w:rPr>
      </w:pPr>
      <w:r w:rsidRPr="00E6113C">
        <w:rPr>
          <w:rFonts w:ascii="Calibri" w:hAnsi="Calibri" w:cs="Calibri"/>
          <w:sz w:val="24"/>
          <w:szCs w:val="24"/>
        </w:rPr>
        <w:t>Notes forming Part of the Condensed Consolidated</w:t>
      </w:r>
    </w:p>
    <w:p w14:paraId="39C81D5D" w14:textId="77777777" w:rsidR="00097571" w:rsidRPr="00E6113C" w:rsidRDefault="00097571" w:rsidP="00097571">
      <w:pPr>
        <w:jc w:val="center"/>
        <w:rPr>
          <w:rFonts w:ascii="Calibri" w:hAnsi="Calibri" w:cs="Calibri"/>
          <w:b/>
          <w:lang w:val="en-US"/>
        </w:rPr>
      </w:pPr>
      <w:r w:rsidRPr="00E6113C">
        <w:rPr>
          <w:rFonts w:ascii="Calibri" w:hAnsi="Calibri" w:cs="Calibri"/>
          <w:b/>
          <w:lang w:val="en-US"/>
        </w:rPr>
        <w:t>Interim Financial Statements</w:t>
      </w:r>
    </w:p>
    <w:p w14:paraId="4D1B4822" w14:textId="77777777" w:rsidR="00097571" w:rsidRPr="00E6113C" w:rsidRDefault="00097571" w:rsidP="00097571">
      <w:pPr>
        <w:jc w:val="center"/>
        <w:rPr>
          <w:rFonts w:ascii="Calibri" w:hAnsi="Calibri" w:cs="Calibri"/>
          <w:b/>
          <w:lang w:val="en-US"/>
        </w:rPr>
      </w:pPr>
    </w:p>
    <w:p w14:paraId="2AAB27E7" w14:textId="77777777" w:rsidR="00097571" w:rsidRPr="00E6113C" w:rsidRDefault="00097571" w:rsidP="0002602C">
      <w:pPr>
        <w:pStyle w:val="Outline3L1"/>
        <w:numPr>
          <w:ilvl w:val="0"/>
          <w:numId w:val="7"/>
        </w:numPr>
        <w:tabs>
          <w:tab w:val="clear" w:pos="720"/>
        </w:tabs>
        <w:spacing w:after="0"/>
        <w:ind w:right="-143"/>
        <w:jc w:val="both"/>
        <w:rPr>
          <w:rFonts w:ascii="Calibri" w:hAnsi="Calibri" w:cs="Calibri"/>
          <w:b/>
          <w:sz w:val="22"/>
          <w:szCs w:val="22"/>
        </w:rPr>
      </w:pPr>
      <w:r w:rsidRPr="00E6113C">
        <w:rPr>
          <w:rFonts w:ascii="Calibri" w:hAnsi="Calibri" w:cs="Calibri"/>
          <w:b/>
          <w:sz w:val="22"/>
          <w:szCs w:val="22"/>
        </w:rPr>
        <w:t xml:space="preserve">Basis of preparation and </w:t>
      </w:r>
      <w:r w:rsidR="00397D1F" w:rsidRPr="00E6113C">
        <w:rPr>
          <w:rFonts w:ascii="Calibri" w:hAnsi="Calibri" w:cs="Calibri"/>
          <w:b/>
          <w:sz w:val="22"/>
          <w:szCs w:val="22"/>
        </w:rPr>
        <w:t>material</w:t>
      </w:r>
      <w:r w:rsidRPr="00E6113C">
        <w:rPr>
          <w:rFonts w:ascii="Calibri" w:hAnsi="Calibri" w:cs="Calibri"/>
          <w:b/>
          <w:sz w:val="22"/>
          <w:szCs w:val="22"/>
        </w:rPr>
        <w:t xml:space="preserve"> accounting policies</w:t>
      </w:r>
    </w:p>
    <w:p w14:paraId="0326A3CF" w14:textId="77777777" w:rsidR="00984744" w:rsidRPr="00E6113C" w:rsidRDefault="00984744" w:rsidP="0002602C">
      <w:pPr>
        <w:pStyle w:val="Outline3L1"/>
        <w:numPr>
          <w:ilvl w:val="0"/>
          <w:numId w:val="0"/>
        </w:numPr>
        <w:tabs>
          <w:tab w:val="num" w:pos="0"/>
        </w:tabs>
        <w:spacing w:after="0"/>
        <w:ind w:right="-143"/>
        <w:jc w:val="both"/>
        <w:rPr>
          <w:rFonts w:ascii="Calibri" w:hAnsi="Calibri" w:cs="Calibri"/>
          <w:sz w:val="22"/>
          <w:szCs w:val="22"/>
        </w:rPr>
      </w:pPr>
    </w:p>
    <w:p w14:paraId="7C66FC56" w14:textId="77777777" w:rsidR="00C4701B" w:rsidRPr="00E6113C" w:rsidRDefault="00C4701B" w:rsidP="00C4701B">
      <w:pPr>
        <w:autoSpaceDE w:val="0"/>
        <w:autoSpaceDN w:val="0"/>
        <w:adjustRightInd w:val="0"/>
        <w:ind w:right="-143"/>
        <w:jc w:val="both"/>
        <w:rPr>
          <w:rFonts w:ascii="Calibri" w:hAnsi="Calibri" w:cs="Calibri"/>
          <w:sz w:val="22"/>
          <w:szCs w:val="22"/>
          <w:lang w:val="en-US"/>
        </w:rPr>
      </w:pPr>
      <w:r w:rsidRPr="00E6113C">
        <w:rPr>
          <w:rFonts w:ascii="Calibri" w:hAnsi="Calibri" w:cs="Calibri"/>
          <w:sz w:val="22"/>
          <w:szCs w:val="22"/>
          <w:lang w:val="en-US"/>
        </w:rPr>
        <w:t xml:space="preserve">Ryanair Holdings plc (the “Company”) is a company domiciled in Ireland. The unaudited condensed consolidated interim financial statements for the </w:t>
      </w:r>
      <w:r w:rsidR="00D438CE" w:rsidRPr="00E6113C">
        <w:rPr>
          <w:rFonts w:ascii="Calibri" w:hAnsi="Calibri" w:cs="Calibri"/>
          <w:sz w:val="22"/>
          <w:szCs w:val="22"/>
          <w:lang w:val="en-US"/>
        </w:rPr>
        <w:t xml:space="preserve">nine months </w:t>
      </w:r>
      <w:r w:rsidRPr="00E6113C">
        <w:rPr>
          <w:rFonts w:ascii="Calibri" w:hAnsi="Calibri" w:cs="Calibri"/>
          <w:sz w:val="22"/>
          <w:szCs w:val="22"/>
          <w:lang w:val="en-US"/>
        </w:rPr>
        <w:t xml:space="preserve">ended </w:t>
      </w:r>
      <w:r w:rsidR="00D438CE" w:rsidRPr="00E6113C">
        <w:rPr>
          <w:rFonts w:ascii="Calibri" w:hAnsi="Calibri" w:cs="Calibri"/>
          <w:sz w:val="22"/>
          <w:szCs w:val="22"/>
          <w:lang w:val="en-US"/>
        </w:rPr>
        <w:t>December 31</w:t>
      </w:r>
      <w:r w:rsidRPr="00E6113C">
        <w:rPr>
          <w:rFonts w:ascii="Calibri" w:hAnsi="Calibri" w:cs="Calibri"/>
          <w:sz w:val="22"/>
          <w:szCs w:val="22"/>
          <w:lang w:val="en-US"/>
        </w:rPr>
        <w:t xml:space="preserve">, 2023 comprise the results of the Company and its subsidiaries (together referred to as the “Group”). </w:t>
      </w:r>
    </w:p>
    <w:p w14:paraId="15EB5BAB" w14:textId="77777777" w:rsidR="00C4701B" w:rsidRPr="00E6113C" w:rsidRDefault="00C4701B" w:rsidP="00C4701B">
      <w:pPr>
        <w:autoSpaceDE w:val="0"/>
        <w:autoSpaceDN w:val="0"/>
        <w:adjustRightInd w:val="0"/>
        <w:ind w:right="-143"/>
        <w:jc w:val="both"/>
        <w:rPr>
          <w:rFonts w:ascii="Calibri" w:hAnsi="Calibri" w:cs="Calibri"/>
          <w:sz w:val="22"/>
          <w:szCs w:val="22"/>
          <w:lang w:val="en-US"/>
        </w:rPr>
      </w:pPr>
    </w:p>
    <w:p w14:paraId="0128733C" w14:textId="77777777" w:rsidR="00C4701B" w:rsidRPr="00E6113C" w:rsidRDefault="00C4701B" w:rsidP="00C4701B">
      <w:pPr>
        <w:autoSpaceDE w:val="0"/>
        <w:autoSpaceDN w:val="0"/>
        <w:adjustRightInd w:val="0"/>
        <w:ind w:right="-143"/>
        <w:jc w:val="both"/>
        <w:rPr>
          <w:rFonts w:ascii="Calibri" w:hAnsi="Calibri" w:cs="Calibri"/>
          <w:sz w:val="22"/>
          <w:szCs w:val="22"/>
          <w:lang w:val="en-US"/>
        </w:rPr>
      </w:pPr>
      <w:r w:rsidRPr="00E6113C">
        <w:rPr>
          <w:rFonts w:ascii="Calibri" w:hAnsi="Calibri" w:cs="Calibri"/>
          <w:sz w:val="22"/>
          <w:szCs w:val="22"/>
          <w:lang w:val="en-US"/>
        </w:rPr>
        <w:t xml:space="preserve">These unaudited condensed consolidated interim financial statements (“the interim financial statements”), which should be read in conjunction with our 2023 Annual Report for the year ended March 31, 2023, have been prepared in accordance with IAS 34 Interim Financial Reporting as adopted by the EU (“IAS 34”). They do not include all of the information required for full annual financial statements and should be read in conjunction with the most recent published consolidated financial statements of the Group. The consolidated financial statements of the Group as at and for the year ended March 31, 2023, are available at http://investor.ryanair.com/. </w:t>
      </w:r>
    </w:p>
    <w:p w14:paraId="07D97C8C" w14:textId="77777777" w:rsidR="00C4701B" w:rsidRPr="00E6113C" w:rsidRDefault="00C4701B" w:rsidP="00C4701B">
      <w:pPr>
        <w:autoSpaceDE w:val="0"/>
        <w:autoSpaceDN w:val="0"/>
        <w:adjustRightInd w:val="0"/>
        <w:ind w:right="-143"/>
        <w:jc w:val="both"/>
        <w:rPr>
          <w:rFonts w:ascii="Calibri" w:hAnsi="Calibri" w:cs="Calibri"/>
          <w:sz w:val="22"/>
          <w:szCs w:val="22"/>
          <w:lang w:val="en-US"/>
        </w:rPr>
      </w:pPr>
    </w:p>
    <w:p w14:paraId="3D8BBFBB" w14:textId="77777777" w:rsidR="00C4701B" w:rsidRPr="00E6113C" w:rsidRDefault="00C4701B" w:rsidP="00C4701B">
      <w:pPr>
        <w:autoSpaceDE w:val="0"/>
        <w:autoSpaceDN w:val="0"/>
        <w:adjustRightInd w:val="0"/>
        <w:ind w:right="-143"/>
        <w:jc w:val="both"/>
        <w:rPr>
          <w:rFonts w:ascii="Calibri" w:hAnsi="Calibri" w:cs="Calibri"/>
          <w:sz w:val="22"/>
          <w:szCs w:val="22"/>
          <w:lang w:val="en-US"/>
        </w:rPr>
      </w:pPr>
      <w:r w:rsidRPr="00E6113C">
        <w:rPr>
          <w:rFonts w:ascii="Calibri" w:hAnsi="Calibri" w:cs="Calibri"/>
          <w:sz w:val="22"/>
          <w:szCs w:val="22"/>
          <w:lang w:val="en-US"/>
        </w:rPr>
        <w:t>In adopting the going concern basis in preparing the interim financial statements, the Directors have considered Ryanair’s available sources of finance including access to the capital markets, sale</w:t>
      </w:r>
      <w:r w:rsidR="00531AB4">
        <w:rPr>
          <w:rFonts w:ascii="Calibri" w:hAnsi="Calibri" w:cs="Calibri"/>
          <w:sz w:val="22"/>
          <w:szCs w:val="22"/>
          <w:lang w:val="en-US"/>
        </w:rPr>
        <w:t xml:space="preserve"> &amp;</w:t>
      </w:r>
      <w:r w:rsidRPr="00E6113C">
        <w:rPr>
          <w:rFonts w:ascii="Calibri" w:hAnsi="Calibri" w:cs="Calibri"/>
          <w:sz w:val="22"/>
          <w:szCs w:val="22"/>
          <w:lang w:val="en-US"/>
        </w:rPr>
        <w:t xml:space="preserve"> leaseback transactions, secured and unsecured debt structures, </w:t>
      </w:r>
      <w:r w:rsidR="00DA295D" w:rsidRPr="00E6113C">
        <w:rPr>
          <w:rFonts w:ascii="Calibri" w:hAnsi="Calibri" w:cs="Calibri"/>
          <w:sz w:val="22"/>
          <w:szCs w:val="22"/>
          <w:lang w:val="en-US"/>
        </w:rPr>
        <w:t xml:space="preserve">undrawn funds under the Group’s revolving credit facility, </w:t>
      </w:r>
      <w:r w:rsidRPr="00E6113C">
        <w:rPr>
          <w:rFonts w:ascii="Calibri" w:hAnsi="Calibri" w:cs="Calibri"/>
          <w:sz w:val="22"/>
          <w:szCs w:val="22"/>
          <w:lang w:val="en-US"/>
        </w:rPr>
        <w:t xml:space="preserve">the Group’s cash on-hand and cash generation and preservation projections, together with factors likely to affect its future performance, as well as the Group’s principal risks and uncertainties. </w:t>
      </w:r>
    </w:p>
    <w:p w14:paraId="3547491B" w14:textId="77777777" w:rsidR="00C4701B" w:rsidRPr="00E6113C" w:rsidRDefault="00C4701B" w:rsidP="00C4701B">
      <w:pPr>
        <w:autoSpaceDE w:val="0"/>
        <w:autoSpaceDN w:val="0"/>
        <w:adjustRightInd w:val="0"/>
        <w:ind w:right="-143"/>
        <w:jc w:val="both"/>
        <w:rPr>
          <w:rFonts w:ascii="Calibri" w:hAnsi="Calibri" w:cs="Calibri"/>
          <w:sz w:val="22"/>
          <w:szCs w:val="22"/>
          <w:lang w:val="en-US"/>
        </w:rPr>
      </w:pPr>
    </w:p>
    <w:p w14:paraId="0ACC5CA4" w14:textId="77777777" w:rsidR="00C4701B" w:rsidRPr="00E6113C" w:rsidRDefault="00C4701B" w:rsidP="00C4701B">
      <w:pPr>
        <w:autoSpaceDE w:val="0"/>
        <w:autoSpaceDN w:val="0"/>
        <w:adjustRightInd w:val="0"/>
        <w:ind w:right="-143"/>
        <w:jc w:val="both"/>
        <w:rPr>
          <w:rFonts w:ascii="Calibri" w:hAnsi="Calibri" w:cs="Calibri"/>
          <w:sz w:val="22"/>
          <w:szCs w:val="22"/>
          <w:lang w:val="en-US"/>
        </w:rPr>
      </w:pPr>
      <w:r w:rsidRPr="00E6113C">
        <w:rPr>
          <w:rFonts w:ascii="Calibri" w:hAnsi="Calibri" w:cs="Calibri"/>
          <w:sz w:val="22"/>
          <w:szCs w:val="22"/>
          <w:lang w:val="en-US"/>
        </w:rPr>
        <w:t xml:space="preserve">The </w:t>
      </w:r>
      <w:r w:rsidR="00D438CE" w:rsidRPr="00E6113C">
        <w:rPr>
          <w:rFonts w:ascii="Calibri" w:hAnsi="Calibri" w:cs="Calibri"/>
          <w:sz w:val="22"/>
          <w:szCs w:val="22"/>
          <w:lang w:val="en-US"/>
        </w:rPr>
        <w:t>December 31</w:t>
      </w:r>
      <w:r w:rsidRPr="00E6113C">
        <w:rPr>
          <w:rFonts w:ascii="Calibri" w:hAnsi="Calibri" w:cs="Calibri"/>
          <w:sz w:val="22"/>
          <w:szCs w:val="22"/>
          <w:lang w:val="en-US"/>
        </w:rPr>
        <w:t xml:space="preserve">, 2023 figures and the </w:t>
      </w:r>
      <w:r w:rsidR="00D438CE" w:rsidRPr="00E6113C">
        <w:rPr>
          <w:rFonts w:ascii="Calibri" w:hAnsi="Calibri" w:cs="Calibri"/>
          <w:sz w:val="22"/>
          <w:szCs w:val="22"/>
          <w:lang w:val="en-US"/>
        </w:rPr>
        <w:t>December 31</w:t>
      </w:r>
      <w:r w:rsidRPr="00E6113C">
        <w:rPr>
          <w:rFonts w:ascii="Calibri" w:hAnsi="Calibri" w:cs="Calibri"/>
          <w:sz w:val="22"/>
          <w:szCs w:val="22"/>
          <w:lang w:val="en-US"/>
        </w:rPr>
        <w:t xml:space="preserve">, 2022 comparative figures do not include all of the information required for full annual financial statements and therefore do not constitute statutory financial statements of the Group within the meaning of the Companies Act, 2014. The consolidated financial statements of the Group for the year ended March 31, 2023, together with the independent auditor’s report thereon, are available on the Company’s </w:t>
      </w:r>
      <w:r w:rsidR="006131F7" w:rsidRPr="00E6113C">
        <w:rPr>
          <w:rFonts w:ascii="Calibri" w:hAnsi="Calibri" w:cs="Calibri"/>
          <w:sz w:val="22"/>
          <w:szCs w:val="22"/>
          <w:lang w:val="en-US"/>
        </w:rPr>
        <w:t>w</w:t>
      </w:r>
      <w:r w:rsidRPr="00E6113C">
        <w:rPr>
          <w:rFonts w:ascii="Calibri" w:hAnsi="Calibri" w:cs="Calibri"/>
          <w:sz w:val="22"/>
          <w:szCs w:val="22"/>
          <w:lang w:val="en-US"/>
        </w:rPr>
        <w:t xml:space="preserve">ebsite and </w:t>
      </w:r>
      <w:r w:rsidR="006F7432" w:rsidRPr="00E6113C">
        <w:rPr>
          <w:rFonts w:ascii="Calibri" w:hAnsi="Calibri" w:cs="Calibri"/>
          <w:sz w:val="22"/>
          <w:szCs w:val="22"/>
          <w:lang w:val="en-US"/>
        </w:rPr>
        <w:t>were filed</w:t>
      </w:r>
      <w:r w:rsidRPr="00E6113C">
        <w:rPr>
          <w:rFonts w:ascii="Calibri" w:hAnsi="Calibri" w:cs="Calibri"/>
          <w:sz w:val="22"/>
          <w:szCs w:val="22"/>
          <w:lang w:val="en-US"/>
        </w:rPr>
        <w:t xml:space="preserve"> with the Irish Registrar of Companies following the Company’s Annual General Meeting</w:t>
      </w:r>
      <w:r w:rsidR="006F7432" w:rsidRPr="00E6113C">
        <w:rPr>
          <w:rFonts w:ascii="Calibri" w:hAnsi="Calibri" w:cs="Calibri"/>
          <w:sz w:val="22"/>
          <w:szCs w:val="22"/>
          <w:lang w:val="en-US"/>
        </w:rPr>
        <w:t>. The auditor</w:t>
      </w:r>
      <w:r w:rsidR="000B5D76" w:rsidRPr="00E6113C">
        <w:rPr>
          <w:rFonts w:ascii="Calibri" w:hAnsi="Calibri" w:cs="Calibri"/>
          <w:sz w:val="22"/>
          <w:szCs w:val="22"/>
          <w:lang w:val="en-US"/>
        </w:rPr>
        <w:t>’</w:t>
      </w:r>
      <w:r w:rsidR="006F7432" w:rsidRPr="00E6113C">
        <w:rPr>
          <w:rFonts w:ascii="Calibri" w:hAnsi="Calibri" w:cs="Calibri"/>
          <w:sz w:val="22"/>
          <w:szCs w:val="22"/>
          <w:lang w:val="en-US"/>
        </w:rPr>
        <w:t>s report on those financial statements was unqualified</w:t>
      </w:r>
      <w:r w:rsidRPr="00E6113C">
        <w:rPr>
          <w:rFonts w:ascii="Calibri" w:hAnsi="Calibri" w:cs="Calibri"/>
          <w:sz w:val="22"/>
          <w:szCs w:val="22"/>
          <w:lang w:val="en-US"/>
        </w:rPr>
        <w:t xml:space="preserve">. The accounting policies, presentation and methods of computation followed in the </w:t>
      </w:r>
      <w:r w:rsidR="00330A9E" w:rsidRPr="00E6113C">
        <w:rPr>
          <w:rFonts w:ascii="Calibri" w:hAnsi="Calibri" w:cs="Calibri"/>
          <w:sz w:val="22"/>
          <w:szCs w:val="22"/>
          <w:lang w:val="en-US"/>
        </w:rPr>
        <w:t>i</w:t>
      </w:r>
      <w:r w:rsidRPr="00E6113C">
        <w:rPr>
          <w:rFonts w:ascii="Calibri" w:hAnsi="Calibri" w:cs="Calibri"/>
          <w:sz w:val="22"/>
          <w:szCs w:val="22"/>
          <w:lang w:val="en-US"/>
        </w:rPr>
        <w:t xml:space="preserve">nterim </w:t>
      </w:r>
      <w:r w:rsidR="00330A9E" w:rsidRPr="00E6113C">
        <w:rPr>
          <w:rFonts w:ascii="Calibri" w:hAnsi="Calibri" w:cs="Calibri"/>
          <w:sz w:val="22"/>
          <w:szCs w:val="22"/>
          <w:lang w:val="en-US"/>
        </w:rPr>
        <w:t>f</w:t>
      </w:r>
      <w:r w:rsidRPr="00E6113C">
        <w:rPr>
          <w:rFonts w:ascii="Calibri" w:hAnsi="Calibri" w:cs="Calibri"/>
          <w:sz w:val="22"/>
          <w:szCs w:val="22"/>
          <w:lang w:val="en-US"/>
        </w:rPr>
        <w:t xml:space="preserve">inancial </w:t>
      </w:r>
      <w:r w:rsidR="00330A9E" w:rsidRPr="00E6113C">
        <w:rPr>
          <w:rFonts w:ascii="Calibri" w:hAnsi="Calibri" w:cs="Calibri"/>
          <w:sz w:val="22"/>
          <w:szCs w:val="22"/>
          <w:lang w:val="en-US"/>
        </w:rPr>
        <w:t>s</w:t>
      </w:r>
      <w:r w:rsidRPr="00E6113C">
        <w:rPr>
          <w:rFonts w:ascii="Calibri" w:hAnsi="Calibri" w:cs="Calibri"/>
          <w:sz w:val="22"/>
          <w:szCs w:val="22"/>
          <w:lang w:val="en-US"/>
        </w:rPr>
        <w:t>tatements are consistent with those applied in the Company’s latest Annual Report.</w:t>
      </w:r>
    </w:p>
    <w:p w14:paraId="5D0AAC29" w14:textId="77777777" w:rsidR="00C4701B" w:rsidRPr="00E6113C" w:rsidRDefault="00C4701B" w:rsidP="00C4701B">
      <w:pPr>
        <w:autoSpaceDE w:val="0"/>
        <w:autoSpaceDN w:val="0"/>
        <w:adjustRightInd w:val="0"/>
        <w:ind w:right="-143"/>
        <w:jc w:val="both"/>
        <w:rPr>
          <w:rFonts w:ascii="Calibri" w:hAnsi="Calibri" w:cs="Calibri"/>
          <w:sz w:val="22"/>
          <w:szCs w:val="22"/>
          <w:lang w:val="en-US"/>
        </w:rPr>
      </w:pPr>
    </w:p>
    <w:p w14:paraId="7D7B7DA7" w14:textId="77777777" w:rsidR="00C4701B" w:rsidRPr="00E6113C" w:rsidRDefault="00C4701B" w:rsidP="00C4701B">
      <w:pPr>
        <w:autoSpaceDE w:val="0"/>
        <w:autoSpaceDN w:val="0"/>
        <w:adjustRightInd w:val="0"/>
        <w:ind w:right="-143"/>
        <w:jc w:val="both"/>
        <w:rPr>
          <w:rFonts w:ascii="Calibri" w:hAnsi="Calibri" w:cs="Calibri"/>
          <w:sz w:val="22"/>
          <w:szCs w:val="22"/>
          <w:lang w:val="en-US"/>
        </w:rPr>
      </w:pPr>
      <w:r w:rsidRPr="00E6113C">
        <w:rPr>
          <w:rFonts w:ascii="Calibri" w:hAnsi="Calibri" w:cs="Calibri"/>
          <w:sz w:val="22"/>
          <w:szCs w:val="22"/>
          <w:lang w:val="en-US"/>
        </w:rPr>
        <w:t xml:space="preserve">The Audit Committee, upon delegation of authority by the Board of Directors, approved the unaudited condensed consolidated interim financial statements for the </w:t>
      </w:r>
      <w:r w:rsidR="00D438CE" w:rsidRPr="00E6113C">
        <w:rPr>
          <w:rFonts w:ascii="Calibri" w:hAnsi="Calibri" w:cs="Calibri"/>
          <w:sz w:val="22"/>
          <w:szCs w:val="22"/>
          <w:lang w:val="en-US"/>
        </w:rPr>
        <w:t>nine months</w:t>
      </w:r>
      <w:r w:rsidRPr="00E6113C">
        <w:rPr>
          <w:rFonts w:ascii="Calibri" w:hAnsi="Calibri" w:cs="Calibri"/>
          <w:sz w:val="22"/>
          <w:szCs w:val="22"/>
          <w:lang w:val="en-US"/>
        </w:rPr>
        <w:t xml:space="preserve"> ended </w:t>
      </w:r>
      <w:r w:rsidR="00D438CE" w:rsidRPr="00E6113C">
        <w:rPr>
          <w:rFonts w:ascii="Calibri" w:hAnsi="Calibri" w:cs="Calibri"/>
          <w:sz w:val="22"/>
          <w:szCs w:val="22"/>
          <w:lang w:val="en-US"/>
        </w:rPr>
        <w:t>December 31</w:t>
      </w:r>
      <w:r w:rsidRPr="00E6113C">
        <w:rPr>
          <w:rFonts w:ascii="Calibri" w:hAnsi="Calibri" w:cs="Calibri"/>
          <w:sz w:val="22"/>
          <w:szCs w:val="22"/>
          <w:lang w:val="en-US"/>
        </w:rPr>
        <w:t xml:space="preserve">, 2023 on </w:t>
      </w:r>
      <w:r w:rsidR="00430EC3" w:rsidRPr="00E6113C">
        <w:rPr>
          <w:rFonts w:ascii="Calibri" w:hAnsi="Calibri" w:cs="Calibri"/>
          <w:sz w:val="22"/>
          <w:szCs w:val="22"/>
          <w:lang w:val="en-US"/>
        </w:rPr>
        <w:t>January 26, 2024</w:t>
      </w:r>
      <w:r w:rsidRPr="00E6113C">
        <w:rPr>
          <w:rFonts w:ascii="Calibri" w:hAnsi="Calibri" w:cs="Calibri"/>
          <w:sz w:val="22"/>
          <w:szCs w:val="22"/>
          <w:lang w:val="en-US"/>
        </w:rPr>
        <w:t>.</w:t>
      </w:r>
    </w:p>
    <w:p w14:paraId="05906AEE" w14:textId="77777777" w:rsidR="00C4701B" w:rsidRPr="00E6113C" w:rsidRDefault="00C4701B" w:rsidP="00C4701B">
      <w:pPr>
        <w:autoSpaceDE w:val="0"/>
        <w:autoSpaceDN w:val="0"/>
        <w:adjustRightInd w:val="0"/>
        <w:ind w:right="-143"/>
        <w:jc w:val="both"/>
        <w:rPr>
          <w:rFonts w:ascii="Calibri" w:hAnsi="Calibri" w:cs="Calibri"/>
          <w:sz w:val="22"/>
          <w:szCs w:val="22"/>
          <w:lang w:val="en-US"/>
        </w:rPr>
      </w:pPr>
    </w:p>
    <w:p w14:paraId="1062D84C" w14:textId="77777777" w:rsidR="00C4701B" w:rsidRPr="00E6113C" w:rsidRDefault="00C4701B" w:rsidP="00C4701B">
      <w:pPr>
        <w:autoSpaceDE w:val="0"/>
        <w:autoSpaceDN w:val="0"/>
        <w:adjustRightInd w:val="0"/>
        <w:ind w:right="-143"/>
        <w:jc w:val="both"/>
        <w:rPr>
          <w:rFonts w:ascii="Calibri" w:hAnsi="Calibri" w:cs="Calibri"/>
          <w:sz w:val="22"/>
          <w:szCs w:val="22"/>
          <w:lang w:val="en-US"/>
        </w:rPr>
      </w:pPr>
      <w:r w:rsidRPr="00E6113C">
        <w:rPr>
          <w:rFonts w:ascii="Calibri" w:hAnsi="Calibri" w:cs="Calibri"/>
          <w:sz w:val="22"/>
          <w:szCs w:val="22"/>
          <w:lang w:val="en-US"/>
        </w:rPr>
        <w:t xml:space="preserve">Except as stated otherwise below, the interim financial statements for the </w:t>
      </w:r>
      <w:r w:rsidR="008511AF" w:rsidRPr="00E6113C">
        <w:rPr>
          <w:rFonts w:ascii="Calibri" w:hAnsi="Calibri" w:cs="Calibri"/>
          <w:sz w:val="22"/>
          <w:szCs w:val="22"/>
          <w:lang w:val="en-US"/>
        </w:rPr>
        <w:t xml:space="preserve">nine months </w:t>
      </w:r>
      <w:r w:rsidRPr="00E6113C">
        <w:rPr>
          <w:rFonts w:ascii="Calibri" w:hAnsi="Calibri" w:cs="Calibri"/>
          <w:sz w:val="22"/>
          <w:szCs w:val="22"/>
          <w:lang w:val="en-US"/>
        </w:rPr>
        <w:t xml:space="preserve">ended </w:t>
      </w:r>
      <w:r w:rsidR="008511AF" w:rsidRPr="00E6113C">
        <w:rPr>
          <w:rFonts w:ascii="Calibri" w:hAnsi="Calibri" w:cs="Calibri"/>
          <w:sz w:val="22"/>
          <w:szCs w:val="22"/>
          <w:lang w:val="en-US"/>
        </w:rPr>
        <w:t>December 31</w:t>
      </w:r>
      <w:r w:rsidRPr="00E6113C">
        <w:rPr>
          <w:rFonts w:ascii="Calibri" w:hAnsi="Calibri" w:cs="Calibri"/>
          <w:sz w:val="22"/>
          <w:szCs w:val="22"/>
          <w:lang w:val="en-US"/>
        </w:rPr>
        <w:t>, 2023 have been prepared in accordance with the accounting policies set out in the Group’s most recent published consolidated financial statements, which were prepared in accordance with IFRS as adopted by the EU and also in compliance with IFRS as issued by the International Accounting Standards Board (IASB).</w:t>
      </w:r>
    </w:p>
    <w:p w14:paraId="3B10990D" w14:textId="77777777" w:rsidR="00C4701B" w:rsidRPr="00E6113C" w:rsidRDefault="00C4701B" w:rsidP="00C4701B">
      <w:pPr>
        <w:autoSpaceDE w:val="0"/>
        <w:autoSpaceDN w:val="0"/>
        <w:adjustRightInd w:val="0"/>
        <w:ind w:right="-143"/>
        <w:jc w:val="both"/>
        <w:rPr>
          <w:rFonts w:ascii="Calibri" w:hAnsi="Calibri" w:cs="Calibri"/>
          <w:sz w:val="22"/>
          <w:szCs w:val="22"/>
          <w:lang w:val="en-US"/>
        </w:rPr>
      </w:pPr>
    </w:p>
    <w:p w14:paraId="06CC5F78" w14:textId="77777777" w:rsidR="00C4701B" w:rsidRPr="00E6113C" w:rsidRDefault="00C4701B" w:rsidP="00C4701B">
      <w:pPr>
        <w:autoSpaceDE w:val="0"/>
        <w:autoSpaceDN w:val="0"/>
        <w:adjustRightInd w:val="0"/>
        <w:ind w:right="-143"/>
        <w:jc w:val="both"/>
        <w:rPr>
          <w:rFonts w:ascii="Calibri" w:hAnsi="Calibri" w:cs="Calibri"/>
          <w:i/>
          <w:iCs/>
          <w:sz w:val="22"/>
          <w:szCs w:val="22"/>
          <w:lang w:val="en-US"/>
        </w:rPr>
      </w:pPr>
      <w:r w:rsidRPr="00E6113C">
        <w:rPr>
          <w:rFonts w:ascii="Calibri" w:hAnsi="Calibri" w:cs="Calibri"/>
          <w:i/>
          <w:iCs/>
          <w:sz w:val="22"/>
          <w:szCs w:val="22"/>
          <w:lang w:val="en-US"/>
        </w:rPr>
        <w:t>New IFRS standards and amendments adopted during the year</w:t>
      </w:r>
    </w:p>
    <w:p w14:paraId="6977269A" w14:textId="77777777" w:rsidR="00097571" w:rsidRPr="00E6113C" w:rsidRDefault="00C4701B" w:rsidP="00C4701B">
      <w:pPr>
        <w:autoSpaceDE w:val="0"/>
        <w:autoSpaceDN w:val="0"/>
        <w:adjustRightInd w:val="0"/>
        <w:ind w:right="-143"/>
        <w:jc w:val="both"/>
        <w:rPr>
          <w:rFonts w:ascii="Calibri" w:hAnsi="Calibri" w:cs="Calibri"/>
          <w:sz w:val="22"/>
          <w:szCs w:val="22"/>
          <w:lang w:val="en-US"/>
        </w:rPr>
      </w:pPr>
      <w:r w:rsidRPr="00E6113C">
        <w:rPr>
          <w:rFonts w:ascii="Calibri" w:hAnsi="Calibri" w:cs="Calibri"/>
          <w:sz w:val="22"/>
          <w:szCs w:val="22"/>
          <w:lang w:val="en-US"/>
        </w:rPr>
        <w:t>The following new and amended IFRS standards, amendments and IFRIC interpretations, have been issued by the IASB, and have also been endorsed by the EU unless stated otherwise. These standards are effective for the first time for the Group’s financial year beginning on April 1, 2023 and therefore have been applied by the Group in these condensed consolidated interim financial statements:</w:t>
      </w:r>
    </w:p>
    <w:p w14:paraId="1B10E200" w14:textId="77777777" w:rsidR="00C4701B" w:rsidRPr="00E6113C" w:rsidRDefault="00C4701B" w:rsidP="00C4701B">
      <w:pPr>
        <w:autoSpaceDE w:val="0"/>
        <w:autoSpaceDN w:val="0"/>
        <w:adjustRightInd w:val="0"/>
        <w:ind w:right="-143"/>
        <w:jc w:val="both"/>
        <w:rPr>
          <w:rFonts w:ascii="Calibri" w:hAnsi="Calibri" w:cs="Calibri"/>
          <w:sz w:val="22"/>
          <w:szCs w:val="22"/>
          <w:lang w:val="en-US"/>
        </w:rPr>
      </w:pPr>
    </w:p>
    <w:p w14:paraId="71BADDBC" w14:textId="77777777" w:rsidR="00C4701B" w:rsidRPr="00E6113C" w:rsidRDefault="00C4701B" w:rsidP="00C4701B">
      <w:pPr>
        <w:numPr>
          <w:ilvl w:val="0"/>
          <w:numId w:val="16"/>
        </w:numPr>
        <w:autoSpaceDE w:val="0"/>
        <w:autoSpaceDN w:val="0"/>
        <w:adjustRightInd w:val="0"/>
        <w:ind w:right="-143"/>
        <w:jc w:val="both"/>
        <w:rPr>
          <w:rFonts w:ascii="Calibri" w:hAnsi="Calibri" w:cs="Calibri"/>
          <w:sz w:val="22"/>
          <w:szCs w:val="22"/>
        </w:rPr>
      </w:pPr>
      <w:bookmarkStart w:id="18" w:name="_Hlk39778100"/>
      <w:r w:rsidRPr="00E6113C">
        <w:rPr>
          <w:rFonts w:ascii="Calibri" w:hAnsi="Calibri" w:cs="Calibri"/>
          <w:sz w:val="22"/>
          <w:szCs w:val="22"/>
        </w:rPr>
        <w:t>Amendments to IAS 12 Income Taxes: Deferred Tax related to Assets and Liabilities arising from a Single Transaction (effective on or after January 1, 2023).</w:t>
      </w:r>
    </w:p>
    <w:p w14:paraId="28D956EE" w14:textId="77777777" w:rsidR="00C4701B" w:rsidRPr="00E6113C" w:rsidRDefault="00C4701B" w:rsidP="00C4701B">
      <w:pPr>
        <w:numPr>
          <w:ilvl w:val="0"/>
          <w:numId w:val="16"/>
        </w:numPr>
        <w:autoSpaceDE w:val="0"/>
        <w:autoSpaceDN w:val="0"/>
        <w:adjustRightInd w:val="0"/>
        <w:ind w:right="-143"/>
        <w:jc w:val="both"/>
        <w:rPr>
          <w:rFonts w:ascii="Calibri" w:hAnsi="Calibri" w:cs="Calibri"/>
          <w:sz w:val="22"/>
          <w:szCs w:val="22"/>
        </w:rPr>
      </w:pPr>
      <w:r w:rsidRPr="00E6113C">
        <w:rPr>
          <w:rFonts w:ascii="Calibri" w:hAnsi="Calibri" w:cs="Calibri"/>
          <w:sz w:val="22"/>
          <w:szCs w:val="22"/>
        </w:rPr>
        <w:t>Amendments to IAS 8 Accounting Policies, Changes in Accounting Estimates and Errors: Definition of Accounting Estimates (effective on or after January 1, 2023).</w:t>
      </w:r>
    </w:p>
    <w:p w14:paraId="34E8B603" w14:textId="77777777" w:rsidR="00C4701B" w:rsidRPr="00E6113C" w:rsidRDefault="00C4701B" w:rsidP="00C4701B">
      <w:pPr>
        <w:numPr>
          <w:ilvl w:val="0"/>
          <w:numId w:val="16"/>
        </w:numPr>
        <w:autoSpaceDE w:val="0"/>
        <w:autoSpaceDN w:val="0"/>
        <w:adjustRightInd w:val="0"/>
        <w:ind w:right="-143"/>
        <w:jc w:val="both"/>
        <w:rPr>
          <w:rFonts w:ascii="Calibri" w:hAnsi="Calibri" w:cs="Calibri"/>
          <w:sz w:val="22"/>
          <w:szCs w:val="22"/>
        </w:rPr>
      </w:pPr>
      <w:r w:rsidRPr="00E6113C">
        <w:rPr>
          <w:rFonts w:ascii="Calibri" w:hAnsi="Calibri" w:cs="Calibri"/>
          <w:sz w:val="22"/>
          <w:szCs w:val="22"/>
        </w:rPr>
        <w:t>Amendments to IAS 1 Presentation of Financial Statements and IFRS Practice Statement 2: Disclosure of Accounting policies (effective on or after January 1, 2023).</w:t>
      </w:r>
    </w:p>
    <w:p w14:paraId="5E9B6ADA" w14:textId="77777777" w:rsidR="00C4701B" w:rsidRPr="00E6113C" w:rsidRDefault="00C4701B" w:rsidP="00C4701B">
      <w:pPr>
        <w:numPr>
          <w:ilvl w:val="0"/>
          <w:numId w:val="16"/>
        </w:numPr>
        <w:autoSpaceDE w:val="0"/>
        <w:autoSpaceDN w:val="0"/>
        <w:adjustRightInd w:val="0"/>
        <w:ind w:right="-143"/>
        <w:jc w:val="both"/>
        <w:rPr>
          <w:rFonts w:ascii="Calibri" w:hAnsi="Calibri" w:cs="Calibri"/>
          <w:sz w:val="22"/>
          <w:szCs w:val="22"/>
        </w:rPr>
      </w:pPr>
      <w:r w:rsidRPr="00E6113C">
        <w:rPr>
          <w:rFonts w:ascii="Calibri" w:hAnsi="Calibri" w:cs="Calibri"/>
          <w:sz w:val="22"/>
          <w:szCs w:val="22"/>
        </w:rPr>
        <w:t>IFRS 17 Insurance Contracts</w:t>
      </w:r>
      <w:r w:rsidR="00851E49" w:rsidRPr="00E6113C">
        <w:rPr>
          <w:rFonts w:ascii="Calibri" w:hAnsi="Calibri" w:cs="Calibri"/>
          <w:sz w:val="22"/>
          <w:szCs w:val="22"/>
        </w:rPr>
        <w:t>; including amendments to IFRS 17</w:t>
      </w:r>
      <w:r w:rsidRPr="00E6113C">
        <w:rPr>
          <w:rFonts w:ascii="Calibri" w:hAnsi="Calibri" w:cs="Calibri"/>
          <w:sz w:val="22"/>
          <w:szCs w:val="22"/>
        </w:rPr>
        <w:t xml:space="preserve"> (effective on or after January 1, 2023).</w:t>
      </w:r>
    </w:p>
    <w:p w14:paraId="0B5F1E44" w14:textId="77777777" w:rsidR="00C4701B" w:rsidRPr="00E6113C" w:rsidRDefault="00C4701B" w:rsidP="00C4701B">
      <w:pPr>
        <w:numPr>
          <w:ilvl w:val="0"/>
          <w:numId w:val="16"/>
        </w:numPr>
        <w:autoSpaceDE w:val="0"/>
        <w:autoSpaceDN w:val="0"/>
        <w:adjustRightInd w:val="0"/>
        <w:ind w:right="-143"/>
        <w:jc w:val="both"/>
        <w:rPr>
          <w:rFonts w:ascii="Calibri" w:hAnsi="Calibri" w:cs="Calibri"/>
          <w:sz w:val="22"/>
          <w:szCs w:val="22"/>
        </w:rPr>
      </w:pPr>
      <w:r w:rsidRPr="00E6113C">
        <w:rPr>
          <w:rFonts w:ascii="Calibri" w:hAnsi="Calibri" w:cs="Calibri"/>
          <w:sz w:val="22"/>
          <w:szCs w:val="22"/>
        </w:rPr>
        <w:t>Amendments to IFRS 17 Insurance contracts: Initial Application of IFRS 17 and IFRS 9 – Comparative Information (effective on or after January 1, 2023).</w:t>
      </w:r>
    </w:p>
    <w:p w14:paraId="5B18CDD9" w14:textId="77777777" w:rsidR="00C4701B" w:rsidRPr="00E6113C" w:rsidRDefault="00C4701B" w:rsidP="00FD77D1">
      <w:pPr>
        <w:numPr>
          <w:ilvl w:val="0"/>
          <w:numId w:val="16"/>
        </w:numPr>
        <w:autoSpaceDE w:val="0"/>
        <w:autoSpaceDN w:val="0"/>
        <w:adjustRightInd w:val="0"/>
        <w:ind w:right="-143"/>
        <w:jc w:val="both"/>
        <w:rPr>
          <w:rFonts w:ascii="Calibri" w:hAnsi="Calibri" w:cs="Calibri"/>
          <w:sz w:val="22"/>
          <w:szCs w:val="22"/>
        </w:rPr>
      </w:pPr>
      <w:r w:rsidRPr="00E6113C">
        <w:rPr>
          <w:rFonts w:ascii="Calibri" w:hAnsi="Calibri" w:cs="Calibri"/>
          <w:sz w:val="22"/>
          <w:szCs w:val="22"/>
        </w:rPr>
        <w:t>Amendments to IAS 12 Income taxes: International Tax Reform – Pillar Two Model Rules (effective on or after January 1, 2023).</w:t>
      </w:r>
    </w:p>
    <w:p w14:paraId="619DF20B" w14:textId="77777777" w:rsidR="00C4701B" w:rsidRPr="00E6113C" w:rsidRDefault="00C4701B" w:rsidP="00FD77D1">
      <w:pPr>
        <w:autoSpaceDE w:val="0"/>
        <w:autoSpaceDN w:val="0"/>
        <w:adjustRightInd w:val="0"/>
        <w:ind w:right="-143"/>
        <w:jc w:val="both"/>
        <w:rPr>
          <w:rFonts w:ascii="Calibri" w:hAnsi="Calibri" w:cs="Calibri"/>
          <w:sz w:val="22"/>
          <w:szCs w:val="22"/>
        </w:rPr>
      </w:pPr>
    </w:p>
    <w:p w14:paraId="035B85A3" w14:textId="77777777" w:rsidR="0049212F" w:rsidRPr="00E6113C" w:rsidRDefault="0049212F" w:rsidP="00FD77D1">
      <w:pPr>
        <w:autoSpaceDE w:val="0"/>
        <w:autoSpaceDN w:val="0"/>
        <w:adjustRightInd w:val="0"/>
        <w:ind w:right="-143"/>
        <w:jc w:val="both"/>
        <w:rPr>
          <w:rFonts w:ascii="Calibri" w:hAnsi="Calibri" w:cs="Calibri"/>
          <w:sz w:val="22"/>
          <w:szCs w:val="22"/>
        </w:rPr>
      </w:pPr>
      <w:r w:rsidRPr="00E6113C">
        <w:rPr>
          <w:rFonts w:ascii="Calibri" w:hAnsi="Calibri" w:cs="Calibri"/>
          <w:sz w:val="22"/>
          <w:szCs w:val="22"/>
        </w:rPr>
        <w:t xml:space="preserve">The adoption of these new or amended standards did not have a material impact on the Group’s financial position or results in the </w:t>
      </w:r>
      <w:r w:rsidR="008511AF" w:rsidRPr="00E6113C">
        <w:rPr>
          <w:rFonts w:ascii="Calibri" w:hAnsi="Calibri" w:cs="Calibri"/>
          <w:sz w:val="22"/>
          <w:szCs w:val="22"/>
        </w:rPr>
        <w:t>nine months ended December 31</w:t>
      </w:r>
      <w:r w:rsidRPr="00E6113C">
        <w:rPr>
          <w:rFonts w:ascii="Calibri" w:hAnsi="Calibri" w:cs="Calibri"/>
          <w:sz w:val="22"/>
          <w:szCs w:val="22"/>
        </w:rPr>
        <w:t>, 202</w:t>
      </w:r>
      <w:r w:rsidR="00C4701B" w:rsidRPr="00E6113C">
        <w:rPr>
          <w:rFonts w:ascii="Calibri" w:hAnsi="Calibri" w:cs="Calibri"/>
          <w:sz w:val="22"/>
          <w:szCs w:val="22"/>
        </w:rPr>
        <w:t>3</w:t>
      </w:r>
      <w:r w:rsidRPr="00E6113C">
        <w:rPr>
          <w:rFonts w:ascii="Calibri" w:hAnsi="Calibri" w:cs="Calibri"/>
          <w:sz w:val="22"/>
          <w:szCs w:val="22"/>
        </w:rPr>
        <w:t xml:space="preserve">. </w:t>
      </w:r>
    </w:p>
    <w:p w14:paraId="6922786F" w14:textId="77777777" w:rsidR="00784439" w:rsidRPr="00E6113C" w:rsidRDefault="00784439" w:rsidP="00FD77D1">
      <w:pPr>
        <w:autoSpaceDE w:val="0"/>
        <w:autoSpaceDN w:val="0"/>
        <w:adjustRightInd w:val="0"/>
        <w:ind w:left="720" w:right="-143"/>
        <w:jc w:val="both"/>
        <w:rPr>
          <w:rFonts w:ascii="Calibri" w:hAnsi="Calibri" w:cs="Calibri"/>
          <w:sz w:val="22"/>
          <w:szCs w:val="22"/>
          <w:lang w:val="en-US"/>
        </w:rPr>
      </w:pPr>
    </w:p>
    <w:bookmarkEnd w:id="18"/>
    <w:p w14:paraId="6A731955" w14:textId="77777777" w:rsidR="00097571" w:rsidRPr="00E6113C" w:rsidRDefault="00097571" w:rsidP="00FD77D1">
      <w:pPr>
        <w:ind w:right="-143"/>
        <w:jc w:val="both"/>
        <w:rPr>
          <w:rFonts w:ascii="Calibri" w:hAnsi="Calibri" w:cs="Calibri"/>
          <w:bCs/>
          <w:i/>
          <w:sz w:val="22"/>
          <w:szCs w:val="22"/>
        </w:rPr>
      </w:pPr>
      <w:r w:rsidRPr="00E6113C">
        <w:rPr>
          <w:rFonts w:ascii="Calibri" w:hAnsi="Calibri" w:cs="Calibri"/>
          <w:bCs/>
          <w:i/>
          <w:sz w:val="22"/>
          <w:szCs w:val="22"/>
        </w:rPr>
        <w:t>New IFRS standards and amendments issued but not yet effective</w:t>
      </w:r>
    </w:p>
    <w:p w14:paraId="5C9FB801" w14:textId="77777777" w:rsidR="0030345C" w:rsidRPr="00E6113C" w:rsidRDefault="00C4701B" w:rsidP="00FD77D1">
      <w:pPr>
        <w:autoSpaceDE w:val="0"/>
        <w:autoSpaceDN w:val="0"/>
        <w:adjustRightInd w:val="0"/>
        <w:ind w:right="-143"/>
        <w:jc w:val="both"/>
        <w:rPr>
          <w:rFonts w:ascii="Calibri" w:hAnsi="Calibri" w:cs="Calibri"/>
          <w:sz w:val="22"/>
          <w:szCs w:val="22"/>
          <w:lang w:val="en-US"/>
        </w:rPr>
      </w:pPr>
      <w:r w:rsidRPr="00E6113C">
        <w:rPr>
          <w:rFonts w:ascii="Calibri" w:hAnsi="Calibri" w:cs="Calibri"/>
          <w:sz w:val="22"/>
          <w:szCs w:val="22"/>
          <w:lang w:val="en-US"/>
        </w:rPr>
        <w:t>The following new or amended standards and interpretations will be adopted for the purposes of the preparation of future financial statements, where applicable.  While under review, we do not anticipate that the adoption of these new or revised standards and interpretations will have a material impact on our financial position or performance:</w:t>
      </w:r>
    </w:p>
    <w:p w14:paraId="7662EE4E" w14:textId="77777777" w:rsidR="00C4701B" w:rsidRPr="00E6113C" w:rsidRDefault="00C4701B" w:rsidP="00FD77D1">
      <w:pPr>
        <w:numPr>
          <w:ilvl w:val="0"/>
          <w:numId w:val="17"/>
        </w:numPr>
        <w:autoSpaceDE w:val="0"/>
        <w:autoSpaceDN w:val="0"/>
        <w:adjustRightInd w:val="0"/>
        <w:ind w:right="-143"/>
        <w:jc w:val="both"/>
        <w:rPr>
          <w:rFonts w:ascii="Calibri" w:hAnsi="Calibri" w:cs="Calibri"/>
          <w:sz w:val="22"/>
          <w:szCs w:val="22"/>
        </w:rPr>
      </w:pPr>
      <w:bookmarkStart w:id="19" w:name="_Hlk39778253"/>
      <w:r w:rsidRPr="00E6113C">
        <w:rPr>
          <w:rFonts w:ascii="Calibri" w:hAnsi="Calibri" w:cs="Calibri"/>
          <w:sz w:val="22"/>
          <w:szCs w:val="22"/>
        </w:rPr>
        <w:t>Amendments to IAS 1 Presentation of Financial Statements: Classification of Liabilities as Current or Non-current, Classification of Liabilities as Current or Non-current – Deferral of Effective Date, and Non-current Liabilities with Covenants (effective on or after January 1, 2024).</w:t>
      </w:r>
    </w:p>
    <w:p w14:paraId="4C5D0E69" w14:textId="77777777" w:rsidR="00C4701B" w:rsidRPr="00E6113C" w:rsidRDefault="00C4701B" w:rsidP="00FD77D1">
      <w:pPr>
        <w:numPr>
          <w:ilvl w:val="0"/>
          <w:numId w:val="17"/>
        </w:numPr>
        <w:autoSpaceDE w:val="0"/>
        <w:autoSpaceDN w:val="0"/>
        <w:adjustRightInd w:val="0"/>
        <w:ind w:right="-143"/>
        <w:jc w:val="both"/>
        <w:rPr>
          <w:rFonts w:ascii="Calibri" w:hAnsi="Calibri" w:cs="Calibri"/>
          <w:sz w:val="22"/>
          <w:szCs w:val="22"/>
        </w:rPr>
      </w:pPr>
      <w:r w:rsidRPr="00E6113C">
        <w:rPr>
          <w:rFonts w:ascii="Calibri" w:hAnsi="Calibri" w:cs="Calibri"/>
          <w:sz w:val="22"/>
          <w:szCs w:val="22"/>
        </w:rPr>
        <w:t xml:space="preserve">Amendments to IFRS 16 Leases: Lease Liability in a Sale </w:t>
      </w:r>
      <w:r w:rsidR="00531AB4">
        <w:rPr>
          <w:rFonts w:ascii="Calibri" w:hAnsi="Calibri" w:cs="Calibri"/>
          <w:sz w:val="22"/>
          <w:szCs w:val="22"/>
        </w:rPr>
        <w:t>&amp;</w:t>
      </w:r>
      <w:r w:rsidRPr="00E6113C">
        <w:rPr>
          <w:rFonts w:ascii="Calibri" w:hAnsi="Calibri" w:cs="Calibri"/>
          <w:sz w:val="22"/>
          <w:szCs w:val="22"/>
        </w:rPr>
        <w:t xml:space="preserve"> Leaseback (effective on or after January 1, 2024).</w:t>
      </w:r>
    </w:p>
    <w:p w14:paraId="28FEB786" w14:textId="77777777" w:rsidR="00C4701B" w:rsidRPr="00E6113C" w:rsidRDefault="00C4701B" w:rsidP="00FD77D1">
      <w:pPr>
        <w:numPr>
          <w:ilvl w:val="0"/>
          <w:numId w:val="17"/>
        </w:numPr>
        <w:autoSpaceDE w:val="0"/>
        <w:autoSpaceDN w:val="0"/>
        <w:adjustRightInd w:val="0"/>
        <w:ind w:right="-143"/>
        <w:jc w:val="both"/>
        <w:rPr>
          <w:rFonts w:ascii="Calibri" w:hAnsi="Calibri" w:cs="Calibri"/>
          <w:sz w:val="22"/>
          <w:szCs w:val="22"/>
        </w:rPr>
      </w:pPr>
      <w:r w:rsidRPr="00E6113C">
        <w:rPr>
          <w:rFonts w:ascii="Calibri" w:hAnsi="Calibri" w:cs="Calibri"/>
          <w:sz w:val="22"/>
          <w:szCs w:val="22"/>
        </w:rPr>
        <w:t xml:space="preserve">Amendments to IAS 7 Statement of Cash Flows and IFRS 7 Financial Instruments: Disclosures: Supplier Finance Arrangements (effective on or after January 1, 2024).* </w:t>
      </w:r>
    </w:p>
    <w:p w14:paraId="4ED3604D" w14:textId="77777777" w:rsidR="00846C67" w:rsidRPr="00E6113C" w:rsidRDefault="00846C67" w:rsidP="00D95F16">
      <w:pPr>
        <w:numPr>
          <w:ilvl w:val="0"/>
          <w:numId w:val="17"/>
        </w:numPr>
        <w:autoSpaceDE w:val="0"/>
        <w:autoSpaceDN w:val="0"/>
        <w:adjustRightInd w:val="0"/>
        <w:ind w:right="-143"/>
        <w:jc w:val="both"/>
        <w:rPr>
          <w:rFonts w:ascii="Calibri" w:hAnsi="Calibri" w:cs="Calibri"/>
          <w:sz w:val="22"/>
          <w:szCs w:val="22"/>
        </w:rPr>
      </w:pPr>
      <w:r w:rsidRPr="00E6113C">
        <w:rPr>
          <w:rFonts w:ascii="Calibri" w:hAnsi="Calibri" w:cs="Calibri"/>
          <w:sz w:val="22"/>
          <w:szCs w:val="22"/>
        </w:rPr>
        <w:t>Amendments to IAS 21 The Effects of Changes in Foreign Exchange Rates: Lack of Exchangeability (</w:t>
      </w:r>
      <w:r w:rsidR="00FE02E8">
        <w:rPr>
          <w:rFonts w:ascii="Calibri" w:hAnsi="Calibri" w:cs="Calibri"/>
          <w:sz w:val="22"/>
          <w:szCs w:val="22"/>
        </w:rPr>
        <w:t>effective on or after January 1, 2025</w:t>
      </w:r>
      <w:r w:rsidRPr="00E6113C">
        <w:rPr>
          <w:rFonts w:ascii="Calibri" w:hAnsi="Calibri" w:cs="Calibri"/>
          <w:sz w:val="22"/>
          <w:szCs w:val="22"/>
        </w:rPr>
        <w:t>).*</w:t>
      </w:r>
    </w:p>
    <w:p w14:paraId="1E2254E6" w14:textId="77777777" w:rsidR="00C4701B" w:rsidRPr="00E6113C" w:rsidRDefault="00C4701B" w:rsidP="0002602C">
      <w:pPr>
        <w:autoSpaceDE w:val="0"/>
        <w:autoSpaceDN w:val="0"/>
        <w:adjustRightInd w:val="0"/>
        <w:ind w:right="-143"/>
        <w:jc w:val="both"/>
        <w:rPr>
          <w:rFonts w:ascii="Calibri" w:hAnsi="Calibri" w:cs="Calibri"/>
          <w:sz w:val="22"/>
          <w:szCs w:val="22"/>
        </w:rPr>
      </w:pPr>
    </w:p>
    <w:p w14:paraId="261FB6C0" w14:textId="77777777" w:rsidR="00C36AFD" w:rsidRPr="00E6113C" w:rsidRDefault="00C36AFD" w:rsidP="0002602C">
      <w:pPr>
        <w:autoSpaceDE w:val="0"/>
        <w:autoSpaceDN w:val="0"/>
        <w:adjustRightInd w:val="0"/>
        <w:ind w:right="-143"/>
        <w:jc w:val="both"/>
        <w:rPr>
          <w:rFonts w:ascii="Calibri" w:hAnsi="Calibri" w:cs="Calibri"/>
          <w:sz w:val="16"/>
          <w:szCs w:val="16"/>
        </w:rPr>
      </w:pPr>
      <w:r w:rsidRPr="00E6113C">
        <w:rPr>
          <w:rFonts w:ascii="Calibri" w:hAnsi="Calibri" w:cs="Calibri"/>
          <w:sz w:val="16"/>
          <w:szCs w:val="16"/>
        </w:rPr>
        <w:t>* These standards or amendments to standards are not as of yet EU endorsed.</w:t>
      </w:r>
    </w:p>
    <w:bookmarkEnd w:id="19"/>
    <w:p w14:paraId="29B2AA42" w14:textId="77777777" w:rsidR="00097571" w:rsidRPr="00E6113C" w:rsidRDefault="00097571" w:rsidP="0002602C">
      <w:pPr>
        <w:autoSpaceDE w:val="0"/>
        <w:autoSpaceDN w:val="0"/>
        <w:adjustRightInd w:val="0"/>
        <w:ind w:right="-143"/>
        <w:jc w:val="both"/>
        <w:rPr>
          <w:rFonts w:ascii="Calibri" w:hAnsi="Calibri" w:cs="Calibri"/>
          <w:i/>
          <w:iCs/>
          <w:sz w:val="22"/>
          <w:szCs w:val="22"/>
          <w:lang w:val="en-US"/>
        </w:rPr>
      </w:pPr>
    </w:p>
    <w:p w14:paraId="463A7CE5" w14:textId="77777777" w:rsidR="00097571" w:rsidRPr="00E6113C" w:rsidRDefault="00097571" w:rsidP="0002602C">
      <w:pPr>
        <w:pStyle w:val="Outline3L1"/>
        <w:numPr>
          <w:ilvl w:val="0"/>
          <w:numId w:val="7"/>
        </w:numPr>
        <w:spacing w:after="0"/>
        <w:ind w:right="-143"/>
        <w:jc w:val="both"/>
        <w:rPr>
          <w:rFonts w:ascii="Calibri" w:hAnsi="Calibri" w:cs="Calibri"/>
          <w:b/>
          <w:sz w:val="22"/>
          <w:szCs w:val="22"/>
        </w:rPr>
      </w:pPr>
      <w:r w:rsidRPr="00E6113C">
        <w:rPr>
          <w:rFonts w:ascii="Calibri" w:hAnsi="Calibri" w:cs="Calibri"/>
          <w:b/>
          <w:sz w:val="22"/>
          <w:szCs w:val="22"/>
        </w:rPr>
        <w:t>Judgements and estimates</w:t>
      </w:r>
    </w:p>
    <w:p w14:paraId="4CD62BA4" w14:textId="77777777" w:rsidR="00984744" w:rsidRPr="00E6113C" w:rsidRDefault="00984744" w:rsidP="0002602C">
      <w:pPr>
        <w:pStyle w:val="Outline3L1"/>
        <w:numPr>
          <w:ilvl w:val="0"/>
          <w:numId w:val="0"/>
        </w:numPr>
        <w:tabs>
          <w:tab w:val="num" w:pos="0"/>
        </w:tabs>
        <w:spacing w:after="0"/>
        <w:ind w:right="-143"/>
        <w:jc w:val="both"/>
        <w:rPr>
          <w:rFonts w:ascii="Calibri" w:hAnsi="Calibri" w:cs="Calibri"/>
          <w:sz w:val="22"/>
          <w:szCs w:val="22"/>
        </w:rPr>
      </w:pPr>
    </w:p>
    <w:p w14:paraId="4F55133C" w14:textId="77777777" w:rsidR="00D00A73" w:rsidRPr="00E6113C" w:rsidRDefault="00C4701B" w:rsidP="00C4701B">
      <w:pPr>
        <w:tabs>
          <w:tab w:val="num" w:pos="0"/>
        </w:tabs>
        <w:ind w:right="-143"/>
        <w:jc w:val="both"/>
        <w:rPr>
          <w:rFonts w:ascii="Calibri" w:hAnsi="Calibri" w:cs="Calibri"/>
          <w:sz w:val="22"/>
          <w:szCs w:val="22"/>
          <w:lang w:val="en-US"/>
        </w:rPr>
      </w:pPr>
      <w:r w:rsidRPr="00E6113C">
        <w:rPr>
          <w:rFonts w:ascii="Calibri" w:hAnsi="Calibri" w:cs="Calibri"/>
          <w:sz w:val="22"/>
          <w:szCs w:val="22"/>
          <w:lang w:val="en-US"/>
        </w:rPr>
        <w:t>The preparation of financial statements in conformity with IFRS requires management to make estimates, judgements and assumptions that affect the application of policies and reported amounts of assets and liabilities, income and expenses. These estimates and associated assumptions are based on historical experience and various other factors believed to be reasonable under the circumstances, and the results of such estimates form the basis of carrying values of assets and liabilities that are not readily apparent from other sources. Actual results could differ materially from these estimates. These underlying assumptions are reviewed on an ongoing basis. A revision to an accounting estimate is recognised in the period in which the estimate is revised if the revision affects only that period or in the period of the revision and future periods if these are also affected. Principal sources of estimation uncertainty have been set forth below. Actual results may differ from estimates.</w:t>
      </w:r>
      <w:r w:rsidR="00D00A73" w:rsidRPr="00E6113C">
        <w:rPr>
          <w:rFonts w:ascii="Calibri" w:hAnsi="Calibri" w:cs="Calibri"/>
          <w:sz w:val="22"/>
          <w:szCs w:val="22"/>
          <w:lang w:val="en-US"/>
        </w:rPr>
        <w:t xml:space="preserve"> </w:t>
      </w:r>
    </w:p>
    <w:p w14:paraId="0DCFCAC7" w14:textId="77777777" w:rsidR="00C4701B" w:rsidRPr="00E6113C" w:rsidRDefault="00C4701B" w:rsidP="00C4701B">
      <w:pPr>
        <w:tabs>
          <w:tab w:val="num" w:pos="0"/>
        </w:tabs>
        <w:ind w:right="-143"/>
        <w:jc w:val="both"/>
        <w:rPr>
          <w:rFonts w:ascii="Calibri" w:hAnsi="Calibri" w:cs="Calibri"/>
          <w:sz w:val="22"/>
          <w:szCs w:val="22"/>
          <w:lang w:val="en-US"/>
        </w:rPr>
      </w:pPr>
    </w:p>
    <w:p w14:paraId="77A2EFEF" w14:textId="77777777" w:rsidR="00C4701B" w:rsidRPr="00E6113C" w:rsidRDefault="00C4701B" w:rsidP="00C4701B">
      <w:pPr>
        <w:tabs>
          <w:tab w:val="num" w:pos="0"/>
        </w:tabs>
        <w:ind w:right="-143"/>
        <w:jc w:val="both"/>
        <w:rPr>
          <w:rFonts w:ascii="Calibri" w:hAnsi="Calibri" w:cs="Calibri"/>
          <w:b/>
          <w:bCs/>
          <w:sz w:val="22"/>
          <w:szCs w:val="22"/>
          <w:lang w:val="en-US"/>
        </w:rPr>
      </w:pPr>
      <w:r w:rsidRPr="00E6113C">
        <w:rPr>
          <w:rFonts w:ascii="Calibri" w:hAnsi="Calibri" w:cs="Calibri"/>
          <w:b/>
          <w:bCs/>
          <w:sz w:val="22"/>
          <w:szCs w:val="22"/>
          <w:lang w:val="en-US"/>
        </w:rPr>
        <w:t>Critical estimates</w:t>
      </w:r>
    </w:p>
    <w:p w14:paraId="40DB9424" w14:textId="77777777" w:rsidR="00837FDD" w:rsidRPr="00E6113C" w:rsidRDefault="00837FDD" w:rsidP="00C4701B">
      <w:pPr>
        <w:tabs>
          <w:tab w:val="num" w:pos="0"/>
        </w:tabs>
        <w:ind w:right="-143"/>
        <w:jc w:val="both"/>
        <w:rPr>
          <w:rFonts w:ascii="Calibri" w:hAnsi="Calibri" w:cs="Calibri"/>
          <w:b/>
          <w:bCs/>
          <w:sz w:val="22"/>
          <w:szCs w:val="22"/>
          <w:lang w:val="en-US"/>
        </w:rPr>
      </w:pPr>
    </w:p>
    <w:p w14:paraId="42CF0DB5" w14:textId="77777777" w:rsidR="00C4701B" w:rsidRPr="00E6113C" w:rsidRDefault="00C4701B" w:rsidP="00C4701B">
      <w:pPr>
        <w:tabs>
          <w:tab w:val="num" w:pos="0"/>
        </w:tabs>
        <w:ind w:right="-143"/>
        <w:jc w:val="both"/>
        <w:rPr>
          <w:rFonts w:ascii="Calibri" w:hAnsi="Calibri" w:cs="Calibri"/>
          <w:sz w:val="22"/>
          <w:szCs w:val="22"/>
          <w:lang w:val="en-US"/>
        </w:rPr>
      </w:pPr>
      <w:r w:rsidRPr="00E6113C">
        <w:rPr>
          <w:rFonts w:ascii="Calibri" w:hAnsi="Calibri" w:cs="Calibri"/>
          <w:b/>
          <w:bCs/>
          <w:sz w:val="22"/>
          <w:szCs w:val="22"/>
          <w:lang w:val="en-US"/>
        </w:rPr>
        <w:t>Long-lived assets</w:t>
      </w:r>
      <w:r w:rsidRPr="00E6113C">
        <w:rPr>
          <w:rFonts w:ascii="Calibri" w:hAnsi="Calibri" w:cs="Calibri"/>
          <w:sz w:val="22"/>
          <w:szCs w:val="22"/>
          <w:lang w:val="en-US"/>
        </w:rPr>
        <w:t xml:space="preserve"> </w:t>
      </w:r>
    </w:p>
    <w:p w14:paraId="1C4DB06C" w14:textId="77777777" w:rsidR="00C4701B" w:rsidRPr="00E6113C" w:rsidRDefault="00C4701B" w:rsidP="00C4701B">
      <w:pPr>
        <w:tabs>
          <w:tab w:val="num" w:pos="0"/>
        </w:tabs>
        <w:ind w:right="-143"/>
        <w:jc w:val="both"/>
        <w:rPr>
          <w:rFonts w:ascii="Calibri" w:hAnsi="Calibri" w:cs="Calibri"/>
          <w:sz w:val="22"/>
          <w:szCs w:val="22"/>
          <w:lang w:val="en-US"/>
        </w:rPr>
      </w:pPr>
    </w:p>
    <w:p w14:paraId="6B75E6A4" w14:textId="77777777" w:rsidR="00837FDD" w:rsidRPr="00E6113C" w:rsidRDefault="00C4701B" w:rsidP="00C4701B">
      <w:pPr>
        <w:tabs>
          <w:tab w:val="num" w:pos="0"/>
        </w:tabs>
        <w:ind w:right="-143"/>
        <w:jc w:val="both"/>
        <w:rPr>
          <w:rFonts w:ascii="Calibri" w:hAnsi="Calibri" w:cs="Calibri"/>
          <w:sz w:val="22"/>
          <w:szCs w:val="22"/>
          <w:lang w:val="en-US"/>
        </w:rPr>
      </w:pPr>
      <w:bookmarkStart w:id="20" w:name="_Hlk155345298"/>
      <w:r w:rsidRPr="00C3633A">
        <w:rPr>
          <w:rFonts w:ascii="Calibri" w:hAnsi="Calibri" w:cs="Calibri"/>
          <w:sz w:val="22"/>
          <w:szCs w:val="22"/>
          <w:lang w:val="en-US"/>
        </w:rPr>
        <w:t xml:space="preserve">At </w:t>
      </w:r>
      <w:r w:rsidR="00EB128D" w:rsidRPr="00C3633A">
        <w:rPr>
          <w:rFonts w:ascii="Calibri" w:hAnsi="Calibri" w:cs="Calibri"/>
          <w:sz w:val="22"/>
          <w:szCs w:val="22"/>
          <w:lang w:val="en-US"/>
        </w:rPr>
        <w:t>December 31</w:t>
      </w:r>
      <w:r w:rsidRPr="00C3633A">
        <w:rPr>
          <w:rFonts w:ascii="Calibri" w:hAnsi="Calibri" w:cs="Calibri"/>
          <w:sz w:val="22"/>
          <w:szCs w:val="22"/>
          <w:lang w:val="en-US"/>
        </w:rPr>
        <w:t>, 2023, the Group had €</w:t>
      </w:r>
      <w:r w:rsidR="00634773" w:rsidRPr="00C3633A">
        <w:rPr>
          <w:rFonts w:ascii="Calibri" w:hAnsi="Calibri" w:cs="Calibri"/>
          <w:sz w:val="22"/>
          <w:szCs w:val="22"/>
          <w:lang w:val="en-US"/>
        </w:rPr>
        <w:t>10.62</w:t>
      </w:r>
      <w:r w:rsidRPr="00C3633A">
        <w:rPr>
          <w:rFonts w:ascii="Calibri" w:hAnsi="Calibri" w:cs="Calibri"/>
          <w:sz w:val="22"/>
          <w:szCs w:val="22"/>
          <w:lang w:val="en-US"/>
        </w:rPr>
        <w:t>BN of property, plant and equipment long-lived assets, of which €</w:t>
      </w:r>
      <w:r w:rsidR="00C3633A" w:rsidRPr="00C3633A">
        <w:rPr>
          <w:rFonts w:ascii="Calibri" w:hAnsi="Calibri" w:cs="Calibri"/>
          <w:sz w:val="22"/>
          <w:szCs w:val="22"/>
          <w:lang w:val="en-US"/>
        </w:rPr>
        <w:t>10.41</w:t>
      </w:r>
      <w:r w:rsidRPr="00C3633A">
        <w:rPr>
          <w:rFonts w:ascii="Calibri" w:hAnsi="Calibri" w:cs="Calibri"/>
          <w:sz w:val="22"/>
          <w:szCs w:val="22"/>
          <w:lang w:val="en-US"/>
        </w:rPr>
        <w:t xml:space="preserve">BN were aircraft related. </w:t>
      </w:r>
      <w:bookmarkEnd w:id="20"/>
      <w:r w:rsidRPr="00C3633A">
        <w:rPr>
          <w:rFonts w:ascii="Calibri" w:hAnsi="Calibri" w:cs="Calibri"/>
          <w:sz w:val="22"/>
          <w:szCs w:val="22"/>
          <w:lang w:val="en-US"/>
        </w:rPr>
        <w:t>In accounting</w:t>
      </w:r>
      <w:r w:rsidRPr="00E6113C">
        <w:rPr>
          <w:rFonts w:ascii="Calibri" w:hAnsi="Calibri" w:cs="Calibri"/>
          <w:sz w:val="22"/>
          <w:szCs w:val="22"/>
          <w:lang w:val="en-US"/>
        </w:rPr>
        <w:t xml:space="preserve"> for long-lived assets, the Group must make estimates about the expected useful lives of the assets and the expected residual values of the assets. </w:t>
      </w:r>
    </w:p>
    <w:p w14:paraId="251DFF64" w14:textId="77777777" w:rsidR="00837FDD" w:rsidRPr="00E6113C" w:rsidRDefault="00837FDD" w:rsidP="00C4701B">
      <w:pPr>
        <w:tabs>
          <w:tab w:val="num" w:pos="0"/>
        </w:tabs>
        <w:ind w:right="-143"/>
        <w:jc w:val="both"/>
        <w:rPr>
          <w:rFonts w:ascii="Calibri" w:hAnsi="Calibri" w:cs="Calibri"/>
          <w:sz w:val="22"/>
          <w:szCs w:val="22"/>
          <w:lang w:val="en-US"/>
        </w:rPr>
      </w:pPr>
    </w:p>
    <w:p w14:paraId="0ADB62B1" w14:textId="77777777" w:rsidR="00C4701B" w:rsidRPr="00E6113C" w:rsidRDefault="00C4701B" w:rsidP="00C4701B">
      <w:pPr>
        <w:tabs>
          <w:tab w:val="num" w:pos="0"/>
        </w:tabs>
        <w:ind w:right="-143"/>
        <w:jc w:val="both"/>
        <w:rPr>
          <w:rFonts w:ascii="Calibri" w:hAnsi="Calibri" w:cs="Calibri"/>
          <w:sz w:val="22"/>
          <w:szCs w:val="22"/>
          <w:lang w:val="en-US"/>
        </w:rPr>
      </w:pPr>
      <w:r w:rsidRPr="00E6113C">
        <w:rPr>
          <w:rFonts w:ascii="Calibri" w:hAnsi="Calibri" w:cs="Calibri"/>
          <w:sz w:val="22"/>
          <w:szCs w:val="22"/>
          <w:lang w:val="en-US"/>
        </w:rPr>
        <w:t>In estimating the useful lives and expected residual values of the aircraft component, the Group considered a number</w:t>
      </w:r>
      <w:r w:rsidR="00273F9A">
        <w:rPr>
          <w:rFonts w:ascii="Calibri" w:hAnsi="Calibri" w:cs="Calibri"/>
          <w:sz w:val="22"/>
          <w:szCs w:val="22"/>
          <w:lang w:val="en-US"/>
        </w:rPr>
        <w:t xml:space="preserve"> </w:t>
      </w:r>
      <w:r w:rsidRPr="00E6113C">
        <w:rPr>
          <w:rFonts w:ascii="Calibri" w:hAnsi="Calibri" w:cs="Calibri"/>
          <w:sz w:val="22"/>
          <w:szCs w:val="22"/>
          <w:lang w:val="en-US"/>
        </w:rPr>
        <w:t>of factors, including its own historic experience and past practices of aircraft disposals, renewal programmes, forecasted growth plans, external valuations from independent appraisers, recommendations from the aircraft supplier and manufacturer and other industry-available information.</w:t>
      </w:r>
    </w:p>
    <w:p w14:paraId="1D65DF18" w14:textId="77777777" w:rsidR="00C4701B" w:rsidRPr="00E6113C" w:rsidRDefault="00C4701B" w:rsidP="00C4701B">
      <w:pPr>
        <w:tabs>
          <w:tab w:val="num" w:pos="0"/>
        </w:tabs>
        <w:ind w:right="-143"/>
        <w:jc w:val="both"/>
        <w:rPr>
          <w:rFonts w:ascii="Calibri" w:hAnsi="Calibri" w:cs="Calibri"/>
          <w:sz w:val="22"/>
          <w:szCs w:val="22"/>
          <w:lang w:val="en-US"/>
        </w:rPr>
      </w:pPr>
    </w:p>
    <w:p w14:paraId="682C576F" w14:textId="77777777" w:rsidR="00837FDD" w:rsidRPr="00E6113C" w:rsidRDefault="00C4701B" w:rsidP="00C4701B">
      <w:pPr>
        <w:tabs>
          <w:tab w:val="num" w:pos="0"/>
        </w:tabs>
        <w:ind w:right="-143"/>
        <w:jc w:val="both"/>
        <w:rPr>
          <w:rFonts w:ascii="Calibri" w:hAnsi="Calibri" w:cs="Calibri"/>
          <w:sz w:val="22"/>
          <w:szCs w:val="22"/>
          <w:lang w:val="en-US"/>
        </w:rPr>
      </w:pPr>
      <w:r w:rsidRPr="00E6113C">
        <w:rPr>
          <w:rFonts w:ascii="Calibri" w:hAnsi="Calibri" w:cs="Calibri"/>
          <w:sz w:val="22"/>
          <w:szCs w:val="22"/>
          <w:lang w:val="en-US"/>
        </w:rPr>
        <w:t xml:space="preserve">The Group's estimate of each aircraft’s residual value is 15% of market value </w:t>
      </w:r>
      <w:r w:rsidR="00D579F6" w:rsidRPr="00E6113C">
        <w:rPr>
          <w:rFonts w:ascii="Calibri" w:hAnsi="Calibri" w:cs="Calibri"/>
          <w:sz w:val="22"/>
          <w:szCs w:val="22"/>
          <w:lang w:val="en-US"/>
        </w:rPr>
        <w:t>on delivery</w:t>
      </w:r>
      <w:r w:rsidRPr="00E6113C">
        <w:rPr>
          <w:rFonts w:ascii="Calibri" w:hAnsi="Calibri" w:cs="Calibri"/>
          <w:sz w:val="22"/>
          <w:szCs w:val="22"/>
          <w:lang w:val="en-US"/>
        </w:rPr>
        <w:t xml:space="preserve">, based on independent valuations and actual aircraft disposals during prior periods, and each aircraft’s useful life is determined to be 23 years. </w:t>
      </w:r>
    </w:p>
    <w:p w14:paraId="0823349D" w14:textId="77777777" w:rsidR="00837FDD" w:rsidRPr="00E6113C" w:rsidRDefault="00837FDD" w:rsidP="00C4701B">
      <w:pPr>
        <w:tabs>
          <w:tab w:val="num" w:pos="0"/>
        </w:tabs>
        <w:ind w:right="-143"/>
        <w:jc w:val="both"/>
        <w:rPr>
          <w:rFonts w:ascii="Calibri" w:hAnsi="Calibri" w:cs="Calibri"/>
          <w:sz w:val="22"/>
          <w:szCs w:val="22"/>
          <w:lang w:val="en-US"/>
        </w:rPr>
      </w:pPr>
    </w:p>
    <w:p w14:paraId="49A6251B" w14:textId="77777777" w:rsidR="00C4701B" w:rsidRPr="00E6113C" w:rsidRDefault="00C4701B" w:rsidP="00C4701B">
      <w:pPr>
        <w:tabs>
          <w:tab w:val="num" w:pos="0"/>
        </w:tabs>
        <w:ind w:right="-143"/>
        <w:jc w:val="both"/>
        <w:rPr>
          <w:rFonts w:ascii="Calibri" w:hAnsi="Calibri" w:cs="Calibri"/>
          <w:sz w:val="22"/>
          <w:szCs w:val="22"/>
          <w:lang w:val="en-US"/>
        </w:rPr>
      </w:pPr>
      <w:r w:rsidRPr="00E6113C">
        <w:rPr>
          <w:rFonts w:ascii="Calibri" w:hAnsi="Calibri" w:cs="Calibri"/>
          <w:sz w:val="22"/>
          <w:szCs w:val="22"/>
          <w:lang w:val="en-US"/>
        </w:rPr>
        <w:t>Revisions to these estimates could be caused by changes to maintenance programmes, changes in utilisation of the aircraft, governmental regulations on ageing aircraft, changes in new aircraft technology, changes in governmental and environmental taxes, changes in new aircraft fuel efficiency and changing market prices for new and used aircraft of the same or similar types. The Group therefore evaluates its estimates and assumptions in each reporting period, and, when warranted, adjusts these assumptions. Any adjustments are accounted for on a prospective basis through depreciation expense.</w:t>
      </w:r>
    </w:p>
    <w:p w14:paraId="05EA4DE3" w14:textId="77777777" w:rsidR="00D00A73" w:rsidRPr="00E6113C" w:rsidRDefault="00D00A73" w:rsidP="00C4701B">
      <w:pPr>
        <w:tabs>
          <w:tab w:val="num" w:pos="0"/>
        </w:tabs>
        <w:ind w:right="-143"/>
        <w:jc w:val="both"/>
        <w:rPr>
          <w:rFonts w:ascii="Calibri" w:hAnsi="Calibri" w:cs="Calibri"/>
          <w:b/>
          <w:bCs/>
          <w:sz w:val="22"/>
          <w:szCs w:val="22"/>
          <w:lang w:val="en-US"/>
        </w:rPr>
      </w:pPr>
    </w:p>
    <w:p w14:paraId="08BA9F1D" w14:textId="77777777" w:rsidR="00C4701B" w:rsidRPr="00E6113C" w:rsidRDefault="00C4701B" w:rsidP="00C4701B">
      <w:pPr>
        <w:tabs>
          <w:tab w:val="num" w:pos="0"/>
        </w:tabs>
        <w:ind w:right="-143"/>
        <w:jc w:val="both"/>
        <w:rPr>
          <w:rFonts w:ascii="Calibri" w:hAnsi="Calibri" w:cs="Calibri"/>
          <w:b/>
          <w:bCs/>
          <w:sz w:val="22"/>
          <w:szCs w:val="22"/>
          <w:lang w:val="en-US"/>
        </w:rPr>
      </w:pPr>
      <w:r w:rsidRPr="00E6113C">
        <w:rPr>
          <w:rFonts w:ascii="Calibri" w:hAnsi="Calibri" w:cs="Calibri"/>
          <w:b/>
          <w:bCs/>
          <w:sz w:val="22"/>
          <w:szCs w:val="22"/>
          <w:lang w:val="en-US"/>
        </w:rPr>
        <w:t>Critical judgements</w:t>
      </w:r>
    </w:p>
    <w:p w14:paraId="7A76BE00" w14:textId="77777777" w:rsidR="00C4701B" w:rsidRPr="00E6113C" w:rsidRDefault="00C4701B" w:rsidP="00C4701B">
      <w:pPr>
        <w:tabs>
          <w:tab w:val="num" w:pos="0"/>
        </w:tabs>
        <w:ind w:right="-143"/>
        <w:jc w:val="both"/>
        <w:rPr>
          <w:rFonts w:ascii="Calibri" w:hAnsi="Calibri" w:cs="Calibri"/>
          <w:sz w:val="22"/>
          <w:szCs w:val="22"/>
          <w:lang w:val="en-US"/>
        </w:rPr>
      </w:pPr>
      <w:r w:rsidRPr="00E6113C">
        <w:rPr>
          <w:rFonts w:ascii="Calibri" w:hAnsi="Calibri" w:cs="Calibri"/>
          <w:sz w:val="22"/>
          <w:szCs w:val="22"/>
          <w:lang w:val="en-US"/>
        </w:rPr>
        <w:t>In the opinion of the Directors, the following significant judgements were exercised in the preparation of the financial statements:</w:t>
      </w:r>
    </w:p>
    <w:p w14:paraId="3863F51F" w14:textId="77777777" w:rsidR="00C4701B" w:rsidRPr="00E6113C" w:rsidRDefault="00C4701B" w:rsidP="00C4701B">
      <w:pPr>
        <w:tabs>
          <w:tab w:val="num" w:pos="0"/>
        </w:tabs>
        <w:ind w:right="-143"/>
        <w:jc w:val="both"/>
        <w:rPr>
          <w:rFonts w:ascii="Calibri" w:hAnsi="Calibri" w:cs="Calibri"/>
          <w:sz w:val="22"/>
          <w:szCs w:val="22"/>
          <w:lang w:val="en-US"/>
        </w:rPr>
      </w:pPr>
    </w:p>
    <w:p w14:paraId="6DBF681F" w14:textId="77777777" w:rsidR="00C4701B" w:rsidRPr="00E6113C" w:rsidRDefault="00C4701B" w:rsidP="00C4701B">
      <w:pPr>
        <w:tabs>
          <w:tab w:val="num" w:pos="0"/>
        </w:tabs>
        <w:ind w:right="-143"/>
        <w:jc w:val="both"/>
        <w:rPr>
          <w:rFonts w:ascii="Calibri" w:hAnsi="Calibri" w:cs="Calibri"/>
          <w:b/>
          <w:bCs/>
          <w:sz w:val="22"/>
          <w:szCs w:val="22"/>
          <w:lang w:val="en-US"/>
        </w:rPr>
      </w:pPr>
      <w:r w:rsidRPr="00E6113C">
        <w:rPr>
          <w:rFonts w:ascii="Calibri" w:hAnsi="Calibri" w:cs="Calibri"/>
          <w:b/>
          <w:bCs/>
          <w:sz w:val="22"/>
          <w:szCs w:val="22"/>
          <w:lang w:val="en-US"/>
        </w:rPr>
        <w:t>Long-lived assets</w:t>
      </w:r>
    </w:p>
    <w:p w14:paraId="630A6080" w14:textId="77777777" w:rsidR="00B22CFC" w:rsidRPr="00E6113C" w:rsidRDefault="00C4701B" w:rsidP="00C4701B">
      <w:pPr>
        <w:tabs>
          <w:tab w:val="num" w:pos="0"/>
        </w:tabs>
        <w:ind w:right="-143"/>
        <w:jc w:val="both"/>
        <w:rPr>
          <w:rFonts w:ascii="Calibri" w:hAnsi="Calibri" w:cs="Calibri"/>
          <w:sz w:val="22"/>
          <w:szCs w:val="22"/>
          <w:lang w:val="en-US"/>
        </w:rPr>
      </w:pPr>
      <w:r w:rsidRPr="00E6113C">
        <w:rPr>
          <w:rFonts w:ascii="Calibri" w:hAnsi="Calibri" w:cs="Calibri"/>
          <w:sz w:val="22"/>
          <w:szCs w:val="22"/>
          <w:lang w:val="en-US"/>
        </w:rPr>
        <w:t>On acquisition a judgement is made to allocate an element of the cost of an acquired aircraft to the cost of major airframe and engine overhauls, reflecting its service potential and the maintenance condition of its engines and airframe. This cost, which can equate to a substantial element of the total aircraft cost, is amortised over the shorter of the period to the next maintenance check (usually between 8 and 12 years) or the remaining useful life of the aircraft.</w:t>
      </w:r>
    </w:p>
    <w:p w14:paraId="2024F66E" w14:textId="77777777" w:rsidR="006F7432" w:rsidRPr="00E6113C" w:rsidRDefault="006F7432" w:rsidP="00C4701B">
      <w:pPr>
        <w:tabs>
          <w:tab w:val="num" w:pos="0"/>
        </w:tabs>
        <w:ind w:right="-143"/>
        <w:jc w:val="both"/>
        <w:rPr>
          <w:rFonts w:ascii="Calibri" w:hAnsi="Calibri" w:cs="Calibri"/>
          <w:sz w:val="22"/>
          <w:szCs w:val="22"/>
        </w:rPr>
      </w:pPr>
    </w:p>
    <w:p w14:paraId="450E8AF7" w14:textId="77777777" w:rsidR="00097571" w:rsidRPr="00E6113C" w:rsidRDefault="00097571" w:rsidP="0002602C">
      <w:pPr>
        <w:pStyle w:val="Outline3L1"/>
        <w:numPr>
          <w:ilvl w:val="0"/>
          <w:numId w:val="7"/>
        </w:numPr>
        <w:tabs>
          <w:tab w:val="num" w:pos="1855"/>
        </w:tabs>
        <w:spacing w:after="0"/>
        <w:ind w:right="-143"/>
        <w:jc w:val="both"/>
        <w:rPr>
          <w:rFonts w:ascii="Calibri" w:hAnsi="Calibri" w:cs="Calibri"/>
          <w:b/>
          <w:bCs/>
          <w:sz w:val="22"/>
          <w:szCs w:val="22"/>
        </w:rPr>
      </w:pPr>
      <w:r w:rsidRPr="00E6113C">
        <w:rPr>
          <w:rFonts w:ascii="Calibri" w:hAnsi="Calibri" w:cs="Calibri"/>
          <w:b/>
          <w:bCs/>
          <w:sz w:val="22"/>
          <w:szCs w:val="22"/>
        </w:rPr>
        <w:t>Seasonality of operations</w:t>
      </w:r>
    </w:p>
    <w:p w14:paraId="59F5F7A0" w14:textId="77777777" w:rsidR="00984744" w:rsidRPr="00E6113C" w:rsidRDefault="00984744" w:rsidP="0002602C">
      <w:pPr>
        <w:keepNext/>
        <w:tabs>
          <w:tab w:val="num" w:pos="0"/>
        </w:tabs>
        <w:ind w:right="-143"/>
        <w:jc w:val="both"/>
        <w:rPr>
          <w:rFonts w:ascii="Calibri" w:hAnsi="Calibri" w:cs="Calibri"/>
          <w:sz w:val="22"/>
          <w:szCs w:val="22"/>
        </w:rPr>
      </w:pPr>
    </w:p>
    <w:p w14:paraId="4C29A36B" w14:textId="77777777" w:rsidR="00423853" w:rsidRPr="00E6113C" w:rsidRDefault="00C4701B" w:rsidP="0002602C">
      <w:pPr>
        <w:ind w:right="-143"/>
        <w:jc w:val="both"/>
        <w:rPr>
          <w:rFonts w:ascii="Calibri" w:hAnsi="Calibri" w:cs="Calibri"/>
          <w:sz w:val="22"/>
          <w:szCs w:val="22"/>
        </w:rPr>
      </w:pPr>
      <w:r w:rsidRPr="00E6113C">
        <w:rPr>
          <w:rFonts w:ascii="Calibri" w:hAnsi="Calibri" w:cs="Calibri"/>
          <w:sz w:val="22"/>
          <w:szCs w:val="22"/>
        </w:rPr>
        <w:t>The Group’s results of operations have varied significantly from quarter to quarter, and management expects these variations to continue.  Among the factors causing these variations are the airline industry’s sensitivity to general economic conditions and the seasonal nature of air travel.  Accordingly, the first half-year typically results in higher revenues and results.</w:t>
      </w:r>
    </w:p>
    <w:p w14:paraId="746F2818" w14:textId="77777777" w:rsidR="00C4701B" w:rsidRPr="00E6113C" w:rsidRDefault="00C4701B" w:rsidP="00C4701B">
      <w:pPr>
        <w:ind w:right="-143"/>
        <w:jc w:val="both"/>
        <w:rPr>
          <w:lang w:val="en-US"/>
        </w:rPr>
      </w:pPr>
    </w:p>
    <w:p w14:paraId="676213F5" w14:textId="77777777" w:rsidR="0002602C" w:rsidRPr="00E6113C" w:rsidRDefault="00097571" w:rsidP="002560B2">
      <w:pPr>
        <w:pStyle w:val="Outline3L1"/>
        <w:numPr>
          <w:ilvl w:val="0"/>
          <w:numId w:val="7"/>
        </w:numPr>
        <w:tabs>
          <w:tab w:val="num" w:pos="1855"/>
        </w:tabs>
        <w:spacing w:after="0"/>
        <w:ind w:right="-143"/>
        <w:jc w:val="both"/>
        <w:rPr>
          <w:rFonts w:ascii="Calibri" w:hAnsi="Calibri" w:cs="Calibri"/>
          <w:b/>
          <w:bCs/>
          <w:sz w:val="22"/>
          <w:szCs w:val="22"/>
        </w:rPr>
      </w:pPr>
      <w:bookmarkStart w:id="21" w:name="_Hlk526950167"/>
      <w:bookmarkStart w:id="22" w:name="_Hlk155345385"/>
      <w:r w:rsidRPr="00E6113C">
        <w:rPr>
          <w:rFonts w:ascii="Calibri" w:hAnsi="Calibri" w:cs="Calibri"/>
          <w:b/>
          <w:bCs/>
          <w:sz w:val="22"/>
          <w:szCs w:val="22"/>
        </w:rPr>
        <w:t xml:space="preserve">Income tax </w:t>
      </w:r>
      <w:r w:rsidRPr="00AF77E1">
        <w:rPr>
          <w:rFonts w:ascii="Calibri" w:hAnsi="Calibri" w:cs="Calibri"/>
          <w:b/>
          <w:bCs/>
          <w:sz w:val="22"/>
          <w:szCs w:val="22"/>
        </w:rPr>
        <w:t>expense</w:t>
      </w:r>
      <w:bookmarkStart w:id="23" w:name="_Hlk85444753"/>
      <w:r w:rsidR="00841634" w:rsidRPr="00AF77E1">
        <w:rPr>
          <w:rFonts w:ascii="Calibri" w:hAnsi="Calibri" w:cs="Calibri"/>
          <w:b/>
          <w:bCs/>
          <w:sz w:val="22"/>
          <w:szCs w:val="22"/>
        </w:rPr>
        <w:t xml:space="preserve"> </w:t>
      </w:r>
    </w:p>
    <w:p w14:paraId="38A485EE" w14:textId="77777777" w:rsidR="009C5CA5" w:rsidRPr="00E6113C" w:rsidRDefault="009C5CA5" w:rsidP="009C5CA5">
      <w:pPr>
        <w:keepNext/>
        <w:tabs>
          <w:tab w:val="num" w:pos="0"/>
        </w:tabs>
        <w:ind w:right="-143"/>
        <w:jc w:val="both"/>
        <w:rPr>
          <w:rFonts w:ascii="Calibri" w:hAnsi="Calibri" w:cs="Calibri"/>
          <w:sz w:val="22"/>
          <w:szCs w:val="22"/>
        </w:rPr>
      </w:pPr>
    </w:p>
    <w:p w14:paraId="1AB2D2D4" w14:textId="77777777" w:rsidR="000B38A8" w:rsidRPr="00E6113C" w:rsidRDefault="00043B4D" w:rsidP="009C5CA5">
      <w:pPr>
        <w:keepNext/>
        <w:tabs>
          <w:tab w:val="num" w:pos="0"/>
        </w:tabs>
        <w:ind w:right="-143"/>
        <w:jc w:val="both"/>
        <w:rPr>
          <w:rFonts w:ascii="Calibri" w:hAnsi="Calibri" w:cs="Calibri"/>
          <w:sz w:val="22"/>
          <w:szCs w:val="22"/>
        </w:rPr>
      </w:pPr>
      <w:r w:rsidRPr="00AF77E1">
        <w:rPr>
          <w:rFonts w:ascii="Calibri" w:hAnsi="Calibri" w:cs="Calibri"/>
          <w:sz w:val="22"/>
          <w:szCs w:val="22"/>
        </w:rPr>
        <w:t xml:space="preserve">The Group’s consolidated tax </w:t>
      </w:r>
      <w:r w:rsidR="000E43DA" w:rsidRPr="00AF77E1">
        <w:rPr>
          <w:rFonts w:ascii="Calibri" w:hAnsi="Calibri" w:cs="Calibri"/>
          <w:sz w:val="22"/>
          <w:szCs w:val="22"/>
        </w:rPr>
        <w:t>expense</w:t>
      </w:r>
      <w:r w:rsidRPr="00AF77E1">
        <w:rPr>
          <w:rFonts w:ascii="Calibri" w:hAnsi="Calibri" w:cs="Calibri"/>
          <w:sz w:val="22"/>
          <w:szCs w:val="22"/>
        </w:rPr>
        <w:t xml:space="preserve"> for the </w:t>
      </w:r>
      <w:r w:rsidR="00EB128D" w:rsidRPr="00AF77E1">
        <w:rPr>
          <w:rFonts w:ascii="Calibri" w:hAnsi="Calibri" w:cs="Calibri"/>
          <w:sz w:val="22"/>
          <w:szCs w:val="22"/>
        </w:rPr>
        <w:t xml:space="preserve">nine months </w:t>
      </w:r>
      <w:r w:rsidRPr="00AF77E1">
        <w:rPr>
          <w:rFonts w:ascii="Calibri" w:hAnsi="Calibri" w:cs="Calibri"/>
          <w:sz w:val="22"/>
          <w:szCs w:val="22"/>
        </w:rPr>
        <w:t xml:space="preserve">ended </w:t>
      </w:r>
      <w:r w:rsidR="00EB128D" w:rsidRPr="00AF77E1">
        <w:rPr>
          <w:rFonts w:ascii="Calibri" w:hAnsi="Calibri" w:cs="Calibri"/>
          <w:sz w:val="22"/>
          <w:szCs w:val="22"/>
        </w:rPr>
        <w:t xml:space="preserve">December </w:t>
      </w:r>
      <w:r w:rsidRPr="00AF77E1">
        <w:rPr>
          <w:rFonts w:ascii="Calibri" w:hAnsi="Calibri" w:cs="Calibri"/>
          <w:sz w:val="22"/>
          <w:szCs w:val="22"/>
        </w:rPr>
        <w:t>3</w:t>
      </w:r>
      <w:r w:rsidR="00EB128D" w:rsidRPr="00AF77E1">
        <w:rPr>
          <w:rFonts w:ascii="Calibri" w:hAnsi="Calibri" w:cs="Calibri"/>
          <w:sz w:val="22"/>
          <w:szCs w:val="22"/>
        </w:rPr>
        <w:t>1</w:t>
      </w:r>
      <w:r w:rsidRPr="00AF77E1">
        <w:rPr>
          <w:rFonts w:ascii="Calibri" w:hAnsi="Calibri" w:cs="Calibri"/>
          <w:sz w:val="22"/>
          <w:szCs w:val="22"/>
        </w:rPr>
        <w:t>, 202</w:t>
      </w:r>
      <w:r w:rsidR="00C4701B" w:rsidRPr="00AF77E1">
        <w:rPr>
          <w:rFonts w:ascii="Calibri" w:hAnsi="Calibri" w:cs="Calibri"/>
          <w:sz w:val="22"/>
          <w:szCs w:val="22"/>
        </w:rPr>
        <w:t>3</w:t>
      </w:r>
      <w:r w:rsidRPr="00AF77E1">
        <w:rPr>
          <w:rFonts w:ascii="Calibri" w:hAnsi="Calibri" w:cs="Calibri"/>
          <w:sz w:val="22"/>
          <w:szCs w:val="22"/>
        </w:rPr>
        <w:t xml:space="preserve"> of €</w:t>
      </w:r>
      <w:r w:rsidR="00CE3B2F" w:rsidRPr="00AF77E1">
        <w:rPr>
          <w:rFonts w:ascii="Calibri" w:hAnsi="Calibri" w:cs="Calibri"/>
          <w:sz w:val="22"/>
          <w:szCs w:val="22"/>
        </w:rPr>
        <w:t>268</w:t>
      </w:r>
      <w:r w:rsidRPr="00AF77E1">
        <w:rPr>
          <w:rFonts w:ascii="Calibri" w:hAnsi="Calibri" w:cs="Calibri"/>
          <w:sz w:val="22"/>
          <w:szCs w:val="22"/>
        </w:rPr>
        <w:t>M (</w:t>
      </w:r>
      <w:r w:rsidR="00EB128D" w:rsidRPr="00AF77E1">
        <w:rPr>
          <w:rFonts w:ascii="Calibri" w:hAnsi="Calibri" w:cs="Calibri"/>
          <w:sz w:val="22"/>
          <w:szCs w:val="22"/>
        </w:rPr>
        <w:t>December 31</w:t>
      </w:r>
      <w:r w:rsidRPr="00AF77E1">
        <w:rPr>
          <w:rFonts w:ascii="Calibri" w:hAnsi="Calibri" w:cs="Calibri"/>
          <w:sz w:val="22"/>
          <w:szCs w:val="22"/>
        </w:rPr>
        <w:t>, 202</w:t>
      </w:r>
      <w:r w:rsidR="00C4701B" w:rsidRPr="00AF77E1">
        <w:rPr>
          <w:rFonts w:ascii="Calibri" w:hAnsi="Calibri" w:cs="Calibri"/>
          <w:sz w:val="22"/>
          <w:szCs w:val="22"/>
        </w:rPr>
        <w:t>2</w:t>
      </w:r>
      <w:r w:rsidRPr="00AF77E1">
        <w:rPr>
          <w:rFonts w:ascii="Calibri" w:hAnsi="Calibri" w:cs="Calibri"/>
          <w:sz w:val="22"/>
          <w:szCs w:val="22"/>
        </w:rPr>
        <w:t xml:space="preserve">: </w:t>
      </w:r>
      <w:r w:rsidR="001B3731" w:rsidRPr="00AF77E1">
        <w:rPr>
          <w:rFonts w:ascii="Calibri" w:hAnsi="Calibri" w:cs="Calibri"/>
          <w:sz w:val="22"/>
          <w:szCs w:val="22"/>
        </w:rPr>
        <w:t xml:space="preserve">pre-exceptional </w:t>
      </w:r>
      <w:r w:rsidRPr="00AF77E1">
        <w:rPr>
          <w:rFonts w:ascii="Calibri" w:hAnsi="Calibri" w:cs="Calibri"/>
          <w:sz w:val="22"/>
          <w:szCs w:val="22"/>
        </w:rPr>
        <w:t>€</w:t>
      </w:r>
      <w:r w:rsidR="0088474E" w:rsidRPr="00AF77E1">
        <w:rPr>
          <w:rFonts w:ascii="Calibri" w:hAnsi="Calibri" w:cs="Calibri"/>
          <w:sz w:val="22"/>
          <w:szCs w:val="22"/>
        </w:rPr>
        <w:t>187</w:t>
      </w:r>
      <w:r w:rsidRPr="00AF77E1">
        <w:rPr>
          <w:rFonts w:ascii="Calibri" w:hAnsi="Calibri" w:cs="Calibri"/>
          <w:sz w:val="22"/>
          <w:szCs w:val="22"/>
        </w:rPr>
        <w:t xml:space="preserve">M) comprises a current tax </w:t>
      </w:r>
      <w:r w:rsidRPr="00250FAA">
        <w:rPr>
          <w:rFonts w:ascii="Calibri" w:hAnsi="Calibri" w:cs="Calibri"/>
          <w:sz w:val="22"/>
          <w:szCs w:val="22"/>
        </w:rPr>
        <w:t>c</w:t>
      </w:r>
      <w:r w:rsidR="0003277F" w:rsidRPr="00250FAA">
        <w:rPr>
          <w:rFonts w:ascii="Calibri" w:hAnsi="Calibri" w:cs="Calibri"/>
          <w:sz w:val="22"/>
          <w:szCs w:val="22"/>
        </w:rPr>
        <w:t>harge</w:t>
      </w:r>
      <w:r w:rsidRPr="00250FAA">
        <w:rPr>
          <w:rFonts w:ascii="Calibri" w:hAnsi="Calibri" w:cs="Calibri"/>
          <w:sz w:val="22"/>
          <w:szCs w:val="22"/>
        </w:rPr>
        <w:t xml:space="preserve"> of €</w:t>
      </w:r>
      <w:r w:rsidR="00250FAA" w:rsidRPr="00250FAA">
        <w:rPr>
          <w:rFonts w:ascii="Calibri" w:hAnsi="Calibri" w:cs="Calibri"/>
          <w:sz w:val="22"/>
          <w:szCs w:val="22"/>
        </w:rPr>
        <w:t>34</w:t>
      </w:r>
      <w:r w:rsidR="0003277F" w:rsidRPr="00250FAA">
        <w:rPr>
          <w:rFonts w:ascii="Calibri" w:hAnsi="Calibri" w:cs="Calibri"/>
          <w:sz w:val="22"/>
          <w:szCs w:val="22"/>
        </w:rPr>
        <w:t>M</w:t>
      </w:r>
      <w:r w:rsidRPr="00250FAA">
        <w:rPr>
          <w:rFonts w:ascii="Calibri" w:hAnsi="Calibri" w:cs="Calibri"/>
          <w:sz w:val="22"/>
          <w:szCs w:val="22"/>
        </w:rPr>
        <w:t xml:space="preserve"> and a deferred tax c</w:t>
      </w:r>
      <w:r w:rsidR="0072627B" w:rsidRPr="00250FAA">
        <w:rPr>
          <w:rFonts w:ascii="Calibri" w:hAnsi="Calibri" w:cs="Calibri"/>
          <w:sz w:val="22"/>
          <w:szCs w:val="22"/>
        </w:rPr>
        <w:t>harge</w:t>
      </w:r>
      <w:r w:rsidRPr="00250FAA">
        <w:rPr>
          <w:rFonts w:ascii="Calibri" w:hAnsi="Calibri" w:cs="Calibri"/>
          <w:sz w:val="22"/>
          <w:szCs w:val="22"/>
        </w:rPr>
        <w:t xml:space="preserve"> of €</w:t>
      </w:r>
      <w:r w:rsidR="00250FAA" w:rsidRPr="00250FAA">
        <w:rPr>
          <w:rFonts w:ascii="Calibri" w:hAnsi="Calibri" w:cs="Calibri"/>
          <w:sz w:val="22"/>
          <w:szCs w:val="22"/>
        </w:rPr>
        <w:t>234</w:t>
      </w:r>
      <w:r w:rsidR="0003277F" w:rsidRPr="00250FAA">
        <w:rPr>
          <w:rFonts w:ascii="Calibri" w:hAnsi="Calibri" w:cs="Calibri"/>
          <w:sz w:val="22"/>
          <w:szCs w:val="22"/>
        </w:rPr>
        <w:t>M</w:t>
      </w:r>
      <w:r w:rsidRPr="00250FAA">
        <w:rPr>
          <w:rFonts w:ascii="Calibri" w:hAnsi="Calibri" w:cs="Calibri"/>
          <w:sz w:val="22"/>
          <w:szCs w:val="22"/>
        </w:rPr>
        <w:t xml:space="preserve"> primarily relating to the temporary differences for property, plant and equipment and net operating losses. No significant or unusual tax charges or credits arose during the period.  </w:t>
      </w:r>
      <w:bookmarkEnd w:id="21"/>
      <w:r w:rsidR="0081746D" w:rsidRPr="00250FAA">
        <w:rPr>
          <w:rFonts w:ascii="Calibri" w:hAnsi="Calibri" w:cs="Calibri"/>
          <w:sz w:val="22"/>
          <w:szCs w:val="22"/>
        </w:rPr>
        <w:t xml:space="preserve">The effective tax rate of </w:t>
      </w:r>
      <w:r w:rsidR="00962074" w:rsidRPr="00250FAA">
        <w:rPr>
          <w:rFonts w:ascii="Calibri" w:hAnsi="Calibri" w:cs="Calibri"/>
          <w:sz w:val="22"/>
          <w:szCs w:val="22"/>
        </w:rPr>
        <w:t>11</w:t>
      </w:r>
      <w:r w:rsidR="0081746D" w:rsidRPr="00250FAA">
        <w:rPr>
          <w:rFonts w:ascii="Calibri" w:hAnsi="Calibri" w:cs="Calibri"/>
          <w:sz w:val="22"/>
          <w:szCs w:val="22"/>
        </w:rPr>
        <w:t>% for the</w:t>
      </w:r>
      <w:r w:rsidR="0081746D" w:rsidRPr="00E6113C">
        <w:rPr>
          <w:rFonts w:ascii="Calibri" w:hAnsi="Calibri" w:cs="Calibri"/>
          <w:sz w:val="22"/>
          <w:szCs w:val="22"/>
        </w:rPr>
        <w:t xml:space="preserve"> </w:t>
      </w:r>
      <w:r w:rsidR="00EB128D" w:rsidRPr="00E6113C">
        <w:rPr>
          <w:rFonts w:ascii="Calibri" w:hAnsi="Calibri" w:cs="Calibri"/>
          <w:sz w:val="22"/>
          <w:szCs w:val="22"/>
        </w:rPr>
        <w:t>nine months</w:t>
      </w:r>
      <w:r w:rsidR="0088474E" w:rsidRPr="00E6113C">
        <w:rPr>
          <w:rFonts w:ascii="Calibri" w:hAnsi="Calibri" w:cs="Calibri"/>
          <w:sz w:val="22"/>
          <w:szCs w:val="22"/>
        </w:rPr>
        <w:t xml:space="preserve"> (</w:t>
      </w:r>
      <w:r w:rsidR="0081746D" w:rsidRPr="00E6113C">
        <w:rPr>
          <w:rFonts w:ascii="Calibri" w:hAnsi="Calibri" w:cs="Calibri"/>
          <w:sz w:val="22"/>
          <w:szCs w:val="22"/>
        </w:rPr>
        <w:t>202</w:t>
      </w:r>
      <w:r w:rsidR="00C4701B" w:rsidRPr="00E6113C">
        <w:rPr>
          <w:rFonts w:ascii="Calibri" w:hAnsi="Calibri" w:cs="Calibri"/>
          <w:sz w:val="22"/>
          <w:szCs w:val="22"/>
        </w:rPr>
        <w:t>2</w:t>
      </w:r>
      <w:r w:rsidR="0081746D" w:rsidRPr="00E6113C">
        <w:rPr>
          <w:rFonts w:ascii="Calibri" w:hAnsi="Calibri" w:cs="Calibri"/>
          <w:sz w:val="22"/>
          <w:szCs w:val="22"/>
        </w:rPr>
        <w:t xml:space="preserve">: </w:t>
      </w:r>
      <w:r w:rsidR="00EB128D" w:rsidRPr="00E6113C">
        <w:rPr>
          <w:rFonts w:ascii="Calibri" w:hAnsi="Calibri" w:cs="Calibri"/>
          <w:sz w:val="22"/>
          <w:szCs w:val="22"/>
        </w:rPr>
        <w:t>10</w:t>
      </w:r>
      <w:r w:rsidR="0081746D" w:rsidRPr="00E6113C">
        <w:rPr>
          <w:rFonts w:ascii="Calibri" w:hAnsi="Calibri" w:cs="Calibri"/>
          <w:sz w:val="22"/>
          <w:szCs w:val="22"/>
        </w:rPr>
        <w:t>%) is the result of the mix of profits and losses incurred by Ryanair’s operating subsidiaries primarily in Ireland, Malta, Poland and the U</w:t>
      </w:r>
      <w:r w:rsidR="00BB5631" w:rsidRPr="00E6113C">
        <w:rPr>
          <w:rFonts w:ascii="Calibri" w:hAnsi="Calibri" w:cs="Calibri"/>
          <w:sz w:val="22"/>
          <w:szCs w:val="22"/>
        </w:rPr>
        <w:t>.</w:t>
      </w:r>
      <w:r w:rsidR="0081746D" w:rsidRPr="00E6113C">
        <w:rPr>
          <w:rFonts w:ascii="Calibri" w:hAnsi="Calibri" w:cs="Calibri"/>
          <w:sz w:val="22"/>
          <w:szCs w:val="22"/>
        </w:rPr>
        <w:t>K.</w:t>
      </w:r>
      <w:bookmarkEnd w:id="23"/>
    </w:p>
    <w:bookmarkEnd w:id="22"/>
    <w:p w14:paraId="594EE0E9" w14:textId="77777777" w:rsidR="008173A8" w:rsidRPr="00E6113C" w:rsidRDefault="008173A8" w:rsidP="009C5CA5">
      <w:pPr>
        <w:keepNext/>
        <w:tabs>
          <w:tab w:val="num" w:pos="0"/>
        </w:tabs>
        <w:ind w:right="-143"/>
        <w:jc w:val="both"/>
        <w:rPr>
          <w:rFonts w:ascii="Calibri" w:hAnsi="Calibri" w:cs="Calibri"/>
          <w:sz w:val="22"/>
          <w:szCs w:val="22"/>
        </w:rPr>
      </w:pPr>
    </w:p>
    <w:p w14:paraId="421738F0" w14:textId="77777777" w:rsidR="0003476E" w:rsidRPr="00E6113C" w:rsidRDefault="00615446" w:rsidP="002560B2">
      <w:pPr>
        <w:pStyle w:val="Outline3L1"/>
        <w:numPr>
          <w:ilvl w:val="0"/>
          <w:numId w:val="7"/>
        </w:numPr>
        <w:tabs>
          <w:tab w:val="num" w:pos="1855"/>
        </w:tabs>
        <w:spacing w:after="0"/>
        <w:ind w:right="-143"/>
        <w:jc w:val="both"/>
        <w:rPr>
          <w:rFonts w:ascii="Calibri" w:hAnsi="Calibri" w:cs="Calibri"/>
          <w:b/>
          <w:bCs/>
          <w:sz w:val="22"/>
          <w:szCs w:val="22"/>
        </w:rPr>
      </w:pPr>
      <w:r w:rsidRPr="00E6113C">
        <w:rPr>
          <w:rFonts w:ascii="Calibri" w:hAnsi="Calibri" w:cs="Calibri"/>
          <w:b/>
          <w:bCs/>
          <w:sz w:val="22"/>
          <w:szCs w:val="22"/>
        </w:rPr>
        <w:t>C</w:t>
      </w:r>
      <w:r w:rsidR="00097571" w:rsidRPr="00E6113C">
        <w:rPr>
          <w:rFonts w:ascii="Calibri" w:hAnsi="Calibri" w:cs="Calibri"/>
          <w:b/>
          <w:bCs/>
          <w:sz w:val="22"/>
          <w:szCs w:val="22"/>
        </w:rPr>
        <w:t>ontingencies</w:t>
      </w:r>
    </w:p>
    <w:p w14:paraId="0FF0376A" w14:textId="77777777" w:rsidR="00984744" w:rsidRPr="00E6113C" w:rsidRDefault="00984744" w:rsidP="009C5CA5">
      <w:pPr>
        <w:tabs>
          <w:tab w:val="num" w:pos="0"/>
        </w:tabs>
        <w:ind w:right="-143"/>
        <w:jc w:val="both"/>
        <w:rPr>
          <w:rFonts w:ascii="Calibri" w:hAnsi="Calibri" w:cs="Calibri"/>
          <w:sz w:val="22"/>
          <w:szCs w:val="22"/>
        </w:rPr>
      </w:pPr>
    </w:p>
    <w:p w14:paraId="0D8AAA63" w14:textId="77777777" w:rsidR="00717D05" w:rsidRPr="00E6113C" w:rsidRDefault="00717D05" w:rsidP="009C5CA5">
      <w:pPr>
        <w:tabs>
          <w:tab w:val="num" w:pos="0"/>
        </w:tabs>
        <w:ind w:right="-143"/>
        <w:jc w:val="both"/>
        <w:rPr>
          <w:rFonts w:ascii="Calibri" w:hAnsi="Calibri" w:cs="Calibri"/>
          <w:sz w:val="22"/>
          <w:szCs w:val="22"/>
        </w:rPr>
      </w:pPr>
      <w:r w:rsidRPr="00E6113C">
        <w:rPr>
          <w:rFonts w:ascii="Calibri" w:hAnsi="Calibri" w:cs="Calibri"/>
          <w:sz w:val="22"/>
          <w:szCs w:val="22"/>
        </w:rPr>
        <w:t>The Group is engaged in litigation arising in the ordinary course of its business.  The Group does not believe that any such litigation will individually, or in aggregate, have a material adverse effect on the financial condition of the Group. Should the Group be unsuccessful in these litigation actions, management believes the possible liabilities then arising cannot be determined but are not expected to materially adversely affect the Group’s results of operations or financial position.</w:t>
      </w:r>
    </w:p>
    <w:p w14:paraId="1BB75961" w14:textId="77777777" w:rsidR="009E2D21" w:rsidRPr="00E6113C" w:rsidRDefault="009E2D21" w:rsidP="009C5CA5">
      <w:pPr>
        <w:tabs>
          <w:tab w:val="num" w:pos="0"/>
        </w:tabs>
        <w:ind w:right="-143"/>
        <w:jc w:val="both"/>
        <w:rPr>
          <w:rFonts w:ascii="Calibri" w:hAnsi="Calibri" w:cs="Calibri"/>
          <w:sz w:val="22"/>
          <w:szCs w:val="22"/>
        </w:rPr>
      </w:pPr>
    </w:p>
    <w:p w14:paraId="63ECA7AB" w14:textId="77777777" w:rsidR="00097571" w:rsidRPr="00E6113C" w:rsidRDefault="00097571" w:rsidP="009C5CA5">
      <w:pPr>
        <w:pStyle w:val="Outline3L1"/>
        <w:numPr>
          <w:ilvl w:val="0"/>
          <w:numId w:val="7"/>
        </w:numPr>
        <w:tabs>
          <w:tab w:val="num" w:pos="1855"/>
        </w:tabs>
        <w:spacing w:after="0"/>
        <w:ind w:right="-143"/>
        <w:jc w:val="both"/>
        <w:rPr>
          <w:rFonts w:ascii="Calibri" w:hAnsi="Calibri" w:cs="Calibri"/>
          <w:b/>
          <w:bCs/>
          <w:sz w:val="22"/>
          <w:szCs w:val="22"/>
        </w:rPr>
      </w:pPr>
      <w:r w:rsidRPr="00E6113C">
        <w:rPr>
          <w:rFonts w:ascii="Calibri" w:hAnsi="Calibri" w:cs="Calibri"/>
          <w:b/>
          <w:bCs/>
          <w:sz w:val="22"/>
          <w:szCs w:val="22"/>
        </w:rPr>
        <w:t>Capital commitments</w:t>
      </w:r>
    </w:p>
    <w:p w14:paraId="08E92543" w14:textId="77777777" w:rsidR="00984744" w:rsidRPr="00E6113C" w:rsidRDefault="00984744" w:rsidP="009C5CA5">
      <w:pPr>
        <w:pStyle w:val="Outline3L1"/>
        <w:numPr>
          <w:ilvl w:val="0"/>
          <w:numId w:val="0"/>
        </w:numPr>
        <w:tabs>
          <w:tab w:val="num" w:pos="0"/>
        </w:tabs>
        <w:spacing w:after="0"/>
        <w:ind w:right="-143"/>
        <w:jc w:val="both"/>
        <w:rPr>
          <w:rFonts w:ascii="Calibri" w:hAnsi="Calibri" w:cs="Calibri"/>
          <w:sz w:val="22"/>
          <w:szCs w:val="22"/>
        </w:rPr>
      </w:pPr>
    </w:p>
    <w:p w14:paraId="73474285" w14:textId="77777777" w:rsidR="00512285" w:rsidRPr="00E6113C" w:rsidRDefault="00097571" w:rsidP="00512285">
      <w:pPr>
        <w:pStyle w:val="Outline3L1"/>
        <w:numPr>
          <w:ilvl w:val="0"/>
          <w:numId w:val="0"/>
        </w:numPr>
        <w:tabs>
          <w:tab w:val="num" w:pos="0"/>
        </w:tabs>
        <w:spacing w:after="0"/>
        <w:ind w:right="-143"/>
        <w:jc w:val="both"/>
        <w:rPr>
          <w:rFonts w:ascii="Calibri" w:hAnsi="Calibri" w:cs="Calibri"/>
          <w:sz w:val="22"/>
          <w:szCs w:val="22"/>
          <w:lang w:val="en-IE"/>
        </w:rPr>
      </w:pPr>
      <w:bookmarkStart w:id="24" w:name="_Hlk155345639"/>
      <w:r w:rsidRPr="00E6113C">
        <w:rPr>
          <w:rFonts w:ascii="Calibri" w:hAnsi="Calibri" w:cs="Calibri"/>
          <w:sz w:val="22"/>
          <w:szCs w:val="22"/>
        </w:rPr>
        <w:t xml:space="preserve">At </w:t>
      </w:r>
      <w:r w:rsidR="00EB128D" w:rsidRPr="00E6113C">
        <w:rPr>
          <w:rFonts w:ascii="Calibri" w:hAnsi="Calibri" w:cs="Calibri"/>
          <w:sz w:val="22"/>
          <w:szCs w:val="22"/>
        </w:rPr>
        <w:t>December 31</w:t>
      </w:r>
      <w:r w:rsidRPr="00E6113C">
        <w:rPr>
          <w:rFonts w:ascii="Calibri" w:hAnsi="Calibri" w:cs="Calibri"/>
          <w:sz w:val="22"/>
          <w:szCs w:val="22"/>
        </w:rPr>
        <w:t>, 202</w:t>
      </w:r>
      <w:r w:rsidR="00C4701B" w:rsidRPr="00E6113C">
        <w:rPr>
          <w:rFonts w:ascii="Calibri" w:hAnsi="Calibri" w:cs="Calibri"/>
          <w:sz w:val="22"/>
          <w:szCs w:val="22"/>
        </w:rPr>
        <w:t>3</w:t>
      </w:r>
      <w:r w:rsidRPr="00E6113C">
        <w:rPr>
          <w:rFonts w:ascii="Calibri" w:hAnsi="Calibri" w:cs="Calibri"/>
          <w:sz w:val="22"/>
          <w:szCs w:val="22"/>
        </w:rPr>
        <w:t xml:space="preserve"> the Group had an operating fleet of</w:t>
      </w:r>
      <w:r w:rsidR="00EB128D" w:rsidRPr="00E6113C">
        <w:rPr>
          <w:rFonts w:ascii="Calibri" w:hAnsi="Calibri" w:cs="Calibri"/>
          <w:sz w:val="22"/>
          <w:szCs w:val="22"/>
        </w:rPr>
        <w:t xml:space="preserve"> </w:t>
      </w:r>
      <w:r w:rsidR="0017305A" w:rsidRPr="00E6113C">
        <w:rPr>
          <w:rFonts w:ascii="Calibri" w:hAnsi="Calibri" w:cs="Calibri"/>
          <w:sz w:val="22"/>
          <w:szCs w:val="22"/>
        </w:rPr>
        <w:t>547</w:t>
      </w:r>
      <w:r w:rsidRPr="00E6113C">
        <w:rPr>
          <w:rFonts w:ascii="Calibri" w:hAnsi="Calibri" w:cs="Calibri"/>
          <w:sz w:val="22"/>
          <w:szCs w:val="22"/>
        </w:rPr>
        <w:t xml:space="preserve"> (20</w:t>
      </w:r>
      <w:r w:rsidR="005F1275" w:rsidRPr="00E6113C">
        <w:rPr>
          <w:rFonts w:ascii="Calibri" w:hAnsi="Calibri" w:cs="Calibri"/>
          <w:sz w:val="22"/>
          <w:szCs w:val="22"/>
        </w:rPr>
        <w:t>2</w:t>
      </w:r>
      <w:r w:rsidR="00C4701B" w:rsidRPr="00E6113C">
        <w:rPr>
          <w:rFonts w:ascii="Calibri" w:hAnsi="Calibri" w:cs="Calibri"/>
          <w:sz w:val="22"/>
          <w:szCs w:val="22"/>
        </w:rPr>
        <w:t>2</w:t>
      </w:r>
      <w:r w:rsidRPr="00E6113C">
        <w:rPr>
          <w:rFonts w:ascii="Calibri" w:hAnsi="Calibri" w:cs="Calibri"/>
          <w:sz w:val="22"/>
          <w:szCs w:val="22"/>
        </w:rPr>
        <w:t xml:space="preserve">: </w:t>
      </w:r>
      <w:r w:rsidR="00C4701B" w:rsidRPr="00E6113C">
        <w:rPr>
          <w:rFonts w:ascii="Calibri" w:hAnsi="Calibri" w:cs="Calibri"/>
          <w:sz w:val="22"/>
          <w:szCs w:val="22"/>
        </w:rPr>
        <w:t>4</w:t>
      </w:r>
      <w:r w:rsidR="005D7206" w:rsidRPr="00E6113C">
        <w:rPr>
          <w:rFonts w:ascii="Calibri" w:hAnsi="Calibri" w:cs="Calibri"/>
          <w:sz w:val="22"/>
          <w:szCs w:val="22"/>
        </w:rPr>
        <w:t>95</w:t>
      </w:r>
      <w:r w:rsidRPr="00E6113C">
        <w:rPr>
          <w:rFonts w:ascii="Calibri" w:hAnsi="Calibri" w:cs="Calibri"/>
          <w:sz w:val="22"/>
          <w:szCs w:val="22"/>
        </w:rPr>
        <w:t xml:space="preserve">) Boeing 737 and </w:t>
      </w:r>
      <w:r w:rsidR="0017305A" w:rsidRPr="00E6113C">
        <w:rPr>
          <w:rFonts w:ascii="Calibri" w:hAnsi="Calibri" w:cs="Calibri"/>
          <w:sz w:val="22"/>
          <w:szCs w:val="22"/>
        </w:rPr>
        <w:t>27</w:t>
      </w:r>
      <w:r w:rsidRPr="00E6113C">
        <w:rPr>
          <w:rFonts w:ascii="Calibri" w:hAnsi="Calibri" w:cs="Calibri"/>
          <w:sz w:val="22"/>
          <w:szCs w:val="22"/>
        </w:rPr>
        <w:t xml:space="preserve"> (20</w:t>
      </w:r>
      <w:r w:rsidR="005F1275" w:rsidRPr="00E6113C">
        <w:rPr>
          <w:rFonts w:ascii="Calibri" w:hAnsi="Calibri" w:cs="Calibri"/>
          <w:sz w:val="22"/>
          <w:szCs w:val="22"/>
        </w:rPr>
        <w:t>2</w:t>
      </w:r>
      <w:r w:rsidR="00C4701B" w:rsidRPr="00E6113C">
        <w:rPr>
          <w:rFonts w:ascii="Calibri" w:hAnsi="Calibri" w:cs="Calibri"/>
          <w:sz w:val="22"/>
          <w:szCs w:val="22"/>
        </w:rPr>
        <w:t>2</w:t>
      </w:r>
      <w:r w:rsidRPr="00E6113C">
        <w:rPr>
          <w:rFonts w:ascii="Calibri" w:hAnsi="Calibri" w:cs="Calibri"/>
          <w:sz w:val="22"/>
          <w:szCs w:val="22"/>
        </w:rPr>
        <w:t xml:space="preserve">: </w:t>
      </w:r>
      <w:r w:rsidR="00391F59" w:rsidRPr="00E6113C">
        <w:rPr>
          <w:rFonts w:ascii="Calibri" w:hAnsi="Calibri" w:cs="Calibri"/>
          <w:sz w:val="22"/>
          <w:szCs w:val="22"/>
        </w:rPr>
        <w:t>2</w:t>
      </w:r>
      <w:r w:rsidR="005D7206" w:rsidRPr="00E6113C">
        <w:rPr>
          <w:rFonts w:ascii="Calibri" w:hAnsi="Calibri" w:cs="Calibri"/>
          <w:sz w:val="22"/>
          <w:szCs w:val="22"/>
        </w:rPr>
        <w:t>8</w:t>
      </w:r>
      <w:r w:rsidRPr="00E6113C">
        <w:rPr>
          <w:rFonts w:ascii="Calibri" w:hAnsi="Calibri" w:cs="Calibri"/>
          <w:sz w:val="22"/>
          <w:szCs w:val="22"/>
        </w:rPr>
        <w:t xml:space="preserve">) Airbus A320 aircraft. </w:t>
      </w:r>
      <w:r w:rsidR="00B83E52" w:rsidRPr="00E6113C">
        <w:rPr>
          <w:rFonts w:ascii="Calibri" w:hAnsi="Calibri" w:cs="Calibri"/>
          <w:sz w:val="22"/>
          <w:szCs w:val="22"/>
          <w:lang w:val="en-IE"/>
        </w:rPr>
        <w:t>In September 2014, the Group agreed to purchase up to 200 (100 firm and 100 options) Boeing 737-8200 aircraft</w:t>
      </w:r>
      <w:r w:rsidR="00552F10" w:rsidRPr="00E6113C">
        <w:rPr>
          <w:rFonts w:ascii="Calibri" w:hAnsi="Calibri" w:cs="Calibri"/>
          <w:sz w:val="22"/>
          <w:szCs w:val="22"/>
          <w:lang w:val="en-IE"/>
        </w:rPr>
        <w:t xml:space="preserve"> which was subsequently increased to 210 (135 firm and 75 options). In December 2020, the Group increased its firm orders from 135 to 210 Boeing 737-8200 aircraft</w:t>
      </w:r>
      <w:r w:rsidR="00F3553F" w:rsidRPr="00E6113C">
        <w:rPr>
          <w:rFonts w:ascii="Calibri" w:hAnsi="Calibri" w:cs="Calibri"/>
          <w:sz w:val="22"/>
          <w:szCs w:val="22"/>
          <w:lang w:val="en-IE"/>
        </w:rPr>
        <w:t xml:space="preserve">. At </w:t>
      </w:r>
      <w:r w:rsidR="00EB128D" w:rsidRPr="00E6113C">
        <w:rPr>
          <w:rFonts w:ascii="Calibri" w:hAnsi="Calibri" w:cs="Calibri"/>
          <w:sz w:val="22"/>
          <w:szCs w:val="22"/>
          <w:lang w:val="en-IE"/>
        </w:rPr>
        <w:t>December 31</w:t>
      </w:r>
      <w:r w:rsidR="00F3553F" w:rsidRPr="00E6113C">
        <w:rPr>
          <w:rFonts w:ascii="Calibri" w:hAnsi="Calibri" w:cs="Calibri"/>
          <w:sz w:val="22"/>
          <w:szCs w:val="22"/>
          <w:lang w:val="en-IE"/>
        </w:rPr>
        <w:t xml:space="preserve">, 2023, the Group had taken delivery of </w:t>
      </w:r>
      <w:r w:rsidR="00ED7EEC" w:rsidRPr="00E6113C">
        <w:rPr>
          <w:rFonts w:ascii="Calibri" w:hAnsi="Calibri" w:cs="Calibri"/>
          <w:sz w:val="22"/>
          <w:szCs w:val="22"/>
          <w:lang w:val="en-IE"/>
        </w:rPr>
        <w:t>136</w:t>
      </w:r>
      <w:r w:rsidR="00F3553F" w:rsidRPr="00E6113C">
        <w:rPr>
          <w:rFonts w:ascii="Calibri" w:hAnsi="Calibri" w:cs="Calibri"/>
          <w:sz w:val="22"/>
          <w:szCs w:val="22"/>
          <w:lang w:val="en-IE"/>
        </w:rPr>
        <w:t xml:space="preserve"> of these aircraft. The remaining aircraft are due to be delivered before the end of FY25. In May 2023, the Group ordered 300 (150 firm and 150 options) new Boeing 737-MAX-10 aircraft for delivery between 2027 to 2033</w:t>
      </w:r>
      <w:r w:rsidR="006131F7" w:rsidRPr="00E6113C">
        <w:rPr>
          <w:rFonts w:ascii="Calibri" w:hAnsi="Calibri" w:cs="Calibri"/>
          <w:sz w:val="22"/>
          <w:szCs w:val="22"/>
          <w:lang w:val="en-IE"/>
        </w:rPr>
        <w:t xml:space="preserve">. This transaction </w:t>
      </w:r>
      <w:r w:rsidR="00370D1D" w:rsidRPr="00E6113C">
        <w:rPr>
          <w:rFonts w:ascii="Calibri" w:hAnsi="Calibri" w:cs="Calibri"/>
          <w:sz w:val="22"/>
          <w:szCs w:val="22"/>
          <w:lang w:val="en-IE"/>
        </w:rPr>
        <w:t xml:space="preserve">was approved at the </w:t>
      </w:r>
      <w:r w:rsidR="006131F7" w:rsidRPr="00E6113C">
        <w:rPr>
          <w:rFonts w:ascii="Calibri" w:hAnsi="Calibri" w:cs="Calibri"/>
          <w:sz w:val="22"/>
          <w:szCs w:val="22"/>
          <w:lang w:val="en-IE"/>
        </w:rPr>
        <w:t xml:space="preserve">Company’s </w:t>
      </w:r>
      <w:r w:rsidR="00370D1D" w:rsidRPr="00E6113C">
        <w:rPr>
          <w:rFonts w:ascii="Calibri" w:hAnsi="Calibri" w:cs="Calibri"/>
          <w:sz w:val="22"/>
          <w:szCs w:val="22"/>
          <w:lang w:val="en-IE"/>
        </w:rPr>
        <w:t>AGM on September 14, 2023</w:t>
      </w:r>
      <w:r w:rsidR="006F7432" w:rsidRPr="00E6113C">
        <w:rPr>
          <w:rFonts w:ascii="Calibri" w:hAnsi="Calibri" w:cs="Calibri"/>
          <w:sz w:val="22"/>
          <w:szCs w:val="22"/>
          <w:lang w:val="en-IE"/>
        </w:rPr>
        <w:t>.</w:t>
      </w:r>
    </w:p>
    <w:bookmarkEnd w:id="24"/>
    <w:p w14:paraId="0FCFD797" w14:textId="77777777" w:rsidR="00512285" w:rsidRPr="00E6113C" w:rsidRDefault="00512285" w:rsidP="00512285">
      <w:pPr>
        <w:pStyle w:val="Outline3L1"/>
        <w:numPr>
          <w:ilvl w:val="0"/>
          <w:numId w:val="0"/>
        </w:numPr>
        <w:tabs>
          <w:tab w:val="num" w:pos="0"/>
        </w:tabs>
        <w:spacing w:after="0"/>
        <w:ind w:right="-143"/>
        <w:jc w:val="both"/>
        <w:rPr>
          <w:rFonts w:ascii="Calibri" w:hAnsi="Calibri" w:cs="Calibri"/>
          <w:sz w:val="22"/>
          <w:szCs w:val="22"/>
          <w:lang w:val="en-IE"/>
        </w:rPr>
      </w:pPr>
    </w:p>
    <w:p w14:paraId="338E654B" w14:textId="77777777" w:rsidR="00097571" w:rsidRPr="00E6113C" w:rsidRDefault="00097571" w:rsidP="00512285">
      <w:pPr>
        <w:pStyle w:val="Outline3L1"/>
        <w:numPr>
          <w:ilvl w:val="0"/>
          <w:numId w:val="7"/>
        </w:numPr>
        <w:tabs>
          <w:tab w:val="num" w:pos="0"/>
        </w:tabs>
        <w:spacing w:after="0"/>
        <w:ind w:right="-143"/>
        <w:jc w:val="both"/>
        <w:rPr>
          <w:rFonts w:ascii="Calibri" w:hAnsi="Calibri" w:cs="Calibri"/>
          <w:b/>
          <w:sz w:val="22"/>
          <w:szCs w:val="22"/>
        </w:rPr>
      </w:pPr>
      <w:r w:rsidRPr="00E6113C">
        <w:rPr>
          <w:rFonts w:ascii="Calibri" w:hAnsi="Calibri" w:cs="Calibri"/>
          <w:b/>
          <w:sz w:val="22"/>
          <w:szCs w:val="22"/>
        </w:rPr>
        <w:t xml:space="preserve">Analysis of operating </w:t>
      </w:r>
      <w:r w:rsidR="00D64888" w:rsidRPr="00E6113C">
        <w:rPr>
          <w:rFonts w:ascii="Calibri" w:hAnsi="Calibri" w:cs="Calibri"/>
          <w:b/>
          <w:sz w:val="22"/>
          <w:szCs w:val="22"/>
        </w:rPr>
        <w:t xml:space="preserve">revenues and </w:t>
      </w:r>
      <w:r w:rsidRPr="00E6113C">
        <w:rPr>
          <w:rFonts w:ascii="Calibri" w:hAnsi="Calibri" w:cs="Calibri"/>
          <w:b/>
          <w:sz w:val="22"/>
          <w:szCs w:val="22"/>
        </w:rPr>
        <w:t>segment</w:t>
      </w:r>
      <w:r w:rsidR="00D64888" w:rsidRPr="00E6113C">
        <w:rPr>
          <w:rFonts w:ascii="Calibri" w:hAnsi="Calibri" w:cs="Calibri"/>
          <w:b/>
          <w:sz w:val="22"/>
          <w:szCs w:val="22"/>
        </w:rPr>
        <w:t>al analysis</w:t>
      </w:r>
    </w:p>
    <w:p w14:paraId="78D0B2E1" w14:textId="77777777" w:rsidR="00984744" w:rsidRPr="00E6113C" w:rsidRDefault="00984744" w:rsidP="009C5CA5">
      <w:pPr>
        <w:pStyle w:val="Outline3L1"/>
        <w:numPr>
          <w:ilvl w:val="0"/>
          <w:numId w:val="0"/>
        </w:numPr>
        <w:tabs>
          <w:tab w:val="num" w:pos="0"/>
        </w:tabs>
        <w:spacing w:after="0"/>
        <w:ind w:right="-143"/>
        <w:jc w:val="both"/>
        <w:rPr>
          <w:rFonts w:ascii="Calibri" w:hAnsi="Calibri" w:cs="Calibri"/>
          <w:sz w:val="22"/>
          <w:szCs w:val="22"/>
        </w:rPr>
      </w:pPr>
    </w:p>
    <w:p w14:paraId="796B4A43" w14:textId="77777777" w:rsidR="00D00A73" w:rsidRPr="00E6113C" w:rsidRDefault="00F3553F" w:rsidP="00D00A73">
      <w:pPr>
        <w:ind w:right="-143"/>
        <w:jc w:val="both"/>
        <w:rPr>
          <w:rFonts w:ascii="Calibri" w:hAnsi="Calibri" w:cs="Calibri"/>
          <w:sz w:val="22"/>
          <w:szCs w:val="22"/>
          <w:lang w:val="en-US"/>
        </w:rPr>
      </w:pPr>
      <w:r w:rsidRPr="00E6113C">
        <w:rPr>
          <w:rFonts w:ascii="Calibri" w:hAnsi="Calibri" w:cs="Calibri"/>
          <w:sz w:val="22"/>
          <w:szCs w:val="22"/>
          <w:lang w:val="en-US"/>
        </w:rPr>
        <w:t>The Group determines and presents operating segments based on the information that internally is provided to the Group CEO, who is the Company’s Chief Operating Decision Maker (CODM).</w:t>
      </w:r>
    </w:p>
    <w:p w14:paraId="240CD52B" w14:textId="77777777" w:rsidR="00D00A73" w:rsidRPr="00E6113C" w:rsidRDefault="00D00A73" w:rsidP="00D00A73">
      <w:pPr>
        <w:ind w:right="-143"/>
        <w:jc w:val="both"/>
        <w:rPr>
          <w:rFonts w:ascii="Calibri" w:hAnsi="Calibri" w:cs="Calibri"/>
          <w:sz w:val="22"/>
          <w:szCs w:val="22"/>
          <w:lang w:val="en-US"/>
        </w:rPr>
      </w:pPr>
    </w:p>
    <w:p w14:paraId="1B5A8A98" w14:textId="77777777" w:rsidR="00F3553F" w:rsidRPr="00E6113C" w:rsidRDefault="00F3553F" w:rsidP="00D00A73">
      <w:pPr>
        <w:ind w:right="-143"/>
        <w:jc w:val="both"/>
        <w:rPr>
          <w:rFonts w:ascii="Calibri" w:hAnsi="Calibri" w:cs="Calibri"/>
          <w:sz w:val="22"/>
          <w:szCs w:val="22"/>
          <w:lang w:val="en-US"/>
        </w:rPr>
      </w:pPr>
      <w:r w:rsidRPr="00E6113C">
        <w:rPr>
          <w:rFonts w:ascii="Calibri" w:hAnsi="Calibri" w:cs="Calibri"/>
          <w:sz w:val="22"/>
          <w:szCs w:val="22"/>
          <w:lang w:val="en-US"/>
        </w:rPr>
        <w:t>The Group comprises five separate airlines, Buzz, Lauda Europe (Lauda), Malta Air, Ryanair DAC and Ryanair UK (which is currently consolidated within Ryanair DAC). Ryanair DAC is reported as a separate segment as it exceeds the applicable quantitative thresholds for reporting purposes. Buzz, Malta and Lauda do not individually exceed the quantitative thresholds and accordingly are presented on an aggregate basis as they exhibit similar economic characteristics and their services, activities and operations are sufficiently similar in nature. The results of these operations are included as ‘Other Airlines.’</w:t>
      </w:r>
    </w:p>
    <w:p w14:paraId="7B83B6FE" w14:textId="77777777" w:rsidR="00F3553F" w:rsidRPr="00E6113C" w:rsidRDefault="00F3553F" w:rsidP="00F3553F">
      <w:pPr>
        <w:ind w:right="-143"/>
        <w:jc w:val="both"/>
        <w:rPr>
          <w:rFonts w:ascii="Calibri" w:hAnsi="Calibri" w:cs="Calibri"/>
          <w:sz w:val="22"/>
          <w:szCs w:val="22"/>
          <w:lang w:val="en-US"/>
        </w:rPr>
      </w:pPr>
    </w:p>
    <w:p w14:paraId="07101CF2" w14:textId="77777777" w:rsidR="00136DF6" w:rsidRDefault="00F3553F" w:rsidP="00F3553F">
      <w:pPr>
        <w:ind w:right="-143"/>
        <w:jc w:val="both"/>
        <w:rPr>
          <w:rFonts w:ascii="Calibri" w:hAnsi="Calibri" w:cs="Calibri"/>
          <w:sz w:val="22"/>
          <w:szCs w:val="22"/>
          <w:lang w:val="en-US"/>
        </w:rPr>
      </w:pPr>
      <w:r w:rsidRPr="00E6113C">
        <w:rPr>
          <w:rFonts w:ascii="Calibri" w:hAnsi="Calibri" w:cs="Calibri"/>
          <w:sz w:val="22"/>
          <w:szCs w:val="22"/>
          <w:lang w:val="en-US"/>
        </w:rPr>
        <w:t>The CODM assesses the performance of the business based on the profit after tax of each airline for the reporting period. Resource allocation decisions for all airlines are based on airline performance for the relevant period, with the objective in making these resource allocation decisions being to optimi</w:t>
      </w:r>
      <w:r w:rsidR="000B5D76" w:rsidRPr="00E6113C">
        <w:rPr>
          <w:rFonts w:ascii="Calibri" w:hAnsi="Calibri" w:cs="Calibri"/>
          <w:sz w:val="22"/>
          <w:szCs w:val="22"/>
          <w:lang w:val="en-US"/>
        </w:rPr>
        <w:t>s</w:t>
      </w:r>
      <w:r w:rsidRPr="00E6113C">
        <w:rPr>
          <w:rFonts w:ascii="Calibri" w:hAnsi="Calibri" w:cs="Calibri"/>
          <w:sz w:val="22"/>
          <w:szCs w:val="22"/>
          <w:lang w:val="en-US"/>
        </w:rPr>
        <w:t>e consolidated financial results. Reportable</w:t>
      </w:r>
      <w:r w:rsidR="006F7432" w:rsidRPr="00E6113C">
        <w:rPr>
          <w:rFonts w:ascii="Calibri" w:hAnsi="Calibri" w:cs="Calibri"/>
          <w:sz w:val="22"/>
          <w:szCs w:val="22"/>
          <w:lang w:val="en-US"/>
        </w:rPr>
        <w:t xml:space="preserve"> </w:t>
      </w:r>
      <w:r w:rsidRPr="00E6113C">
        <w:rPr>
          <w:rFonts w:ascii="Calibri" w:hAnsi="Calibri" w:cs="Calibri"/>
          <w:sz w:val="22"/>
          <w:szCs w:val="22"/>
          <w:lang w:val="en-US"/>
        </w:rPr>
        <w:t>segment information is presented as follows:</w:t>
      </w:r>
    </w:p>
    <w:p w14:paraId="10332E55" w14:textId="77777777" w:rsidR="00861314" w:rsidRDefault="00861314" w:rsidP="00F3553F">
      <w:pPr>
        <w:ind w:right="-143"/>
        <w:jc w:val="both"/>
        <w:rPr>
          <w:rFonts w:ascii="Calibri" w:hAnsi="Calibri" w:cs="Calibri"/>
          <w:sz w:val="22"/>
          <w:szCs w:val="22"/>
          <w:lang w:val="en-US"/>
        </w:rPr>
      </w:pPr>
    </w:p>
    <w:tbl>
      <w:tblPr>
        <w:tblW w:w="10881" w:type="dxa"/>
        <w:tblLayout w:type="fixed"/>
        <w:tblLook w:val="0000" w:firstRow="0" w:lastRow="0" w:firstColumn="0" w:lastColumn="0" w:noHBand="0" w:noVBand="0"/>
      </w:tblPr>
      <w:tblGrid>
        <w:gridCol w:w="10881"/>
      </w:tblGrid>
      <w:tr w:rsidR="007850A0" w:rsidRPr="00C22F7C" w14:paraId="7DFD9C38" w14:textId="77777777" w:rsidTr="00E43EDE">
        <w:trPr>
          <w:trHeight w:val="262"/>
        </w:trPr>
        <w:tc>
          <w:tcPr>
            <w:tcW w:w="10881" w:type="dxa"/>
          </w:tcPr>
          <w:tbl>
            <w:tblPr>
              <w:tblW w:w="10288" w:type="dxa"/>
              <w:tblLayout w:type="fixed"/>
              <w:tblLook w:val="04A0" w:firstRow="1" w:lastRow="0" w:firstColumn="1" w:lastColumn="0" w:noHBand="0" w:noVBand="1"/>
            </w:tblPr>
            <w:tblGrid>
              <w:gridCol w:w="4162"/>
              <w:gridCol w:w="1497"/>
              <w:gridCol w:w="1665"/>
              <w:gridCol w:w="1498"/>
              <w:gridCol w:w="1466"/>
            </w:tblGrid>
            <w:tr w:rsidR="007850A0" w:rsidRPr="001244BE" w14:paraId="125C5391" w14:textId="77777777" w:rsidTr="00E43EDE">
              <w:trPr>
                <w:trHeight w:val="319"/>
              </w:trPr>
              <w:tc>
                <w:tcPr>
                  <w:tcW w:w="4162" w:type="dxa"/>
                  <w:shd w:val="clear" w:color="auto" w:fill="FFFFFF"/>
                  <w:vAlign w:val="bottom"/>
                  <w:hideMark/>
                </w:tcPr>
                <w:p w14:paraId="1685321F" w14:textId="77777777" w:rsidR="007850A0" w:rsidRPr="00D2086B" w:rsidRDefault="007850A0" w:rsidP="00E43EDE">
                  <w:pPr>
                    <w:ind w:left="319" w:hanging="282"/>
                    <w:rPr>
                      <w:rFonts w:ascii="Calibri" w:hAnsi="Calibri" w:cs="Calibri"/>
                      <w:color w:val="000000"/>
                      <w:sz w:val="21"/>
                      <w:szCs w:val="21"/>
                      <w:lang w:eastAsia="en-IE"/>
                    </w:rPr>
                  </w:pPr>
                  <w:r w:rsidRPr="00AA3B51">
                    <w:rPr>
                      <w:rFonts w:ascii="Calibri" w:hAnsi="Calibri" w:cs="Calibri"/>
                      <w:b/>
                      <w:bCs/>
                      <w:color w:val="000000"/>
                      <w:sz w:val="20"/>
                      <w:szCs w:val="20"/>
                      <w:lang w:eastAsia="en-IE"/>
                    </w:rPr>
                    <w:t>Nine Months Ended</w:t>
                  </w:r>
                  <w:r w:rsidRPr="00D2086B">
                    <w:rPr>
                      <w:rFonts w:ascii="Calibri" w:hAnsi="Calibri" w:cs="Calibri"/>
                      <w:color w:val="000000"/>
                      <w:sz w:val="21"/>
                      <w:szCs w:val="21"/>
                      <w:lang w:eastAsia="en-IE"/>
                    </w:rPr>
                    <w:t> </w:t>
                  </w:r>
                </w:p>
              </w:tc>
              <w:tc>
                <w:tcPr>
                  <w:tcW w:w="1497" w:type="dxa"/>
                  <w:shd w:val="clear" w:color="auto" w:fill="FFFF00"/>
                  <w:vAlign w:val="bottom"/>
                  <w:hideMark/>
                </w:tcPr>
                <w:p w14:paraId="0EE08E6E" w14:textId="77777777" w:rsidR="007850A0" w:rsidRPr="00837D76" w:rsidRDefault="007850A0" w:rsidP="00E43EDE">
                  <w:pPr>
                    <w:ind w:left="-115"/>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 xml:space="preserve">Ryanair DAC </w:t>
                  </w:r>
                </w:p>
              </w:tc>
              <w:tc>
                <w:tcPr>
                  <w:tcW w:w="1665" w:type="dxa"/>
                  <w:shd w:val="clear" w:color="auto" w:fill="FFFF00"/>
                  <w:vAlign w:val="bottom"/>
                </w:tcPr>
                <w:p w14:paraId="57C4CA28" w14:textId="77777777" w:rsidR="007850A0" w:rsidRPr="00837D76"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Other Airlines</w:t>
                  </w:r>
                </w:p>
              </w:tc>
              <w:tc>
                <w:tcPr>
                  <w:tcW w:w="1498" w:type="dxa"/>
                  <w:shd w:val="clear" w:color="auto" w:fill="FFFF00"/>
                  <w:vAlign w:val="bottom"/>
                </w:tcPr>
                <w:p w14:paraId="338C4337" w14:textId="77777777" w:rsidR="007850A0" w:rsidRPr="00213A94" w:rsidRDefault="007850A0" w:rsidP="00E43EDE">
                  <w:pPr>
                    <w:ind w:left="-245" w:right="68"/>
                    <w:jc w:val="right"/>
                    <w:rPr>
                      <w:rFonts w:ascii="Calibri" w:hAnsi="Calibri" w:cs="Calibri"/>
                      <w:b/>
                      <w:bCs/>
                      <w:color w:val="000000"/>
                      <w:sz w:val="20"/>
                      <w:szCs w:val="20"/>
                      <w:lang w:eastAsia="en-IE"/>
                    </w:rPr>
                  </w:pPr>
                  <w:r>
                    <w:rPr>
                      <w:rFonts w:ascii="Calibri" w:hAnsi="Calibri" w:cs="Calibri"/>
                      <w:b/>
                      <w:bCs/>
                      <w:color w:val="000000"/>
                      <w:sz w:val="20"/>
                      <w:szCs w:val="20"/>
                      <w:lang w:eastAsia="en-IE"/>
                    </w:rPr>
                    <w:t>Elimination</w:t>
                  </w:r>
                </w:p>
              </w:tc>
              <w:tc>
                <w:tcPr>
                  <w:tcW w:w="1466" w:type="dxa"/>
                  <w:shd w:val="clear" w:color="auto" w:fill="FFFF00"/>
                  <w:vAlign w:val="bottom"/>
                  <w:hideMark/>
                </w:tcPr>
                <w:p w14:paraId="26FB50ED" w14:textId="77777777" w:rsidR="007850A0" w:rsidRPr="00837D76" w:rsidRDefault="007850A0" w:rsidP="00E43EDE">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Total</w:t>
                  </w:r>
                </w:p>
              </w:tc>
            </w:tr>
            <w:tr w:rsidR="007850A0" w:rsidRPr="001244BE" w14:paraId="34A0DE85" w14:textId="77777777" w:rsidTr="00E43EDE">
              <w:trPr>
                <w:trHeight w:val="319"/>
              </w:trPr>
              <w:tc>
                <w:tcPr>
                  <w:tcW w:w="4162" w:type="dxa"/>
                  <w:vMerge w:val="restart"/>
                  <w:shd w:val="clear" w:color="auto" w:fill="FFFFFF"/>
                  <w:vAlign w:val="center"/>
                  <w:hideMark/>
                </w:tcPr>
                <w:p w14:paraId="7AFE8F61" w14:textId="77777777" w:rsidR="007850A0" w:rsidRPr="001947EA" w:rsidRDefault="007850A0" w:rsidP="00E43EDE">
                  <w:pPr>
                    <w:rPr>
                      <w:rFonts w:ascii="Calibri" w:hAnsi="Calibri" w:cs="Calibri"/>
                      <w:b/>
                      <w:bCs/>
                      <w:color w:val="000000"/>
                      <w:sz w:val="20"/>
                      <w:szCs w:val="20"/>
                      <w:lang w:eastAsia="en-IE"/>
                    </w:rPr>
                  </w:pPr>
                </w:p>
              </w:tc>
              <w:tc>
                <w:tcPr>
                  <w:tcW w:w="1497" w:type="dxa"/>
                  <w:shd w:val="clear" w:color="auto" w:fill="FFFF00"/>
                  <w:vAlign w:val="bottom"/>
                  <w:hideMark/>
                </w:tcPr>
                <w:p w14:paraId="12CF74CD" w14:textId="77777777" w:rsidR="007850A0" w:rsidRPr="00837D76"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Dec 31</w:t>
                  </w:r>
                  <w:r w:rsidRPr="00837D76">
                    <w:rPr>
                      <w:rFonts w:ascii="Calibri" w:hAnsi="Calibri" w:cs="Calibri"/>
                      <w:b/>
                      <w:bCs/>
                      <w:color w:val="000000"/>
                      <w:sz w:val="20"/>
                      <w:szCs w:val="20"/>
                      <w:lang w:eastAsia="en-IE"/>
                    </w:rPr>
                    <w:t>,</w:t>
                  </w:r>
                </w:p>
              </w:tc>
              <w:tc>
                <w:tcPr>
                  <w:tcW w:w="1665" w:type="dxa"/>
                  <w:shd w:val="clear" w:color="auto" w:fill="FFFF00"/>
                  <w:vAlign w:val="bottom"/>
                </w:tcPr>
                <w:p w14:paraId="3BC099FD" w14:textId="77777777" w:rsidR="007850A0" w:rsidRPr="00837D76"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Dec 31</w:t>
                  </w:r>
                  <w:r w:rsidRPr="00837D76">
                    <w:rPr>
                      <w:rFonts w:ascii="Calibri" w:hAnsi="Calibri" w:cs="Calibri"/>
                      <w:b/>
                      <w:bCs/>
                      <w:color w:val="000000"/>
                      <w:sz w:val="20"/>
                      <w:szCs w:val="20"/>
                      <w:lang w:eastAsia="en-IE"/>
                    </w:rPr>
                    <w:t>,</w:t>
                  </w:r>
                </w:p>
              </w:tc>
              <w:tc>
                <w:tcPr>
                  <w:tcW w:w="1498" w:type="dxa"/>
                  <w:shd w:val="clear" w:color="auto" w:fill="FFFF00"/>
                  <w:vAlign w:val="bottom"/>
                </w:tcPr>
                <w:p w14:paraId="66E05D9E" w14:textId="77777777" w:rsidR="007850A0" w:rsidRPr="00837D76" w:rsidRDefault="007850A0" w:rsidP="00E43EDE">
                  <w:pPr>
                    <w:ind w:right="68"/>
                    <w:jc w:val="right"/>
                    <w:rPr>
                      <w:rFonts w:ascii="Calibri" w:hAnsi="Calibri" w:cs="Calibri"/>
                      <w:b/>
                      <w:bCs/>
                      <w:color w:val="000000"/>
                      <w:sz w:val="20"/>
                      <w:szCs w:val="20"/>
                      <w:lang w:eastAsia="en-IE"/>
                    </w:rPr>
                  </w:pPr>
                  <w:r>
                    <w:rPr>
                      <w:rFonts w:ascii="Calibri" w:hAnsi="Calibri" w:cs="Calibri"/>
                      <w:b/>
                      <w:bCs/>
                      <w:color w:val="000000"/>
                      <w:sz w:val="20"/>
                      <w:szCs w:val="20"/>
                      <w:lang w:eastAsia="en-IE"/>
                    </w:rPr>
                    <w:t>Dec 31</w:t>
                  </w:r>
                  <w:r w:rsidRPr="00837D76">
                    <w:rPr>
                      <w:rFonts w:ascii="Calibri" w:hAnsi="Calibri" w:cs="Calibri"/>
                      <w:b/>
                      <w:bCs/>
                      <w:color w:val="000000"/>
                      <w:sz w:val="20"/>
                      <w:szCs w:val="20"/>
                      <w:lang w:eastAsia="en-IE"/>
                    </w:rPr>
                    <w:t>,</w:t>
                  </w:r>
                </w:p>
              </w:tc>
              <w:tc>
                <w:tcPr>
                  <w:tcW w:w="1466" w:type="dxa"/>
                  <w:shd w:val="clear" w:color="auto" w:fill="FFFF00"/>
                  <w:vAlign w:val="bottom"/>
                  <w:hideMark/>
                </w:tcPr>
                <w:p w14:paraId="48746704" w14:textId="77777777" w:rsidR="007850A0" w:rsidRPr="00837D76"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Dec 31</w:t>
                  </w:r>
                  <w:r w:rsidRPr="00837D76">
                    <w:rPr>
                      <w:rFonts w:ascii="Calibri" w:hAnsi="Calibri" w:cs="Calibri"/>
                      <w:b/>
                      <w:bCs/>
                      <w:color w:val="000000"/>
                      <w:sz w:val="20"/>
                      <w:szCs w:val="20"/>
                      <w:lang w:eastAsia="en-IE"/>
                    </w:rPr>
                    <w:t>,</w:t>
                  </w:r>
                </w:p>
              </w:tc>
            </w:tr>
            <w:tr w:rsidR="007850A0" w:rsidRPr="001244BE" w14:paraId="365AEE09" w14:textId="77777777" w:rsidTr="00E43EDE">
              <w:trPr>
                <w:trHeight w:val="319"/>
              </w:trPr>
              <w:tc>
                <w:tcPr>
                  <w:tcW w:w="4162" w:type="dxa"/>
                  <w:vMerge/>
                  <w:vAlign w:val="bottom"/>
                  <w:hideMark/>
                </w:tcPr>
                <w:p w14:paraId="1A855488" w14:textId="77777777" w:rsidR="007850A0" w:rsidRPr="00D2086B" w:rsidRDefault="007850A0" w:rsidP="00E43EDE">
                  <w:pPr>
                    <w:rPr>
                      <w:rFonts w:ascii="Calibri" w:hAnsi="Calibri" w:cs="Calibri"/>
                      <w:b/>
                      <w:bCs/>
                      <w:color w:val="000000"/>
                      <w:sz w:val="21"/>
                      <w:szCs w:val="21"/>
                      <w:lang w:eastAsia="en-IE"/>
                    </w:rPr>
                  </w:pPr>
                </w:p>
              </w:tc>
              <w:tc>
                <w:tcPr>
                  <w:tcW w:w="1497" w:type="dxa"/>
                  <w:shd w:val="clear" w:color="auto" w:fill="FFFF00"/>
                  <w:vAlign w:val="bottom"/>
                  <w:hideMark/>
                </w:tcPr>
                <w:p w14:paraId="0808B270" w14:textId="77777777" w:rsidR="007850A0" w:rsidRPr="00837D76" w:rsidRDefault="007850A0" w:rsidP="00E43EDE">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665" w:type="dxa"/>
                  <w:shd w:val="clear" w:color="auto" w:fill="FFFF00"/>
                  <w:vAlign w:val="bottom"/>
                </w:tcPr>
                <w:p w14:paraId="50B21BAC" w14:textId="77777777" w:rsidR="007850A0" w:rsidRPr="00837D76" w:rsidRDefault="007850A0" w:rsidP="00E43EDE">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498" w:type="dxa"/>
                  <w:shd w:val="clear" w:color="auto" w:fill="FFFF00"/>
                  <w:vAlign w:val="bottom"/>
                </w:tcPr>
                <w:p w14:paraId="5BDC7D09" w14:textId="77777777" w:rsidR="007850A0" w:rsidRPr="00837D76" w:rsidRDefault="007850A0" w:rsidP="00E43EDE">
                  <w:pPr>
                    <w:ind w:right="68"/>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466" w:type="dxa"/>
                  <w:shd w:val="clear" w:color="auto" w:fill="FFFF00"/>
                  <w:vAlign w:val="bottom"/>
                  <w:hideMark/>
                </w:tcPr>
                <w:p w14:paraId="34B59D29" w14:textId="77777777" w:rsidR="007850A0" w:rsidRPr="00837D76" w:rsidRDefault="007850A0" w:rsidP="00E43EDE">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r>
            <w:tr w:rsidR="007850A0" w:rsidRPr="001244BE" w14:paraId="5CDE14A0" w14:textId="77777777" w:rsidTr="00E43EDE">
              <w:trPr>
                <w:trHeight w:val="319"/>
              </w:trPr>
              <w:tc>
                <w:tcPr>
                  <w:tcW w:w="4162" w:type="dxa"/>
                  <w:shd w:val="clear" w:color="auto" w:fill="FFFFFF"/>
                  <w:vAlign w:val="bottom"/>
                  <w:hideMark/>
                </w:tcPr>
                <w:p w14:paraId="596A9554" w14:textId="77777777" w:rsidR="007850A0" w:rsidRPr="00D2086B" w:rsidRDefault="007850A0" w:rsidP="00E43EDE">
                  <w:pPr>
                    <w:rPr>
                      <w:rFonts w:ascii="Calibri" w:hAnsi="Calibri" w:cs="Calibri"/>
                      <w:color w:val="000000"/>
                      <w:sz w:val="21"/>
                      <w:szCs w:val="21"/>
                      <w:lang w:eastAsia="en-IE"/>
                    </w:rPr>
                  </w:pPr>
                  <w:r w:rsidRPr="00D2086B">
                    <w:rPr>
                      <w:rFonts w:ascii="Calibri" w:hAnsi="Calibri" w:cs="Calibri"/>
                      <w:color w:val="000000"/>
                      <w:sz w:val="21"/>
                      <w:szCs w:val="21"/>
                      <w:lang w:eastAsia="en-IE"/>
                    </w:rPr>
                    <w:t> </w:t>
                  </w:r>
                </w:p>
              </w:tc>
              <w:tc>
                <w:tcPr>
                  <w:tcW w:w="1497" w:type="dxa"/>
                  <w:shd w:val="clear" w:color="auto" w:fill="FFFF00"/>
                  <w:noWrap/>
                  <w:vAlign w:val="bottom"/>
                  <w:hideMark/>
                </w:tcPr>
                <w:p w14:paraId="68EF8AFC" w14:textId="77777777" w:rsidR="007850A0" w:rsidRPr="00837D76" w:rsidRDefault="007850A0" w:rsidP="00E43EDE">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665" w:type="dxa"/>
                  <w:shd w:val="clear" w:color="auto" w:fill="FFFF00"/>
                  <w:vAlign w:val="bottom"/>
                </w:tcPr>
                <w:p w14:paraId="48B3CCB9" w14:textId="77777777" w:rsidR="007850A0" w:rsidRPr="00837D76" w:rsidRDefault="007850A0" w:rsidP="00E43EDE">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98" w:type="dxa"/>
                  <w:shd w:val="clear" w:color="auto" w:fill="FFFF00"/>
                  <w:vAlign w:val="bottom"/>
                </w:tcPr>
                <w:p w14:paraId="34C1B39E" w14:textId="77777777" w:rsidR="007850A0" w:rsidRPr="00837D76" w:rsidRDefault="007850A0" w:rsidP="00E43EDE">
                  <w:pPr>
                    <w:ind w:right="68"/>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66" w:type="dxa"/>
                  <w:shd w:val="clear" w:color="auto" w:fill="FFFF00"/>
                  <w:noWrap/>
                  <w:vAlign w:val="bottom"/>
                  <w:hideMark/>
                </w:tcPr>
                <w:p w14:paraId="06148925" w14:textId="77777777" w:rsidR="007850A0" w:rsidRPr="00837D76" w:rsidRDefault="007850A0" w:rsidP="00E43EDE">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r>
            <w:tr w:rsidR="007850A0" w:rsidRPr="001244BE" w14:paraId="24DABCA4" w14:textId="77777777" w:rsidTr="00E43EDE">
              <w:trPr>
                <w:trHeight w:val="319"/>
              </w:trPr>
              <w:tc>
                <w:tcPr>
                  <w:tcW w:w="4162" w:type="dxa"/>
                  <w:shd w:val="clear" w:color="auto" w:fill="FFFFFF"/>
                  <w:vAlign w:val="bottom"/>
                </w:tcPr>
                <w:p w14:paraId="4ECA2334" w14:textId="77777777" w:rsidR="007850A0" w:rsidRPr="00EC0F73" w:rsidRDefault="007850A0" w:rsidP="00E43EDE">
                  <w:pPr>
                    <w:rPr>
                      <w:rFonts w:ascii="Calibri" w:hAnsi="Calibri" w:cs="Calibri"/>
                      <w:color w:val="000000"/>
                      <w:sz w:val="20"/>
                      <w:szCs w:val="20"/>
                      <w:lang w:eastAsia="en-IE"/>
                    </w:rPr>
                  </w:pPr>
                  <w:r w:rsidRPr="00EC0F73">
                    <w:rPr>
                      <w:rFonts w:ascii="Calibri" w:hAnsi="Calibri" w:cs="Calibri"/>
                      <w:color w:val="000000"/>
                      <w:sz w:val="20"/>
                      <w:szCs w:val="20"/>
                      <w:lang w:eastAsia="en-IE"/>
                    </w:rPr>
                    <w:t>Scheduled revenue</w:t>
                  </w:r>
                </w:p>
              </w:tc>
              <w:tc>
                <w:tcPr>
                  <w:tcW w:w="1497" w:type="dxa"/>
                  <w:shd w:val="clear" w:color="auto" w:fill="FFFF00"/>
                  <w:noWrap/>
                  <w:vAlign w:val="center"/>
                </w:tcPr>
                <w:p w14:paraId="3BB55D01" w14:textId="77777777" w:rsidR="007850A0" w:rsidRPr="00A10F85"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rPr>
                    <w:t>7,719.0</w:t>
                  </w:r>
                </w:p>
              </w:tc>
              <w:tc>
                <w:tcPr>
                  <w:tcW w:w="1665" w:type="dxa"/>
                  <w:shd w:val="clear" w:color="auto" w:fill="FFFF00"/>
                  <w:vAlign w:val="center"/>
                </w:tcPr>
                <w:p w14:paraId="37BDC468" w14:textId="77777777" w:rsidR="007850A0" w:rsidRPr="00A10F85"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rPr>
                    <w:t>104.1</w:t>
                  </w:r>
                </w:p>
              </w:tc>
              <w:tc>
                <w:tcPr>
                  <w:tcW w:w="1498" w:type="dxa"/>
                  <w:shd w:val="clear" w:color="auto" w:fill="FFFF00"/>
                  <w:vAlign w:val="center"/>
                </w:tcPr>
                <w:p w14:paraId="0624A9D8" w14:textId="77777777" w:rsidR="007850A0" w:rsidRPr="00A10F85" w:rsidRDefault="007850A0" w:rsidP="00E43EDE">
                  <w:pPr>
                    <w:ind w:right="68"/>
                    <w:jc w:val="right"/>
                    <w:rPr>
                      <w:rFonts w:ascii="Calibri" w:hAnsi="Calibri" w:cs="Calibri"/>
                      <w:b/>
                      <w:bCs/>
                      <w:color w:val="000000"/>
                      <w:sz w:val="20"/>
                      <w:szCs w:val="20"/>
                      <w:lang w:eastAsia="en-IE"/>
                    </w:rPr>
                  </w:pPr>
                  <w:r>
                    <w:rPr>
                      <w:rFonts w:ascii="Calibri" w:hAnsi="Calibri" w:cs="Calibri"/>
                      <w:b/>
                      <w:bCs/>
                      <w:color w:val="000000"/>
                      <w:sz w:val="20"/>
                      <w:szCs w:val="20"/>
                    </w:rPr>
                    <w:t>-</w:t>
                  </w:r>
                </w:p>
              </w:tc>
              <w:tc>
                <w:tcPr>
                  <w:tcW w:w="1466" w:type="dxa"/>
                  <w:shd w:val="clear" w:color="auto" w:fill="FFFF00"/>
                  <w:noWrap/>
                  <w:vAlign w:val="center"/>
                </w:tcPr>
                <w:p w14:paraId="479471B3" w14:textId="77777777" w:rsidR="007850A0" w:rsidRPr="00A10F85"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7,823.1</w:t>
                  </w:r>
                </w:p>
              </w:tc>
            </w:tr>
            <w:tr w:rsidR="007850A0" w:rsidRPr="001244BE" w14:paraId="4521F50C" w14:textId="77777777" w:rsidTr="00E43EDE">
              <w:trPr>
                <w:trHeight w:val="319"/>
              </w:trPr>
              <w:tc>
                <w:tcPr>
                  <w:tcW w:w="4162" w:type="dxa"/>
                  <w:shd w:val="clear" w:color="auto" w:fill="FFFFFF"/>
                  <w:vAlign w:val="bottom"/>
                </w:tcPr>
                <w:p w14:paraId="7683A688" w14:textId="77777777" w:rsidR="007850A0" w:rsidRPr="00EC0F73" w:rsidRDefault="007850A0" w:rsidP="00E43EDE">
                  <w:pPr>
                    <w:rPr>
                      <w:rFonts w:ascii="Calibri" w:hAnsi="Calibri" w:cs="Calibri"/>
                      <w:color w:val="000000"/>
                      <w:sz w:val="20"/>
                      <w:szCs w:val="20"/>
                      <w:lang w:eastAsia="en-IE"/>
                    </w:rPr>
                  </w:pPr>
                  <w:r w:rsidRPr="00EC0F73">
                    <w:rPr>
                      <w:rFonts w:ascii="Calibri" w:hAnsi="Calibri" w:cs="Calibri"/>
                      <w:color w:val="000000"/>
                      <w:sz w:val="20"/>
                      <w:szCs w:val="20"/>
                      <w:lang w:eastAsia="en-IE"/>
                    </w:rPr>
                    <w:t>Ancillary revenue</w:t>
                  </w:r>
                </w:p>
              </w:tc>
              <w:tc>
                <w:tcPr>
                  <w:tcW w:w="1497" w:type="dxa"/>
                  <w:shd w:val="clear" w:color="auto" w:fill="FFFF00"/>
                  <w:noWrap/>
                  <w:vAlign w:val="center"/>
                </w:tcPr>
                <w:p w14:paraId="3398B022" w14:textId="77777777" w:rsidR="007850A0" w:rsidRPr="00A10F85"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rPr>
                    <w:t>3,450.8</w:t>
                  </w:r>
                </w:p>
              </w:tc>
              <w:tc>
                <w:tcPr>
                  <w:tcW w:w="1665" w:type="dxa"/>
                  <w:shd w:val="clear" w:color="auto" w:fill="FFFF00"/>
                  <w:vAlign w:val="center"/>
                </w:tcPr>
                <w:p w14:paraId="03A9E498" w14:textId="77777777" w:rsidR="007850A0" w:rsidRPr="00A10F85"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rPr>
                    <w:t>-</w:t>
                  </w:r>
                </w:p>
              </w:tc>
              <w:tc>
                <w:tcPr>
                  <w:tcW w:w="1498" w:type="dxa"/>
                  <w:shd w:val="clear" w:color="auto" w:fill="FFFF00"/>
                  <w:vAlign w:val="center"/>
                </w:tcPr>
                <w:p w14:paraId="27B33F56" w14:textId="77777777" w:rsidR="007850A0" w:rsidRPr="00A10F85" w:rsidRDefault="007850A0" w:rsidP="00E43EDE">
                  <w:pPr>
                    <w:ind w:right="68"/>
                    <w:jc w:val="right"/>
                    <w:rPr>
                      <w:rFonts w:ascii="Calibri" w:hAnsi="Calibri" w:cs="Calibri"/>
                      <w:b/>
                      <w:bCs/>
                      <w:color w:val="000000"/>
                      <w:sz w:val="20"/>
                      <w:szCs w:val="20"/>
                      <w:lang w:eastAsia="en-IE"/>
                    </w:rPr>
                  </w:pPr>
                  <w:r>
                    <w:rPr>
                      <w:rFonts w:ascii="Calibri" w:hAnsi="Calibri" w:cs="Calibri"/>
                      <w:b/>
                      <w:bCs/>
                      <w:color w:val="000000"/>
                      <w:sz w:val="20"/>
                      <w:szCs w:val="20"/>
                    </w:rPr>
                    <w:t>-</w:t>
                  </w:r>
                </w:p>
              </w:tc>
              <w:tc>
                <w:tcPr>
                  <w:tcW w:w="1466" w:type="dxa"/>
                  <w:shd w:val="clear" w:color="auto" w:fill="FFFF00"/>
                  <w:noWrap/>
                  <w:vAlign w:val="center"/>
                </w:tcPr>
                <w:p w14:paraId="22918EDA" w14:textId="77777777" w:rsidR="007850A0" w:rsidRPr="00A10F85"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3,450.8</w:t>
                  </w:r>
                </w:p>
              </w:tc>
            </w:tr>
            <w:tr w:rsidR="007850A0" w:rsidRPr="001244BE" w14:paraId="17B37948" w14:textId="77777777" w:rsidTr="00E43EDE">
              <w:trPr>
                <w:trHeight w:val="319"/>
              </w:trPr>
              <w:tc>
                <w:tcPr>
                  <w:tcW w:w="4162" w:type="dxa"/>
                  <w:shd w:val="clear" w:color="auto" w:fill="FFFFFF"/>
                  <w:vAlign w:val="bottom"/>
                  <w:hideMark/>
                </w:tcPr>
                <w:p w14:paraId="42C29B82" w14:textId="77777777" w:rsidR="007850A0" w:rsidRPr="00EC0F73" w:rsidRDefault="007850A0" w:rsidP="00E43EDE">
                  <w:pPr>
                    <w:rPr>
                      <w:rFonts w:ascii="Calibri" w:hAnsi="Calibri" w:cs="Calibri"/>
                      <w:color w:val="000000"/>
                      <w:sz w:val="20"/>
                      <w:szCs w:val="20"/>
                      <w:lang w:eastAsia="en-IE"/>
                    </w:rPr>
                  </w:pPr>
                  <w:r w:rsidRPr="00EC0F73">
                    <w:rPr>
                      <w:rFonts w:ascii="Calibri" w:hAnsi="Calibri" w:cs="Calibri"/>
                      <w:color w:val="000000"/>
                      <w:sz w:val="20"/>
                      <w:szCs w:val="20"/>
                      <w:lang w:eastAsia="en-IE"/>
                    </w:rPr>
                    <w:t>Inter-segment revenue</w:t>
                  </w:r>
                </w:p>
              </w:tc>
              <w:tc>
                <w:tcPr>
                  <w:tcW w:w="1497" w:type="dxa"/>
                  <w:tcBorders>
                    <w:left w:val="nil"/>
                    <w:bottom w:val="single" w:sz="4" w:space="0" w:color="auto"/>
                    <w:right w:val="nil"/>
                  </w:tcBorders>
                  <w:shd w:val="clear" w:color="000000" w:fill="FFFF00"/>
                  <w:noWrap/>
                  <w:vAlign w:val="center"/>
                </w:tcPr>
                <w:p w14:paraId="3ED4B560" w14:textId="77777777" w:rsidR="007850A0" w:rsidRPr="00A10F85"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556.6</w:t>
                  </w:r>
                </w:p>
              </w:tc>
              <w:tc>
                <w:tcPr>
                  <w:tcW w:w="1665" w:type="dxa"/>
                  <w:tcBorders>
                    <w:left w:val="nil"/>
                    <w:bottom w:val="single" w:sz="4" w:space="0" w:color="auto"/>
                    <w:right w:val="nil"/>
                  </w:tcBorders>
                  <w:shd w:val="clear" w:color="000000" w:fill="FFFF00"/>
                  <w:vAlign w:val="center"/>
                </w:tcPr>
                <w:p w14:paraId="013EF3FA" w14:textId="77777777" w:rsidR="007850A0" w:rsidRPr="00A10F85" w:rsidRDefault="007850A0" w:rsidP="00E43EDE">
                  <w:pPr>
                    <w:jc w:val="right"/>
                    <w:rPr>
                      <w:rFonts w:ascii="Calibri" w:hAnsi="Calibri" w:cs="Calibri"/>
                      <w:b/>
                      <w:bCs/>
                      <w:color w:val="000000"/>
                      <w:sz w:val="20"/>
                      <w:szCs w:val="20"/>
                    </w:rPr>
                  </w:pPr>
                  <w:r>
                    <w:rPr>
                      <w:rFonts w:ascii="Calibri" w:hAnsi="Calibri" w:cs="Calibri"/>
                      <w:b/>
                      <w:bCs/>
                      <w:color w:val="000000"/>
                      <w:sz w:val="20"/>
                      <w:szCs w:val="20"/>
                    </w:rPr>
                    <w:t>1,043.6</w:t>
                  </w:r>
                </w:p>
              </w:tc>
              <w:tc>
                <w:tcPr>
                  <w:tcW w:w="1498" w:type="dxa"/>
                  <w:tcBorders>
                    <w:left w:val="nil"/>
                    <w:bottom w:val="single" w:sz="4" w:space="0" w:color="auto"/>
                    <w:right w:val="nil"/>
                  </w:tcBorders>
                  <w:shd w:val="clear" w:color="000000" w:fill="FFFF00"/>
                  <w:vAlign w:val="center"/>
                </w:tcPr>
                <w:p w14:paraId="672277F6" w14:textId="77777777" w:rsidR="007850A0" w:rsidRPr="00A10F85" w:rsidRDefault="007850A0" w:rsidP="00E43EDE">
                  <w:pPr>
                    <w:ind w:right="68"/>
                    <w:jc w:val="right"/>
                    <w:rPr>
                      <w:rFonts w:ascii="Calibri" w:hAnsi="Calibri" w:cs="Calibri"/>
                      <w:b/>
                      <w:bCs/>
                      <w:color w:val="000000"/>
                      <w:sz w:val="20"/>
                      <w:szCs w:val="20"/>
                    </w:rPr>
                  </w:pPr>
                  <w:r>
                    <w:rPr>
                      <w:rFonts w:ascii="Calibri" w:hAnsi="Calibri" w:cs="Calibri"/>
                      <w:b/>
                      <w:bCs/>
                      <w:color w:val="000000"/>
                      <w:sz w:val="20"/>
                      <w:szCs w:val="20"/>
                    </w:rPr>
                    <w:t>(1,600.2)</w:t>
                  </w:r>
                </w:p>
              </w:tc>
              <w:tc>
                <w:tcPr>
                  <w:tcW w:w="1466" w:type="dxa"/>
                  <w:tcBorders>
                    <w:left w:val="nil"/>
                    <w:bottom w:val="single" w:sz="4" w:space="0" w:color="auto"/>
                    <w:right w:val="nil"/>
                  </w:tcBorders>
                  <w:shd w:val="clear" w:color="000000" w:fill="FFFF00"/>
                  <w:noWrap/>
                  <w:vAlign w:val="center"/>
                </w:tcPr>
                <w:p w14:paraId="306116C6" w14:textId="77777777" w:rsidR="007850A0" w:rsidRPr="00A10F85" w:rsidRDefault="007850A0" w:rsidP="00E43EDE">
                  <w:pPr>
                    <w:jc w:val="right"/>
                    <w:rPr>
                      <w:rFonts w:ascii="Calibri" w:hAnsi="Calibri" w:cs="Calibri"/>
                      <w:b/>
                      <w:bCs/>
                      <w:color w:val="000000"/>
                      <w:sz w:val="20"/>
                      <w:szCs w:val="20"/>
                    </w:rPr>
                  </w:pPr>
                  <w:r>
                    <w:rPr>
                      <w:rFonts w:ascii="Calibri" w:hAnsi="Calibri" w:cs="Calibri"/>
                      <w:b/>
                      <w:bCs/>
                      <w:color w:val="000000"/>
                      <w:sz w:val="20"/>
                      <w:szCs w:val="20"/>
                    </w:rPr>
                    <w:t>-</w:t>
                  </w:r>
                </w:p>
              </w:tc>
            </w:tr>
            <w:tr w:rsidR="007850A0" w:rsidRPr="001244BE" w14:paraId="796AE0DB" w14:textId="77777777" w:rsidTr="00E43EDE">
              <w:trPr>
                <w:trHeight w:val="319"/>
              </w:trPr>
              <w:tc>
                <w:tcPr>
                  <w:tcW w:w="4162" w:type="dxa"/>
                  <w:shd w:val="clear" w:color="auto" w:fill="FFFFFF"/>
                  <w:vAlign w:val="bottom"/>
                  <w:hideMark/>
                </w:tcPr>
                <w:p w14:paraId="5B408058" w14:textId="77777777" w:rsidR="007850A0" w:rsidRPr="00EC0F73" w:rsidRDefault="007850A0" w:rsidP="00E43EDE">
                  <w:pPr>
                    <w:rPr>
                      <w:rFonts w:ascii="Calibri" w:hAnsi="Calibri" w:cs="Calibri"/>
                      <w:color w:val="000000"/>
                      <w:sz w:val="20"/>
                      <w:szCs w:val="20"/>
                      <w:lang w:eastAsia="en-IE"/>
                    </w:rPr>
                  </w:pPr>
                  <w:r w:rsidRPr="00EC0F73">
                    <w:rPr>
                      <w:rFonts w:ascii="Calibri" w:hAnsi="Calibri" w:cs="Calibri"/>
                      <w:b/>
                      <w:bCs/>
                      <w:color w:val="000000"/>
                      <w:sz w:val="20"/>
                      <w:szCs w:val="20"/>
                      <w:lang w:eastAsia="en-IE"/>
                    </w:rPr>
                    <w:t xml:space="preserve">Segment revenue                    </w:t>
                  </w:r>
                </w:p>
              </w:tc>
              <w:tc>
                <w:tcPr>
                  <w:tcW w:w="1497" w:type="dxa"/>
                  <w:tcBorders>
                    <w:top w:val="single" w:sz="4" w:space="0" w:color="auto"/>
                    <w:bottom w:val="single" w:sz="12" w:space="0" w:color="auto"/>
                  </w:tcBorders>
                  <w:shd w:val="clear" w:color="auto" w:fill="FFFF00"/>
                  <w:noWrap/>
                  <w:vAlign w:val="center"/>
                </w:tcPr>
                <w:p w14:paraId="54888ADB" w14:textId="77777777" w:rsidR="007850A0" w:rsidRPr="00A10F85"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11,726.4</w:t>
                  </w:r>
                </w:p>
              </w:tc>
              <w:tc>
                <w:tcPr>
                  <w:tcW w:w="1665" w:type="dxa"/>
                  <w:tcBorders>
                    <w:top w:val="single" w:sz="4" w:space="0" w:color="auto"/>
                    <w:bottom w:val="single" w:sz="12" w:space="0" w:color="auto"/>
                  </w:tcBorders>
                  <w:shd w:val="clear" w:color="auto" w:fill="FFFF00"/>
                  <w:vAlign w:val="center"/>
                </w:tcPr>
                <w:p w14:paraId="1543DA10" w14:textId="77777777" w:rsidR="007850A0" w:rsidRPr="00A10F85" w:rsidRDefault="007850A0" w:rsidP="00E43EDE">
                  <w:pPr>
                    <w:jc w:val="right"/>
                    <w:rPr>
                      <w:rFonts w:ascii="Calibri" w:eastAsia="Calibri" w:hAnsi="Calibri" w:cs="Calibri"/>
                      <w:b/>
                      <w:bCs/>
                      <w:sz w:val="20"/>
                      <w:szCs w:val="20"/>
                      <w:lang w:eastAsia="en-IE"/>
                    </w:rPr>
                  </w:pPr>
                  <w:r>
                    <w:rPr>
                      <w:rFonts w:ascii="Calibri" w:eastAsia="Calibri" w:hAnsi="Calibri" w:cs="Calibri"/>
                      <w:b/>
                      <w:bCs/>
                      <w:sz w:val="20"/>
                      <w:szCs w:val="20"/>
                      <w:lang w:eastAsia="en-IE"/>
                    </w:rPr>
                    <w:t>1,147.7</w:t>
                  </w:r>
                </w:p>
              </w:tc>
              <w:tc>
                <w:tcPr>
                  <w:tcW w:w="1498" w:type="dxa"/>
                  <w:tcBorders>
                    <w:top w:val="single" w:sz="4" w:space="0" w:color="auto"/>
                    <w:bottom w:val="single" w:sz="12" w:space="0" w:color="auto"/>
                  </w:tcBorders>
                  <w:shd w:val="clear" w:color="auto" w:fill="FFFF00"/>
                  <w:vAlign w:val="center"/>
                </w:tcPr>
                <w:p w14:paraId="67115DDE" w14:textId="77777777" w:rsidR="007850A0" w:rsidRPr="00A10F85" w:rsidRDefault="007850A0" w:rsidP="00E43EDE">
                  <w:pPr>
                    <w:ind w:right="68"/>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(1,600.2)</w:t>
                  </w:r>
                </w:p>
              </w:tc>
              <w:tc>
                <w:tcPr>
                  <w:tcW w:w="1466" w:type="dxa"/>
                  <w:tcBorders>
                    <w:top w:val="single" w:sz="4" w:space="0" w:color="auto"/>
                    <w:bottom w:val="single" w:sz="12" w:space="0" w:color="auto"/>
                  </w:tcBorders>
                  <w:shd w:val="clear" w:color="auto" w:fill="FFFF00"/>
                  <w:noWrap/>
                  <w:vAlign w:val="center"/>
                </w:tcPr>
                <w:p w14:paraId="204B077C" w14:textId="77777777" w:rsidR="007850A0" w:rsidRPr="00A10F85"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11,273.9</w:t>
                  </w:r>
                </w:p>
              </w:tc>
            </w:tr>
            <w:tr w:rsidR="007850A0" w:rsidRPr="001244BE" w14:paraId="142A2BD4" w14:textId="77777777" w:rsidTr="00E43EDE">
              <w:trPr>
                <w:trHeight w:val="57"/>
              </w:trPr>
              <w:tc>
                <w:tcPr>
                  <w:tcW w:w="4162" w:type="dxa"/>
                  <w:shd w:val="clear" w:color="auto" w:fill="FFFFFF"/>
                  <w:vAlign w:val="bottom"/>
                </w:tcPr>
                <w:p w14:paraId="14413656" w14:textId="77777777" w:rsidR="007850A0" w:rsidRPr="00EC0F73" w:rsidRDefault="007850A0" w:rsidP="00E43EDE">
                  <w:pPr>
                    <w:rPr>
                      <w:rFonts w:ascii="Calibri" w:hAnsi="Calibri" w:cs="Calibri"/>
                      <w:b/>
                      <w:bCs/>
                      <w:color w:val="000000"/>
                      <w:sz w:val="20"/>
                      <w:szCs w:val="20"/>
                      <w:lang w:eastAsia="en-IE"/>
                    </w:rPr>
                  </w:pPr>
                </w:p>
              </w:tc>
              <w:tc>
                <w:tcPr>
                  <w:tcW w:w="1497" w:type="dxa"/>
                  <w:tcBorders>
                    <w:top w:val="single" w:sz="12" w:space="0" w:color="auto"/>
                    <w:left w:val="nil"/>
                    <w:right w:val="nil"/>
                  </w:tcBorders>
                  <w:shd w:val="clear" w:color="000000" w:fill="FFFF00"/>
                  <w:noWrap/>
                  <w:vAlign w:val="center"/>
                </w:tcPr>
                <w:p w14:paraId="24CE2FA0" w14:textId="77777777" w:rsidR="007850A0" w:rsidRPr="00A10F85" w:rsidRDefault="007850A0" w:rsidP="00E43EDE">
                  <w:pPr>
                    <w:jc w:val="right"/>
                    <w:rPr>
                      <w:rFonts w:ascii="Calibri" w:hAnsi="Calibri" w:cs="Calibri"/>
                      <w:b/>
                      <w:bCs/>
                      <w:color w:val="000000"/>
                      <w:sz w:val="20"/>
                      <w:szCs w:val="20"/>
                      <w:lang w:eastAsia="en-IE"/>
                    </w:rPr>
                  </w:pPr>
                </w:p>
              </w:tc>
              <w:tc>
                <w:tcPr>
                  <w:tcW w:w="1665" w:type="dxa"/>
                  <w:tcBorders>
                    <w:top w:val="single" w:sz="12" w:space="0" w:color="auto"/>
                    <w:left w:val="nil"/>
                    <w:right w:val="nil"/>
                  </w:tcBorders>
                  <w:shd w:val="clear" w:color="000000" w:fill="FFFF00"/>
                  <w:vAlign w:val="center"/>
                </w:tcPr>
                <w:p w14:paraId="1505D150" w14:textId="77777777" w:rsidR="007850A0" w:rsidRPr="00A10F85" w:rsidRDefault="007850A0" w:rsidP="00E43EDE">
                  <w:pPr>
                    <w:jc w:val="right"/>
                    <w:rPr>
                      <w:rFonts w:ascii="Calibri" w:hAnsi="Calibri" w:cs="Calibri"/>
                      <w:b/>
                      <w:bCs/>
                      <w:color w:val="000000"/>
                      <w:sz w:val="20"/>
                      <w:szCs w:val="20"/>
                    </w:rPr>
                  </w:pPr>
                </w:p>
              </w:tc>
              <w:tc>
                <w:tcPr>
                  <w:tcW w:w="1498" w:type="dxa"/>
                  <w:tcBorders>
                    <w:top w:val="single" w:sz="12" w:space="0" w:color="auto"/>
                    <w:left w:val="nil"/>
                    <w:right w:val="nil"/>
                  </w:tcBorders>
                  <w:shd w:val="clear" w:color="000000" w:fill="FFFF00"/>
                  <w:vAlign w:val="center"/>
                </w:tcPr>
                <w:p w14:paraId="1B3BA8C8" w14:textId="77777777" w:rsidR="007850A0" w:rsidRPr="00A10F85" w:rsidRDefault="007850A0" w:rsidP="00E43EDE">
                  <w:pPr>
                    <w:ind w:right="68"/>
                    <w:jc w:val="right"/>
                    <w:rPr>
                      <w:rFonts w:ascii="Calibri" w:hAnsi="Calibri" w:cs="Calibri"/>
                      <w:b/>
                      <w:bCs/>
                      <w:sz w:val="20"/>
                      <w:szCs w:val="20"/>
                    </w:rPr>
                  </w:pPr>
                </w:p>
              </w:tc>
              <w:tc>
                <w:tcPr>
                  <w:tcW w:w="1466" w:type="dxa"/>
                  <w:tcBorders>
                    <w:top w:val="single" w:sz="12" w:space="0" w:color="auto"/>
                    <w:left w:val="nil"/>
                    <w:right w:val="nil"/>
                  </w:tcBorders>
                  <w:shd w:val="clear" w:color="000000" w:fill="FFFF00"/>
                  <w:noWrap/>
                  <w:vAlign w:val="center"/>
                </w:tcPr>
                <w:p w14:paraId="5AC6B568" w14:textId="77777777" w:rsidR="007850A0" w:rsidRPr="00A10F85" w:rsidRDefault="007850A0" w:rsidP="00E43EDE">
                  <w:pPr>
                    <w:jc w:val="right"/>
                    <w:rPr>
                      <w:rFonts w:ascii="Calibri" w:hAnsi="Calibri" w:cs="Calibri"/>
                      <w:b/>
                      <w:bCs/>
                      <w:color w:val="000000"/>
                      <w:sz w:val="20"/>
                      <w:szCs w:val="20"/>
                    </w:rPr>
                  </w:pPr>
                </w:p>
              </w:tc>
            </w:tr>
            <w:tr w:rsidR="007850A0" w:rsidRPr="001244BE" w14:paraId="1CDDEDE4" w14:textId="77777777" w:rsidTr="00E43EDE">
              <w:trPr>
                <w:trHeight w:val="319"/>
              </w:trPr>
              <w:tc>
                <w:tcPr>
                  <w:tcW w:w="4162" w:type="dxa"/>
                  <w:shd w:val="clear" w:color="auto" w:fill="FFFFFF"/>
                  <w:vAlign w:val="bottom"/>
                  <w:hideMark/>
                </w:tcPr>
                <w:p w14:paraId="30E01DB6" w14:textId="77777777" w:rsidR="007850A0" w:rsidRPr="00EC0F73" w:rsidRDefault="007850A0" w:rsidP="00E43EDE">
                  <w:pPr>
                    <w:rPr>
                      <w:rFonts w:ascii="Calibri" w:hAnsi="Calibri" w:cs="Calibri"/>
                      <w:b/>
                      <w:bCs/>
                      <w:color w:val="000000"/>
                      <w:sz w:val="20"/>
                      <w:szCs w:val="20"/>
                      <w:lang w:eastAsia="en-IE"/>
                    </w:rPr>
                  </w:pPr>
                  <w:r w:rsidRPr="00EC0F73">
                    <w:rPr>
                      <w:rFonts w:ascii="Calibri" w:hAnsi="Calibri" w:cs="Calibri"/>
                      <w:b/>
                      <w:bCs/>
                      <w:color w:val="000000"/>
                      <w:sz w:val="20"/>
                      <w:szCs w:val="20"/>
                      <w:lang w:eastAsia="en-IE"/>
                    </w:rPr>
                    <w:t>Reportable segment profit after income tax</w:t>
                  </w:r>
                </w:p>
              </w:tc>
              <w:tc>
                <w:tcPr>
                  <w:tcW w:w="1497" w:type="dxa"/>
                  <w:tcBorders>
                    <w:top w:val="nil"/>
                    <w:left w:val="nil"/>
                    <w:bottom w:val="single" w:sz="12" w:space="0" w:color="auto"/>
                    <w:right w:val="nil"/>
                  </w:tcBorders>
                  <w:shd w:val="clear" w:color="000000" w:fill="FFFF00"/>
                  <w:noWrap/>
                  <w:vAlign w:val="center"/>
                </w:tcPr>
                <w:p w14:paraId="20E0A3B7" w14:textId="77777777" w:rsidR="007850A0" w:rsidRPr="00AF77E1"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2,116.9</w:t>
                  </w:r>
                </w:p>
              </w:tc>
              <w:tc>
                <w:tcPr>
                  <w:tcW w:w="1665" w:type="dxa"/>
                  <w:tcBorders>
                    <w:top w:val="nil"/>
                    <w:left w:val="nil"/>
                    <w:bottom w:val="single" w:sz="12" w:space="0" w:color="auto"/>
                    <w:right w:val="nil"/>
                  </w:tcBorders>
                  <w:shd w:val="clear" w:color="000000" w:fill="FFFF00"/>
                  <w:vAlign w:val="center"/>
                </w:tcPr>
                <w:p w14:paraId="64F559BA" w14:textId="77777777" w:rsidR="007850A0" w:rsidRPr="00AF77E1" w:rsidRDefault="007850A0" w:rsidP="00E43EDE">
                  <w:pPr>
                    <w:jc w:val="right"/>
                    <w:rPr>
                      <w:rFonts w:ascii="Calibri" w:hAnsi="Calibri" w:cs="Calibri"/>
                      <w:b/>
                      <w:bCs/>
                      <w:color w:val="000000"/>
                      <w:sz w:val="20"/>
                      <w:szCs w:val="20"/>
                    </w:rPr>
                  </w:pPr>
                  <w:r>
                    <w:rPr>
                      <w:rFonts w:ascii="Calibri" w:hAnsi="Calibri" w:cs="Calibri"/>
                      <w:b/>
                      <w:bCs/>
                      <w:color w:val="000000"/>
                      <w:sz w:val="20"/>
                      <w:szCs w:val="20"/>
                    </w:rPr>
                    <w:t>76.0</w:t>
                  </w:r>
                </w:p>
              </w:tc>
              <w:tc>
                <w:tcPr>
                  <w:tcW w:w="1498" w:type="dxa"/>
                  <w:tcBorders>
                    <w:top w:val="nil"/>
                    <w:left w:val="nil"/>
                    <w:bottom w:val="single" w:sz="12" w:space="0" w:color="auto"/>
                    <w:right w:val="nil"/>
                  </w:tcBorders>
                  <w:shd w:val="clear" w:color="000000" w:fill="FFFF00"/>
                  <w:vAlign w:val="center"/>
                </w:tcPr>
                <w:p w14:paraId="338021E4" w14:textId="77777777" w:rsidR="007850A0" w:rsidRPr="00AA3B51" w:rsidRDefault="007850A0" w:rsidP="00E43EDE">
                  <w:pPr>
                    <w:ind w:right="68"/>
                    <w:jc w:val="right"/>
                    <w:rPr>
                      <w:rFonts w:ascii="Calibri" w:hAnsi="Calibri" w:cs="Calibri"/>
                      <w:b/>
                      <w:bCs/>
                      <w:sz w:val="20"/>
                      <w:szCs w:val="20"/>
                      <w:highlight w:val="green"/>
                    </w:rPr>
                  </w:pPr>
                  <w:r w:rsidRPr="00436524">
                    <w:rPr>
                      <w:rFonts w:ascii="Calibri" w:hAnsi="Calibri" w:cs="Calibri"/>
                      <w:b/>
                      <w:bCs/>
                      <w:sz w:val="20"/>
                      <w:szCs w:val="20"/>
                    </w:rPr>
                    <w:t>-</w:t>
                  </w:r>
                </w:p>
              </w:tc>
              <w:tc>
                <w:tcPr>
                  <w:tcW w:w="1466" w:type="dxa"/>
                  <w:tcBorders>
                    <w:top w:val="nil"/>
                    <w:left w:val="nil"/>
                    <w:bottom w:val="single" w:sz="12" w:space="0" w:color="auto"/>
                    <w:right w:val="nil"/>
                  </w:tcBorders>
                  <w:shd w:val="clear" w:color="000000" w:fill="FFFF00"/>
                  <w:noWrap/>
                  <w:vAlign w:val="center"/>
                </w:tcPr>
                <w:p w14:paraId="55A10231" w14:textId="77777777" w:rsidR="007850A0" w:rsidRPr="00A10F85" w:rsidRDefault="007850A0" w:rsidP="00E43EDE">
                  <w:pPr>
                    <w:jc w:val="right"/>
                    <w:rPr>
                      <w:rFonts w:ascii="Calibri" w:hAnsi="Calibri" w:cs="Calibri"/>
                      <w:b/>
                      <w:bCs/>
                      <w:color w:val="000000"/>
                      <w:sz w:val="20"/>
                      <w:szCs w:val="20"/>
                    </w:rPr>
                  </w:pPr>
                  <w:r>
                    <w:rPr>
                      <w:rFonts w:ascii="Calibri" w:hAnsi="Calibri" w:cs="Calibri"/>
                      <w:b/>
                      <w:bCs/>
                      <w:color w:val="000000"/>
                      <w:sz w:val="20"/>
                      <w:szCs w:val="20"/>
                    </w:rPr>
                    <w:t>2,192.9</w:t>
                  </w:r>
                </w:p>
              </w:tc>
            </w:tr>
            <w:tr w:rsidR="007850A0" w:rsidRPr="001244BE" w14:paraId="5596CFE5" w14:textId="77777777" w:rsidTr="00E43EDE">
              <w:trPr>
                <w:trHeight w:val="319"/>
              </w:trPr>
              <w:tc>
                <w:tcPr>
                  <w:tcW w:w="4162" w:type="dxa"/>
                  <w:shd w:val="clear" w:color="auto" w:fill="FFFFFF"/>
                  <w:vAlign w:val="bottom"/>
                </w:tcPr>
                <w:p w14:paraId="08FC0060" w14:textId="77777777" w:rsidR="007850A0" w:rsidRPr="00EC0F73" w:rsidRDefault="007850A0" w:rsidP="00E43EDE">
                  <w:pPr>
                    <w:rPr>
                      <w:rFonts w:ascii="Calibri" w:hAnsi="Calibri" w:cs="Calibri"/>
                      <w:b/>
                      <w:bCs/>
                      <w:color w:val="000000"/>
                      <w:sz w:val="20"/>
                      <w:szCs w:val="20"/>
                      <w:lang w:eastAsia="en-IE"/>
                    </w:rPr>
                  </w:pPr>
                </w:p>
              </w:tc>
              <w:tc>
                <w:tcPr>
                  <w:tcW w:w="1497" w:type="dxa"/>
                  <w:tcBorders>
                    <w:top w:val="nil"/>
                    <w:left w:val="nil"/>
                    <w:right w:val="nil"/>
                  </w:tcBorders>
                  <w:shd w:val="clear" w:color="000000" w:fill="FFFF00"/>
                  <w:noWrap/>
                  <w:vAlign w:val="center"/>
                </w:tcPr>
                <w:p w14:paraId="46A70D5C" w14:textId="77777777" w:rsidR="007850A0" w:rsidRPr="001756EF" w:rsidRDefault="007850A0" w:rsidP="00E43EDE">
                  <w:pPr>
                    <w:jc w:val="right"/>
                    <w:rPr>
                      <w:rFonts w:ascii="Calibri" w:hAnsi="Calibri" w:cs="Calibri"/>
                      <w:b/>
                      <w:bCs/>
                      <w:color w:val="000000"/>
                      <w:sz w:val="20"/>
                      <w:szCs w:val="20"/>
                      <w:lang w:eastAsia="en-IE"/>
                    </w:rPr>
                  </w:pPr>
                </w:p>
              </w:tc>
              <w:tc>
                <w:tcPr>
                  <w:tcW w:w="1665" w:type="dxa"/>
                  <w:tcBorders>
                    <w:top w:val="nil"/>
                    <w:left w:val="nil"/>
                    <w:right w:val="nil"/>
                  </w:tcBorders>
                  <w:shd w:val="clear" w:color="000000" w:fill="FFFF00"/>
                  <w:vAlign w:val="center"/>
                </w:tcPr>
                <w:p w14:paraId="11B85BE4" w14:textId="77777777" w:rsidR="007850A0" w:rsidRPr="001756EF" w:rsidRDefault="007850A0" w:rsidP="00E43EDE">
                  <w:pPr>
                    <w:jc w:val="right"/>
                    <w:rPr>
                      <w:rFonts w:ascii="Calibri" w:hAnsi="Calibri" w:cs="Calibri"/>
                      <w:b/>
                      <w:bCs/>
                      <w:color w:val="000000"/>
                      <w:sz w:val="20"/>
                      <w:szCs w:val="20"/>
                    </w:rPr>
                  </w:pPr>
                </w:p>
              </w:tc>
              <w:tc>
                <w:tcPr>
                  <w:tcW w:w="1498" w:type="dxa"/>
                  <w:tcBorders>
                    <w:top w:val="nil"/>
                    <w:left w:val="nil"/>
                    <w:right w:val="nil"/>
                  </w:tcBorders>
                  <w:shd w:val="clear" w:color="000000" w:fill="FFFF00"/>
                  <w:vAlign w:val="center"/>
                </w:tcPr>
                <w:p w14:paraId="68A9E8A8" w14:textId="77777777" w:rsidR="007850A0" w:rsidRPr="00A10F85" w:rsidRDefault="007850A0" w:rsidP="00E43EDE">
                  <w:pPr>
                    <w:ind w:right="68"/>
                    <w:jc w:val="right"/>
                    <w:rPr>
                      <w:rFonts w:ascii="Calibri" w:hAnsi="Calibri" w:cs="Calibri"/>
                      <w:b/>
                      <w:bCs/>
                      <w:sz w:val="20"/>
                      <w:szCs w:val="20"/>
                    </w:rPr>
                  </w:pPr>
                </w:p>
              </w:tc>
              <w:tc>
                <w:tcPr>
                  <w:tcW w:w="1466" w:type="dxa"/>
                  <w:tcBorders>
                    <w:top w:val="nil"/>
                    <w:left w:val="nil"/>
                    <w:right w:val="nil"/>
                  </w:tcBorders>
                  <w:shd w:val="clear" w:color="000000" w:fill="FFFF00"/>
                  <w:noWrap/>
                  <w:vAlign w:val="center"/>
                </w:tcPr>
                <w:p w14:paraId="594F6306" w14:textId="77777777" w:rsidR="007850A0" w:rsidRPr="00A10F85" w:rsidRDefault="007850A0" w:rsidP="00E43EDE">
                  <w:pPr>
                    <w:jc w:val="right"/>
                    <w:rPr>
                      <w:rFonts w:ascii="Calibri" w:hAnsi="Calibri" w:cs="Calibri"/>
                      <w:b/>
                      <w:bCs/>
                      <w:color w:val="000000"/>
                      <w:sz w:val="20"/>
                      <w:szCs w:val="20"/>
                    </w:rPr>
                  </w:pPr>
                </w:p>
              </w:tc>
            </w:tr>
            <w:tr w:rsidR="007850A0" w:rsidRPr="001244BE" w14:paraId="2CC12B04" w14:textId="77777777" w:rsidTr="00E43EDE">
              <w:trPr>
                <w:trHeight w:val="319"/>
              </w:trPr>
              <w:tc>
                <w:tcPr>
                  <w:tcW w:w="4162" w:type="dxa"/>
                  <w:shd w:val="clear" w:color="auto" w:fill="FFFFFF"/>
                  <w:vAlign w:val="bottom"/>
                  <w:hideMark/>
                </w:tcPr>
                <w:p w14:paraId="15B2618E" w14:textId="77777777" w:rsidR="007850A0" w:rsidRPr="00EC0F73" w:rsidRDefault="007850A0" w:rsidP="00E43EDE">
                  <w:pPr>
                    <w:rPr>
                      <w:rFonts w:ascii="Calibri" w:hAnsi="Calibri" w:cs="Calibri"/>
                      <w:b/>
                      <w:bCs/>
                      <w:color w:val="000000"/>
                      <w:sz w:val="20"/>
                      <w:szCs w:val="20"/>
                      <w:lang w:eastAsia="en-IE"/>
                    </w:rPr>
                  </w:pPr>
                  <w:r w:rsidRPr="00EC0F73">
                    <w:rPr>
                      <w:rFonts w:ascii="Calibri" w:hAnsi="Calibri" w:cs="Calibri"/>
                      <w:b/>
                      <w:bCs/>
                      <w:color w:val="000000"/>
                      <w:sz w:val="20"/>
                      <w:szCs w:val="20"/>
                      <w:lang w:eastAsia="en-IE"/>
                    </w:rPr>
                    <w:t xml:space="preserve">Other segment information: </w:t>
                  </w:r>
                </w:p>
              </w:tc>
              <w:tc>
                <w:tcPr>
                  <w:tcW w:w="1497" w:type="dxa"/>
                  <w:shd w:val="clear" w:color="auto" w:fill="FFFF00"/>
                  <w:noWrap/>
                  <w:vAlign w:val="center"/>
                </w:tcPr>
                <w:p w14:paraId="7755447F" w14:textId="77777777" w:rsidR="007850A0" w:rsidRPr="00A10F85" w:rsidRDefault="007850A0" w:rsidP="00E43EDE">
                  <w:pPr>
                    <w:jc w:val="right"/>
                    <w:rPr>
                      <w:rFonts w:ascii="Calibri" w:hAnsi="Calibri" w:cs="Calibri"/>
                      <w:b/>
                      <w:bCs/>
                      <w:color w:val="000000"/>
                      <w:sz w:val="20"/>
                      <w:szCs w:val="20"/>
                      <w:lang w:eastAsia="en-IE"/>
                    </w:rPr>
                  </w:pPr>
                </w:p>
              </w:tc>
              <w:tc>
                <w:tcPr>
                  <w:tcW w:w="1665" w:type="dxa"/>
                  <w:shd w:val="clear" w:color="auto" w:fill="FFFF00"/>
                  <w:vAlign w:val="center"/>
                </w:tcPr>
                <w:p w14:paraId="1D31BA05" w14:textId="77777777" w:rsidR="007850A0" w:rsidRPr="00A10F85" w:rsidRDefault="007850A0" w:rsidP="00E43EDE">
                  <w:pPr>
                    <w:jc w:val="right"/>
                    <w:rPr>
                      <w:rFonts w:ascii="Calibri" w:eastAsia="Calibri" w:hAnsi="Calibri" w:cs="Calibri"/>
                      <w:b/>
                      <w:bCs/>
                      <w:sz w:val="20"/>
                      <w:szCs w:val="20"/>
                      <w:lang w:eastAsia="en-IE"/>
                    </w:rPr>
                  </w:pPr>
                </w:p>
              </w:tc>
              <w:tc>
                <w:tcPr>
                  <w:tcW w:w="1498" w:type="dxa"/>
                  <w:shd w:val="clear" w:color="auto" w:fill="FFFF00"/>
                  <w:vAlign w:val="center"/>
                </w:tcPr>
                <w:p w14:paraId="17BA0B4A" w14:textId="77777777" w:rsidR="007850A0" w:rsidRPr="00A10F85" w:rsidRDefault="007850A0" w:rsidP="00E43EDE">
                  <w:pPr>
                    <w:ind w:right="68"/>
                    <w:jc w:val="right"/>
                    <w:rPr>
                      <w:rFonts w:ascii="Calibri" w:eastAsia="Calibri" w:hAnsi="Calibri" w:cs="Calibri"/>
                      <w:b/>
                      <w:bCs/>
                      <w:sz w:val="20"/>
                      <w:szCs w:val="20"/>
                      <w:lang w:eastAsia="en-IE"/>
                    </w:rPr>
                  </w:pPr>
                </w:p>
              </w:tc>
              <w:tc>
                <w:tcPr>
                  <w:tcW w:w="1466" w:type="dxa"/>
                  <w:shd w:val="clear" w:color="auto" w:fill="FFFF00"/>
                  <w:noWrap/>
                  <w:vAlign w:val="center"/>
                </w:tcPr>
                <w:p w14:paraId="574FD592" w14:textId="77777777" w:rsidR="007850A0" w:rsidRPr="00A10F85" w:rsidRDefault="007850A0" w:rsidP="00E43EDE">
                  <w:pPr>
                    <w:jc w:val="right"/>
                    <w:rPr>
                      <w:rFonts w:ascii="Calibri" w:eastAsia="Calibri" w:hAnsi="Calibri" w:cs="Calibri"/>
                      <w:b/>
                      <w:bCs/>
                      <w:sz w:val="20"/>
                      <w:szCs w:val="20"/>
                      <w:lang w:eastAsia="en-IE"/>
                    </w:rPr>
                  </w:pPr>
                </w:p>
              </w:tc>
            </w:tr>
            <w:tr w:rsidR="007850A0" w:rsidRPr="001244BE" w14:paraId="579A306B" w14:textId="77777777" w:rsidTr="00E43EDE">
              <w:trPr>
                <w:trHeight w:val="319"/>
              </w:trPr>
              <w:tc>
                <w:tcPr>
                  <w:tcW w:w="4162" w:type="dxa"/>
                  <w:shd w:val="clear" w:color="auto" w:fill="FFFFFF"/>
                  <w:vAlign w:val="bottom"/>
                  <w:hideMark/>
                </w:tcPr>
                <w:p w14:paraId="099BFE4A" w14:textId="77777777" w:rsidR="007850A0" w:rsidRPr="00EC0F73" w:rsidRDefault="007850A0" w:rsidP="00E43EDE">
                  <w:pPr>
                    <w:rPr>
                      <w:rFonts w:ascii="Calibri" w:hAnsi="Calibri" w:cs="Calibri"/>
                      <w:color w:val="000000"/>
                      <w:sz w:val="20"/>
                      <w:szCs w:val="20"/>
                      <w:lang w:eastAsia="en-IE"/>
                    </w:rPr>
                  </w:pPr>
                  <w:r w:rsidRPr="00EC0F73">
                    <w:rPr>
                      <w:rFonts w:ascii="Calibri" w:hAnsi="Calibri" w:cs="Calibri"/>
                      <w:color w:val="000000"/>
                      <w:sz w:val="20"/>
                      <w:szCs w:val="20"/>
                      <w:lang w:eastAsia="en-IE"/>
                    </w:rPr>
                    <w:t>Depreciation</w:t>
                  </w:r>
                </w:p>
              </w:tc>
              <w:tc>
                <w:tcPr>
                  <w:tcW w:w="1497" w:type="dxa"/>
                  <w:tcBorders>
                    <w:top w:val="nil"/>
                    <w:left w:val="nil"/>
                    <w:right w:val="nil"/>
                  </w:tcBorders>
                  <w:shd w:val="clear" w:color="000000" w:fill="FFFF00"/>
                  <w:noWrap/>
                  <w:vAlign w:val="center"/>
                </w:tcPr>
                <w:p w14:paraId="40771B73" w14:textId="77777777" w:rsidR="007850A0" w:rsidRPr="00A10F85"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(790.8)</w:t>
                  </w:r>
                </w:p>
              </w:tc>
              <w:tc>
                <w:tcPr>
                  <w:tcW w:w="1665" w:type="dxa"/>
                  <w:tcBorders>
                    <w:top w:val="nil"/>
                    <w:left w:val="nil"/>
                    <w:right w:val="nil"/>
                  </w:tcBorders>
                  <w:shd w:val="clear" w:color="000000" w:fill="FFFF00"/>
                  <w:vAlign w:val="center"/>
                </w:tcPr>
                <w:p w14:paraId="3464D7F4" w14:textId="77777777" w:rsidR="007850A0" w:rsidRPr="00A10F85" w:rsidRDefault="007850A0" w:rsidP="00E43EDE">
                  <w:pPr>
                    <w:jc w:val="right"/>
                    <w:rPr>
                      <w:rFonts w:ascii="Calibri" w:hAnsi="Calibri" w:cs="Calibri"/>
                      <w:b/>
                      <w:bCs/>
                      <w:color w:val="000000"/>
                      <w:sz w:val="20"/>
                      <w:szCs w:val="20"/>
                    </w:rPr>
                  </w:pPr>
                  <w:r>
                    <w:rPr>
                      <w:rFonts w:ascii="Calibri" w:hAnsi="Calibri" w:cs="Calibri"/>
                      <w:b/>
                      <w:bCs/>
                      <w:color w:val="000000"/>
                      <w:sz w:val="20"/>
                      <w:szCs w:val="20"/>
                    </w:rPr>
                    <w:t>(31.4)</w:t>
                  </w:r>
                </w:p>
              </w:tc>
              <w:tc>
                <w:tcPr>
                  <w:tcW w:w="1498" w:type="dxa"/>
                  <w:tcBorders>
                    <w:top w:val="nil"/>
                    <w:left w:val="nil"/>
                    <w:right w:val="nil"/>
                  </w:tcBorders>
                  <w:shd w:val="clear" w:color="000000" w:fill="FFFF00"/>
                  <w:vAlign w:val="center"/>
                </w:tcPr>
                <w:p w14:paraId="1BBD88EE" w14:textId="77777777" w:rsidR="007850A0" w:rsidRPr="00A10F85" w:rsidRDefault="007850A0" w:rsidP="00E43EDE">
                  <w:pPr>
                    <w:ind w:right="68"/>
                    <w:jc w:val="right"/>
                    <w:rPr>
                      <w:rFonts w:ascii="Calibri" w:hAnsi="Calibri" w:cs="Calibri"/>
                      <w:b/>
                      <w:bCs/>
                      <w:color w:val="000000"/>
                      <w:sz w:val="20"/>
                      <w:szCs w:val="20"/>
                    </w:rPr>
                  </w:pPr>
                  <w:r>
                    <w:rPr>
                      <w:rFonts w:ascii="Calibri" w:hAnsi="Calibri" w:cs="Calibri"/>
                      <w:b/>
                      <w:bCs/>
                      <w:color w:val="000000"/>
                      <w:sz w:val="20"/>
                      <w:szCs w:val="20"/>
                    </w:rPr>
                    <w:t>-</w:t>
                  </w:r>
                </w:p>
              </w:tc>
              <w:tc>
                <w:tcPr>
                  <w:tcW w:w="1466" w:type="dxa"/>
                  <w:tcBorders>
                    <w:top w:val="nil"/>
                    <w:left w:val="nil"/>
                    <w:right w:val="nil"/>
                  </w:tcBorders>
                  <w:shd w:val="clear" w:color="000000" w:fill="FFFF00"/>
                  <w:noWrap/>
                  <w:vAlign w:val="center"/>
                </w:tcPr>
                <w:p w14:paraId="513ACB68" w14:textId="77777777" w:rsidR="007850A0" w:rsidRPr="00A10F85" w:rsidRDefault="007850A0" w:rsidP="00E43EDE">
                  <w:pPr>
                    <w:jc w:val="right"/>
                    <w:rPr>
                      <w:rFonts w:ascii="Calibri" w:hAnsi="Calibri" w:cs="Calibri"/>
                      <w:b/>
                      <w:bCs/>
                      <w:color w:val="000000"/>
                      <w:sz w:val="20"/>
                      <w:szCs w:val="20"/>
                    </w:rPr>
                  </w:pPr>
                  <w:r>
                    <w:rPr>
                      <w:rFonts w:ascii="Calibri" w:hAnsi="Calibri" w:cs="Calibri"/>
                      <w:b/>
                      <w:bCs/>
                      <w:color w:val="000000"/>
                      <w:sz w:val="20"/>
                      <w:szCs w:val="20"/>
                    </w:rPr>
                    <w:t>(822.2)</w:t>
                  </w:r>
                </w:p>
              </w:tc>
            </w:tr>
            <w:tr w:rsidR="007850A0" w:rsidRPr="001244BE" w14:paraId="764FC97A" w14:textId="77777777" w:rsidTr="00E43EDE">
              <w:trPr>
                <w:trHeight w:val="319"/>
              </w:trPr>
              <w:tc>
                <w:tcPr>
                  <w:tcW w:w="4162" w:type="dxa"/>
                  <w:shd w:val="clear" w:color="auto" w:fill="FFFFFF"/>
                  <w:vAlign w:val="bottom"/>
                </w:tcPr>
                <w:p w14:paraId="51405854" w14:textId="77777777" w:rsidR="007850A0" w:rsidRPr="00EC0F73" w:rsidRDefault="007850A0" w:rsidP="00E43EDE">
                  <w:pPr>
                    <w:rPr>
                      <w:rFonts w:ascii="Calibri" w:hAnsi="Calibri" w:cs="Calibri"/>
                      <w:color w:val="000000"/>
                      <w:sz w:val="20"/>
                      <w:szCs w:val="20"/>
                      <w:lang w:eastAsia="en-IE"/>
                    </w:rPr>
                  </w:pPr>
                  <w:r w:rsidRPr="00EC0F73">
                    <w:rPr>
                      <w:rFonts w:ascii="Calibri" w:hAnsi="Calibri" w:cs="Calibri"/>
                      <w:color w:val="000000"/>
                      <w:sz w:val="20"/>
                      <w:szCs w:val="20"/>
                      <w:lang w:eastAsia="en-IE"/>
                    </w:rPr>
                    <w:t>Net finance income</w:t>
                  </w:r>
                  <w:r>
                    <w:rPr>
                      <w:rFonts w:ascii="Calibri" w:hAnsi="Calibri" w:cs="Calibri"/>
                      <w:color w:val="000000"/>
                      <w:sz w:val="20"/>
                      <w:szCs w:val="20"/>
                      <w:lang w:eastAsia="en-IE"/>
                    </w:rPr>
                    <w:t>/(expense)</w:t>
                  </w:r>
                </w:p>
              </w:tc>
              <w:tc>
                <w:tcPr>
                  <w:tcW w:w="1497" w:type="dxa"/>
                  <w:tcBorders>
                    <w:top w:val="nil"/>
                    <w:left w:val="nil"/>
                    <w:right w:val="nil"/>
                  </w:tcBorders>
                  <w:shd w:val="clear" w:color="000000" w:fill="FFFF00"/>
                  <w:noWrap/>
                  <w:vAlign w:val="center"/>
                </w:tcPr>
                <w:p w14:paraId="2C897817" w14:textId="77777777" w:rsidR="007850A0" w:rsidRPr="00A10F85"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54.0</w:t>
                  </w:r>
                </w:p>
              </w:tc>
              <w:tc>
                <w:tcPr>
                  <w:tcW w:w="1665" w:type="dxa"/>
                  <w:tcBorders>
                    <w:top w:val="nil"/>
                    <w:left w:val="nil"/>
                    <w:right w:val="nil"/>
                  </w:tcBorders>
                  <w:shd w:val="clear" w:color="000000" w:fill="FFFF00"/>
                  <w:vAlign w:val="center"/>
                </w:tcPr>
                <w:p w14:paraId="30D0E193" w14:textId="77777777" w:rsidR="007850A0" w:rsidRPr="00A10F85" w:rsidRDefault="007850A0" w:rsidP="00E43EDE">
                  <w:pPr>
                    <w:jc w:val="right"/>
                    <w:rPr>
                      <w:rFonts w:ascii="Calibri" w:hAnsi="Calibri" w:cs="Calibri"/>
                      <w:b/>
                      <w:bCs/>
                      <w:sz w:val="20"/>
                      <w:szCs w:val="20"/>
                    </w:rPr>
                  </w:pPr>
                  <w:r>
                    <w:rPr>
                      <w:rFonts w:ascii="Calibri" w:hAnsi="Calibri" w:cs="Calibri"/>
                      <w:b/>
                      <w:bCs/>
                      <w:sz w:val="20"/>
                      <w:szCs w:val="20"/>
                    </w:rPr>
                    <w:t>(6.4)</w:t>
                  </w:r>
                </w:p>
              </w:tc>
              <w:tc>
                <w:tcPr>
                  <w:tcW w:w="1498" w:type="dxa"/>
                  <w:tcBorders>
                    <w:top w:val="nil"/>
                    <w:left w:val="nil"/>
                    <w:right w:val="nil"/>
                  </w:tcBorders>
                  <w:shd w:val="clear" w:color="000000" w:fill="FFFF00"/>
                  <w:vAlign w:val="center"/>
                </w:tcPr>
                <w:p w14:paraId="586A885C" w14:textId="77777777" w:rsidR="007850A0" w:rsidRPr="00A10F85" w:rsidRDefault="007850A0" w:rsidP="00E43EDE">
                  <w:pPr>
                    <w:ind w:right="68"/>
                    <w:jc w:val="right"/>
                    <w:rPr>
                      <w:rFonts w:ascii="Calibri" w:eastAsia="Calibri" w:hAnsi="Calibri" w:cs="Calibri"/>
                      <w:b/>
                      <w:bCs/>
                      <w:sz w:val="20"/>
                      <w:szCs w:val="20"/>
                      <w:lang w:eastAsia="en-IE"/>
                    </w:rPr>
                  </w:pPr>
                  <w:r>
                    <w:rPr>
                      <w:rFonts w:ascii="Calibri" w:eastAsia="Calibri" w:hAnsi="Calibri" w:cs="Calibri"/>
                      <w:b/>
                      <w:bCs/>
                      <w:sz w:val="20"/>
                      <w:szCs w:val="20"/>
                      <w:lang w:eastAsia="en-IE"/>
                    </w:rPr>
                    <w:t>-</w:t>
                  </w:r>
                </w:p>
              </w:tc>
              <w:tc>
                <w:tcPr>
                  <w:tcW w:w="1466" w:type="dxa"/>
                  <w:tcBorders>
                    <w:top w:val="nil"/>
                    <w:left w:val="nil"/>
                    <w:right w:val="nil"/>
                  </w:tcBorders>
                  <w:shd w:val="clear" w:color="000000" w:fill="FFFF00"/>
                  <w:noWrap/>
                  <w:vAlign w:val="center"/>
                </w:tcPr>
                <w:p w14:paraId="09FE27F6" w14:textId="77777777" w:rsidR="007850A0" w:rsidRPr="00A10F85" w:rsidRDefault="007850A0" w:rsidP="00E43EDE">
                  <w:pPr>
                    <w:jc w:val="right"/>
                    <w:rPr>
                      <w:rFonts w:ascii="Calibri" w:eastAsia="Calibri" w:hAnsi="Calibri" w:cs="Calibri"/>
                      <w:b/>
                      <w:bCs/>
                      <w:sz w:val="20"/>
                      <w:szCs w:val="20"/>
                      <w:lang w:eastAsia="en-IE"/>
                    </w:rPr>
                  </w:pPr>
                  <w:r>
                    <w:rPr>
                      <w:rFonts w:ascii="Calibri" w:eastAsia="Calibri" w:hAnsi="Calibri" w:cs="Calibri"/>
                      <w:b/>
                      <w:bCs/>
                      <w:sz w:val="20"/>
                      <w:szCs w:val="20"/>
                      <w:lang w:eastAsia="en-IE"/>
                    </w:rPr>
                    <w:t>47.6</w:t>
                  </w:r>
                </w:p>
              </w:tc>
            </w:tr>
            <w:tr w:rsidR="007850A0" w:rsidRPr="001244BE" w14:paraId="3D80CCA7" w14:textId="77777777" w:rsidTr="00E43EDE">
              <w:trPr>
                <w:trHeight w:val="319"/>
              </w:trPr>
              <w:tc>
                <w:tcPr>
                  <w:tcW w:w="4162" w:type="dxa"/>
                  <w:shd w:val="clear" w:color="auto" w:fill="FFFFFF"/>
                  <w:vAlign w:val="bottom"/>
                  <w:hideMark/>
                </w:tcPr>
                <w:p w14:paraId="6DF1479A" w14:textId="77777777" w:rsidR="007850A0" w:rsidRPr="00EC0F73" w:rsidRDefault="007850A0" w:rsidP="00E43EDE">
                  <w:pPr>
                    <w:rPr>
                      <w:rFonts w:ascii="Calibri" w:hAnsi="Calibri" w:cs="Calibri"/>
                      <w:color w:val="000000"/>
                      <w:sz w:val="20"/>
                      <w:szCs w:val="20"/>
                      <w:lang w:eastAsia="en-IE"/>
                    </w:rPr>
                  </w:pPr>
                  <w:r w:rsidRPr="00EC0F73">
                    <w:rPr>
                      <w:rFonts w:ascii="Calibri" w:hAnsi="Calibri" w:cs="Calibri"/>
                      <w:color w:val="000000"/>
                      <w:sz w:val="20"/>
                      <w:szCs w:val="20"/>
                      <w:lang w:eastAsia="en-IE"/>
                    </w:rPr>
                    <w:t>Capital expenditure</w:t>
                  </w:r>
                </w:p>
              </w:tc>
              <w:tc>
                <w:tcPr>
                  <w:tcW w:w="1497" w:type="dxa"/>
                  <w:tcBorders>
                    <w:left w:val="nil"/>
                    <w:right w:val="nil"/>
                  </w:tcBorders>
                  <w:shd w:val="clear" w:color="000000" w:fill="FFFF00"/>
                  <w:noWrap/>
                  <w:vAlign w:val="bottom"/>
                </w:tcPr>
                <w:p w14:paraId="5C54C991" w14:textId="77777777" w:rsidR="007850A0" w:rsidRPr="00436524" w:rsidRDefault="007850A0" w:rsidP="00E43EDE">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w:t>
                  </w:r>
                  <w:r w:rsidRPr="00436524">
                    <w:rPr>
                      <w:rFonts w:ascii="Calibri" w:hAnsi="Calibri" w:cs="Calibri"/>
                      <w:b/>
                      <w:bCs/>
                      <w:color w:val="000000"/>
                      <w:sz w:val="20"/>
                      <w:szCs w:val="20"/>
                      <w:lang w:eastAsia="en-IE"/>
                    </w:rPr>
                    <w:t>1,489.1</w:t>
                  </w:r>
                  <w:r>
                    <w:rPr>
                      <w:rFonts w:ascii="Calibri" w:hAnsi="Calibri" w:cs="Calibri"/>
                      <w:b/>
                      <w:bCs/>
                      <w:color w:val="000000"/>
                      <w:sz w:val="20"/>
                      <w:szCs w:val="20"/>
                      <w:lang w:eastAsia="en-IE"/>
                    </w:rPr>
                    <w:t>)</w:t>
                  </w:r>
                </w:p>
              </w:tc>
              <w:tc>
                <w:tcPr>
                  <w:tcW w:w="1665" w:type="dxa"/>
                  <w:tcBorders>
                    <w:left w:val="nil"/>
                    <w:right w:val="nil"/>
                  </w:tcBorders>
                  <w:shd w:val="clear" w:color="000000" w:fill="FFFF00"/>
                  <w:vAlign w:val="bottom"/>
                </w:tcPr>
                <w:p w14:paraId="3BC5ABCC" w14:textId="77777777" w:rsidR="007850A0" w:rsidRPr="00436524" w:rsidRDefault="007850A0" w:rsidP="00E43EDE">
                  <w:pPr>
                    <w:jc w:val="right"/>
                    <w:rPr>
                      <w:rFonts w:ascii="Calibri" w:hAnsi="Calibri" w:cs="Calibri"/>
                      <w:b/>
                      <w:bCs/>
                      <w:sz w:val="20"/>
                      <w:szCs w:val="20"/>
                    </w:rPr>
                  </w:pPr>
                  <w:r>
                    <w:rPr>
                      <w:rFonts w:ascii="Calibri" w:hAnsi="Calibri" w:cs="Calibri"/>
                      <w:b/>
                      <w:bCs/>
                      <w:sz w:val="20"/>
                      <w:szCs w:val="20"/>
                    </w:rPr>
                    <w:t>(</w:t>
                  </w:r>
                  <w:r w:rsidRPr="00436524">
                    <w:rPr>
                      <w:rFonts w:ascii="Calibri" w:hAnsi="Calibri" w:cs="Calibri"/>
                      <w:b/>
                      <w:bCs/>
                      <w:sz w:val="20"/>
                      <w:szCs w:val="20"/>
                    </w:rPr>
                    <w:t>42.2</w:t>
                  </w:r>
                  <w:r>
                    <w:rPr>
                      <w:rFonts w:ascii="Calibri" w:hAnsi="Calibri" w:cs="Calibri"/>
                      <w:b/>
                      <w:bCs/>
                      <w:sz w:val="20"/>
                      <w:szCs w:val="20"/>
                    </w:rPr>
                    <w:t>)</w:t>
                  </w:r>
                </w:p>
              </w:tc>
              <w:tc>
                <w:tcPr>
                  <w:tcW w:w="1498" w:type="dxa"/>
                  <w:tcBorders>
                    <w:left w:val="nil"/>
                    <w:right w:val="nil"/>
                  </w:tcBorders>
                  <w:shd w:val="clear" w:color="000000" w:fill="FFFF00"/>
                  <w:vAlign w:val="bottom"/>
                </w:tcPr>
                <w:p w14:paraId="295C8F12" w14:textId="77777777" w:rsidR="007850A0" w:rsidRPr="00436524" w:rsidRDefault="007850A0" w:rsidP="00E43EDE">
                  <w:pPr>
                    <w:ind w:right="68"/>
                    <w:jc w:val="right"/>
                    <w:rPr>
                      <w:rFonts w:ascii="Calibri" w:eastAsia="Calibri" w:hAnsi="Calibri" w:cs="Calibri"/>
                      <w:b/>
                      <w:bCs/>
                      <w:sz w:val="20"/>
                      <w:szCs w:val="20"/>
                      <w:lang w:eastAsia="en-IE"/>
                    </w:rPr>
                  </w:pPr>
                  <w:r w:rsidRPr="00436524">
                    <w:rPr>
                      <w:rFonts w:ascii="Calibri" w:eastAsia="Calibri" w:hAnsi="Calibri" w:cs="Calibri"/>
                      <w:b/>
                      <w:bCs/>
                      <w:sz w:val="20"/>
                      <w:szCs w:val="20"/>
                      <w:lang w:eastAsia="en-IE"/>
                    </w:rPr>
                    <w:t>-</w:t>
                  </w:r>
                </w:p>
              </w:tc>
              <w:tc>
                <w:tcPr>
                  <w:tcW w:w="1466" w:type="dxa"/>
                  <w:tcBorders>
                    <w:left w:val="nil"/>
                    <w:right w:val="nil"/>
                  </w:tcBorders>
                  <w:shd w:val="clear" w:color="000000" w:fill="FFFF00"/>
                  <w:noWrap/>
                  <w:vAlign w:val="bottom"/>
                </w:tcPr>
                <w:p w14:paraId="5EE976D6" w14:textId="77777777" w:rsidR="007850A0" w:rsidRPr="00436524" w:rsidRDefault="007850A0" w:rsidP="00E43EDE">
                  <w:pPr>
                    <w:jc w:val="right"/>
                    <w:rPr>
                      <w:rFonts w:ascii="Calibri" w:eastAsia="Calibri" w:hAnsi="Calibri" w:cs="Calibri"/>
                      <w:b/>
                      <w:bCs/>
                      <w:sz w:val="20"/>
                      <w:szCs w:val="20"/>
                      <w:lang w:eastAsia="en-IE"/>
                    </w:rPr>
                  </w:pPr>
                  <w:r>
                    <w:rPr>
                      <w:rFonts w:ascii="Calibri" w:eastAsia="Calibri" w:hAnsi="Calibri" w:cs="Calibri"/>
                      <w:b/>
                      <w:bCs/>
                      <w:sz w:val="20"/>
                      <w:szCs w:val="20"/>
                      <w:lang w:eastAsia="en-IE"/>
                    </w:rPr>
                    <w:t>(</w:t>
                  </w:r>
                  <w:r w:rsidRPr="00436524">
                    <w:rPr>
                      <w:rFonts w:ascii="Calibri" w:eastAsia="Calibri" w:hAnsi="Calibri" w:cs="Calibri"/>
                      <w:b/>
                      <w:bCs/>
                      <w:sz w:val="20"/>
                      <w:szCs w:val="20"/>
                      <w:lang w:eastAsia="en-IE"/>
                    </w:rPr>
                    <w:t>1,531.3</w:t>
                  </w:r>
                  <w:r>
                    <w:rPr>
                      <w:rFonts w:ascii="Calibri" w:eastAsia="Calibri" w:hAnsi="Calibri" w:cs="Calibri"/>
                      <w:b/>
                      <w:bCs/>
                      <w:sz w:val="20"/>
                      <w:szCs w:val="20"/>
                      <w:lang w:eastAsia="en-IE"/>
                    </w:rPr>
                    <w:t>)</w:t>
                  </w:r>
                </w:p>
              </w:tc>
            </w:tr>
            <w:tr w:rsidR="007850A0" w:rsidRPr="001244BE" w14:paraId="7DEB8E20" w14:textId="77777777" w:rsidTr="00E43EDE">
              <w:trPr>
                <w:trHeight w:val="319"/>
              </w:trPr>
              <w:tc>
                <w:tcPr>
                  <w:tcW w:w="4162" w:type="dxa"/>
                  <w:shd w:val="clear" w:color="auto" w:fill="FFFFFF"/>
                  <w:vAlign w:val="bottom"/>
                </w:tcPr>
                <w:p w14:paraId="11380580" w14:textId="77777777" w:rsidR="007850A0" w:rsidRPr="00EC0F73" w:rsidRDefault="007850A0" w:rsidP="00E43EDE">
                  <w:pPr>
                    <w:rPr>
                      <w:rFonts w:ascii="Calibri" w:hAnsi="Calibri" w:cs="Calibri"/>
                      <w:color w:val="000000"/>
                      <w:sz w:val="20"/>
                      <w:szCs w:val="20"/>
                      <w:lang w:eastAsia="en-IE"/>
                    </w:rPr>
                  </w:pPr>
                </w:p>
              </w:tc>
              <w:tc>
                <w:tcPr>
                  <w:tcW w:w="1497" w:type="dxa"/>
                  <w:tcBorders>
                    <w:left w:val="nil"/>
                    <w:right w:val="nil"/>
                  </w:tcBorders>
                  <w:shd w:val="clear" w:color="000000" w:fill="FFFF00"/>
                  <w:noWrap/>
                  <w:vAlign w:val="center"/>
                </w:tcPr>
                <w:p w14:paraId="2D37C961" w14:textId="77777777" w:rsidR="007850A0" w:rsidRPr="00A10F85" w:rsidRDefault="007850A0" w:rsidP="00E43EDE">
                  <w:pPr>
                    <w:jc w:val="right"/>
                    <w:rPr>
                      <w:rFonts w:ascii="Calibri" w:hAnsi="Calibri" w:cs="Calibri"/>
                      <w:b/>
                      <w:bCs/>
                      <w:color w:val="000000"/>
                      <w:sz w:val="20"/>
                      <w:szCs w:val="20"/>
                      <w:lang w:eastAsia="en-IE"/>
                    </w:rPr>
                  </w:pPr>
                </w:p>
              </w:tc>
              <w:tc>
                <w:tcPr>
                  <w:tcW w:w="1665" w:type="dxa"/>
                  <w:tcBorders>
                    <w:left w:val="nil"/>
                    <w:right w:val="nil"/>
                  </w:tcBorders>
                  <w:shd w:val="clear" w:color="000000" w:fill="FFFF00"/>
                  <w:vAlign w:val="center"/>
                </w:tcPr>
                <w:p w14:paraId="50356BD3" w14:textId="77777777" w:rsidR="007850A0" w:rsidRPr="00A10F85" w:rsidRDefault="007850A0" w:rsidP="00E43EDE">
                  <w:pPr>
                    <w:jc w:val="right"/>
                    <w:rPr>
                      <w:rFonts w:ascii="Calibri" w:hAnsi="Calibri" w:cs="Calibri"/>
                      <w:b/>
                      <w:bCs/>
                      <w:sz w:val="20"/>
                      <w:szCs w:val="20"/>
                      <w:highlight w:val="yellow"/>
                    </w:rPr>
                  </w:pPr>
                </w:p>
              </w:tc>
              <w:tc>
                <w:tcPr>
                  <w:tcW w:w="1498" w:type="dxa"/>
                  <w:tcBorders>
                    <w:left w:val="nil"/>
                    <w:right w:val="nil"/>
                  </w:tcBorders>
                  <w:shd w:val="clear" w:color="000000" w:fill="FFFF00"/>
                  <w:vAlign w:val="center"/>
                </w:tcPr>
                <w:p w14:paraId="2C765279" w14:textId="77777777" w:rsidR="007850A0" w:rsidRPr="00A10F85" w:rsidRDefault="007850A0" w:rsidP="00E43EDE">
                  <w:pPr>
                    <w:ind w:right="68"/>
                    <w:jc w:val="right"/>
                    <w:rPr>
                      <w:rFonts w:ascii="Calibri" w:eastAsia="Calibri" w:hAnsi="Calibri" w:cs="Calibri"/>
                      <w:b/>
                      <w:bCs/>
                      <w:sz w:val="20"/>
                      <w:szCs w:val="20"/>
                      <w:lang w:eastAsia="en-IE"/>
                    </w:rPr>
                  </w:pPr>
                </w:p>
              </w:tc>
              <w:tc>
                <w:tcPr>
                  <w:tcW w:w="1466" w:type="dxa"/>
                  <w:tcBorders>
                    <w:left w:val="nil"/>
                    <w:right w:val="nil"/>
                  </w:tcBorders>
                  <w:shd w:val="clear" w:color="000000" w:fill="FFFF00"/>
                  <w:noWrap/>
                  <w:vAlign w:val="center"/>
                </w:tcPr>
                <w:p w14:paraId="5246B71C" w14:textId="77777777" w:rsidR="007850A0" w:rsidRPr="00A10F85" w:rsidRDefault="007850A0" w:rsidP="00E43EDE">
                  <w:pPr>
                    <w:jc w:val="right"/>
                    <w:rPr>
                      <w:rFonts w:ascii="Calibri" w:eastAsia="Calibri" w:hAnsi="Calibri" w:cs="Calibri"/>
                      <w:b/>
                      <w:bCs/>
                      <w:sz w:val="20"/>
                      <w:szCs w:val="20"/>
                      <w:highlight w:val="green"/>
                      <w:lang w:eastAsia="en-IE"/>
                    </w:rPr>
                  </w:pPr>
                </w:p>
              </w:tc>
            </w:tr>
            <w:tr w:rsidR="007850A0" w:rsidRPr="001244BE" w14:paraId="116BAD74" w14:textId="77777777" w:rsidTr="00F62D01">
              <w:trPr>
                <w:trHeight w:val="319"/>
              </w:trPr>
              <w:tc>
                <w:tcPr>
                  <w:tcW w:w="4162" w:type="dxa"/>
                  <w:shd w:val="clear" w:color="auto" w:fill="FFFFFF"/>
                  <w:vAlign w:val="bottom"/>
                  <w:hideMark/>
                </w:tcPr>
                <w:p w14:paraId="50B8637A" w14:textId="77777777" w:rsidR="007850A0" w:rsidRPr="00EC0F73" w:rsidRDefault="007850A0" w:rsidP="00E43EDE">
                  <w:pPr>
                    <w:rPr>
                      <w:rFonts w:ascii="Calibri" w:hAnsi="Calibri" w:cs="Calibri"/>
                      <w:color w:val="000000"/>
                      <w:sz w:val="20"/>
                      <w:szCs w:val="20"/>
                      <w:lang w:eastAsia="en-IE"/>
                    </w:rPr>
                  </w:pPr>
                  <w:r w:rsidRPr="00EC0F73">
                    <w:rPr>
                      <w:rFonts w:ascii="Calibri" w:hAnsi="Calibri" w:cs="Calibri"/>
                      <w:color w:val="000000"/>
                      <w:sz w:val="20"/>
                      <w:szCs w:val="20"/>
                      <w:lang w:eastAsia="en-IE"/>
                    </w:rPr>
                    <w:t>Segment assets</w:t>
                  </w:r>
                </w:p>
              </w:tc>
              <w:tc>
                <w:tcPr>
                  <w:tcW w:w="1497" w:type="dxa"/>
                  <w:tcBorders>
                    <w:top w:val="nil"/>
                    <w:left w:val="nil"/>
                    <w:bottom w:val="nil"/>
                    <w:right w:val="nil"/>
                  </w:tcBorders>
                  <w:shd w:val="clear" w:color="000000" w:fill="FFFF00"/>
                  <w:noWrap/>
                  <w:vAlign w:val="bottom"/>
                </w:tcPr>
                <w:p w14:paraId="4CCD10EB" w14:textId="77777777" w:rsidR="007850A0" w:rsidRPr="00D228EA" w:rsidRDefault="007850A0" w:rsidP="00F62D01">
                  <w:pPr>
                    <w:ind w:left="-245"/>
                    <w:jc w:val="right"/>
                    <w:rPr>
                      <w:rFonts w:ascii="Calibri" w:hAnsi="Calibri" w:cs="Calibri"/>
                      <w:b/>
                      <w:bCs/>
                      <w:color w:val="000000"/>
                      <w:sz w:val="20"/>
                      <w:szCs w:val="20"/>
                      <w:lang w:eastAsia="en-IE"/>
                    </w:rPr>
                  </w:pPr>
                  <w:r w:rsidRPr="00D228EA">
                    <w:rPr>
                      <w:rFonts w:ascii="Calibri" w:hAnsi="Calibri" w:cs="Calibri"/>
                      <w:b/>
                      <w:bCs/>
                      <w:color w:val="000000"/>
                      <w:sz w:val="20"/>
                      <w:szCs w:val="20"/>
                      <w:lang w:eastAsia="en-IE"/>
                    </w:rPr>
                    <w:t>15,</w:t>
                  </w:r>
                  <w:r w:rsidR="00F62D01">
                    <w:rPr>
                      <w:rFonts w:ascii="Calibri" w:hAnsi="Calibri" w:cs="Calibri"/>
                      <w:b/>
                      <w:bCs/>
                      <w:color w:val="000000"/>
                      <w:sz w:val="20"/>
                      <w:szCs w:val="20"/>
                      <w:lang w:eastAsia="en-IE"/>
                    </w:rPr>
                    <w:t>112.1</w:t>
                  </w:r>
                </w:p>
              </w:tc>
              <w:tc>
                <w:tcPr>
                  <w:tcW w:w="1665" w:type="dxa"/>
                  <w:tcBorders>
                    <w:top w:val="nil"/>
                    <w:left w:val="nil"/>
                    <w:bottom w:val="nil"/>
                    <w:right w:val="nil"/>
                  </w:tcBorders>
                  <w:shd w:val="clear" w:color="000000" w:fill="FFFF00"/>
                  <w:vAlign w:val="bottom"/>
                </w:tcPr>
                <w:p w14:paraId="720ED9CA" w14:textId="77777777" w:rsidR="007850A0" w:rsidRPr="00682230" w:rsidRDefault="007850A0" w:rsidP="00F62D01">
                  <w:pPr>
                    <w:jc w:val="right"/>
                    <w:rPr>
                      <w:rFonts w:ascii="Calibri" w:hAnsi="Calibri" w:cs="Calibri"/>
                      <w:b/>
                      <w:bCs/>
                      <w:color w:val="000000"/>
                      <w:sz w:val="20"/>
                      <w:szCs w:val="20"/>
                    </w:rPr>
                  </w:pPr>
                  <w:r>
                    <w:rPr>
                      <w:rFonts w:ascii="Calibri" w:hAnsi="Calibri" w:cs="Calibri"/>
                      <w:b/>
                      <w:bCs/>
                      <w:color w:val="000000"/>
                      <w:sz w:val="20"/>
                      <w:szCs w:val="20"/>
                    </w:rPr>
                    <w:t>343.6</w:t>
                  </w:r>
                </w:p>
              </w:tc>
              <w:tc>
                <w:tcPr>
                  <w:tcW w:w="1498" w:type="dxa"/>
                  <w:tcBorders>
                    <w:top w:val="nil"/>
                    <w:left w:val="nil"/>
                    <w:bottom w:val="nil"/>
                    <w:right w:val="nil"/>
                  </w:tcBorders>
                  <w:shd w:val="clear" w:color="000000" w:fill="FFFF00"/>
                  <w:vAlign w:val="bottom"/>
                </w:tcPr>
                <w:p w14:paraId="3EC61318" w14:textId="77777777" w:rsidR="007850A0" w:rsidRPr="00682230" w:rsidRDefault="007850A0" w:rsidP="00F62D01">
                  <w:pPr>
                    <w:ind w:right="68"/>
                    <w:jc w:val="right"/>
                    <w:rPr>
                      <w:rFonts w:ascii="Calibri" w:eastAsia="Calibri" w:hAnsi="Calibri" w:cs="Calibri"/>
                      <w:b/>
                      <w:bCs/>
                      <w:sz w:val="20"/>
                      <w:szCs w:val="20"/>
                      <w:lang w:eastAsia="en-IE"/>
                    </w:rPr>
                  </w:pPr>
                  <w:r>
                    <w:rPr>
                      <w:rFonts w:ascii="Calibri" w:eastAsia="Calibri" w:hAnsi="Calibri" w:cs="Calibri"/>
                      <w:b/>
                      <w:bCs/>
                      <w:sz w:val="20"/>
                      <w:szCs w:val="20"/>
                      <w:lang w:eastAsia="en-IE"/>
                    </w:rPr>
                    <w:t>-</w:t>
                  </w:r>
                </w:p>
              </w:tc>
              <w:tc>
                <w:tcPr>
                  <w:tcW w:w="1466" w:type="dxa"/>
                  <w:tcBorders>
                    <w:top w:val="nil"/>
                    <w:left w:val="nil"/>
                    <w:bottom w:val="nil"/>
                    <w:right w:val="nil"/>
                  </w:tcBorders>
                  <w:shd w:val="clear" w:color="000000" w:fill="FFFF00"/>
                  <w:noWrap/>
                  <w:vAlign w:val="bottom"/>
                </w:tcPr>
                <w:p w14:paraId="4FD74B2C" w14:textId="77777777" w:rsidR="007850A0" w:rsidRPr="00682230" w:rsidRDefault="007850A0" w:rsidP="00F62D01">
                  <w:pPr>
                    <w:jc w:val="right"/>
                    <w:rPr>
                      <w:rFonts w:ascii="Calibri" w:eastAsia="Calibri" w:hAnsi="Calibri" w:cs="Calibri"/>
                      <w:b/>
                      <w:bCs/>
                      <w:sz w:val="20"/>
                      <w:szCs w:val="20"/>
                      <w:lang w:eastAsia="en-IE"/>
                    </w:rPr>
                  </w:pPr>
                  <w:r w:rsidRPr="00E6113C">
                    <w:rPr>
                      <w:rFonts w:ascii="Calibri" w:eastAsia="Calibri" w:hAnsi="Calibri" w:cs="Calibri"/>
                      <w:b/>
                      <w:bCs/>
                      <w:sz w:val="20"/>
                      <w:szCs w:val="20"/>
                      <w:lang w:eastAsia="en-IE"/>
                    </w:rPr>
                    <w:t>15,4</w:t>
                  </w:r>
                  <w:r w:rsidR="00F62D01">
                    <w:rPr>
                      <w:rFonts w:ascii="Calibri" w:eastAsia="Calibri" w:hAnsi="Calibri" w:cs="Calibri"/>
                      <w:b/>
                      <w:bCs/>
                      <w:sz w:val="20"/>
                      <w:szCs w:val="20"/>
                      <w:lang w:eastAsia="en-IE"/>
                    </w:rPr>
                    <w:t>55</w:t>
                  </w:r>
                  <w:r w:rsidRPr="00E6113C">
                    <w:rPr>
                      <w:rFonts w:ascii="Calibri" w:eastAsia="Calibri" w:hAnsi="Calibri" w:cs="Calibri"/>
                      <w:b/>
                      <w:bCs/>
                      <w:sz w:val="20"/>
                      <w:szCs w:val="20"/>
                      <w:lang w:eastAsia="en-IE"/>
                    </w:rPr>
                    <w:t>.</w:t>
                  </w:r>
                  <w:r w:rsidR="00F62D01">
                    <w:rPr>
                      <w:rFonts w:ascii="Calibri" w:eastAsia="Calibri" w:hAnsi="Calibri" w:cs="Calibri"/>
                      <w:b/>
                      <w:bCs/>
                      <w:sz w:val="20"/>
                      <w:szCs w:val="20"/>
                      <w:lang w:eastAsia="en-IE"/>
                    </w:rPr>
                    <w:t>7</w:t>
                  </w:r>
                </w:p>
              </w:tc>
            </w:tr>
            <w:tr w:rsidR="007850A0" w:rsidRPr="001244BE" w14:paraId="3DFBF5E7" w14:textId="77777777" w:rsidTr="00F62D01">
              <w:trPr>
                <w:trHeight w:val="319"/>
              </w:trPr>
              <w:tc>
                <w:tcPr>
                  <w:tcW w:w="4162" w:type="dxa"/>
                  <w:shd w:val="clear" w:color="auto" w:fill="FFFFFF"/>
                  <w:vAlign w:val="bottom"/>
                  <w:hideMark/>
                </w:tcPr>
                <w:p w14:paraId="6AEA0624" w14:textId="77777777" w:rsidR="007850A0" w:rsidRPr="00EC0F73" w:rsidRDefault="007850A0" w:rsidP="00E43EDE">
                  <w:pPr>
                    <w:rPr>
                      <w:rFonts w:ascii="Calibri" w:hAnsi="Calibri" w:cs="Calibri"/>
                      <w:color w:val="000000"/>
                      <w:sz w:val="20"/>
                      <w:szCs w:val="20"/>
                      <w:lang w:eastAsia="en-IE"/>
                    </w:rPr>
                  </w:pPr>
                  <w:r w:rsidRPr="00EC0F73">
                    <w:rPr>
                      <w:rFonts w:ascii="Calibri" w:hAnsi="Calibri" w:cs="Calibri"/>
                      <w:color w:val="000000"/>
                      <w:sz w:val="20"/>
                      <w:szCs w:val="20"/>
                      <w:lang w:eastAsia="en-IE"/>
                    </w:rPr>
                    <w:t>Segment liabilities</w:t>
                  </w:r>
                </w:p>
              </w:tc>
              <w:tc>
                <w:tcPr>
                  <w:tcW w:w="1497" w:type="dxa"/>
                  <w:tcBorders>
                    <w:top w:val="nil"/>
                    <w:left w:val="nil"/>
                    <w:bottom w:val="nil"/>
                    <w:right w:val="nil"/>
                  </w:tcBorders>
                  <w:shd w:val="clear" w:color="000000" w:fill="FFFF00"/>
                  <w:noWrap/>
                  <w:vAlign w:val="bottom"/>
                </w:tcPr>
                <w:p w14:paraId="2EFA8C77" w14:textId="77777777" w:rsidR="007850A0" w:rsidRPr="00D228EA" w:rsidRDefault="007850A0" w:rsidP="00F62D01">
                  <w:pPr>
                    <w:jc w:val="right"/>
                    <w:rPr>
                      <w:rFonts w:ascii="Calibri" w:hAnsi="Calibri" w:cs="Calibri"/>
                      <w:b/>
                      <w:bCs/>
                      <w:color w:val="000000"/>
                      <w:sz w:val="20"/>
                      <w:szCs w:val="20"/>
                      <w:lang w:eastAsia="en-IE"/>
                    </w:rPr>
                  </w:pPr>
                  <w:r w:rsidRPr="00D228EA">
                    <w:rPr>
                      <w:rFonts w:ascii="Calibri" w:hAnsi="Calibri" w:cs="Calibri"/>
                      <w:b/>
                      <w:bCs/>
                      <w:color w:val="000000"/>
                      <w:sz w:val="20"/>
                      <w:szCs w:val="20"/>
                      <w:lang w:eastAsia="en-IE"/>
                    </w:rPr>
                    <w:t>(6,9</w:t>
                  </w:r>
                  <w:r w:rsidR="00F62D01">
                    <w:rPr>
                      <w:rFonts w:ascii="Calibri" w:hAnsi="Calibri" w:cs="Calibri"/>
                      <w:b/>
                      <w:bCs/>
                      <w:color w:val="000000"/>
                      <w:sz w:val="20"/>
                      <w:szCs w:val="20"/>
                      <w:lang w:eastAsia="en-IE"/>
                    </w:rPr>
                    <w:t>58</w:t>
                  </w:r>
                  <w:r>
                    <w:rPr>
                      <w:rFonts w:ascii="Calibri" w:hAnsi="Calibri" w:cs="Calibri"/>
                      <w:b/>
                      <w:bCs/>
                      <w:color w:val="000000"/>
                      <w:sz w:val="20"/>
                      <w:szCs w:val="20"/>
                      <w:lang w:eastAsia="en-IE"/>
                    </w:rPr>
                    <w:t>.</w:t>
                  </w:r>
                  <w:r w:rsidR="00F62D01">
                    <w:rPr>
                      <w:rFonts w:ascii="Calibri" w:hAnsi="Calibri" w:cs="Calibri"/>
                      <w:b/>
                      <w:bCs/>
                      <w:color w:val="000000"/>
                      <w:sz w:val="20"/>
                      <w:szCs w:val="20"/>
                      <w:lang w:eastAsia="en-IE"/>
                    </w:rPr>
                    <w:t>1</w:t>
                  </w:r>
                  <w:r w:rsidRPr="00D228EA">
                    <w:rPr>
                      <w:rFonts w:ascii="Calibri" w:hAnsi="Calibri" w:cs="Calibri"/>
                      <w:b/>
                      <w:bCs/>
                      <w:color w:val="000000"/>
                      <w:sz w:val="20"/>
                      <w:szCs w:val="20"/>
                      <w:lang w:eastAsia="en-IE"/>
                    </w:rPr>
                    <w:t>)</w:t>
                  </w:r>
                </w:p>
              </w:tc>
              <w:tc>
                <w:tcPr>
                  <w:tcW w:w="1665" w:type="dxa"/>
                  <w:tcBorders>
                    <w:top w:val="nil"/>
                    <w:left w:val="nil"/>
                    <w:bottom w:val="nil"/>
                    <w:right w:val="nil"/>
                  </w:tcBorders>
                  <w:shd w:val="clear" w:color="000000" w:fill="FFFF00"/>
                  <w:vAlign w:val="bottom"/>
                </w:tcPr>
                <w:p w14:paraId="5CEB6E98" w14:textId="77777777" w:rsidR="007850A0" w:rsidRPr="00682230" w:rsidRDefault="007850A0" w:rsidP="00F62D01">
                  <w:pPr>
                    <w:jc w:val="right"/>
                    <w:rPr>
                      <w:rFonts w:ascii="Calibri" w:hAnsi="Calibri" w:cs="Calibri"/>
                      <w:b/>
                      <w:bCs/>
                      <w:color w:val="000000"/>
                      <w:sz w:val="20"/>
                      <w:szCs w:val="20"/>
                    </w:rPr>
                  </w:pPr>
                  <w:r>
                    <w:rPr>
                      <w:rFonts w:ascii="Calibri" w:hAnsi="Calibri" w:cs="Calibri"/>
                      <w:b/>
                      <w:bCs/>
                      <w:color w:val="000000"/>
                      <w:sz w:val="20"/>
                      <w:szCs w:val="20"/>
                    </w:rPr>
                    <w:t>(626.1)</w:t>
                  </w:r>
                </w:p>
              </w:tc>
              <w:tc>
                <w:tcPr>
                  <w:tcW w:w="1498" w:type="dxa"/>
                  <w:tcBorders>
                    <w:top w:val="nil"/>
                    <w:left w:val="nil"/>
                    <w:bottom w:val="nil"/>
                    <w:right w:val="nil"/>
                  </w:tcBorders>
                  <w:shd w:val="clear" w:color="000000" w:fill="FFFF00"/>
                  <w:vAlign w:val="bottom"/>
                </w:tcPr>
                <w:p w14:paraId="4EFEB45B" w14:textId="77777777" w:rsidR="007850A0" w:rsidRPr="00682230" w:rsidRDefault="007850A0" w:rsidP="00F62D01">
                  <w:pPr>
                    <w:ind w:right="68"/>
                    <w:jc w:val="right"/>
                    <w:rPr>
                      <w:rFonts w:ascii="Calibri" w:eastAsia="Calibri" w:hAnsi="Calibri" w:cs="Calibri"/>
                      <w:b/>
                      <w:bCs/>
                      <w:sz w:val="20"/>
                      <w:szCs w:val="20"/>
                      <w:lang w:eastAsia="en-IE"/>
                    </w:rPr>
                  </w:pPr>
                  <w:r>
                    <w:rPr>
                      <w:rFonts w:ascii="Calibri" w:eastAsia="Calibri" w:hAnsi="Calibri" w:cs="Calibri"/>
                      <w:b/>
                      <w:bCs/>
                      <w:sz w:val="20"/>
                      <w:szCs w:val="20"/>
                      <w:lang w:eastAsia="en-IE"/>
                    </w:rPr>
                    <w:t>-</w:t>
                  </w:r>
                </w:p>
              </w:tc>
              <w:tc>
                <w:tcPr>
                  <w:tcW w:w="1466" w:type="dxa"/>
                  <w:tcBorders>
                    <w:top w:val="nil"/>
                    <w:left w:val="nil"/>
                    <w:bottom w:val="nil"/>
                    <w:right w:val="nil"/>
                  </w:tcBorders>
                  <w:shd w:val="clear" w:color="000000" w:fill="FFFF00"/>
                  <w:noWrap/>
                  <w:vAlign w:val="bottom"/>
                </w:tcPr>
                <w:p w14:paraId="1C59D98F" w14:textId="77777777" w:rsidR="007850A0" w:rsidRPr="00682230" w:rsidRDefault="007850A0" w:rsidP="00F62D01">
                  <w:pPr>
                    <w:jc w:val="right"/>
                    <w:rPr>
                      <w:rFonts w:ascii="Calibri" w:eastAsia="Calibri" w:hAnsi="Calibri" w:cs="Calibri"/>
                      <w:b/>
                      <w:bCs/>
                      <w:sz w:val="20"/>
                      <w:szCs w:val="20"/>
                      <w:lang w:eastAsia="en-IE"/>
                    </w:rPr>
                  </w:pPr>
                  <w:r>
                    <w:rPr>
                      <w:rFonts w:ascii="Calibri" w:eastAsia="Calibri" w:hAnsi="Calibri" w:cs="Calibri"/>
                      <w:b/>
                      <w:sz w:val="20"/>
                      <w:szCs w:val="20"/>
                      <w:lang w:eastAsia="en-IE"/>
                    </w:rPr>
                    <w:t>(</w:t>
                  </w:r>
                  <w:r w:rsidRPr="00E6113C">
                    <w:rPr>
                      <w:rFonts w:ascii="Calibri" w:eastAsia="Calibri" w:hAnsi="Calibri" w:cs="Calibri"/>
                      <w:b/>
                      <w:sz w:val="20"/>
                      <w:szCs w:val="20"/>
                      <w:lang w:eastAsia="en-IE"/>
                    </w:rPr>
                    <w:t>7,5</w:t>
                  </w:r>
                  <w:r w:rsidR="00F62D01">
                    <w:rPr>
                      <w:rFonts w:ascii="Calibri" w:eastAsia="Calibri" w:hAnsi="Calibri" w:cs="Calibri"/>
                      <w:b/>
                      <w:sz w:val="20"/>
                      <w:szCs w:val="20"/>
                      <w:lang w:eastAsia="en-IE"/>
                    </w:rPr>
                    <w:t>84</w:t>
                  </w:r>
                  <w:r w:rsidRPr="00E6113C">
                    <w:rPr>
                      <w:rFonts w:ascii="Calibri" w:eastAsia="Calibri" w:hAnsi="Calibri" w:cs="Calibri"/>
                      <w:b/>
                      <w:sz w:val="20"/>
                      <w:szCs w:val="20"/>
                      <w:lang w:eastAsia="en-IE"/>
                    </w:rPr>
                    <w:t>.</w:t>
                  </w:r>
                  <w:r w:rsidR="00F62D01">
                    <w:rPr>
                      <w:rFonts w:ascii="Calibri" w:eastAsia="Calibri" w:hAnsi="Calibri" w:cs="Calibri"/>
                      <w:b/>
                      <w:sz w:val="20"/>
                      <w:szCs w:val="20"/>
                      <w:lang w:eastAsia="en-IE"/>
                    </w:rPr>
                    <w:t>2</w:t>
                  </w:r>
                  <w:r>
                    <w:rPr>
                      <w:rFonts w:ascii="Calibri" w:eastAsia="Calibri" w:hAnsi="Calibri" w:cs="Calibri"/>
                      <w:b/>
                      <w:sz w:val="20"/>
                      <w:szCs w:val="20"/>
                      <w:lang w:eastAsia="en-IE"/>
                    </w:rPr>
                    <w:t>)</w:t>
                  </w:r>
                </w:p>
              </w:tc>
            </w:tr>
          </w:tbl>
          <w:p w14:paraId="0615662E" w14:textId="77777777" w:rsidR="007850A0" w:rsidRPr="00C22F7C" w:rsidRDefault="007850A0" w:rsidP="00E43EDE">
            <w:pPr>
              <w:rPr>
                <w:rFonts w:ascii="Calibri" w:hAnsi="Calibri" w:cs="Calibri"/>
                <w:color w:val="000000"/>
                <w:sz w:val="22"/>
                <w:szCs w:val="22"/>
              </w:rPr>
            </w:pPr>
          </w:p>
        </w:tc>
      </w:tr>
    </w:tbl>
    <w:p w14:paraId="055F0250" w14:textId="77777777" w:rsidR="007850A0" w:rsidRDefault="007850A0" w:rsidP="007850A0">
      <w:pPr>
        <w:widowControl w:val="0"/>
        <w:ind w:right="-428"/>
        <w:jc w:val="both"/>
        <w:rPr>
          <w:rFonts w:ascii="Calibri" w:hAnsi="Calibri" w:cs="Calibri"/>
          <w:i/>
          <w:sz w:val="18"/>
          <w:szCs w:val="18"/>
        </w:rPr>
      </w:pPr>
    </w:p>
    <w:tbl>
      <w:tblPr>
        <w:tblW w:w="10357" w:type="dxa"/>
        <w:tblInd w:w="108" w:type="dxa"/>
        <w:tblLayout w:type="fixed"/>
        <w:tblLook w:val="04A0" w:firstRow="1" w:lastRow="0" w:firstColumn="1" w:lastColumn="0" w:noHBand="0" w:noVBand="1"/>
      </w:tblPr>
      <w:tblGrid>
        <w:gridCol w:w="4190"/>
        <w:gridCol w:w="1507"/>
        <w:gridCol w:w="1676"/>
        <w:gridCol w:w="1508"/>
        <w:gridCol w:w="1476"/>
      </w:tblGrid>
      <w:tr w:rsidR="007850A0" w:rsidRPr="00E6113C" w14:paraId="758F755D" w14:textId="77777777" w:rsidTr="00E43EDE">
        <w:trPr>
          <w:trHeight w:val="299"/>
        </w:trPr>
        <w:tc>
          <w:tcPr>
            <w:tcW w:w="4190" w:type="dxa"/>
            <w:shd w:val="clear" w:color="auto" w:fill="FFFFFF"/>
            <w:vAlign w:val="bottom"/>
          </w:tcPr>
          <w:p w14:paraId="28E8752E" w14:textId="77777777" w:rsidR="007850A0" w:rsidRPr="00E6113C" w:rsidRDefault="007850A0" w:rsidP="00E43EDE">
            <w:pPr>
              <w:rPr>
                <w:rFonts w:ascii="Calibri" w:hAnsi="Calibri" w:cs="Calibri"/>
                <w:color w:val="000000"/>
                <w:sz w:val="20"/>
                <w:szCs w:val="20"/>
                <w:lang w:eastAsia="en-IE"/>
              </w:rPr>
            </w:pPr>
            <w:r w:rsidRPr="00E6113C">
              <w:rPr>
                <w:rFonts w:ascii="Calibri" w:hAnsi="Calibri" w:cs="Calibri"/>
                <w:b/>
                <w:bCs/>
                <w:color w:val="000000"/>
                <w:sz w:val="20"/>
                <w:szCs w:val="20"/>
                <w:lang w:eastAsia="en-IE"/>
              </w:rPr>
              <w:t>Nine Months Ended</w:t>
            </w:r>
          </w:p>
        </w:tc>
        <w:tc>
          <w:tcPr>
            <w:tcW w:w="1507" w:type="dxa"/>
            <w:tcBorders>
              <w:top w:val="nil"/>
              <w:left w:val="nil"/>
              <w:right w:val="nil"/>
            </w:tcBorders>
            <w:shd w:val="clear" w:color="auto" w:fill="auto"/>
            <w:noWrap/>
            <w:vAlign w:val="bottom"/>
          </w:tcPr>
          <w:p w14:paraId="78E42F70" w14:textId="77777777" w:rsidR="007850A0" w:rsidRPr="00E6113C" w:rsidRDefault="007850A0" w:rsidP="00E43EDE">
            <w:pPr>
              <w:ind w:right="66"/>
              <w:jc w:val="right"/>
              <w:rPr>
                <w:rFonts w:ascii="Calibri" w:hAnsi="Calibri" w:cs="Calibri"/>
                <w:b/>
                <w:color w:val="000000"/>
                <w:sz w:val="20"/>
                <w:szCs w:val="20"/>
                <w:lang w:eastAsia="en-IE"/>
              </w:rPr>
            </w:pPr>
            <w:r w:rsidRPr="00E6113C">
              <w:rPr>
                <w:rFonts w:ascii="Calibri" w:hAnsi="Calibri" w:cs="Calibri"/>
                <w:b/>
                <w:bCs/>
                <w:color w:val="000000"/>
                <w:sz w:val="20"/>
                <w:szCs w:val="20"/>
                <w:lang w:eastAsia="en-IE"/>
              </w:rPr>
              <w:t xml:space="preserve">Ryanair DAC </w:t>
            </w:r>
          </w:p>
        </w:tc>
        <w:tc>
          <w:tcPr>
            <w:tcW w:w="1676" w:type="dxa"/>
            <w:tcBorders>
              <w:top w:val="nil"/>
              <w:left w:val="nil"/>
              <w:right w:val="nil"/>
            </w:tcBorders>
            <w:shd w:val="clear" w:color="auto" w:fill="auto"/>
            <w:vAlign w:val="bottom"/>
          </w:tcPr>
          <w:p w14:paraId="64FCD1B3" w14:textId="77777777" w:rsidR="007850A0" w:rsidRPr="00E6113C" w:rsidRDefault="007850A0" w:rsidP="00E43EDE">
            <w:pPr>
              <w:ind w:right="30"/>
              <w:jc w:val="right"/>
              <w:rPr>
                <w:rFonts w:ascii="Calibri" w:hAnsi="Calibri" w:cs="Calibri"/>
                <w:b/>
                <w:color w:val="000000"/>
                <w:sz w:val="20"/>
                <w:szCs w:val="20"/>
              </w:rPr>
            </w:pPr>
            <w:r w:rsidRPr="00E6113C">
              <w:rPr>
                <w:rFonts w:ascii="Calibri" w:hAnsi="Calibri" w:cs="Calibri"/>
                <w:b/>
                <w:bCs/>
                <w:color w:val="000000"/>
                <w:sz w:val="20"/>
                <w:szCs w:val="20"/>
                <w:lang w:eastAsia="en-IE"/>
              </w:rPr>
              <w:t>Other Airlines</w:t>
            </w:r>
          </w:p>
        </w:tc>
        <w:tc>
          <w:tcPr>
            <w:tcW w:w="1508" w:type="dxa"/>
            <w:tcBorders>
              <w:top w:val="nil"/>
              <w:left w:val="nil"/>
              <w:right w:val="nil"/>
            </w:tcBorders>
            <w:shd w:val="clear" w:color="auto" w:fill="auto"/>
            <w:vAlign w:val="bottom"/>
          </w:tcPr>
          <w:p w14:paraId="52059D2A" w14:textId="77777777" w:rsidR="007850A0" w:rsidRPr="00E6113C" w:rsidRDefault="007850A0" w:rsidP="00E43EDE">
            <w:pPr>
              <w:ind w:right="128"/>
              <w:jc w:val="right"/>
              <w:rPr>
                <w:rFonts w:ascii="Calibri" w:eastAsia="Calibri" w:hAnsi="Calibri" w:cs="Calibri"/>
                <w:b/>
                <w:sz w:val="20"/>
                <w:szCs w:val="20"/>
                <w:lang w:eastAsia="en-IE"/>
              </w:rPr>
            </w:pPr>
            <w:r w:rsidRPr="00E6113C">
              <w:rPr>
                <w:rFonts w:ascii="Calibri" w:hAnsi="Calibri" w:cs="Calibri"/>
                <w:b/>
                <w:bCs/>
                <w:color w:val="000000"/>
                <w:sz w:val="20"/>
                <w:szCs w:val="20"/>
                <w:lang w:eastAsia="en-IE"/>
              </w:rPr>
              <w:t>Elimination</w:t>
            </w:r>
          </w:p>
        </w:tc>
        <w:tc>
          <w:tcPr>
            <w:tcW w:w="1476" w:type="dxa"/>
            <w:tcBorders>
              <w:top w:val="nil"/>
              <w:left w:val="nil"/>
              <w:right w:val="nil"/>
            </w:tcBorders>
            <w:shd w:val="clear" w:color="auto" w:fill="auto"/>
            <w:noWrap/>
            <w:vAlign w:val="bottom"/>
          </w:tcPr>
          <w:p w14:paraId="3C6B25A1" w14:textId="77777777" w:rsidR="007850A0" w:rsidRPr="00E6113C" w:rsidRDefault="007850A0" w:rsidP="00E43EDE">
            <w:pPr>
              <w:ind w:right="39"/>
              <w:jc w:val="right"/>
              <w:rPr>
                <w:rFonts w:ascii="Calibri" w:eastAsia="Calibri" w:hAnsi="Calibri" w:cs="Calibri"/>
                <w:b/>
                <w:sz w:val="20"/>
                <w:szCs w:val="20"/>
                <w:lang w:eastAsia="en-IE"/>
              </w:rPr>
            </w:pPr>
            <w:r w:rsidRPr="00E6113C">
              <w:rPr>
                <w:rFonts w:ascii="Calibri" w:hAnsi="Calibri" w:cs="Calibri"/>
                <w:b/>
                <w:bCs/>
                <w:color w:val="000000"/>
                <w:sz w:val="20"/>
                <w:szCs w:val="20"/>
                <w:lang w:eastAsia="en-IE"/>
              </w:rPr>
              <w:t>Total</w:t>
            </w:r>
          </w:p>
        </w:tc>
      </w:tr>
      <w:tr w:rsidR="007850A0" w:rsidRPr="00E6113C" w14:paraId="2A162BEE" w14:textId="77777777" w:rsidTr="00E43EDE">
        <w:trPr>
          <w:trHeight w:val="299"/>
        </w:trPr>
        <w:tc>
          <w:tcPr>
            <w:tcW w:w="4190" w:type="dxa"/>
            <w:vMerge w:val="restart"/>
            <w:shd w:val="clear" w:color="auto" w:fill="FFFFFF"/>
            <w:vAlign w:val="center"/>
          </w:tcPr>
          <w:p w14:paraId="1B9675DC" w14:textId="77777777" w:rsidR="007850A0" w:rsidRPr="00E6113C" w:rsidRDefault="007850A0" w:rsidP="00E43EDE">
            <w:pPr>
              <w:rPr>
                <w:rFonts w:ascii="Calibri" w:hAnsi="Calibri" w:cs="Calibri"/>
                <w:color w:val="000000"/>
                <w:sz w:val="20"/>
                <w:szCs w:val="20"/>
                <w:lang w:eastAsia="en-IE"/>
              </w:rPr>
            </w:pPr>
          </w:p>
        </w:tc>
        <w:tc>
          <w:tcPr>
            <w:tcW w:w="1507" w:type="dxa"/>
            <w:tcBorders>
              <w:top w:val="nil"/>
              <w:left w:val="nil"/>
              <w:right w:val="nil"/>
            </w:tcBorders>
            <w:shd w:val="clear" w:color="auto" w:fill="auto"/>
            <w:noWrap/>
            <w:vAlign w:val="bottom"/>
          </w:tcPr>
          <w:p w14:paraId="7634432C" w14:textId="77777777" w:rsidR="007850A0" w:rsidRPr="00E6113C" w:rsidRDefault="007850A0" w:rsidP="00E43EDE">
            <w:pPr>
              <w:ind w:right="66"/>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Dec 31,</w:t>
            </w:r>
          </w:p>
        </w:tc>
        <w:tc>
          <w:tcPr>
            <w:tcW w:w="1676" w:type="dxa"/>
            <w:tcBorders>
              <w:top w:val="nil"/>
              <w:left w:val="nil"/>
              <w:right w:val="nil"/>
            </w:tcBorders>
            <w:shd w:val="clear" w:color="auto" w:fill="auto"/>
            <w:vAlign w:val="bottom"/>
          </w:tcPr>
          <w:p w14:paraId="4E01EF69" w14:textId="77777777" w:rsidR="007850A0" w:rsidRPr="00E6113C" w:rsidRDefault="007850A0" w:rsidP="00E43EDE">
            <w:pPr>
              <w:ind w:right="30"/>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Dec 31,</w:t>
            </w:r>
          </w:p>
        </w:tc>
        <w:tc>
          <w:tcPr>
            <w:tcW w:w="1508" w:type="dxa"/>
            <w:tcBorders>
              <w:top w:val="nil"/>
              <w:left w:val="nil"/>
              <w:right w:val="nil"/>
            </w:tcBorders>
            <w:shd w:val="clear" w:color="auto" w:fill="auto"/>
            <w:vAlign w:val="bottom"/>
          </w:tcPr>
          <w:p w14:paraId="3B4A75DF" w14:textId="77777777" w:rsidR="007850A0" w:rsidRPr="00E6113C" w:rsidRDefault="007850A0" w:rsidP="00E43EDE">
            <w:pPr>
              <w:ind w:right="128"/>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Dec 31,</w:t>
            </w:r>
          </w:p>
        </w:tc>
        <w:tc>
          <w:tcPr>
            <w:tcW w:w="1476" w:type="dxa"/>
            <w:tcBorders>
              <w:top w:val="nil"/>
              <w:left w:val="nil"/>
              <w:right w:val="nil"/>
            </w:tcBorders>
            <w:shd w:val="clear" w:color="auto" w:fill="auto"/>
            <w:noWrap/>
            <w:vAlign w:val="bottom"/>
          </w:tcPr>
          <w:p w14:paraId="3298C6FA" w14:textId="77777777" w:rsidR="007850A0" w:rsidRPr="00E6113C" w:rsidRDefault="007850A0" w:rsidP="00E43EDE">
            <w:pPr>
              <w:ind w:right="39"/>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Dec 31,</w:t>
            </w:r>
          </w:p>
        </w:tc>
      </w:tr>
      <w:tr w:rsidR="007850A0" w:rsidRPr="00E6113C" w14:paraId="6271D022" w14:textId="77777777" w:rsidTr="00E43EDE">
        <w:trPr>
          <w:trHeight w:val="299"/>
        </w:trPr>
        <w:tc>
          <w:tcPr>
            <w:tcW w:w="4190" w:type="dxa"/>
            <w:vMerge/>
            <w:shd w:val="clear" w:color="auto" w:fill="FFFFFF"/>
            <w:vAlign w:val="bottom"/>
          </w:tcPr>
          <w:p w14:paraId="2FA00B66" w14:textId="77777777" w:rsidR="007850A0" w:rsidRPr="00E6113C" w:rsidRDefault="007850A0" w:rsidP="00E43EDE">
            <w:pPr>
              <w:rPr>
                <w:rFonts w:ascii="Calibri" w:hAnsi="Calibri" w:cs="Calibri"/>
                <w:color w:val="000000"/>
                <w:sz w:val="20"/>
                <w:szCs w:val="20"/>
                <w:lang w:eastAsia="en-IE"/>
              </w:rPr>
            </w:pPr>
          </w:p>
        </w:tc>
        <w:tc>
          <w:tcPr>
            <w:tcW w:w="1507" w:type="dxa"/>
            <w:tcBorders>
              <w:top w:val="nil"/>
              <w:left w:val="nil"/>
              <w:right w:val="nil"/>
            </w:tcBorders>
            <w:shd w:val="clear" w:color="auto" w:fill="auto"/>
            <w:noWrap/>
            <w:vAlign w:val="bottom"/>
          </w:tcPr>
          <w:p w14:paraId="29E21BE7" w14:textId="77777777" w:rsidR="007850A0" w:rsidRPr="00E6113C" w:rsidRDefault="007850A0" w:rsidP="00E43EDE">
            <w:pPr>
              <w:ind w:right="66"/>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2022</w:t>
            </w:r>
          </w:p>
        </w:tc>
        <w:tc>
          <w:tcPr>
            <w:tcW w:w="1676" w:type="dxa"/>
            <w:tcBorders>
              <w:top w:val="nil"/>
              <w:left w:val="nil"/>
              <w:right w:val="nil"/>
            </w:tcBorders>
            <w:shd w:val="clear" w:color="auto" w:fill="auto"/>
            <w:vAlign w:val="bottom"/>
          </w:tcPr>
          <w:p w14:paraId="62552A35" w14:textId="77777777" w:rsidR="007850A0" w:rsidRPr="00E6113C" w:rsidRDefault="007850A0" w:rsidP="00E43EDE">
            <w:pPr>
              <w:ind w:right="30"/>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2022</w:t>
            </w:r>
          </w:p>
        </w:tc>
        <w:tc>
          <w:tcPr>
            <w:tcW w:w="1508" w:type="dxa"/>
            <w:tcBorders>
              <w:top w:val="nil"/>
              <w:left w:val="nil"/>
              <w:right w:val="nil"/>
            </w:tcBorders>
            <w:shd w:val="clear" w:color="auto" w:fill="auto"/>
            <w:vAlign w:val="bottom"/>
          </w:tcPr>
          <w:p w14:paraId="7841236B" w14:textId="77777777" w:rsidR="007850A0" w:rsidRPr="00E6113C" w:rsidRDefault="007850A0" w:rsidP="00E43EDE">
            <w:pPr>
              <w:ind w:right="128"/>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2022</w:t>
            </w:r>
          </w:p>
        </w:tc>
        <w:tc>
          <w:tcPr>
            <w:tcW w:w="1476" w:type="dxa"/>
            <w:tcBorders>
              <w:top w:val="nil"/>
              <w:left w:val="nil"/>
              <w:right w:val="nil"/>
            </w:tcBorders>
            <w:shd w:val="clear" w:color="auto" w:fill="auto"/>
            <w:noWrap/>
            <w:vAlign w:val="bottom"/>
          </w:tcPr>
          <w:p w14:paraId="75F8BCD9" w14:textId="77777777" w:rsidR="007850A0" w:rsidRPr="00E6113C" w:rsidRDefault="007850A0" w:rsidP="00E43EDE">
            <w:pPr>
              <w:ind w:right="39"/>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2022</w:t>
            </w:r>
          </w:p>
        </w:tc>
      </w:tr>
      <w:tr w:rsidR="007850A0" w:rsidRPr="00E6113C" w14:paraId="0BE20341" w14:textId="77777777" w:rsidTr="00E43EDE">
        <w:trPr>
          <w:trHeight w:val="299"/>
        </w:trPr>
        <w:tc>
          <w:tcPr>
            <w:tcW w:w="4190" w:type="dxa"/>
            <w:shd w:val="clear" w:color="auto" w:fill="FFFFFF"/>
            <w:vAlign w:val="bottom"/>
          </w:tcPr>
          <w:p w14:paraId="434A9991" w14:textId="77777777" w:rsidR="007850A0" w:rsidRPr="00E6113C" w:rsidRDefault="007850A0" w:rsidP="00E43EDE">
            <w:pPr>
              <w:rPr>
                <w:rFonts w:ascii="Calibri" w:hAnsi="Calibri" w:cs="Calibri"/>
                <w:color w:val="000000"/>
                <w:sz w:val="20"/>
                <w:szCs w:val="20"/>
                <w:lang w:eastAsia="en-IE"/>
              </w:rPr>
            </w:pPr>
          </w:p>
        </w:tc>
        <w:tc>
          <w:tcPr>
            <w:tcW w:w="1507" w:type="dxa"/>
            <w:tcBorders>
              <w:top w:val="nil"/>
              <w:left w:val="nil"/>
              <w:right w:val="nil"/>
            </w:tcBorders>
            <w:shd w:val="clear" w:color="auto" w:fill="auto"/>
            <w:noWrap/>
            <w:vAlign w:val="bottom"/>
          </w:tcPr>
          <w:p w14:paraId="1FF23B20" w14:textId="77777777" w:rsidR="007850A0" w:rsidRPr="00E6113C" w:rsidRDefault="007850A0" w:rsidP="00E43EDE">
            <w:pPr>
              <w:ind w:right="66"/>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€M</w:t>
            </w:r>
          </w:p>
        </w:tc>
        <w:tc>
          <w:tcPr>
            <w:tcW w:w="1676" w:type="dxa"/>
            <w:tcBorders>
              <w:top w:val="nil"/>
              <w:left w:val="nil"/>
              <w:right w:val="nil"/>
            </w:tcBorders>
            <w:shd w:val="clear" w:color="auto" w:fill="auto"/>
            <w:vAlign w:val="bottom"/>
          </w:tcPr>
          <w:p w14:paraId="2AD3003C" w14:textId="77777777" w:rsidR="007850A0" w:rsidRPr="00E6113C" w:rsidRDefault="007850A0" w:rsidP="00E43EDE">
            <w:pPr>
              <w:ind w:right="30"/>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€M</w:t>
            </w:r>
          </w:p>
        </w:tc>
        <w:tc>
          <w:tcPr>
            <w:tcW w:w="1508" w:type="dxa"/>
            <w:tcBorders>
              <w:top w:val="nil"/>
              <w:left w:val="nil"/>
              <w:right w:val="nil"/>
            </w:tcBorders>
            <w:shd w:val="clear" w:color="auto" w:fill="auto"/>
            <w:vAlign w:val="bottom"/>
          </w:tcPr>
          <w:p w14:paraId="7BBCCDD1" w14:textId="77777777" w:rsidR="007850A0" w:rsidRPr="00E6113C" w:rsidRDefault="007850A0" w:rsidP="00E43EDE">
            <w:pPr>
              <w:ind w:right="128"/>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€M</w:t>
            </w:r>
          </w:p>
        </w:tc>
        <w:tc>
          <w:tcPr>
            <w:tcW w:w="1476" w:type="dxa"/>
            <w:tcBorders>
              <w:top w:val="nil"/>
              <w:left w:val="nil"/>
              <w:right w:val="nil"/>
            </w:tcBorders>
            <w:shd w:val="clear" w:color="auto" w:fill="auto"/>
            <w:noWrap/>
            <w:vAlign w:val="bottom"/>
          </w:tcPr>
          <w:p w14:paraId="1530CAD5" w14:textId="77777777" w:rsidR="007850A0" w:rsidRPr="00E6113C" w:rsidRDefault="007850A0" w:rsidP="00E43EDE">
            <w:pPr>
              <w:ind w:right="39"/>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€M</w:t>
            </w:r>
          </w:p>
        </w:tc>
      </w:tr>
      <w:tr w:rsidR="007850A0" w:rsidRPr="00E6113C" w14:paraId="514262C7" w14:textId="77777777" w:rsidTr="00E43EDE">
        <w:trPr>
          <w:trHeight w:val="299"/>
        </w:trPr>
        <w:tc>
          <w:tcPr>
            <w:tcW w:w="4190" w:type="dxa"/>
            <w:shd w:val="clear" w:color="auto" w:fill="FFFFFF"/>
            <w:vAlign w:val="bottom"/>
          </w:tcPr>
          <w:p w14:paraId="78A39F17" w14:textId="77777777" w:rsidR="007850A0" w:rsidRPr="00E6113C" w:rsidRDefault="007850A0" w:rsidP="00E43EDE">
            <w:pPr>
              <w:jc w:val="both"/>
              <w:rPr>
                <w:rFonts w:ascii="Calibri" w:hAnsi="Calibri" w:cs="Calibri"/>
                <w:color w:val="000000"/>
                <w:sz w:val="20"/>
                <w:szCs w:val="20"/>
                <w:lang w:eastAsia="en-IE"/>
              </w:rPr>
            </w:pPr>
            <w:r w:rsidRPr="00E6113C">
              <w:rPr>
                <w:rFonts w:ascii="Calibri" w:hAnsi="Calibri" w:cs="Calibri"/>
                <w:color w:val="000000"/>
                <w:sz w:val="20"/>
                <w:szCs w:val="20"/>
                <w:lang w:eastAsia="en-IE"/>
              </w:rPr>
              <w:t>Scheduled revenue</w:t>
            </w:r>
          </w:p>
        </w:tc>
        <w:tc>
          <w:tcPr>
            <w:tcW w:w="1507" w:type="dxa"/>
            <w:tcBorders>
              <w:top w:val="nil"/>
              <w:left w:val="nil"/>
              <w:right w:val="nil"/>
            </w:tcBorders>
            <w:shd w:val="clear" w:color="auto" w:fill="auto"/>
            <w:noWrap/>
            <w:vAlign w:val="bottom"/>
          </w:tcPr>
          <w:p w14:paraId="381B2453" w14:textId="77777777" w:rsidR="007850A0" w:rsidRPr="00E6113C" w:rsidRDefault="007850A0" w:rsidP="00E43EDE">
            <w:pPr>
              <w:ind w:right="66"/>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5,785.2</w:t>
            </w:r>
          </w:p>
        </w:tc>
        <w:tc>
          <w:tcPr>
            <w:tcW w:w="1676" w:type="dxa"/>
            <w:tcBorders>
              <w:top w:val="nil"/>
              <w:left w:val="nil"/>
              <w:right w:val="nil"/>
            </w:tcBorders>
            <w:shd w:val="clear" w:color="auto" w:fill="auto"/>
            <w:vAlign w:val="bottom"/>
          </w:tcPr>
          <w:p w14:paraId="044D5E72" w14:textId="77777777" w:rsidR="007850A0" w:rsidRPr="00E6113C" w:rsidRDefault="007850A0" w:rsidP="00E43EDE">
            <w:pPr>
              <w:ind w:right="30"/>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 xml:space="preserve">86.2 </w:t>
            </w:r>
          </w:p>
        </w:tc>
        <w:tc>
          <w:tcPr>
            <w:tcW w:w="1508" w:type="dxa"/>
            <w:tcBorders>
              <w:top w:val="nil"/>
              <w:left w:val="nil"/>
              <w:right w:val="nil"/>
            </w:tcBorders>
            <w:shd w:val="clear" w:color="auto" w:fill="auto"/>
            <w:vAlign w:val="bottom"/>
          </w:tcPr>
          <w:p w14:paraId="272CEA2C" w14:textId="77777777" w:rsidR="007850A0" w:rsidRPr="00E6113C" w:rsidRDefault="007850A0" w:rsidP="00E43EDE">
            <w:pPr>
              <w:ind w:right="128"/>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w:t>
            </w:r>
          </w:p>
        </w:tc>
        <w:tc>
          <w:tcPr>
            <w:tcW w:w="1476" w:type="dxa"/>
            <w:tcBorders>
              <w:top w:val="nil"/>
              <w:left w:val="nil"/>
              <w:right w:val="nil"/>
            </w:tcBorders>
            <w:shd w:val="clear" w:color="auto" w:fill="auto"/>
            <w:noWrap/>
            <w:vAlign w:val="bottom"/>
          </w:tcPr>
          <w:p w14:paraId="01205AA7" w14:textId="77777777" w:rsidR="007850A0" w:rsidRPr="00E6113C" w:rsidRDefault="007850A0" w:rsidP="00E43EDE">
            <w:pPr>
              <w:ind w:right="39"/>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 xml:space="preserve">5,871.4 </w:t>
            </w:r>
          </w:p>
        </w:tc>
      </w:tr>
      <w:tr w:rsidR="007850A0" w:rsidRPr="00E6113C" w14:paraId="1EB1DC4A" w14:textId="77777777" w:rsidTr="00E43EDE">
        <w:trPr>
          <w:trHeight w:val="299"/>
        </w:trPr>
        <w:tc>
          <w:tcPr>
            <w:tcW w:w="4190" w:type="dxa"/>
            <w:shd w:val="clear" w:color="auto" w:fill="FFFFFF"/>
            <w:vAlign w:val="bottom"/>
          </w:tcPr>
          <w:p w14:paraId="7AD44947" w14:textId="77777777" w:rsidR="007850A0" w:rsidRPr="00E6113C" w:rsidRDefault="007850A0" w:rsidP="00E43EDE">
            <w:pPr>
              <w:jc w:val="both"/>
              <w:rPr>
                <w:rFonts w:ascii="Calibri" w:hAnsi="Calibri" w:cs="Calibri"/>
                <w:color w:val="000000"/>
                <w:sz w:val="20"/>
                <w:szCs w:val="20"/>
                <w:lang w:eastAsia="en-IE"/>
              </w:rPr>
            </w:pPr>
            <w:r w:rsidRPr="00E6113C">
              <w:rPr>
                <w:rFonts w:ascii="Calibri" w:hAnsi="Calibri" w:cs="Calibri"/>
                <w:color w:val="000000"/>
                <w:sz w:val="20"/>
                <w:szCs w:val="20"/>
                <w:lang w:eastAsia="en-IE"/>
              </w:rPr>
              <w:t>Ancillary revenue</w:t>
            </w:r>
          </w:p>
        </w:tc>
        <w:tc>
          <w:tcPr>
            <w:tcW w:w="1507" w:type="dxa"/>
            <w:tcBorders>
              <w:top w:val="nil"/>
              <w:left w:val="nil"/>
              <w:right w:val="nil"/>
            </w:tcBorders>
            <w:shd w:val="clear" w:color="auto" w:fill="auto"/>
            <w:noWrap/>
            <w:vAlign w:val="bottom"/>
          </w:tcPr>
          <w:p w14:paraId="3D0C1E0E" w14:textId="77777777" w:rsidR="007850A0" w:rsidRPr="00E6113C" w:rsidRDefault="007850A0" w:rsidP="00E43EDE">
            <w:pPr>
              <w:ind w:right="66"/>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3,056.8</w:t>
            </w:r>
          </w:p>
        </w:tc>
        <w:tc>
          <w:tcPr>
            <w:tcW w:w="1676" w:type="dxa"/>
            <w:tcBorders>
              <w:top w:val="nil"/>
              <w:left w:val="nil"/>
              <w:right w:val="nil"/>
            </w:tcBorders>
            <w:shd w:val="clear" w:color="auto" w:fill="auto"/>
            <w:vAlign w:val="bottom"/>
          </w:tcPr>
          <w:p w14:paraId="14E9E345" w14:textId="77777777" w:rsidR="007850A0" w:rsidRPr="00E6113C" w:rsidRDefault="007850A0" w:rsidP="00E43EDE">
            <w:pPr>
              <w:ind w:right="30"/>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w:t>
            </w:r>
          </w:p>
        </w:tc>
        <w:tc>
          <w:tcPr>
            <w:tcW w:w="1508" w:type="dxa"/>
            <w:tcBorders>
              <w:top w:val="nil"/>
              <w:left w:val="nil"/>
              <w:right w:val="nil"/>
            </w:tcBorders>
            <w:shd w:val="clear" w:color="auto" w:fill="auto"/>
            <w:vAlign w:val="bottom"/>
          </w:tcPr>
          <w:p w14:paraId="6BC07BEC" w14:textId="77777777" w:rsidR="007850A0" w:rsidRPr="00E6113C" w:rsidRDefault="007850A0" w:rsidP="00E43EDE">
            <w:pPr>
              <w:ind w:right="128"/>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w:t>
            </w:r>
          </w:p>
        </w:tc>
        <w:tc>
          <w:tcPr>
            <w:tcW w:w="1476" w:type="dxa"/>
            <w:tcBorders>
              <w:top w:val="nil"/>
              <w:left w:val="nil"/>
              <w:right w:val="nil"/>
            </w:tcBorders>
            <w:shd w:val="clear" w:color="auto" w:fill="auto"/>
            <w:noWrap/>
            <w:vAlign w:val="bottom"/>
          </w:tcPr>
          <w:p w14:paraId="525EECDE" w14:textId="77777777" w:rsidR="007850A0" w:rsidRPr="00E6113C" w:rsidRDefault="007850A0" w:rsidP="00E43EDE">
            <w:pPr>
              <w:ind w:right="39"/>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3,056.8</w:t>
            </w:r>
          </w:p>
        </w:tc>
      </w:tr>
      <w:tr w:rsidR="007850A0" w:rsidRPr="00E6113C" w14:paraId="5599F229" w14:textId="77777777" w:rsidTr="00E43EDE">
        <w:trPr>
          <w:trHeight w:val="299"/>
        </w:trPr>
        <w:tc>
          <w:tcPr>
            <w:tcW w:w="4190" w:type="dxa"/>
            <w:shd w:val="clear" w:color="auto" w:fill="FFFFFF"/>
            <w:vAlign w:val="bottom"/>
          </w:tcPr>
          <w:p w14:paraId="285CBBFB" w14:textId="77777777" w:rsidR="007850A0" w:rsidRPr="00E6113C" w:rsidRDefault="007850A0" w:rsidP="00E43EDE">
            <w:pPr>
              <w:rPr>
                <w:rFonts w:ascii="Calibri" w:hAnsi="Calibri" w:cs="Calibri"/>
                <w:color w:val="000000"/>
                <w:sz w:val="20"/>
                <w:szCs w:val="20"/>
                <w:lang w:eastAsia="en-IE"/>
              </w:rPr>
            </w:pPr>
            <w:r w:rsidRPr="00E6113C">
              <w:rPr>
                <w:rFonts w:ascii="Calibri" w:hAnsi="Calibri" w:cs="Calibri"/>
                <w:color w:val="000000"/>
                <w:sz w:val="20"/>
                <w:szCs w:val="20"/>
                <w:lang w:eastAsia="en-IE"/>
              </w:rPr>
              <w:t>Inter-segment revenue</w:t>
            </w:r>
          </w:p>
        </w:tc>
        <w:tc>
          <w:tcPr>
            <w:tcW w:w="1507" w:type="dxa"/>
            <w:tcBorders>
              <w:top w:val="nil"/>
              <w:left w:val="nil"/>
              <w:bottom w:val="single" w:sz="4" w:space="0" w:color="auto"/>
              <w:right w:val="nil"/>
            </w:tcBorders>
            <w:shd w:val="clear" w:color="auto" w:fill="auto"/>
            <w:noWrap/>
            <w:vAlign w:val="bottom"/>
          </w:tcPr>
          <w:p w14:paraId="08A44F66" w14:textId="77777777" w:rsidR="007850A0" w:rsidRPr="00E6113C" w:rsidRDefault="007850A0" w:rsidP="00E43EDE">
            <w:pPr>
              <w:ind w:right="66"/>
              <w:jc w:val="right"/>
              <w:rPr>
                <w:rFonts w:ascii="Calibri" w:hAnsi="Calibri" w:cs="Calibri"/>
                <w:color w:val="000000"/>
                <w:sz w:val="20"/>
                <w:szCs w:val="20"/>
              </w:rPr>
            </w:pPr>
            <w:r w:rsidRPr="00E6113C">
              <w:rPr>
                <w:rFonts w:ascii="Calibri" w:hAnsi="Calibri" w:cs="Calibri"/>
                <w:color w:val="000000"/>
                <w:sz w:val="20"/>
                <w:szCs w:val="20"/>
                <w:lang w:eastAsia="en-IE"/>
              </w:rPr>
              <w:t xml:space="preserve">572.4 </w:t>
            </w:r>
          </w:p>
        </w:tc>
        <w:tc>
          <w:tcPr>
            <w:tcW w:w="1676" w:type="dxa"/>
            <w:tcBorders>
              <w:top w:val="nil"/>
              <w:left w:val="nil"/>
              <w:bottom w:val="single" w:sz="4" w:space="0" w:color="auto"/>
              <w:right w:val="nil"/>
            </w:tcBorders>
            <w:shd w:val="clear" w:color="auto" w:fill="auto"/>
            <w:vAlign w:val="bottom"/>
          </w:tcPr>
          <w:p w14:paraId="2286ACE9" w14:textId="77777777" w:rsidR="007850A0" w:rsidRPr="00E6113C" w:rsidRDefault="007850A0" w:rsidP="00E43EDE">
            <w:pPr>
              <w:ind w:right="30"/>
              <w:jc w:val="right"/>
              <w:rPr>
                <w:rFonts w:ascii="Calibri" w:hAnsi="Calibri" w:cs="Calibri"/>
                <w:color w:val="000000"/>
                <w:sz w:val="20"/>
                <w:szCs w:val="20"/>
              </w:rPr>
            </w:pPr>
            <w:r w:rsidRPr="00E6113C">
              <w:rPr>
                <w:rFonts w:ascii="Calibri" w:hAnsi="Calibri" w:cs="Calibri"/>
                <w:color w:val="000000"/>
                <w:sz w:val="20"/>
                <w:szCs w:val="20"/>
              </w:rPr>
              <w:t xml:space="preserve">967.2 </w:t>
            </w:r>
          </w:p>
        </w:tc>
        <w:tc>
          <w:tcPr>
            <w:tcW w:w="1508" w:type="dxa"/>
            <w:tcBorders>
              <w:top w:val="nil"/>
              <w:left w:val="nil"/>
              <w:bottom w:val="single" w:sz="4" w:space="0" w:color="auto"/>
              <w:right w:val="nil"/>
            </w:tcBorders>
            <w:shd w:val="clear" w:color="auto" w:fill="auto"/>
            <w:vAlign w:val="bottom"/>
          </w:tcPr>
          <w:p w14:paraId="23A42A9B" w14:textId="77777777" w:rsidR="007850A0" w:rsidRPr="00E6113C" w:rsidRDefault="007850A0" w:rsidP="00E43EDE">
            <w:pPr>
              <w:ind w:right="128"/>
              <w:jc w:val="right"/>
              <w:rPr>
                <w:rFonts w:ascii="Calibri" w:hAnsi="Calibri" w:cs="Calibri"/>
                <w:color w:val="000000"/>
                <w:sz w:val="20"/>
                <w:szCs w:val="20"/>
                <w:lang w:eastAsia="en-IE"/>
              </w:rPr>
            </w:pPr>
            <w:r w:rsidRPr="00E6113C">
              <w:rPr>
                <w:rFonts w:ascii="Calibri" w:hAnsi="Calibri" w:cs="Calibri"/>
                <w:color w:val="000000"/>
                <w:sz w:val="20"/>
                <w:szCs w:val="20"/>
              </w:rPr>
              <w:t xml:space="preserve">(1,539.6) </w:t>
            </w:r>
          </w:p>
        </w:tc>
        <w:tc>
          <w:tcPr>
            <w:tcW w:w="1476" w:type="dxa"/>
            <w:tcBorders>
              <w:top w:val="nil"/>
              <w:left w:val="nil"/>
              <w:bottom w:val="single" w:sz="4" w:space="0" w:color="auto"/>
              <w:right w:val="nil"/>
            </w:tcBorders>
            <w:shd w:val="clear" w:color="auto" w:fill="auto"/>
            <w:noWrap/>
            <w:vAlign w:val="bottom"/>
          </w:tcPr>
          <w:p w14:paraId="6C034C7B" w14:textId="77777777" w:rsidR="007850A0" w:rsidRPr="00E6113C" w:rsidRDefault="007850A0" w:rsidP="00E43EDE">
            <w:pPr>
              <w:ind w:right="39"/>
              <w:jc w:val="right"/>
              <w:rPr>
                <w:rFonts w:ascii="Calibri" w:hAnsi="Calibri" w:cs="Calibri"/>
                <w:color w:val="000000"/>
                <w:sz w:val="20"/>
                <w:szCs w:val="20"/>
                <w:lang w:eastAsia="en-IE"/>
              </w:rPr>
            </w:pPr>
            <w:r w:rsidRPr="00E6113C">
              <w:rPr>
                <w:rFonts w:ascii="Calibri" w:hAnsi="Calibri" w:cs="Calibri"/>
                <w:color w:val="000000"/>
                <w:sz w:val="20"/>
                <w:szCs w:val="20"/>
              </w:rPr>
              <w:t>-</w:t>
            </w:r>
          </w:p>
        </w:tc>
      </w:tr>
      <w:tr w:rsidR="007850A0" w:rsidRPr="00E6113C" w14:paraId="5C4C1859" w14:textId="77777777" w:rsidTr="00E43EDE">
        <w:trPr>
          <w:trHeight w:val="299"/>
        </w:trPr>
        <w:tc>
          <w:tcPr>
            <w:tcW w:w="4190" w:type="dxa"/>
            <w:shd w:val="clear" w:color="auto" w:fill="FFFFFF"/>
            <w:vAlign w:val="bottom"/>
          </w:tcPr>
          <w:p w14:paraId="0DEBE2E4" w14:textId="77777777" w:rsidR="007850A0" w:rsidRPr="00E6113C" w:rsidRDefault="007850A0" w:rsidP="00E43EDE">
            <w:pPr>
              <w:rPr>
                <w:rFonts w:ascii="Calibri" w:hAnsi="Calibri" w:cs="Calibri"/>
                <w:color w:val="000000"/>
                <w:sz w:val="20"/>
                <w:szCs w:val="20"/>
                <w:lang w:eastAsia="en-IE"/>
              </w:rPr>
            </w:pPr>
            <w:r w:rsidRPr="00E6113C">
              <w:rPr>
                <w:rFonts w:ascii="Calibri" w:hAnsi="Calibri" w:cs="Calibri"/>
                <w:b/>
                <w:bCs/>
                <w:color w:val="000000"/>
                <w:sz w:val="20"/>
                <w:szCs w:val="20"/>
                <w:lang w:eastAsia="en-IE"/>
              </w:rPr>
              <w:t xml:space="preserve">Segment revenue                    </w:t>
            </w:r>
          </w:p>
        </w:tc>
        <w:tc>
          <w:tcPr>
            <w:tcW w:w="1507" w:type="dxa"/>
            <w:tcBorders>
              <w:top w:val="single" w:sz="4" w:space="0" w:color="auto"/>
              <w:left w:val="nil"/>
              <w:bottom w:val="single" w:sz="12" w:space="0" w:color="auto"/>
              <w:right w:val="nil"/>
            </w:tcBorders>
            <w:shd w:val="clear" w:color="auto" w:fill="auto"/>
            <w:noWrap/>
            <w:vAlign w:val="bottom"/>
          </w:tcPr>
          <w:p w14:paraId="2D6C100F" w14:textId="77777777" w:rsidR="007850A0" w:rsidRPr="00E6113C" w:rsidRDefault="007850A0" w:rsidP="00E43EDE">
            <w:pPr>
              <w:ind w:right="66"/>
              <w:jc w:val="right"/>
              <w:rPr>
                <w:rFonts w:ascii="Calibri" w:hAnsi="Calibri" w:cs="Calibri"/>
                <w:color w:val="000000"/>
                <w:sz w:val="20"/>
                <w:szCs w:val="20"/>
              </w:rPr>
            </w:pPr>
            <w:r w:rsidRPr="00E6113C">
              <w:rPr>
                <w:rFonts w:ascii="Calibri" w:hAnsi="Calibri" w:cs="Calibri"/>
                <w:color w:val="000000"/>
                <w:sz w:val="20"/>
                <w:szCs w:val="20"/>
                <w:lang w:eastAsia="en-IE"/>
              </w:rPr>
              <w:t xml:space="preserve">9,414.4 </w:t>
            </w:r>
          </w:p>
        </w:tc>
        <w:tc>
          <w:tcPr>
            <w:tcW w:w="1676" w:type="dxa"/>
            <w:tcBorders>
              <w:top w:val="single" w:sz="4" w:space="0" w:color="auto"/>
              <w:left w:val="nil"/>
              <w:bottom w:val="single" w:sz="12" w:space="0" w:color="auto"/>
              <w:right w:val="nil"/>
            </w:tcBorders>
            <w:shd w:val="clear" w:color="auto" w:fill="auto"/>
            <w:vAlign w:val="bottom"/>
          </w:tcPr>
          <w:p w14:paraId="25B0D103" w14:textId="77777777" w:rsidR="007850A0" w:rsidRPr="00E6113C" w:rsidRDefault="007850A0" w:rsidP="00E43EDE">
            <w:pPr>
              <w:ind w:right="30"/>
              <w:jc w:val="right"/>
              <w:rPr>
                <w:rFonts w:ascii="Calibri" w:hAnsi="Calibri" w:cs="Calibri"/>
                <w:color w:val="000000"/>
                <w:sz w:val="20"/>
                <w:szCs w:val="20"/>
              </w:rPr>
            </w:pPr>
            <w:r w:rsidRPr="00E6113C">
              <w:rPr>
                <w:rFonts w:ascii="Calibri" w:hAnsi="Calibri" w:cs="Calibri"/>
                <w:color w:val="000000"/>
                <w:sz w:val="20"/>
                <w:szCs w:val="20"/>
              </w:rPr>
              <w:t>1,053.4</w:t>
            </w:r>
          </w:p>
        </w:tc>
        <w:tc>
          <w:tcPr>
            <w:tcW w:w="1508" w:type="dxa"/>
            <w:tcBorders>
              <w:top w:val="single" w:sz="4" w:space="0" w:color="auto"/>
              <w:left w:val="nil"/>
              <w:bottom w:val="single" w:sz="12" w:space="0" w:color="auto"/>
              <w:right w:val="nil"/>
            </w:tcBorders>
            <w:shd w:val="clear" w:color="auto" w:fill="auto"/>
            <w:vAlign w:val="bottom"/>
          </w:tcPr>
          <w:p w14:paraId="0B4F3776" w14:textId="77777777" w:rsidR="007850A0" w:rsidRPr="00E6113C" w:rsidRDefault="007850A0" w:rsidP="00E43EDE">
            <w:pPr>
              <w:ind w:right="128"/>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(1,539.6)</w:t>
            </w:r>
          </w:p>
        </w:tc>
        <w:tc>
          <w:tcPr>
            <w:tcW w:w="1476" w:type="dxa"/>
            <w:tcBorders>
              <w:top w:val="single" w:sz="4" w:space="0" w:color="auto"/>
              <w:left w:val="nil"/>
              <w:bottom w:val="single" w:sz="12" w:space="0" w:color="auto"/>
              <w:right w:val="nil"/>
            </w:tcBorders>
            <w:shd w:val="clear" w:color="auto" w:fill="auto"/>
            <w:noWrap/>
            <w:vAlign w:val="bottom"/>
          </w:tcPr>
          <w:p w14:paraId="790F5566" w14:textId="77777777" w:rsidR="007850A0" w:rsidRPr="00E6113C" w:rsidRDefault="007850A0" w:rsidP="00E43EDE">
            <w:pPr>
              <w:ind w:right="39"/>
              <w:jc w:val="right"/>
              <w:rPr>
                <w:rFonts w:ascii="Calibri" w:hAnsi="Calibri" w:cs="Calibri"/>
                <w:color w:val="000000"/>
                <w:sz w:val="20"/>
                <w:szCs w:val="20"/>
              </w:rPr>
            </w:pPr>
            <w:r w:rsidRPr="00E6113C">
              <w:rPr>
                <w:rFonts w:ascii="Calibri" w:hAnsi="Calibri" w:cs="Calibri"/>
                <w:color w:val="000000"/>
                <w:sz w:val="20"/>
                <w:szCs w:val="20"/>
                <w:lang w:eastAsia="en-IE"/>
              </w:rPr>
              <w:t xml:space="preserve">8,928.2 </w:t>
            </w:r>
          </w:p>
        </w:tc>
      </w:tr>
      <w:tr w:rsidR="007850A0" w:rsidRPr="00E6113C" w14:paraId="3C21C3EC" w14:textId="77777777" w:rsidTr="00E43EDE">
        <w:trPr>
          <w:trHeight w:val="57"/>
        </w:trPr>
        <w:tc>
          <w:tcPr>
            <w:tcW w:w="4190" w:type="dxa"/>
            <w:shd w:val="clear" w:color="auto" w:fill="FFFFFF"/>
            <w:vAlign w:val="bottom"/>
          </w:tcPr>
          <w:p w14:paraId="6E4EF68E" w14:textId="77777777" w:rsidR="007850A0" w:rsidRPr="00E6113C" w:rsidRDefault="007850A0" w:rsidP="00E43EDE">
            <w:pPr>
              <w:rPr>
                <w:rFonts w:ascii="Calibri" w:hAnsi="Calibri" w:cs="Calibri"/>
                <w:b/>
                <w:bCs/>
                <w:color w:val="000000"/>
                <w:sz w:val="20"/>
                <w:szCs w:val="20"/>
                <w:lang w:eastAsia="en-IE"/>
              </w:rPr>
            </w:pPr>
          </w:p>
        </w:tc>
        <w:tc>
          <w:tcPr>
            <w:tcW w:w="1507" w:type="dxa"/>
            <w:tcBorders>
              <w:top w:val="single" w:sz="12" w:space="0" w:color="auto"/>
              <w:left w:val="nil"/>
              <w:right w:val="nil"/>
            </w:tcBorders>
            <w:shd w:val="clear" w:color="auto" w:fill="auto"/>
            <w:noWrap/>
            <w:vAlign w:val="bottom"/>
          </w:tcPr>
          <w:p w14:paraId="665598D3" w14:textId="77777777" w:rsidR="007850A0" w:rsidRPr="00E6113C" w:rsidRDefault="007850A0" w:rsidP="00E43EDE">
            <w:pPr>
              <w:ind w:right="66"/>
              <w:jc w:val="right"/>
              <w:rPr>
                <w:rFonts w:ascii="Calibri" w:hAnsi="Calibri" w:cs="Calibri"/>
                <w:color w:val="000000"/>
                <w:sz w:val="20"/>
                <w:szCs w:val="20"/>
              </w:rPr>
            </w:pPr>
          </w:p>
        </w:tc>
        <w:tc>
          <w:tcPr>
            <w:tcW w:w="1676" w:type="dxa"/>
            <w:tcBorders>
              <w:top w:val="single" w:sz="12" w:space="0" w:color="auto"/>
              <w:left w:val="nil"/>
              <w:right w:val="nil"/>
            </w:tcBorders>
            <w:shd w:val="clear" w:color="auto" w:fill="auto"/>
            <w:vAlign w:val="bottom"/>
          </w:tcPr>
          <w:p w14:paraId="7CD4BE93" w14:textId="77777777" w:rsidR="007850A0" w:rsidRPr="00E6113C" w:rsidRDefault="007850A0" w:rsidP="00E43EDE">
            <w:pPr>
              <w:ind w:right="30"/>
              <w:jc w:val="right"/>
              <w:rPr>
                <w:rFonts w:ascii="Calibri" w:hAnsi="Calibri" w:cs="Calibri"/>
                <w:color w:val="000000"/>
                <w:sz w:val="20"/>
                <w:szCs w:val="20"/>
              </w:rPr>
            </w:pPr>
          </w:p>
        </w:tc>
        <w:tc>
          <w:tcPr>
            <w:tcW w:w="1508" w:type="dxa"/>
            <w:tcBorders>
              <w:top w:val="single" w:sz="12" w:space="0" w:color="auto"/>
              <w:left w:val="nil"/>
              <w:right w:val="nil"/>
            </w:tcBorders>
            <w:shd w:val="clear" w:color="auto" w:fill="auto"/>
            <w:vAlign w:val="bottom"/>
          </w:tcPr>
          <w:p w14:paraId="08A00B23" w14:textId="77777777" w:rsidR="007850A0" w:rsidRPr="00E6113C" w:rsidRDefault="007850A0" w:rsidP="00E43EDE">
            <w:pPr>
              <w:ind w:right="128"/>
              <w:jc w:val="right"/>
              <w:rPr>
                <w:rFonts w:ascii="Calibri" w:hAnsi="Calibri" w:cs="Calibri"/>
                <w:sz w:val="20"/>
                <w:szCs w:val="20"/>
              </w:rPr>
            </w:pPr>
          </w:p>
        </w:tc>
        <w:tc>
          <w:tcPr>
            <w:tcW w:w="1476" w:type="dxa"/>
            <w:tcBorders>
              <w:top w:val="single" w:sz="12" w:space="0" w:color="auto"/>
              <w:left w:val="nil"/>
              <w:right w:val="nil"/>
            </w:tcBorders>
            <w:shd w:val="clear" w:color="auto" w:fill="auto"/>
            <w:noWrap/>
            <w:vAlign w:val="bottom"/>
          </w:tcPr>
          <w:p w14:paraId="7ED7E965" w14:textId="77777777" w:rsidR="007850A0" w:rsidRPr="00E6113C" w:rsidRDefault="007850A0" w:rsidP="00E43EDE">
            <w:pPr>
              <w:ind w:right="39"/>
              <w:jc w:val="right"/>
              <w:rPr>
                <w:rFonts w:ascii="Calibri" w:hAnsi="Calibri" w:cs="Calibri"/>
                <w:color w:val="000000"/>
                <w:sz w:val="20"/>
                <w:szCs w:val="20"/>
              </w:rPr>
            </w:pPr>
          </w:p>
        </w:tc>
      </w:tr>
      <w:tr w:rsidR="007850A0" w:rsidRPr="00E6113C" w14:paraId="6F9BFBA3" w14:textId="77777777" w:rsidTr="00E43EDE">
        <w:trPr>
          <w:trHeight w:val="299"/>
        </w:trPr>
        <w:tc>
          <w:tcPr>
            <w:tcW w:w="4190" w:type="dxa"/>
            <w:shd w:val="clear" w:color="auto" w:fill="FFFFFF"/>
            <w:vAlign w:val="bottom"/>
          </w:tcPr>
          <w:p w14:paraId="766614DD" w14:textId="77777777" w:rsidR="007850A0" w:rsidRPr="00E6113C" w:rsidRDefault="007850A0" w:rsidP="00E43EDE">
            <w:pPr>
              <w:rPr>
                <w:rFonts w:ascii="Calibri" w:hAnsi="Calibri" w:cs="Calibri"/>
                <w:color w:val="000000"/>
                <w:sz w:val="20"/>
                <w:szCs w:val="20"/>
                <w:lang w:eastAsia="en-IE"/>
              </w:rPr>
            </w:pPr>
            <w:r w:rsidRPr="00E6113C">
              <w:rPr>
                <w:rFonts w:ascii="Calibri" w:hAnsi="Calibri" w:cs="Calibri"/>
                <w:b/>
                <w:bCs/>
                <w:color w:val="000000"/>
                <w:sz w:val="20"/>
                <w:szCs w:val="20"/>
                <w:lang w:eastAsia="en-IE"/>
              </w:rPr>
              <w:t>Reportable segment profit after income tax (i)</w:t>
            </w:r>
          </w:p>
        </w:tc>
        <w:tc>
          <w:tcPr>
            <w:tcW w:w="1507" w:type="dxa"/>
            <w:tcBorders>
              <w:top w:val="nil"/>
              <w:left w:val="nil"/>
              <w:bottom w:val="single" w:sz="12" w:space="0" w:color="auto"/>
              <w:right w:val="nil"/>
            </w:tcBorders>
            <w:shd w:val="clear" w:color="auto" w:fill="auto"/>
            <w:noWrap/>
            <w:vAlign w:val="bottom"/>
          </w:tcPr>
          <w:p w14:paraId="453B6436" w14:textId="77777777" w:rsidR="007850A0" w:rsidRPr="00E6113C" w:rsidRDefault="007850A0" w:rsidP="00E43EDE">
            <w:pPr>
              <w:ind w:right="66"/>
              <w:jc w:val="right"/>
              <w:rPr>
                <w:rFonts w:ascii="Calibri" w:eastAsia="Calibri" w:hAnsi="Calibri" w:cs="Calibri"/>
                <w:sz w:val="20"/>
                <w:szCs w:val="20"/>
                <w:lang w:eastAsia="en-IE"/>
              </w:rPr>
            </w:pPr>
            <w:r w:rsidRPr="00E6113C">
              <w:rPr>
                <w:rFonts w:ascii="Calibri" w:hAnsi="Calibri" w:cs="Calibri"/>
                <w:color w:val="000000"/>
                <w:sz w:val="20"/>
                <w:szCs w:val="20"/>
                <w:lang w:eastAsia="en-IE"/>
              </w:rPr>
              <w:t>1,549.2</w:t>
            </w:r>
          </w:p>
        </w:tc>
        <w:tc>
          <w:tcPr>
            <w:tcW w:w="1676" w:type="dxa"/>
            <w:tcBorders>
              <w:top w:val="nil"/>
              <w:left w:val="nil"/>
              <w:bottom w:val="single" w:sz="12" w:space="0" w:color="auto"/>
              <w:right w:val="nil"/>
            </w:tcBorders>
            <w:shd w:val="clear" w:color="auto" w:fill="auto"/>
            <w:vAlign w:val="bottom"/>
          </w:tcPr>
          <w:p w14:paraId="12804443" w14:textId="77777777" w:rsidR="007850A0" w:rsidRPr="00E6113C" w:rsidRDefault="007850A0" w:rsidP="00E43EDE">
            <w:pPr>
              <w:ind w:right="30"/>
              <w:jc w:val="right"/>
              <w:rPr>
                <w:rFonts w:ascii="Calibri" w:eastAsia="Calibri" w:hAnsi="Calibri" w:cs="Calibri"/>
                <w:sz w:val="20"/>
                <w:szCs w:val="20"/>
                <w:lang w:eastAsia="en-IE"/>
              </w:rPr>
            </w:pPr>
            <w:r w:rsidRPr="00E6113C">
              <w:rPr>
                <w:rFonts w:ascii="Calibri" w:hAnsi="Calibri" w:cs="Calibri"/>
                <w:color w:val="000000"/>
                <w:sz w:val="20"/>
                <w:szCs w:val="20"/>
              </w:rPr>
              <w:t xml:space="preserve">32.7 </w:t>
            </w:r>
          </w:p>
        </w:tc>
        <w:tc>
          <w:tcPr>
            <w:tcW w:w="1508" w:type="dxa"/>
            <w:tcBorders>
              <w:top w:val="nil"/>
              <w:left w:val="nil"/>
              <w:bottom w:val="single" w:sz="12" w:space="0" w:color="auto"/>
              <w:right w:val="nil"/>
            </w:tcBorders>
            <w:shd w:val="clear" w:color="auto" w:fill="auto"/>
            <w:vAlign w:val="bottom"/>
          </w:tcPr>
          <w:p w14:paraId="5DC76D3E" w14:textId="77777777" w:rsidR="007850A0" w:rsidRPr="00E6113C" w:rsidRDefault="007850A0" w:rsidP="00E43EDE">
            <w:pPr>
              <w:ind w:right="128"/>
              <w:jc w:val="right"/>
              <w:rPr>
                <w:rFonts w:ascii="Calibri" w:eastAsia="Calibri" w:hAnsi="Calibri" w:cs="Calibri"/>
                <w:sz w:val="20"/>
                <w:szCs w:val="20"/>
                <w:lang w:eastAsia="en-IE"/>
              </w:rPr>
            </w:pPr>
            <w:r w:rsidRPr="00E6113C">
              <w:rPr>
                <w:rFonts w:ascii="Calibri" w:hAnsi="Calibri" w:cs="Calibri"/>
                <w:sz w:val="20"/>
                <w:szCs w:val="20"/>
              </w:rPr>
              <w:t>-</w:t>
            </w:r>
          </w:p>
        </w:tc>
        <w:tc>
          <w:tcPr>
            <w:tcW w:w="1476" w:type="dxa"/>
            <w:tcBorders>
              <w:top w:val="nil"/>
              <w:left w:val="nil"/>
              <w:bottom w:val="single" w:sz="12" w:space="0" w:color="auto"/>
              <w:right w:val="nil"/>
            </w:tcBorders>
            <w:shd w:val="clear" w:color="auto" w:fill="auto"/>
            <w:noWrap/>
            <w:vAlign w:val="bottom"/>
          </w:tcPr>
          <w:p w14:paraId="46B6D87D" w14:textId="77777777" w:rsidR="007850A0" w:rsidRPr="00E6113C" w:rsidRDefault="007850A0" w:rsidP="00E43EDE">
            <w:pPr>
              <w:ind w:right="39"/>
              <w:jc w:val="right"/>
              <w:rPr>
                <w:rFonts w:ascii="Calibri" w:eastAsia="Calibri" w:hAnsi="Calibri" w:cs="Calibri"/>
                <w:sz w:val="20"/>
                <w:szCs w:val="20"/>
                <w:lang w:eastAsia="en-IE"/>
              </w:rPr>
            </w:pPr>
            <w:r w:rsidRPr="00E6113C">
              <w:rPr>
                <w:rFonts w:ascii="Calibri" w:hAnsi="Calibri" w:cs="Calibri"/>
                <w:color w:val="000000"/>
                <w:sz w:val="20"/>
                <w:szCs w:val="20"/>
              </w:rPr>
              <w:t xml:space="preserve">1,581.9 </w:t>
            </w:r>
          </w:p>
        </w:tc>
      </w:tr>
      <w:tr w:rsidR="007850A0" w:rsidRPr="00E6113C" w14:paraId="49A8C691" w14:textId="77777777" w:rsidTr="00E43EDE">
        <w:trPr>
          <w:trHeight w:val="299"/>
        </w:trPr>
        <w:tc>
          <w:tcPr>
            <w:tcW w:w="4190" w:type="dxa"/>
            <w:shd w:val="clear" w:color="auto" w:fill="FFFFFF"/>
            <w:vAlign w:val="bottom"/>
          </w:tcPr>
          <w:p w14:paraId="4E11A050" w14:textId="77777777" w:rsidR="007850A0" w:rsidRPr="00E6113C" w:rsidRDefault="007850A0" w:rsidP="00E43EDE">
            <w:pPr>
              <w:rPr>
                <w:rFonts w:ascii="Calibri" w:hAnsi="Calibri" w:cs="Calibri"/>
                <w:b/>
                <w:bCs/>
                <w:color w:val="000000"/>
                <w:sz w:val="20"/>
                <w:szCs w:val="20"/>
                <w:lang w:eastAsia="en-IE"/>
              </w:rPr>
            </w:pPr>
          </w:p>
        </w:tc>
        <w:tc>
          <w:tcPr>
            <w:tcW w:w="1507" w:type="dxa"/>
            <w:tcBorders>
              <w:top w:val="nil"/>
              <w:left w:val="nil"/>
              <w:right w:val="nil"/>
            </w:tcBorders>
            <w:shd w:val="clear" w:color="auto" w:fill="auto"/>
            <w:noWrap/>
            <w:vAlign w:val="bottom"/>
          </w:tcPr>
          <w:p w14:paraId="153FFFE5" w14:textId="77777777" w:rsidR="007850A0" w:rsidRPr="00E6113C" w:rsidRDefault="007850A0" w:rsidP="00E43EDE">
            <w:pPr>
              <w:ind w:right="66"/>
              <w:jc w:val="right"/>
              <w:rPr>
                <w:rFonts w:ascii="Calibri" w:hAnsi="Calibri" w:cs="Calibri"/>
                <w:color w:val="000000"/>
                <w:sz w:val="20"/>
                <w:szCs w:val="20"/>
                <w:lang w:eastAsia="en-IE"/>
              </w:rPr>
            </w:pPr>
          </w:p>
        </w:tc>
        <w:tc>
          <w:tcPr>
            <w:tcW w:w="1676" w:type="dxa"/>
            <w:tcBorders>
              <w:top w:val="nil"/>
              <w:left w:val="nil"/>
              <w:right w:val="nil"/>
            </w:tcBorders>
            <w:shd w:val="clear" w:color="auto" w:fill="auto"/>
            <w:vAlign w:val="bottom"/>
          </w:tcPr>
          <w:p w14:paraId="5348BE12" w14:textId="77777777" w:rsidR="007850A0" w:rsidRPr="00E6113C" w:rsidRDefault="007850A0" w:rsidP="00E43EDE">
            <w:pPr>
              <w:ind w:right="30"/>
              <w:jc w:val="right"/>
              <w:rPr>
                <w:rFonts w:ascii="Calibri" w:hAnsi="Calibri" w:cs="Calibri"/>
                <w:color w:val="000000"/>
                <w:sz w:val="20"/>
                <w:szCs w:val="20"/>
              </w:rPr>
            </w:pPr>
          </w:p>
        </w:tc>
        <w:tc>
          <w:tcPr>
            <w:tcW w:w="1508" w:type="dxa"/>
            <w:tcBorders>
              <w:top w:val="nil"/>
              <w:left w:val="nil"/>
              <w:right w:val="nil"/>
            </w:tcBorders>
            <w:shd w:val="clear" w:color="auto" w:fill="auto"/>
            <w:vAlign w:val="bottom"/>
          </w:tcPr>
          <w:p w14:paraId="28B09620" w14:textId="77777777" w:rsidR="007850A0" w:rsidRPr="00E6113C" w:rsidRDefault="007850A0" w:rsidP="00E43EDE">
            <w:pPr>
              <w:ind w:right="128"/>
              <w:jc w:val="right"/>
              <w:rPr>
                <w:rFonts w:ascii="Calibri" w:hAnsi="Calibri" w:cs="Calibri"/>
                <w:sz w:val="20"/>
                <w:szCs w:val="20"/>
              </w:rPr>
            </w:pPr>
          </w:p>
        </w:tc>
        <w:tc>
          <w:tcPr>
            <w:tcW w:w="1476" w:type="dxa"/>
            <w:tcBorders>
              <w:top w:val="nil"/>
              <w:left w:val="nil"/>
              <w:right w:val="nil"/>
            </w:tcBorders>
            <w:shd w:val="clear" w:color="auto" w:fill="auto"/>
            <w:noWrap/>
            <w:vAlign w:val="bottom"/>
          </w:tcPr>
          <w:p w14:paraId="197C1E72" w14:textId="77777777" w:rsidR="007850A0" w:rsidRPr="00E6113C" w:rsidRDefault="007850A0" w:rsidP="00E43EDE">
            <w:pPr>
              <w:ind w:right="39"/>
              <w:jc w:val="right"/>
              <w:rPr>
                <w:rFonts w:ascii="Calibri" w:hAnsi="Calibri" w:cs="Calibri"/>
                <w:color w:val="000000"/>
                <w:sz w:val="20"/>
                <w:szCs w:val="20"/>
              </w:rPr>
            </w:pPr>
          </w:p>
        </w:tc>
      </w:tr>
      <w:tr w:rsidR="007850A0" w:rsidRPr="00E6113C" w14:paraId="68C2DD98" w14:textId="77777777" w:rsidTr="00E43EDE">
        <w:trPr>
          <w:trHeight w:val="299"/>
        </w:trPr>
        <w:tc>
          <w:tcPr>
            <w:tcW w:w="4190" w:type="dxa"/>
            <w:shd w:val="clear" w:color="auto" w:fill="FFFFFF"/>
            <w:vAlign w:val="bottom"/>
          </w:tcPr>
          <w:p w14:paraId="6AD689A1" w14:textId="77777777" w:rsidR="007850A0" w:rsidRPr="00E6113C" w:rsidRDefault="007850A0" w:rsidP="00E43EDE">
            <w:pPr>
              <w:rPr>
                <w:rFonts w:ascii="Calibri" w:hAnsi="Calibri" w:cs="Calibri"/>
                <w:color w:val="000000"/>
                <w:sz w:val="20"/>
                <w:szCs w:val="20"/>
                <w:lang w:eastAsia="en-IE"/>
              </w:rPr>
            </w:pPr>
            <w:r w:rsidRPr="00E6113C">
              <w:rPr>
                <w:rFonts w:ascii="Calibri" w:hAnsi="Calibri" w:cs="Calibri"/>
                <w:b/>
                <w:bCs/>
                <w:color w:val="000000"/>
                <w:sz w:val="20"/>
                <w:szCs w:val="20"/>
                <w:lang w:eastAsia="en-IE"/>
              </w:rPr>
              <w:t xml:space="preserve">Other segment information: </w:t>
            </w:r>
          </w:p>
        </w:tc>
        <w:tc>
          <w:tcPr>
            <w:tcW w:w="1507" w:type="dxa"/>
            <w:tcBorders>
              <w:top w:val="nil"/>
              <w:left w:val="nil"/>
              <w:right w:val="nil"/>
            </w:tcBorders>
            <w:shd w:val="clear" w:color="auto" w:fill="auto"/>
            <w:noWrap/>
            <w:vAlign w:val="bottom"/>
          </w:tcPr>
          <w:p w14:paraId="436AE757" w14:textId="77777777" w:rsidR="007850A0" w:rsidRPr="00E6113C" w:rsidRDefault="007850A0" w:rsidP="00E43EDE">
            <w:pPr>
              <w:ind w:right="66"/>
              <w:jc w:val="right"/>
              <w:rPr>
                <w:rFonts w:ascii="Calibri" w:hAnsi="Calibri" w:cs="Calibri"/>
                <w:color w:val="000000"/>
                <w:sz w:val="20"/>
                <w:szCs w:val="20"/>
              </w:rPr>
            </w:pPr>
          </w:p>
        </w:tc>
        <w:tc>
          <w:tcPr>
            <w:tcW w:w="1676" w:type="dxa"/>
            <w:tcBorders>
              <w:top w:val="nil"/>
              <w:left w:val="nil"/>
              <w:right w:val="nil"/>
            </w:tcBorders>
            <w:shd w:val="clear" w:color="auto" w:fill="auto"/>
            <w:vAlign w:val="bottom"/>
          </w:tcPr>
          <w:p w14:paraId="7739C633" w14:textId="77777777" w:rsidR="007850A0" w:rsidRPr="00E6113C" w:rsidRDefault="007850A0" w:rsidP="00E43EDE">
            <w:pPr>
              <w:ind w:right="30"/>
              <w:jc w:val="right"/>
              <w:rPr>
                <w:rFonts w:ascii="Calibri" w:hAnsi="Calibri" w:cs="Calibri"/>
                <w:color w:val="000000"/>
                <w:sz w:val="20"/>
                <w:szCs w:val="20"/>
              </w:rPr>
            </w:pPr>
          </w:p>
        </w:tc>
        <w:tc>
          <w:tcPr>
            <w:tcW w:w="1508" w:type="dxa"/>
            <w:tcBorders>
              <w:top w:val="nil"/>
              <w:left w:val="nil"/>
              <w:right w:val="nil"/>
            </w:tcBorders>
            <w:shd w:val="clear" w:color="auto" w:fill="auto"/>
            <w:vAlign w:val="bottom"/>
          </w:tcPr>
          <w:p w14:paraId="7E758B4F" w14:textId="77777777" w:rsidR="007850A0" w:rsidRPr="00E6113C" w:rsidRDefault="007850A0" w:rsidP="00E43EDE">
            <w:pPr>
              <w:ind w:right="128"/>
              <w:jc w:val="right"/>
              <w:rPr>
                <w:rFonts w:ascii="Calibri" w:hAnsi="Calibri" w:cs="Calibri"/>
                <w:color w:val="000000"/>
                <w:sz w:val="20"/>
                <w:szCs w:val="20"/>
              </w:rPr>
            </w:pPr>
          </w:p>
        </w:tc>
        <w:tc>
          <w:tcPr>
            <w:tcW w:w="1476" w:type="dxa"/>
            <w:tcBorders>
              <w:top w:val="nil"/>
              <w:left w:val="nil"/>
              <w:right w:val="nil"/>
            </w:tcBorders>
            <w:shd w:val="clear" w:color="auto" w:fill="auto"/>
            <w:noWrap/>
            <w:vAlign w:val="bottom"/>
          </w:tcPr>
          <w:p w14:paraId="7E6E4E68" w14:textId="77777777" w:rsidR="007850A0" w:rsidRPr="00E6113C" w:rsidRDefault="007850A0" w:rsidP="00E43EDE">
            <w:pPr>
              <w:ind w:right="39"/>
              <w:jc w:val="right"/>
              <w:rPr>
                <w:rFonts w:ascii="Calibri" w:hAnsi="Calibri" w:cs="Calibri"/>
                <w:color w:val="000000"/>
                <w:sz w:val="20"/>
                <w:szCs w:val="20"/>
              </w:rPr>
            </w:pPr>
          </w:p>
        </w:tc>
      </w:tr>
      <w:tr w:rsidR="007850A0" w:rsidRPr="00E6113C" w14:paraId="295AF91B" w14:textId="77777777" w:rsidTr="00E43EDE">
        <w:trPr>
          <w:trHeight w:val="299"/>
        </w:trPr>
        <w:tc>
          <w:tcPr>
            <w:tcW w:w="4190" w:type="dxa"/>
            <w:shd w:val="clear" w:color="auto" w:fill="FFFFFF"/>
            <w:vAlign w:val="bottom"/>
          </w:tcPr>
          <w:p w14:paraId="16BC0D21" w14:textId="77777777" w:rsidR="007850A0" w:rsidRPr="00E6113C" w:rsidRDefault="007850A0" w:rsidP="00E43EDE">
            <w:pPr>
              <w:rPr>
                <w:rFonts w:ascii="Calibri" w:hAnsi="Calibri" w:cs="Calibri"/>
                <w:color w:val="000000"/>
                <w:sz w:val="20"/>
                <w:szCs w:val="20"/>
                <w:lang w:eastAsia="en-IE"/>
              </w:rPr>
            </w:pPr>
            <w:r w:rsidRPr="00E6113C">
              <w:rPr>
                <w:rFonts w:ascii="Calibri" w:hAnsi="Calibri" w:cs="Calibri"/>
                <w:color w:val="000000"/>
                <w:sz w:val="20"/>
                <w:szCs w:val="20"/>
                <w:lang w:eastAsia="en-IE"/>
              </w:rPr>
              <w:t>Depreciation</w:t>
            </w:r>
          </w:p>
        </w:tc>
        <w:tc>
          <w:tcPr>
            <w:tcW w:w="1507" w:type="dxa"/>
            <w:tcBorders>
              <w:top w:val="nil"/>
              <w:left w:val="nil"/>
              <w:right w:val="nil"/>
            </w:tcBorders>
            <w:shd w:val="clear" w:color="auto" w:fill="auto"/>
            <w:noWrap/>
            <w:vAlign w:val="bottom"/>
          </w:tcPr>
          <w:p w14:paraId="47505699" w14:textId="77777777" w:rsidR="007850A0" w:rsidRPr="00E6113C" w:rsidRDefault="007850A0" w:rsidP="00E43EDE">
            <w:pPr>
              <w:ind w:right="66"/>
              <w:jc w:val="right"/>
              <w:rPr>
                <w:rFonts w:ascii="Calibri" w:hAnsi="Calibri" w:cs="Calibri"/>
                <w:color w:val="000000"/>
                <w:sz w:val="20"/>
                <w:szCs w:val="20"/>
              </w:rPr>
            </w:pPr>
            <w:r w:rsidRPr="00E6113C">
              <w:rPr>
                <w:rFonts w:ascii="Calibri" w:hAnsi="Calibri" w:cs="Calibri"/>
                <w:color w:val="000000"/>
                <w:sz w:val="20"/>
                <w:szCs w:val="20"/>
                <w:lang w:eastAsia="en-IE"/>
              </w:rPr>
              <w:t>(629.4)</w:t>
            </w:r>
          </w:p>
        </w:tc>
        <w:tc>
          <w:tcPr>
            <w:tcW w:w="1676" w:type="dxa"/>
            <w:tcBorders>
              <w:top w:val="nil"/>
              <w:left w:val="nil"/>
              <w:right w:val="nil"/>
            </w:tcBorders>
            <w:shd w:val="clear" w:color="auto" w:fill="auto"/>
            <w:vAlign w:val="bottom"/>
          </w:tcPr>
          <w:p w14:paraId="7016FA7B" w14:textId="77777777" w:rsidR="007850A0" w:rsidRPr="00E6113C" w:rsidRDefault="007850A0" w:rsidP="00E43EDE">
            <w:pPr>
              <w:ind w:right="30"/>
              <w:jc w:val="right"/>
              <w:rPr>
                <w:rFonts w:ascii="Calibri" w:hAnsi="Calibri" w:cs="Calibri"/>
                <w:color w:val="000000"/>
                <w:sz w:val="20"/>
                <w:szCs w:val="20"/>
              </w:rPr>
            </w:pPr>
            <w:r w:rsidRPr="00E6113C">
              <w:rPr>
                <w:rFonts w:ascii="Calibri" w:hAnsi="Calibri" w:cs="Calibri"/>
                <w:color w:val="000000"/>
                <w:sz w:val="20"/>
                <w:szCs w:val="20"/>
              </w:rPr>
              <w:t>(36.4)</w:t>
            </w:r>
          </w:p>
        </w:tc>
        <w:tc>
          <w:tcPr>
            <w:tcW w:w="1508" w:type="dxa"/>
            <w:tcBorders>
              <w:top w:val="nil"/>
              <w:left w:val="nil"/>
              <w:right w:val="nil"/>
            </w:tcBorders>
            <w:shd w:val="clear" w:color="auto" w:fill="auto"/>
            <w:vAlign w:val="bottom"/>
          </w:tcPr>
          <w:p w14:paraId="3C9424CA" w14:textId="77777777" w:rsidR="007850A0" w:rsidRPr="00E6113C" w:rsidRDefault="007850A0" w:rsidP="00E43EDE">
            <w:pPr>
              <w:ind w:right="128"/>
              <w:jc w:val="right"/>
              <w:rPr>
                <w:rFonts w:ascii="Calibri" w:hAnsi="Calibri" w:cs="Calibri"/>
                <w:color w:val="000000"/>
                <w:sz w:val="20"/>
                <w:szCs w:val="20"/>
              </w:rPr>
            </w:pPr>
            <w:r w:rsidRPr="00E6113C">
              <w:rPr>
                <w:rFonts w:ascii="Calibri" w:hAnsi="Calibri" w:cs="Calibri"/>
                <w:color w:val="000000"/>
                <w:sz w:val="20"/>
                <w:szCs w:val="20"/>
              </w:rPr>
              <w:t>-</w:t>
            </w:r>
          </w:p>
        </w:tc>
        <w:tc>
          <w:tcPr>
            <w:tcW w:w="1476" w:type="dxa"/>
            <w:tcBorders>
              <w:top w:val="nil"/>
              <w:left w:val="nil"/>
              <w:right w:val="nil"/>
            </w:tcBorders>
            <w:shd w:val="clear" w:color="auto" w:fill="auto"/>
            <w:noWrap/>
            <w:vAlign w:val="bottom"/>
          </w:tcPr>
          <w:p w14:paraId="1A5426A3" w14:textId="77777777" w:rsidR="007850A0" w:rsidRPr="00E6113C" w:rsidRDefault="007850A0" w:rsidP="00E43EDE">
            <w:pPr>
              <w:ind w:right="39"/>
              <w:jc w:val="right"/>
              <w:rPr>
                <w:rFonts w:ascii="Calibri" w:hAnsi="Calibri" w:cs="Calibri"/>
                <w:color w:val="000000"/>
                <w:sz w:val="20"/>
                <w:szCs w:val="20"/>
              </w:rPr>
            </w:pPr>
            <w:r w:rsidRPr="00E6113C">
              <w:rPr>
                <w:rFonts w:ascii="Calibri" w:hAnsi="Calibri" w:cs="Calibri"/>
                <w:color w:val="000000"/>
                <w:sz w:val="20"/>
                <w:szCs w:val="20"/>
              </w:rPr>
              <w:t>(665.8)</w:t>
            </w:r>
          </w:p>
        </w:tc>
      </w:tr>
      <w:tr w:rsidR="007850A0" w:rsidRPr="00E6113C" w14:paraId="79DD9400" w14:textId="77777777" w:rsidTr="00E43EDE">
        <w:trPr>
          <w:trHeight w:val="299"/>
        </w:trPr>
        <w:tc>
          <w:tcPr>
            <w:tcW w:w="4190" w:type="dxa"/>
            <w:shd w:val="clear" w:color="auto" w:fill="FFFFFF"/>
            <w:vAlign w:val="bottom"/>
          </w:tcPr>
          <w:p w14:paraId="22135C00" w14:textId="77777777" w:rsidR="007850A0" w:rsidRPr="00E6113C" w:rsidRDefault="007850A0" w:rsidP="00E43EDE">
            <w:pPr>
              <w:rPr>
                <w:rFonts w:ascii="Calibri" w:hAnsi="Calibri" w:cs="Calibri"/>
                <w:color w:val="000000"/>
                <w:sz w:val="20"/>
                <w:szCs w:val="20"/>
                <w:lang w:eastAsia="en-IE"/>
              </w:rPr>
            </w:pPr>
            <w:r w:rsidRPr="00E6113C">
              <w:rPr>
                <w:rFonts w:ascii="Calibri" w:hAnsi="Calibri" w:cs="Calibri"/>
                <w:color w:val="000000"/>
                <w:sz w:val="20"/>
                <w:szCs w:val="20"/>
                <w:lang w:eastAsia="en-IE"/>
              </w:rPr>
              <w:t>Net finance expense</w:t>
            </w:r>
          </w:p>
        </w:tc>
        <w:tc>
          <w:tcPr>
            <w:tcW w:w="1507" w:type="dxa"/>
            <w:tcBorders>
              <w:top w:val="nil"/>
              <w:left w:val="nil"/>
              <w:right w:val="nil"/>
            </w:tcBorders>
            <w:shd w:val="clear" w:color="auto" w:fill="auto"/>
            <w:noWrap/>
            <w:vAlign w:val="bottom"/>
          </w:tcPr>
          <w:p w14:paraId="5BBD21A6" w14:textId="77777777" w:rsidR="007850A0" w:rsidRPr="00E6113C" w:rsidRDefault="007850A0" w:rsidP="00E43EDE">
            <w:pPr>
              <w:ind w:right="66"/>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 xml:space="preserve">(37.8) </w:t>
            </w:r>
          </w:p>
        </w:tc>
        <w:tc>
          <w:tcPr>
            <w:tcW w:w="1676" w:type="dxa"/>
            <w:tcBorders>
              <w:top w:val="nil"/>
              <w:left w:val="nil"/>
              <w:right w:val="nil"/>
            </w:tcBorders>
            <w:shd w:val="clear" w:color="auto" w:fill="auto"/>
            <w:vAlign w:val="bottom"/>
          </w:tcPr>
          <w:p w14:paraId="01C0B93F" w14:textId="77777777" w:rsidR="007850A0" w:rsidRPr="00E6113C" w:rsidRDefault="007850A0" w:rsidP="00E43EDE">
            <w:pPr>
              <w:ind w:right="30"/>
              <w:jc w:val="right"/>
              <w:rPr>
                <w:rFonts w:ascii="Calibri" w:hAnsi="Calibri" w:cs="Calibri"/>
                <w:color w:val="000000"/>
                <w:sz w:val="20"/>
                <w:szCs w:val="20"/>
              </w:rPr>
            </w:pPr>
            <w:r w:rsidRPr="00E6113C">
              <w:rPr>
                <w:rFonts w:ascii="Calibri" w:hAnsi="Calibri" w:cs="Calibri"/>
                <w:sz w:val="20"/>
                <w:szCs w:val="20"/>
              </w:rPr>
              <w:t>(4.3)</w:t>
            </w:r>
          </w:p>
        </w:tc>
        <w:tc>
          <w:tcPr>
            <w:tcW w:w="1508" w:type="dxa"/>
            <w:tcBorders>
              <w:top w:val="nil"/>
              <w:left w:val="nil"/>
              <w:right w:val="nil"/>
            </w:tcBorders>
            <w:shd w:val="clear" w:color="auto" w:fill="auto"/>
            <w:vAlign w:val="bottom"/>
          </w:tcPr>
          <w:p w14:paraId="598F547E" w14:textId="77777777" w:rsidR="007850A0" w:rsidRPr="00E6113C" w:rsidRDefault="007850A0" w:rsidP="00E43EDE">
            <w:pPr>
              <w:ind w:right="128"/>
              <w:jc w:val="right"/>
              <w:rPr>
                <w:rFonts w:ascii="Calibri" w:hAnsi="Calibri" w:cs="Calibri"/>
                <w:color w:val="000000"/>
                <w:sz w:val="20"/>
                <w:szCs w:val="20"/>
              </w:rPr>
            </w:pPr>
            <w:r w:rsidRPr="00E6113C">
              <w:rPr>
                <w:rFonts w:ascii="Calibri" w:eastAsia="Calibri" w:hAnsi="Calibri" w:cs="Calibri"/>
                <w:sz w:val="20"/>
                <w:szCs w:val="20"/>
                <w:lang w:eastAsia="en-IE"/>
              </w:rPr>
              <w:t>-</w:t>
            </w:r>
          </w:p>
        </w:tc>
        <w:tc>
          <w:tcPr>
            <w:tcW w:w="1476" w:type="dxa"/>
            <w:tcBorders>
              <w:top w:val="nil"/>
              <w:left w:val="nil"/>
              <w:right w:val="nil"/>
            </w:tcBorders>
            <w:shd w:val="clear" w:color="auto" w:fill="auto"/>
            <w:noWrap/>
            <w:vAlign w:val="bottom"/>
          </w:tcPr>
          <w:p w14:paraId="6AA93EDD" w14:textId="77777777" w:rsidR="007850A0" w:rsidRPr="00E6113C" w:rsidRDefault="007850A0" w:rsidP="00E43EDE">
            <w:pPr>
              <w:ind w:right="39"/>
              <w:jc w:val="right"/>
              <w:rPr>
                <w:rFonts w:ascii="Calibri" w:hAnsi="Calibri" w:cs="Calibri"/>
                <w:color w:val="000000"/>
                <w:sz w:val="20"/>
                <w:szCs w:val="20"/>
              </w:rPr>
            </w:pPr>
            <w:r w:rsidRPr="00E6113C">
              <w:rPr>
                <w:rFonts w:ascii="Calibri" w:eastAsia="Calibri" w:hAnsi="Calibri" w:cs="Calibri"/>
                <w:sz w:val="20"/>
                <w:szCs w:val="20"/>
                <w:lang w:eastAsia="en-IE"/>
              </w:rPr>
              <w:t>(42.1)</w:t>
            </w:r>
          </w:p>
        </w:tc>
      </w:tr>
      <w:tr w:rsidR="007850A0" w:rsidRPr="00E6113C" w14:paraId="007E1529" w14:textId="77777777" w:rsidTr="00E43EDE">
        <w:trPr>
          <w:trHeight w:val="299"/>
        </w:trPr>
        <w:tc>
          <w:tcPr>
            <w:tcW w:w="4190" w:type="dxa"/>
            <w:shd w:val="clear" w:color="auto" w:fill="FFFFFF"/>
            <w:vAlign w:val="bottom"/>
          </w:tcPr>
          <w:p w14:paraId="4483BD89" w14:textId="77777777" w:rsidR="007850A0" w:rsidRPr="00E6113C" w:rsidRDefault="007850A0" w:rsidP="00E43EDE">
            <w:pPr>
              <w:rPr>
                <w:rFonts w:ascii="Calibri" w:hAnsi="Calibri" w:cs="Calibri"/>
                <w:color w:val="000000"/>
                <w:sz w:val="20"/>
                <w:szCs w:val="20"/>
                <w:lang w:eastAsia="en-IE"/>
              </w:rPr>
            </w:pPr>
            <w:r w:rsidRPr="00E6113C">
              <w:rPr>
                <w:rFonts w:ascii="Calibri" w:hAnsi="Calibri" w:cs="Calibri"/>
                <w:color w:val="000000"/>
                <w:sz w:val="20"/>
                <w:szCs w:val="20"/>
                <w:lang w:eastAsia="en-IE"/>
              </w:rPr>
              <w:t>Capital expenditure</w:t>
            </w:r>
          </w:p>
        </w:tc>
        <w:tc>
          <w:tcPr>
            <w:tcW w:w="1507" w:type="dxa"/>
            <w:tcBorders>
              <w:left w:val="nil"/>
              <w:right w:val="nil"/>
            </w:tcBorders>
            <w:shd w:val="clear" w:color="auto" w:fill="auto"/>
            <w:noWrap/>
            <w:vAlign w:val="bottom"/>
          </w:tcPr>
          <w:p w14:paraId="0D0AFC3A" w14:textId="77777777" w:rsidR="007850A0" w:rsidRPr="00E6113C" w:rsidRDefault="007850A0" w:rsidP="00E43EDE">
            <w:pPr>
              <w:ind w:right="66"/>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(1,262.9)</w:t>
            </w:r>
          </w:p>
        </w:tc>
        <w:tc>
          <w:tcPr>
            <w:tcW w:w="1676" w:type="dxa"/>
            <w:tcBorders>
              <w:left w:val="nil"/>
              <w:right w:val="nil"/>
            </w:tcBorders>
            <w:shd w:val="clear" w:color="auto" w:fill="auto"/>
            <w:vAlign w:val="bottom"/>
          </w:tcPr>
          <w:p w14:paraId="797AED2C" w14:textId="77777777" w:rsidR="007850A0" w:rsidRPr="00E6113C" w:rsidRDefault="007850A0" w:rsidP="00E43EDE">
            <w:pPr>
              <w:ind w:right="30"/>
              <w:jc w:val="right"/>
              <w:rPr>
                <w:rFonts w:ascii="Calibri" w:hAnsi="Calibri" w:cs="Calibri"/>
                <w:color w:val="000000"/>
                <w:sz w:val="20"/>
                <w:szCs w:val="20"/>
              </w:rPr>
            </w:pPr>
            <w:r w:rsidRPr="00E6113C">
              <w:rPr>
                <w:rFonts w:ascii="Calibri" w:hAnsi="Calibri" w:cs="Calibri"/>
                <w:sz w:val="20"/>
                <w:szCs w:val="20"/>
              </w:rPr>
              <w:t>(118.0)</w:t>
            </w:r>
          </w:p>
        </w:tc>
        <w:tc>
          <w:tcPr>
            <w:tcW w:w="1508" w:type="dxa"/>
            <w:tcBorders>
              <w:left w:val="nil"/>
              <w:right w:val="nil"/>
            </w:tcBorders>
            <w:shd w:val="clear" w:color="auto" w:fill="auto"/>
            <w:vAlign w:val="bottom"/>
          </w:tcPr>
          <w:p w14:paraId="7BE9A259" w14:textId="77777777" w:rsidR="007850A0" w:rsidRPr="00E6113C" w:rsidRDefault="007850A0" w:rsidP="00E43EDE">
            <w:pPr>
              <w:ind w:right="128"/>
              <w:jc w:val="right"/>
              <w:rPr>
                <w:rFonts w:ascii="Calibri" w:hAnsi="Calibri" w:cs="Calibri"/>
                <w:color w:val="000000"/>
                <w:sz w:val="20"/>
                <w:szCs w:val="20"/>
              </w:rPr>
            </w:pPr>
            <w:r w:rsidRPr="00E6113C">
              <w:rPr>
                <w:rFonts w:ascii="Calibri" w:eastAsia="Calibri" w:hAnsi="Calibri" w:cs="Calibri"/>
                <w:sz w:val="20"/>
                <w:szCs w:val="20"/>
                <w:lang w:eastAsia="en-IE"/>
              </w:rPr>
              <w:t>-</w:t>
            </w:r>
          </w:p>
        </w:tc>
        <w:tc>
          <w:tcPr>
            <w:tcW w:w="1476" w:type="dxa"/>
            <w:tcBorders>
              <w:left w:val="nil"/>
              <w:right w:val="nil"/>
            </w:tcBorders>
            <w:shd w:val="clear" w:color="auto" w:fill="auto"/>
            <w:noWrap/>
            <w:vAlign w:val="bottom"/>
          </w:tcPr>
          <w:p w14:paraId="4D0629CA" w14:textId="77777777" w:rsidR="007850A0" w:rsidRPr="00E6113C" w:rsidRDefault="007850A0" w:rsidP="00E43EDE">
            <w:pPr>
              <w:ind w:right="39"/>
              <w:jc w:val="right"/>
              <w:rPr>
                <w:rFonts w:ascii="Calibri" w:hAnsi="Calibri" w:cs="Calibri"/>
                <w:color w:val="000000"/>
                <w:sz w:val="20"/>
                <w:szCs w:val="20"/>
              </w:rPr>
            </w:pPr>
            <w:r w:rsidRPr="00E6113C">
              <w:rPr>
                <w:rFonts w:ascii="Calibri" w:eastAsia="Calibri" w:hAnsi="Calibri" w:cs="Calibri"/>
                <w:sz w:val="20"/>
                <w:szCs w:val="20"/>
                <w:lang w:eastAsia="en-IE"/>
              </w:rPr>
              <w:t xml:space="preserve">(1,380.9) </w:t>
            </w:r>
          </w:p>
        </w:tc>
      </w:tr>
      <w:tr w:rsidR="007850A0" w:rsidRPr="00E6113C" w14:paraId="60B2F425" w14:textId="77777777" w:rsidTr="00E43EDE">
        <w:trPr>
          <w:trHeight w:val="299"/>
        </w:trPr>
        <w:tc>
          <w:tcPr>
            <w:tcW w:w="4190" w:type="dxa"/>
            <w:shd w:val="clear" w:color="auto" w:fill="FFFFFF"/>
            <w:vAlign w:val="bottom"/>
          </w:tcPr>
          <w:p w14:paraId="7FFE7326" w14:textId="77777777" w:rsidR="007850A0" w:rsidRPr="00E6113C" w:rsidRDefault="007850A0" w:rsidP="00E43EDE">
            <w:pPr>
              <w:rPr>
                <w:rFonts w:ascii="Calibri" w:hAnsi="Calibri" w:cs="Calibri"/>
                <w:color w:val="000000"/>
                <w:sz w:val="20"/>
                <w:szCs w:val="20"/>
                <w:lang w:eastAsia="en-IE"/>
              </w:rPr>
            </w:pPr>
          </w:p>
        </w:tc>
        <w:tc>
          <w:tcPr>
            <w:tcW w:w="1507" w:type="dxa"/>
            <w:tcBorders>
              <w:left w:val="nil"/>
              <w:right w:val="nil"/>
            </w:tcBorders>
            <w:shd w:val="clear" w:color="auto" w:fill="auto"/>
            <w:noWrap/>
            <w:vAlign w:val="bottom"/>
          </w:tcPr>
          <w:p w14:paraId="5F946DEB" w14:textId="77777777" w:rsidR="007850A0" w:rsidRPr="00E6113C" w:rsidRDefault="007850A0" w:rsidP="00E43EDE">
            <w:pPr>
              <w:ind w:right="66"/>
              <w:jc w:val="right"/>
              <w:rPr>
                <w:rFonts w:ascii="Calibri" w:hAnsi="Calibri" w:cs="Calibri"/>
                <w:color w:val="000000"/>
                <w:sz w:val="20"/>
                <w:szCs w:val="20"/>
                <w:lang w:eastAsia="en-IE"/>
              </w:rPr>
            </w:pPr>
          </w:p>
        </w:tc>
        <w:tc>
          <w:tcPr>
            <w:tcW w:w="1676" w:type="dxa"/>
            <w:tcBorders>
              <w:left w:val="nil"/>
              <w:right w:val="nil"/>
            </w:tcBorders>
            <w:shd w:val="clear" w:color="auto" w:fill="auto"/>
            <w:vAlign w:val="bottom"/>
          </w:tcPr>
          <w:p w14:paraId="5C49B227" w14:textId="77777777" w:rsidR="007850A0" w:rsidRPr="00E6113C" w:rsidRDefault="007850A0" w:rsidP="00E43EDE">
            <w:pPr>
              <w:ind w:right="30"/>
              <w:jc w:val="right"/>
              <w:rPr>
                <w:rFonts w:ascii="Calibri" w:hAnsi="Calibri" w:cs="Calibri"/>
                <w:color w:val="000000"/>
                <w:sz w:val="20"/>
                <w:szCs w:val="20"/>
                <w:lang w:eastAsia="en-IE"/>
              </w:rPr>
            </w:pPr>
          </w:p>
        </w:tc>
        <w:tc>
          <w:tcPr>
            <w:tcW w:w="1508" w:type="dxa"/>
            <w:tcBorders>
              <w:left w:val="nil"/>
              <w:right w:val="nil"/>
            </w:tcBorders>
            <w:shd w:val="clear" w:color="auto" w:fill="auto"/>
            <w:vAlign w:val="bottom"/>
          </w:tcPr>
          <w:p w14:paraId="12445D95" w14:textId="77777777" w:rsidR="007850A0" w:rsidRPr="00E6113C" w:rsidRDefault="007850A0" w:rsidP="00E43EDE">
            <w:pPr>
              <w:ind w:left="-245" w:right="128"/>
              <w:jc w:val="right"/>
              <w:rPr>
                <w:rFonts w:ascii="Calibri" w:hAnsi="Calibri" w:cs="Calibri"/>
                <w:color w:val="000000"/>
                <w:sz w:val="20"/>
                <w:szCs w:val="20"/>
                <w:lang w:eastAsia="en-IE"/>
              </w:rPr>
            </w:pPr>
          </w:p>
        </w:tc>
        <w:tc>
          <w:tcPr>
            <w:tcW w:w="1476" w:type="dxa"/>
            <w:tcBorders>
              <w:left w:val="nil"/>
              <w:right w:val="nil"/>
            </w:tcBorders>
            <w:shd w:val="clear" w:color="auto" w:fill="auto"/>
            <w:noWrap/>
            <w:vAlign w:val="bottom"/>
          </w:tcPr>
          <w:p w14:paraId="63C6E7AE" w14:textId="77777777" w:rsidR="007850A0" w:rsidRPr="00E6113C" w:rsidRDefault="007850A0" w:rsidP="00E43EDE">
            <w:pPr>
              <w:ind w:right="39"/>
              <w:jc w:val="right"/>
              <w:rPr>
                <w:rFonts w:ascii="Calibri" w:hAnsi="Calibri" w:cs="Calibri"/>
                <w:color w:val="000000"/>
                <w:sz w:val="20"/>
                <w:szCs w:val="20"/>
                <w:lang w:eastAsia="en-IE"/>
              </w:rPr>
            </w:pPr>
          </w:p>
        </w:tc>
      </w:tr>
      <w:tr w:rsidR="007850A0" w:rsidRPr="00E6113C" w14:paraId="5300EB40" w14:textId="77777777" w:rsidTr="00E43EDE">
        <w:trPr>
          <w:trHeight w:val="299"/>
        </w:trPr>
        <w:tc>
          <w:tcPr>
            <w:tcW w:w="4190" w:type="dxa"/>
            <w:shd w:val="clear" w:color="auto" w:fill="FFFFFF"/>
            <w:vAlign w:val="bottom"/>
          </w:tcPr>
          <w:p w14:paraId="4C4D2BE6" w14:textId="77777777" w:rsidR="007850A0" w:rsidRPr="00E6113C" w:rsidRDefault="007850A0" w:rsidP="00E43EDE">
            <w:pPr>
              <w:rPr>
                <w:rFonts w:ascii="Calibri" w:hAnsi="Calibri" w:cs="Calibri"/>
                <w:color w:val="000000"/>
                <w:sz w:val="20"/>
                <w:szCs w:val="20"/>
                <w:lang w:eastAsia="en-IE"/>
              </w:rPr>
            </w:pPr>
            <w:r w:rsidRPr="00E6113C">
              <w:rPr>
                <w:rFonts w:ascii="Calibri" w:hAnsi="Calibri" w:cs="Calibri"/>
                <w:color w:val="000000"/>
                <w:sz w:val="20"/>
                <w:szCs w:val="20"/>
                <w:lang w:eastAsia="en-IE"/>
              </w:rPr>
              <w:t>Segment assets</w:t>
            </w:r>
          </w:p>
        </w:tc>
        <w:tc>
          <w:tcPr>
            <w:tcW w:w="1507" w:type="dxa"/>
            <w:tcBorders>
              <w:top w:val="nil"/>
              <w:left w:val="nil"/>
              <w:right w:val="nil"/>
            </w:tcBorders>
            <w:shd w:val="clear" w:color="auto" w:fill="auto"/>
            <w:noWrap/>
            <w:vAlign w:val="bottom"/>
          </w:tcPr>
          <w:p w14:paraId="4799E514" w14:textId="77777777" w:rsidR="007850A0" w:rsidRPr="00E6113C" w:rsidRDefault="007850A0" w:rsidP="00E43EDE">
            <w:pPr>
              <w:ind w:right="66"/>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 xml:space="preserve">          15,263.7</w:t>
            </w:r>
          </w:p>
        </w:tc>
        <w:tc>
          <w:tcPr>
            <w:tcW w:w="1676" w:type="dxa"/>
            <w:tcBorders>
              <w:top w:val="nil"/>
              <w:left w:val="nil"/>
              <w:right w:val="nil"/>
            </w:tcBorders>
            <w:shd w:val="clear" w:color="auto" w:fill="auto"/>
            <w:vAlign w:val="bottom"/>
          </w:tcPr>
          <w:p w14:paraId="75F617E3" w14:textId="77777777" w:rsidR="007850A0" w:rsidRPr="00E6113C" w:rsidRDefault="007850A0" w:rsidP="00E43EDE">
            <w:pPr>
              <w:ind w:right="30"/>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497.2</w:t>
            </w:r>
          </w:p>
        </w:tc>
        <w:tc>
          <w:tcPr>
            <w:tcW w:w="1508" w:type="dxa"/>
            <w:tcBorders>
              <w:top w:val="nil"/>
              <w:left w:val="nil"/>
              <w:right w:val="nil"/>
            </w:tcBorders>
            <w:shd w:val="clear" w:color="auto" w:fill="auto"/>
            <w:vAlign w:val="bottom"/>
          </w:tcPr>
          <w:p w14:paraId="7CFF67AE" w14:textId="77777777" w:rsidR="007850A0" w:rsidRPr="00E6113C" w:rsidRDefault="007850A0" w:rsidP="00E43EDE">
            <w:pPr>
              <w:ind w:left="-245" w:right="128"/>
              <w:jc w:val="right"/>
              <w:rPr>
                <w:rFonts w:ascii="Calibri" w:hAnsi="Calibri" w:cs="Calibri"/>
                <w:color w:val="000000"/>
                <w:sz w:val="20"/>
                <w:szCs w:val="20"/>
                <w:lang w:eastAsia="en-IE"/>
              </w:rPr>
            </w:pPr>
            <w:r w:rsidRPr="00E6113C">
              <w:rPr>
                <w:rFonts w:ascii="Calibri" w:eastAsia="Calibri" w:hAnsi="Calibri" w:cs="Calibri"/>
                <w:sz w:val="20"/>
                <w:szCs w:val="20"/>
                <w:lang w:eastAsia="en-IE"/>
              </w:rPr>
              <w:t>-</w:t>
            </w:r>
          </w:p>
        </w:tc>
        <w:tc>
          <w:tcPr>
            <w:tcW w:w="1476" w:type="dxa"/>
            <w:tcBorders>
              <w:top w:val="nil"/>
              <w:left w:val="nil"/>
              <w:right w:val="nil"/>
            </w:tcBorders>
            <w:shd w:val="clear" w:color="auto" w:fill="auto"/>
            <w:noWrap/>
            <w:vAlign w:val="bottom"/>
          </w:tcPr>
          <w:p w14:paraId="6D39871A" w14:textId="77777777" w:rsidR="007850A0" w:rsidRPr="00E6113C" w:rsidRDefault="007850A0" w:rsidP="00E43EDE">
            <w:pPr>
              <w:ind w:right="39"/>
              <w:jc w:val="right"/>
              <w:rPr>
                <w:rFonts w:ascii="Calibri" w:hAnsi="Calibri" w:cs="Calibri"/>
                <w:color w:val="000000"/>
                <w:sz w:val="20"/>
                <w:szCs w:val="20"/>
                <w:lang w:eastAsia="en-IE"/>
              </w:rPr>
            </w:pPr>
            <w:r w:rsidRPr="00E6113C">
              <w:rPr>
                <w:rFonts w:ascii="Calibri" w:eastAsia="Calibri" w:hAnsi="Calibri" w:cs="Calibri"/>
                <w:sz w:val="20"/>
                <w:szCs w:val="20"/>
                <w:lang w:eastAsia="en-IE"/>
              </w:rPr>
              <w:t>15,760.9</w:t>
            </w:r>
          </w:p>
        </w:tc>
      </w:tr>
      <w:tr w:rsidR="007850A0" w:rsidRPr="00E6113C" w14:paraId="71860A21" w14:textId="77777777" w:rsidTr="00E43EDE">
        <w:trPr>
          <w:trHeight w:val="299"/>
        </w:trPr>
        <w:tc>
          <w:tcPr>
            <w:tcW w:w="4190" w:type="dxa"/>
            <w:shd w:val="clear" w:color="auto" w:fill="FFFFFF"/>
            <w:vAlign w:val="bottom"/>
          </w:tcPr>
          <w:p w14:paraId="654DEB5C" w14:textId="77777777" w:rsidR="007850A0" w:rsidRPr="00E6113C" w:rsidRDefault="007850A0" w:rsidP="00E43EDE">
            <w:pPr>
              <w:rPr>
                <w:rFonts w:ascii="Calibri" w:hAnsi="Calibri" w:cs="Calibri"/>
                <w:color w:val="000000"/>
                <w:sz w:val="20"/>
                <w:szCs w:val="20"/>
                <w:lang w:eastAsia="en-IE"/>
              </w:rPr>
            </w:pPr>
            <w:r w:rsidRPr="00E6113C">
              <w:rPr>
                <w:rFonts w:ascii="Calibri" w:hAnsi="Calibri" w:cs="Calibri"/>
                <w:color w:val="000000"/>
                <w:sz w:val="20"/>
                <w:szCs w:val="20"/>
                <w:lang w:eastAsia="en-IE"/>
              </w:rPr>
              <w:t>Segment liabilities</w:t>
            </w:r>
          </w:p>
        </w:tc>
        <w:tc>
          <w:tcPr>
            <w:tcW w:w="1507" w:type="dxa"/>
            <w:tcBorders>
              <w:top w:val="nil"/>
              <w:left w:val="nil"/>
              <w:right w:val="nil"/>
            </w:tcBorders>
            <w:shd w:val="clear" w:color="auto" w:fill="auto"/>
            <w:noWrap/>
            <w:vAlign w:val="bottom"/>
          </w:tcPr>
          <w:p w14:paraId="794B24F3" w14:textId="77777777" w:rsidR="007850A0" w:rsidRPr="00E6113C" w:rsidRDefault="007850A0" w:rsidP="00E43EDE">
            <w:pPr>
              <w:ind w:right="66"/>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 xml:space="preserve">      (8,599.3)</w:t>
            </w:r>
          </w:p>
        </w:tc>
        <w:tc>
          <w:tcPr>
            <w:tcW w:w="1676" w:type="dxa"/>
            <w:tcBorders>
              <w:top w:val="nil"/>
              <w:left w:val="nil"/>
              <w:right w:val="nil"/>
            </w:tcBorders>
            <w:shd w:val="clear" w:color="auto" w:fill="auto"/>
            <w:vAlign w:val="bottom"/>
          </w:tcPr>
          <w:p w14:paraId="52D57A22" w14:textId="77777777" w:rsidR="007850A0" w:rsidRPr="00E6113C" w:rsidRDefault="007850A0" w:rsidP="00E43EDE">
            <w:pPr>
              <w:ind w:right="30"/>
              <w:jc w:val="right"/>
              <w:rPr>
                <w:rFonts w:ascii="Calibri" w:hAnsi="Calibri" w:cs="Calibri"/>
                <w:color w:val="000000"/>
                <w:sz w:val="20"/>
                <w:szCs w:val="20"/>
              </w:rPr>
            </w:pPr>
            <w:r w:rsidRPr="00E6113C">
              <w:rPr>
                <w:rFonts w:ascii="Calibri" w:hAnsi="Calibri" w:cs="Calibri"/>
                <w:color w:val="000000"/>
                <w:sz w:val="20"/>
                <w:szCs w:val="20"/>
              </w:rPr>
              <w:t>(869.3)</w:t>
            </w:r>
          </w:p>
        </w:tc>
        <w:tc>
          <w:tcPr>
            <w:tcW w:w="1508" w:type="dxa"/>
            <w:tcBorders>
              <w:top w:val="nil"/>
              <w:left w:val="nil"/>
              <w:right w:val="nil"/>
            </w:tcBorders>
            <w:shd w:val="clear" w:color="auto" w:fill="auto"/>
            <w:vAlign w:val="bottom"/>
          </w:tcPr>
          <w:p w14:paraId="62BB4DEE" w14:textId="77777777" w:rsidR="007850A0" w:rsidRPr="00E6113C" w:rsidRDefault="007850A0" w:rsidP="00E43EDE">
            <w:pPr>
              <w:ind w:right="128"/>
              <w:jc w:val="right"/>
              <w:rPr>
                <w:rFonts w:ascii="Calibri" w:hAnsi="Calibri" w:cs="Calibri"/>
                <w:color w:val="000000"/>
                <w:sz w:val="20"/>
                <w:szCs w:val="20"/>
                <w:lang w:eastAsia="en-IE"/>
              </w:rPr>
            </w:pPr>
            <w:r w:rsidRPr="00E6113C">
              <w:rPr>
                <w:rFonts w:ascii="Calibri" w:eastAsia="Calibri" w:hAnsi="Calibri" w:cs="Calibri"/>
                <w:sz w:val="20"/>
                <w:szCs w:val="20"/>
                <w:lang w:eastAsia="en-IE"/>
              </w:rPr>
              <w:t>-</w:t>
            </w:r>
          </w:p>
        </w:tc>
        <w:tc>
          <w:tcPr>
            <w:tcW w:w="1476" w:type="dxa"/>
            <w:tcBorders>
              <w:top w:val="nil"/>
              <w:left w:val="nil"/>
              <w:right w:val="nil"/>
            </w:tcBorders>
            <w:shd w:val="clear" w:color="auto" w:fill="auto"/>
            <w:noWrap/>
            <w:vAlign w:val="bottom"/>
          </w:tcPr>
          <w:p w14:paraId="46A98CA9" w14:textId="77777777" w:rsidR="007850A0" w:rsidRPr="00E6113C" w:rsidRDefault="007850A0" w:rsidP="00E43EDE">
            <w:pPr>
              <w:ind w:right="39"/>
              <w:jc w:val="right"/>
              <w:rPr>
                <w:rFonts w:ascii="Calibri" w:hAnsi="Calibri" w:cs="Calibri"/>
                <w:color w:val="000000"/>
                <w:sz w:val="20"/>
                <w:szCs w:val="20"/>
                <w:lang w:eastAsia="en-IE"/>
              </w:rPr>
            </w:pPr>
            <w:r w:rsidRPr="00E6113C">
              <w:rPr>
                <w:rFonts w:ascii="Calibri" w:eastAsia="Calibri" w:hAnsi="Calibri" w:cs="Calibri"/>
                <w:sz w:val="20"/>
                <w:szCs w:val="20"/>
                <w:lang w:eastAsia="en-IE"/>
              </w:rPr>
              <w:t xml:space="preserve">(9,468.6) </w:t>
            </w:r>
          </w:p>
        </w:tc>
      </w:tr>
      <w:tr w:rsidR="007850A0" w:rsidRPr="00E6113C" w14:paraId="17D15FB3" w14:textId="77777777" w:rsidTr="00E43EDE">
        <w:trPr>
          <w:trHeight w:val="299"/>
        </w:trPr>
        <w:tc>
          <w:tcPr>
            <w:tcW w:w="4190" w:type="dxa"/>
            <w:shd w:val="clear" w:color="auto" w:fill="FFFFFF"/>
            <w:vAlign w:val="bottom"/>
          </w:tcPr>
          <w:p w14:paraId="3E3F92EB" w14:textId="77777777" w:rsidR="007850A0" w:rsidRPr="00E6113C" w:rsidRDefault="007850A0" w:rsidP="00E43EDE">
            <w:pPr>
              <w:rPr>
                <w:rFonts w:ascii="Calibri" w:hAnsi="Calibri" w:cs="Calibri"/>
                <w:color w:val="000000"/>
                <w:sz w:val="20"/>
                <w:szCs w:val="20"/>
                <w:lang w:eastAsia="en-IE"/>
              </w:rPr>
            </w:pPr>
          </w:p>
        </w:tc>
        <w:tc>
          <w:tcPr>
            <w:tcW w:w="1507" w:type="dxa"/>
            <w:tcBorders>
              <w:top w:val="nil"/>
              <w:left w:val="nil"/>
              <w:right w:val="nil"/>
            </w:tcBorders>
            <w:shd w:val="clear" w:color="auto" w:fill="auto"/>
            <w:noWrap/>
            <w:vAlign w:val="bottom"/>
          </w:tcPr>
          <w:p w14:paraId="27F40FD3" w14:textId="77777777" w:rsidR="007850A0" w:rsidRPr="00E6113C" w:rsidRDefault="007850A0" w:rsidP="00E43EDE">
            <w:pPr>
              <w:jc w:val="right"/>
              <w:rPr>
                <w:rFonts w:ascii="Calibri" w:hAnsi="Calibri" w:cs="Calibri"/>
                <w:color w:val="000000"/>
                <w:sz w:val="20"/>
                <w:szCs w:val="20"/>
                <w:lang w:eastAsia="en-IE"/>
              </w:rPr>
            </w:pPr>
          </w:p>
        </w:tc>
        <w:tc>
          <w:tcPr>
            <w:tcW w:w="1676" w:type="dxa"/>
            <w:tcBorders>
              <w:top w:val="nil"/>
              <w:left w:val="nil"/>
              <w:right w:val="nil"/>
            </w:tcBorders>
            <w:shd w:val="clear" w:color="auto" w:fill="auto"/>
            <w:vAlign w:val="bottom"/>
          </w:tcPr>
          <w:p w14:paraId="590FCBF2" w14:textId="77777777" w:rsidR="007850A0" w:rsidRPr="00E6113C" w:rsidRDefault="007850A0" w:rsidP="00E43EDE">
            <w:pPr>
              <w:jc w:val="right"/>
              <w:rPr>
                <w:rFonts w:ascii="Calibri" w:hAnsi="Calibri" w:cs="Calibri"/>
                <w:color w:val="000000"/>
                <w:sz w:val="20"/>
                <w:szCs w:val="20"/>
              </w:rPr>
            </w:pPr>
          </w:p>
        </w:tc>
        <w:tc>
          <w:tcPr>
            <w:tcW w:w="1508" w:type="dxa"/>
            <w:tcBorders>
              <w:top w:val="nil"/>
              <w:left w:val="nil"/>
              <w:right w:val="nil"/>
            </w:tcBorders>
            <w:shd w:val="clear" w:color="auto" w:fill="auto"/>
            <w:vAlign w:val="bottom"/>
          </w:tcPr>
          <w:p w14:paraId="4E0FE8E4" w14:textId="77777777" w:rsidR="007850A0" w:rsidRPr="00E6113C" w:rsidRDefault="007850A0" w:rsidP="00E43EDE">
            <w:pPr>
              <w:ind w:right="-50"/>
              <w:jc w:val="right"/>
              <w:rPr>
                <w:rFonts w:ascii="Calibri" w:hAnsi="Calibri" w:cs="Calibri"/>
                <w:color w:val="000000"/>
                <w:sz w:val="20"/>
                <w:szCs w:val="20"/>
                <w:lang w:eastAsia="en-IE"/>
              </w:rPr>
            </w:pPr>
          </w:p>
        </w:tc>
        <w:tc>
          <w:tcPr>
            <w:tcW w:w="1476" w:type="dxa"/>
            <w:tcBorders>
              <w:top w:val="nil"/>
              <w:left w:val="nil"/>
              <w:right w:val="nil"/>
            </w:tcBorders>
            <w:shd w:val="clear" w:color="auto" w:fill="auto"/>
            <w:noWrap/>
            <w:vAlign w:val="bottom"/>
          </w:tcPr>
          <w:p w14:paraId="536654D5" w14:textId="77777777" w:rsidR="007850A0" w:rsidRPr="00E6113C" w:rsidRDefault="007850A0" w:rsidP="00E43EDE">
            <w:pPr>
              <w:jc w:val="right"/>
              <w:rPr>
                <w:rFonts w:ascii="Calibri" w:hAnsi="Calibri" w:cs="Calibri"/>
                <w:color w:val="000000"/>
                <w:sz w:val="20"/>
                <w:szCs w:val="20"/>
                <w:lang w:eastAsia="en-IE"/>
              </w:rPr>
            </w:pPr>
          </w:p>
        </w:tc>
      </w:tr>
    </w:tbl>
    <w:p w14:paraId="56511437" w14:textId="77777777" w:rsidR="007850A0" w:rsidRPr="00E56C1C" w:rsidRDefault="007850A0" w:rsidP="007850A0">
      <w:pPr>
        <w:pStyle w:val="Outline3L3"/>
        <w:widowControl w:val="0"/>
        <w:numPr>
          <w:ilvl w:val="0"/>
          <w:numId w:val="0"/>
        </w:numPr>
        <w:spacing w:after="0"/>
        <w:ind w:right="-143"/>
        <w:jc w:val="both"/>
        <w:rPr>
          <w:rFonts w:ascii="Calibri" w:hAnsi="Calibri" w:cs="Calibri"/>
          <w:i/>
          <w:sz w:val="18"/>
          <w:szCs w:val="18"/>
        </w:rPr>
      </w:pPr>
      <w:r w:rsidRPr="00E6113C">
        <w:rPr>
          <w:rFonts w:ascii="Calibri" w:hAnsi="Calibri" w:cs="Calibri"/>
          <w:i/>
          <w:sz w:val="18"/>
          <w:szCs w:val="18"/>
        </w:rPr>
        <w:t>(i) Adjusted profit after tax in the nine months to December 31, 2022, excludes a net exceptional loss after tax of €116.4M, attributable to the fair value measurement of jet fuel call options.</w:t>
      </w:r>
    </w:p>
    <w:p w14:paraId="7F81790A" w14:textId="77777777" w:rsidR="007850A0" w:rsidRDefault="007850A0" w:rsidP="00F3553F">
      <w:pPr>
        <w:ind w:right="-143"/>
        <w:jc w:val="both"/>
        <w:rPr>
          <w:rFonts w:ascii="Calibri" w:hAnsi="Calibri" w:cs="Calibri"/>
          <w:sz w:val="22"/>
          <w:szCs w:val="22"/>
          <w:lang w:val="en-US"/>
        </w:rPr>
      </w:pPr>
    </w:p>
    <w:p w14:paraId="250D6687" w14:textId="77777777" w:rsidR="007850A0" w:rsidRDefault="007850A0" w:rsidP="00F3553F">
      <w:pPr>
        <w:ind w:right="-143"/>
        <w:jc w:val="both"/>
        <w:rPr>
          <w:rFonts w:ascii="Calibri" w:hAnsi="Calibri" w:cs="Calibri"/>
          <w:sz w:val="22"/>
          <w:szCs w:val="22"/>
          <w:lang w:val="en-US"/>
        </w:rPr>
      </w:pPr>
    </w:p>
    <w:tbl>
      <w:tblPr>
        <w:tblW w:w="10881" w:type="dxa"/>
        <w:tblLayout w:type="fixed"/>
        <w:tblLook w:val="0000" w:firstRow="0" w:lastRow="0" w:firstColumn="0" w:lastColumn="0" w:noHBand="0" w:noVBand="0"/>
      </w:tblPr>
      <w:tblGrid>
        <w:gridCol w:w="10881"/>
      </w:tblGrid>
      <w:tr w:rsidR="00861314" w:rsidRPr="00C22F7C" w14:paraId="6A4B6683" w14:textId="77777777" w:rsidTr="00133C7F">
        <w:trPr>
          <w:trHeight w:val="262"/>
        </w:trPr>
        <w:tc>
          <w:tcPr>
            <w:tcW w:w="10881" w:type="dxa"/>
          </w:tcPr>
          <w:tbl>
            <w:tblPr>
              <w:tblW w:w="10263" w:type="dxa"/>
              <w:tblLayout w:type="fixed"/>
              <w:tblLook w:val="04A0" w:firstRow="1" w:lastRow="0" w:firstColumn="1" w:lastColumn="0" w:noHBand="0" w:noVBand="1"/>
            </w:tblPr>
            <w:tblGrid>
              <w:gridCol w:w="4147"/>
              <w:gridCol w:w="1491"/>
              <w:gridCol w:w="1659"/>
              <w:gridCol w:w="1473"/>
              <w:gridCol w:w="1493"/>
            </w:tblGrid>
            <w:tr w:rsidR="00861314" w:rsidRPr="001244BE" w14:paraId="0E0D3D7B" w14:textId="77777777" w:rsidTr="00133C7F">
              <w:trPr>
                <w:trHeight w:val="306"/>
              </w:trPr>
              <w:tc>
                <w:tcPr>
                  <w:tcW w:w="4147" w:type="dxa"/>
                  <w:shd w:val="clear" w:color="auto" w:fill="FFFFFF"/>
                  <w:vAlign w:val="center"/>
                  <w:hideMark/>
                </w:tcPr>
                <w:p w14:paraId="0E23001E" w14:textId="77777777" w:rsidR="00861314" w:rsidRPr="00D2086B" w:rsidRDefault="00861314" w:rsidP="00133C7F">
                  <w:pPr>
                    <w:ind w:left="319" w:hanging="282"/>
                    <w:rPr>
                      <w:rFonts w:ascii="Calibri" w:hAnsi="Calibri" w:cs="Calibri"/>
                      <w:color w:val="000000"/>
                      <w:sz w:val="21"/>
                      <w:szCs w:val="21"/>
                      <w:lang w:eastAsia="en-IE"/>
                    </w:rPr>
                  </w:pPr>
                  <w:r>
                    <w:br w:type="page"/>
                  </w:r>
                  <w:r w:rsidRPr="00AA3B51">
                    <w:rPr>
                      <w:rFonts w:ascii="Calibri" w:hAnsi="Calibri" w:cs="Calibri"/>
                      <w:b/>
                      <w:bCs/>
                      <w:color w:val="000000"/>
                      <w:sz w:val="20"/>
                      <w:szCs w:val="20"/>
                      <w:lang w:eastAsia="en-IE"/>
                    </w:rPr>
                    <w:t>Quarter Ended</w:t>
                  </w:r>
                </w:p>
              </w:tc>
              <w:tc>
                <w:tcPr>
                  <w:tcW w:w="1491" w:type="dxa"/>
                  <w:shd w:val="clear" w:color="auto" w:fill="FFFF00"/>
                  <w:vAlign w:val="bottom"/>
                  <w:hideMark/>
                </w:tcPr>
                <w:p w14:paraId="6FC845C7" w14:textId="77777777" w:rsidR="00861314" w:rsidRPr="00837D76" w:rsidRDefault="00861314" w:rsidP="00133C7F">
                  <w:pPr>
                    <w:ind w:left="-115"/>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 xml:space="preserve">Ryanair DAC </w:t>
                  </w:r>
                </w:p>
              </w:tc>
              <w:tc>
                <w:tcPr>
                  <w:tcW w:w="1659" w:type="dxa"/>
                  <w:shd w:val="clear" w:color="auto" w:fill="FFFF00"/>
                  <w:vAlign w:val="bottom"/>
                </w:tcPr>
                <w:p w14:paraId="7129DD0C" w14:textId="77777777" w:rsidR="00861314" w:rsidRPr="00837D76" w:rsidRDefault="00861314" w:rsidP="00133C7F">
                  <w:pPr>
                    <w:ind w:right="-45"/>
                    <w:jc w:val="right"/>
                    <w:rPr>
                      <w:rFonts w:ascii="Calibri" w:hAnsi="Calibri" w:cs="Calibri"/>
                      <w:b/>
                      <w:bCs/>
                      <w:color w:val="000000"/>
                      <w:sz w:val="20"/>
                      <w:szCs w:val="20"/>
                      <w:lang w:eastAsia="en-IE"/>
                    </w:rPr>
                  </w:pPr>
                  <w:r>
                    <w:rPr>
                      <w:rFonts w:ascii="Calibri" w:hAnsi="Calibri" w:cs="Calibri"/>
                      <w:b/>
                      <w:bCs/>
                      <w:color w:val="000000"/>
                      <w:sz w:val="20"/>
                      <w:szCs w:val="20"/>
                      <w:lang w:eastAsia="en-IE"/>
                    </w:rPr>
                    <w:t>Other Airlines</w:t>
                  </w:r>
                </w:p>
              </w:tc>
              <w:tc>
                <w:tcPr>
                  <w:tcW w:w="1473" w:type="dxa"/>
                  <w:shd w:val="clear" w:color="auto" w:fill="FFFF00"/>
                  <w:vAlign w:val="bottom"/>
                </w:tcPr>
                <w:p w14:paraId="6E121C01" w14:textId="77777777" w:rsidR="00861314" w:rsidRPr="00213A94" w:rsidRDefault="00861314" w:rsidP="00133C7F">
                  <w:pPr>
                    <w:ind w:left="-245"/>
                    <w:jc w:val="right"/>
                    <w:rPr>
                      <w:rFonts w:ascii="Calibri" w:hAnsi="Calibri" w:cs="Calibri"/>
                      <w:b/>
                      <w:bCs/>
                      <w:color w:val="000000"/>
                      <w:sz w:val="20"/>
                      <w:szCs w:val="20"/>
                      <w:lang w:eastAsia="en-IE"/>
                    </w:rPr>
                  </w:pPr>
                  <w:r>
                    <w:rPr>
                      <w:rFonts w:ascii="Calibri" w:hAnsi="Calibri" w:cs="Calibri"/>
                      <w:b/>
                      <w:bCs/>
                      <w:color w:val="000000"/>
                      <w:sz w:val="20"/>
                      <w:szCs w:val="20"/>
                      <w:lang w:eastAsia="en-IE"/>
                    </w:rPr>
                    <w:t>Elimination</w:t>
                  </w:r>
                </w:p>
              </w:tc>
              <w:tc>
                <w:tcPr>
                  <w:tcW w:w="1493" w:type="dxa"/>
                  <w:shd w:val="clear" w:color="auto" w:fill="FFFF00"/>
                  <w:vAlign w:val="bottom"/>
                  <w:hideMark/>
                </w:tcPr>
                <w:p w14:paraId="47C93BF0" w14:textId="77777777" w:rsidR="00861314" w:rsidRPr="00837D76" w:rsidRDefault="00861314" w:rsidP="00133C7F">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Total</w:t>
                  </w:r>
                </w:p>
              </w:tc>
            </w:tr>
            <w:tr w:rsidR="00861314" w:rsidRPr="001244BE" w14:paraId="4E0573AD" w14:textId="77777777" w:rsidTr="00133C7F">
              <w:trPr>
                <w:trHeight w:val="306"/>
              </w:trPr>
              <w:tc>
                <w:tcPr>
                  <w:tcW w:w="4147" w:type="dxa"/>
                  <w:vMerge w:val="restart"/>
                  <w:shd w:val="clear" w:color="auto" w:fill="FFFFFF"/>
                  <w:vAlign w:val="center"/>
                </w:tcPr>
                <w:p w14:paraId="2CFC629D" w14:textId="77777777" w:rsidR="00861314" w:rsidRPr="001947EA" w:rsidRDefault="00861314" w:rsidP="00133C7F">
                  <w:pPr>
                    <w:rPr>
                      <w:rFonts w:ascii="Calibri" w:hAnsi="Calibri" w:cs="Calibri"/>
                      <w:b/>
                      <w:bCs/>
                      <w:color w:val="000000"/>
                      <w:sz w:val="20"/>
                      <w:szCs w:val="20"/>
                      <w:lang w:eastAsia="en-IE"/>
                    </w:rPr>
                  </w:pPr>
                </w:p>
              </w:tc>
              <w:tc>
                <w:tcPr>
                  <w:tcW w:w="1491" w:type="dxa"/>
                  <w:shd w:val="clear" w:color="auto" w:fill="FFFF00"/>
                  <w:vAlign w:val="bottom"/>
                  <w:hideMark/>
                </w:tcPr>
                <w:p w14:paraId="695FED16" w14:textId="77777777" w:rsidR="00861314" w:rsidRPr="00837D76" w:rsidRDefault="00861314" w:rsidP="00133C7F">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Dec 31</w:t>
                  </w:r>
                  <w:r w:rsidRPr="00837D76">
                    <w:rPr>
                      <w:rFonts w:ascii="Calibri" w:hAnsi="Calibri" w:cs="Calibri"/>
                      <w:b/>
                      <w:bCs/>
                      <w:color w:val="000000"/>
                      <w:sz w:val="20"/>
                      <w:szCs w:val="20"/>
                      <w:lang w:eastAsia="en-IE"/>
                    </w:rPr>
                    <w:t>,</w:t>
                  </w:r>
                </w:p>
              </w:tc>
              <w:tc>
                <w:tcPr>
                  <w:tcW w:w="1659" w:type="dxa"/>
                  <w:shd w:val="clear" w:color="auto" w:fill="FFFF00"/>
                  <w:vAlign w:val="bottom"/>
                </w:tcPr>
                <w:p w14:paraId="20174CD8" w14:textId="77777777" w:rsidR="00861314" w:rsidRPr="00837D76" w:rsidRDefault="00861314" w:rsidP="00133C7F">
                  <w:pPr>
                    <w:ind w:right="-45"/>
                    <w:jc w:val="right"/>
                    <w:rPr>
                      <w:rFonts w:ascii="Calibri" w:hAnsi="Calibri" w:cs="Calibri"/>
                      <w:b/>
                      <w:bCs/>
                      <w:color w:val="000000"/>
                      <w:sz w:val="20"/>
                      <w:szCs w:val="20"/>
                      <w:lang w:eastAsia="en-IE"/>
                    </w:rPr>
                  </w:pPr>
                  <w:r>
                    <w:rPr>
                      <w:rFonts w:ascii="Calibri" w:hAnsi="Calibri" w:cs="Calibri"/>
                      <w:b/>
                      <w:bCs/>
                      <w:color w:val="000000"/>
                      <w:sz w:val="20"/>
                      <w:szCs w:val="20"/>
                      <w:lang w:eastAsia="en-IE"/>
                    </w:rPr>
                    <w:t>Dec 31</w:t>
                  </w:r>
                  <w:r w:rsidRPr="00837D76">
                    <w:rPr>
                      <w:rFonts w:ascii="Calibri" w:hAnsi="Calibri" w:cs="Calibri"/>
                      <w:b/>
                      <w:bCs/>
                      <w:color w:val="000000"/>
                      <w:sz w:val="20"/>
                      <w:szCs w:val="20"/>
                      <w:lang w:eastAsia="en-IE"/>
                    </w:rPr>
                    <w:t>,</w:t>
                  </w:r>
                </w:p>
              </w:tc>
              <w:tc>
                <w:tcPr>
                  <w:tcW w:w="1473" w:type="dxa"/>
                  <w:shd w:val="clear" w:color="auto" w:fill="FFFF00"/>
                  <w:vAlign w:val="bottom"/>
                </w:tcPr>
                <w:p w14:paraId="38EBCADE" w14:textId="77777777" w:rsidR="00861314" w:rsidRPr="00837D76" w:rsidRDefault="00861314" w:rsidP="00133C7F">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Dec 31</w:t>
                  </w:r>
                  <w:r w:rsidRPr="00837D76">
                    <w:rPr>
                      <w:rFonts w:ascii="Calibri" w:hAnsi="Calibri" w:cs="Calibri"/>
                      <w:b/>
                      <w:bCs/>
                      <w:color w:val="000000"/>
                      <w:sz w:val="20"/>
                      <w:szCs w:val="20"/>
                      <w:lang w:eastAsia="en-IE"/>
                    </w:rPr>
                    <w:t>,</w:t>
                  </w:r>
                </w:p>
              </w:tc>
              <w:tc>
                <w:tcPr>
                  <w:tcW w:w="1493" w:type="dxa"/>
                  <w:shd w:val="clear" w:color="auto" w:fill="FFFF00"/>
                  <w:vAlign w:val="bottom"/>
                  <w:hideMark/>
                </w:tcPr>
                <w:p w14:paraId="48D27CAA" w14:textId="77777777" w:rsidR="00861314" w:rsidRPr="00837D76" w:rsidRDefault="00861314" w:rsidP="00133C7F">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Dec 31</w:t>
                  </w:r>
                  <w:r w:rsidRPr="00837D76">
                    <w:rPr>
                      <w:rFonts w:ascii="Calibri" w:hAnsi="Calibri" w:cs="Calibri"/>
                      <w:b/>
                      <w:bCs/>
                      <w:color w:val="000000"/>
                      <w:sz w:val="20"/>
                      <w:szCs w:val="20"/>
                      <w:lang w:eastAsia="en-IE"/>
                    </w:rPr>
                    <w:t>,</w:t>
                  </w:r>
                </w:p>
              </w:tc>
            </w:tr>
            <w:tr w:rsidR="00861314" w:rsidRPr="001244BE" w14:paraId="183EB774" w14:textId="77777777" w:rsidTr="00133C7F">
              <w:trPr>
                <w:trHeight w:val="306"/>
              </w:trPr>
              <w:tc>
                <w:tcPr>
                  <w:tcW w:w="4147" w:type="dxa"/>
                  <w:vMerge/>
                  <w:vAlign w:val="bottom"/>
                  <w:hideMark/>
                </w:tcPr>
                <w:p w14:paraId="42339F98" w14:textId="77777777" w:rsidR="00861314" w:rsidRPr="00D2086B" w:rsidRDefault="00861314" w:rsidP="00133C7F">
                  <w:pPr>
                    <w:rPr>
                      <w:rFonts w:ascii="Calibri" w:hAnsi="Calibri" w:cs="Calibri"/>
                      <w:b/>
                      <w:bCs/>
                      <w:color w:val="000000"/>
                      <w:sz w:val="21"/>
                      <w:szCs w:val="21"/>
                      <w:lang w:eastAsia="en-IE"/>
                    </w:rPr>
                  </w:pPr>
                </w:p>
              </w:tc>
              <w:tc>
                <w:tcPr>
                  <w:tcW w:w="1491" w:type="dxa"/>
                  <w:shd w:val="clear" w:color="auto" w:fill="FFFF00"/>
                  <w:vAlign w:val="bottom"/>
                  <w:hideMark/>
                </w:tcPr>
                <w:p w14:paraId="517E6BB3" w14:textId="77777777" w:rsidR="00861314" w:rsidRPr="00837D76" w:rsidRDefault="00861314" w:rsidP="00133C7F">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659" w:type="dxa"/>
                  <w:shd w:val="clear" w:color="auto" w:fill="FFFF00"/>
                  <w:vAlign w:val="bottom"/>
                </w:tcPr>
                <w:p w14:paraId="79F697ED" w14:textId="77777777" w:rsidR="00861314" w:rsidRPr="00837D76" w:rsidRDefault="00861314" w:rsidP="00133C7F">
                  <w:pPr>
                    <w:ind w:right="-45"/>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473" w:type="dxa"/>
                  <w:shd w:val="clear" w:color="auto" w:fill="FFFF00"/>
                  <w:vAlign w:val="bottom"/>
                </w:tcPr>
                <w:p w14:paraId="042F6081" w14:textId="77777777" w:rsidR="00861314" w:rsidRPr="00837D76" w:rsidRDefault="00861314" w:rsidP="00133C7F">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493" w:type="dxa"/>
                  <w:shd w:val="clear" w:color="auto" w:fill="FFFF00"/>
                  <w:vAlign w:val="bottom"/>
                  <w:hideMark/>
                </w:tcPr>
                <w:p w14:paraId="2895DCA7" w14:textId="77777777" w:rsidR="00861314" w:rsidRPr="00837D76" w:rsidRDefault="00861314" w:rsidP="00133C7F">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r>
            <w:tr w:rsidR="00861314" w:rsidRPr="001244BE" w14:paraId="4DE1B58A" w14:textId="77777777" w:rsidTr="00133C7F">
              <w:trPr>
                <w:trHeight w:val="306"/>
              </w:trPr>
              <w:tc>
                <w:tcPr>
                  <w:tcW w:w="4147" w:type="dxa"/>
                  <w:shd w:val="clear" w:color="auto" w:fill="FFFFFF"/>
                  <w:vAlign w:val="bottom"/>
                  <w:hideMark/>
                </w:tcPr>
                <w:p w14:paraId="3910AD3D" w14:textId="77777777" w:rsidR="00861314" w:rsidRPr="00D2086B" w:rsidRDefault="00861314" w:rsidP="00133C7F">
                  <w:pPr>
                    <w:rPr>
                      <w:rFonts w:ascii="Calibri" w:hAnsi="Calibri" w:cs="Calibri"/>
                      <w:color w:val="000000"/>
                      <w:sz w:val="21"/>
                      <w:szCs w:val="21"/>
                      <w:lang w:eastAsia="en-IE"/>
                    </w:rPr>
                  </w:pPr>
                  <w:r w:rsidRPr="00D2086B">
                    <w:rPr>
                      <w:rFonts w:ascii="Calibri" w:hAnsi="Calibri" w:cs="Calibri"/>
                      <w:color w:val="000000"/>
                      <w:sz w:val="21"/>
                      <w:szCs w:val="21"/>
                      <w:lang w:eastAsia="en-IE"/>
                    </w:rPr>
                    <w:t> </w:t>
                  </w:r>
                </w:p>
              </w:tc>
              <w:tc>
                <w:tcPr>
                  <w:tcW w:w="1491" w:type="dxa"/>
                  <w:shd w:val="clear" w:color="auto" w:fill="FFFF00"/>
                  <w:noWrap/>
                  <w:vAlign w:val="bottom"/>
                  <w:hideMark/>
                </w:tcPr>
                <w:p w14:paraId="4FD2DDAB" w14:textId="77777777" w:rsidR="00861314" w:rsidRPr="00837D76" w:rsidRDefault="00861314" w:rsidP="00133C7F">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659" w:type="dxa"/>
                  <w:shd w:val="clear" w:color="auto" w:fill="FFFF00"/>
                  <w:vAlign w:val="bottom"/>
                </w:tcPr>
                <w:p w14:paraId="678EC129" w14:textId="77777777" w:rsidR="00861314" w:rsidRPr="00837D76" w:rsidRDefault="00861314" w:rsidP="00133C7F">
                  <w:pPr>
                    <w:ind w:right="-45"/>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73" w:type="dxa"/>
                  <w:shd w:val="clear" w:color="auto" w:fill="FFFF00"/>
                  <w:vAlign w:val="bottom"/>
                </w:tcPr>
                <w:p w14:paraId="6A952C24" w14:textId="77777777" w:rsidR="00861314" w:rsidRPr="00837D76" w:rsidRDefault="00861314" w:rsidP="00133C7F">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93" w:type="dxa"/>
                  <w:shd w:val="clear" w:color="auto" w:fill="FFFF00"/>
                  <w:noWrap/>
                  <w:vAlign w:val="bottom"/>
                  <w:hideMark/>
                </w:tcPr>
                <w:p w14:paraId="77CB50A5" w14:textId="77777777" w:rsidR="00861314" w:rsidRPr="00837D76" w:rsidRDefault="00861314" w:rsidP="00133C7F">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r>
            <w:tr w:rsidR="00861314" w:rsidRPr="001244BE" w14:paraId="050C6B63" w14:textId="77777777" w:rsidTr="00133C7F">
              <w:trPr>
                <w:trHeight w:val="306"/>
              </w:trPr>
              <w:tc>
                <w:tcPr>
                  <w:tcW w:w="4147" w:type="dxa"/>
                  <w:shd w:val="clear" w:color="auto" w:fill="FFFFFF"/>
                  <w:vAlign w:val="bottom"/>
                </w:tcPr>
                <w:p w14:paraId="66FE42AD" w14:textId="77777777" w:rsidR="00861314" w:rsidRPr="00837D76" w:rsidRDefault="00861314" w:rsidP="00133C7F">
                  <w:pPr>
                    <w:rPr>
                      <w:rFonts w:ascii="Calibri" w:hAnsi="Calibri" w:cs="Calibri"/>
                      <w:color w:val="000000"/>
                      <w:sz w:val="20"/>
                      <w:szCs w:val="20"/>
                      <w:lang w:eastAsia="en-IE"/>
                    </w:rPr>
                  </w:pPr>
                  <w:r w:rsidRPr="00C822E4">
                    <w:rPr>
                      <w:rFonts w:ascii="Calibri" w:hAnsi="Calibri" w:cs="Calibri"/>
                      <w:color w:val="000000"/>
                      <w:sz w:val="20"/>
                      <w:szCs w:val="20"/>
                      <w:lang w:eastAsia="en-IE"/>
                    </w:rPr>
                    <w:t>Scheduled revenue</w:t>
                  </w:r>
                </w:p>
              </w:tc>
              <w:tc>
                <w:tcPr>
                  <w:tcW w:w="1491" w:type="dxa"/>
                  <w:shd w:val="clear" w:color="auto" w:fill="FFFF00"/>
                  <w:noWrap/>
                  <w:vAlign w:val="bottom"/>
                </w:tcPr>
                <w:p w14:paraId="4350D4FE" w14:textId="77777777" w:rsidR="00861314" w:rsidRPr="00837D76" w:rsidRDefault="00861314" w:rsidP="00133C7F">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1,739.6</w:t>
                  </w:r>
                </w:p>
              </w:tc>
              <w:tc>
                <w:tcPr>
                  <w:tcW w:w="1659" w:type="dxa"/>
                  <w:shd w:val="clear" w:color="auto" w:fill="FFFF00"/>
                  <w:vAlign w:val="bottom"/>
                </w:tcPr>
                <w:p w14:paraId="0F07EE91" w14:textId="77777777" w:rsidR="00861314" w:rsidRPr="00837D76" w:rsidRDefault="00861314" w:rsidP="00133C7F">
                  <w:pPr>
                    <w:ind w:right="-45"/>
                    <w:jc w:val="right"/>
                    <w:rPr>
                      <w:rFonts w:ascii="Calibri" w:hAnsi="Calibri" w:cs="Calibri"/>
                      <w:b/>
                      <w:bCs/>
                      <w:color w:val="000000"/>
                      <w:sz w:val="20"/>
                      <w:szCs w:val="20"/>
                      <w:lang w:eastAsia="en-IE"/>
                    </w:rPr>
                  </w:pPr>
                  <w:r>
                    <w:rPr>
                      <w:rFonts w:ascii="Calibri" w:hAnsi="Calibri" w:cs="Calibri"/>
                      <w:b/>
                      <w:bCs/>
                      <w:color w:val="000000"/>
                      <w:sz w:val="20"/>
                      <w:szCs w:val="20"/>
                      <w:lang w:eastAsia="en-IE"/>
                    </w:rPr>
                    <w:t>9.6</w:t>
                  </w:r>
                </w:p>
              </w:tc>
              <w:tc>
                <w:tcPr>
                  <w:tcW w:w="1473" w:type="dxa"/>
                  <w:shd w:val="clear" w:color="auto" w:fill="FFFF00"/>
                  <w:vAlign w:val="bottom"/>
                </w:tcPr>
                <w:p w14:paraId="3E57DF6E" w14:textId="77777777" w:rsidR="00861314" w:rsidRPr="00837D76" w:rsidRDefault="00861314" w:rsidP="00133C7F">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w:t>
                  </w:r>
                </w:p>
              </w:tc>
              <w:tc>
                <w:tcPr>
                  <w:tcW w:w="1493" w:type="dxa"/>
                  <w:shd w:val="clear" w:color="auto" w:fill="FFFF00"/>
                  <w:noWrap/>
                  <w:vAlign w:val="bottom"/>
                </w:tcPr>
                <w:p w14:paraId="4C2365FD" w14:textId="77777777" w:rsidR="00861314" w:rsidRPr="00837D76" w:rsidRDefault="00861314" w:rsidP="00133C7F">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1,749.2</w:t>
                  </w:r>
                </w:p>
              </w:tc>
            </w:tr>
            <w:tr w:rsidR="00861314" w:rsidRPr="001244BE" w14:paraId="5AF713FC" w14:textId="77777777" w:rsidTr="00133C7F">
              <w:trPr>
                <w:trHeight w:val="306"/>
              </w:trPr>
              <w:tc>
                <w:tcPr>
                  <w:tcW w:w="4147" w:type="dxa"/>
                  <w:shd w:val="clear" w:color="auto" w:fill="FFFFFF"/>
                  <w:vAlign w:val="bottom"/>
                </w:tcPr>
                <w:p w14:paraId="48806B96" w14:textId="77777777" w:rsidR="00861314" w:rsidRPr="00837D76" w:rsidRDefault="00861314" w:rsidP="00133C7F">
                  <w:pPr>
                    <w:rPr>
                      <w:rFonts w:ascii="Calibri" w:hAnsi="Calibri" w:cs="Calibri"/>
                      <w:color w:val="000000"/>
                      <w:sz w:val="20"/>
                      <w:szCs w:val="20"/>
                      <w:lang w:eastAsia="en-IE"/>
                    </w:rPr>
                  </w:pPr>
                  <w:r w:rsidRPr="00C822E4">
                    <w:rPr>
                      <w:rFonts w:ascii="Calibri" w:hAnsi="Calibri" w:cs="Calibri"/>
                      <w:color w:val="000000"/>
                      <w:sz w:val="20"/>
                      <w:szCs w:val="20"/>
                      <w:lang w:eastAsia="en-IE"/>
                    </w:rPr>
                    <w:t>Ancillary revenue</w:t>
                  </w:r>
                </w:p>
              </w:tc>
              <w:tc>
                <w:tcPr>
                  <w:tcW w:w="1491" w:type="dxa"/>
                  <w:shd w:val="clear" w:color="auto" w:fill="FFFF00"/>
                  <w:noWrap/>
                  <w:vAlign w:val="bottom"/>
                </w:tcPr>
                <w:p w14:paraId="01AC434C" w14:textId="77777777" w:rsidR="00861314" w:rsidRPr="00480316" w:rsidRDefault="00861314" w:rsidP="00133C7F">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949.5</w:t>
                  </w:r>
                </w:p>
              </w:tc>
              <w:tc>
                <w:tcPr>
                  <w:tcW w:w="1659" w:type="dxa"/>
                  <w:shd w:val="clear" w:color="auto" w:fill="FFFF00"/>
                  <w:vAlign w:val="bottom"/>
                </w:tcPr>
                <w:p w14:paraId="489E5A01" w14:textId="77777777" w:rsidR="00861314" w:rsidRDefault="00861314" w:rsidP="00133C7F">
                  <w:pPr>
                    <w:ind w:right="-45"/>
                    <w:jc w:val="right"/>
                    <w:rPr>
                      <w:rFonts w:ascii="Calibri" w:hAnsi="Calibri" w:cs="Calibri"/>
                      <w:b/>
                      <w:bCs/>
                      <w:color w:val="000000"/>
                      <w:sz w:val="20"/>
                      <w:szCs w:val="20"/>
                      <w:lang w:eastAsia="en-IE"/>
                    </w:rPr>
                  </w:pPr>
                  <w:r>
                    <w:rPr>
                      <w:rFonts w:ascii="Calibri" w:hAnsi="Calibri" w:cs="Calibri"/>
                      <w:b/>
                      <w:bCs/>
                      <w:color w:val="000000"/>
                      <w:sz w:val="20"/>
                      <w:szCs w:val="20"/>
                      <w:lang w:eastAsia="en-IE"/>
                    </w:rPr>
                    <w:t>-</w:t>
                  </w:r>
                </w:p>
              </w:tc>
              <w:tc>
                <w:tcPr>
                  <w:tcW w:w="1473" w:type="dxa"/>
                  <w:shd w:val="clear" w:color="auto" w:fill="FFFF00"/>
                  <w:vAlign w:val="bottom"/>
                </w:tcPr>
                <w:p w14:paraId="7DEFB652" w14:textId="77777777" w:rsidR="00861314" w:rsidRDefault="00861314" w:rsidP="00133C7F">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w:t>
                  </w:r>
                </w:p>
              </w:tc>
              <w:tc>
                <w:tcPr>
                  <w:tcW w:w="1493" w:type="dxa"/>
                  <w:shd w:val="clear" w:color="auto" w:fill="FFFF00"/>
                  <w:noWrap/>
                  <w:vAlign w:val="bottom"/>
                </w:tcPr>
                <w:p w14:paraId="70327673" w14:textId="77777777" w:rsidR="00861314" w:rsidRPr="00480316" w:rsidRDefault="00861314" w:rsidP="00133C7F">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949.5</w:t>
                  </w:r>
                </w:p>
              </w:tc>
            </w:tr>
            <w:tr w:rsidR="00861314" w:rsidRPr="001244BE" w14:paraId="2BD4309B" w14:textId="77777777" w:rsidTr="00133C7F">
              <w:trPr>
                <w:trHeight w:val="306"/>
              </w:trPr>
              <w:tc>
                <w:tcPr>
                  <w:tcW w:w="4147" w:type="dxa"/>
                  <w:shd w:val="clear" w:color="auto" w:fill="FFFFFF"/>
                  <w:vAlign w:val="bottom"/>
                  <w:hideMark/>
                </w:tcPr>
                <w:p w14:paraId="53C68E47" w14:textId="77777777" w:rsidR="00861314" w:rsidRPr="00213A94" w:rsidRDefault="00861314" w:rsidP="00133C7F">
                  <w:pPr>
                    <w:rPr>
                      <w:rFonts w:ascii="Calibri" w:hAnsi="Calibri" w:cs="Calibri"/>
                      <w:color w:val="000000"/>
                      <w:sz w:val="20"/>
                      <w:szCs w:val="20"/>
                      <w:lang w:eastAsia="en-IE"/>
                    </w:rPr>
                  </w:pPr>
                  <w:r w:rsidRPr="00837D76">
                    <w:rPr>
                      <w:rFonts w:ascii="Calibri" w:hAnsi="Calibri" w:cs="Calibri"/>
                      <w:color w:val="000000"/>
                      <w:sz w:val="20"/>
                      <w:szCs w:val="20"/>
                      <w:lang w:eastAsia="en-IE"/>
                    </w:rPr>
                    <w:t>Inter-segment revenue</w:t>
                  </w:r>
                </w:p>
              </w:tc>
              <w:tc>
                <w:tcPr>
                  <w:tcW w:w="1491" w:type="dxa"/>
                  <w:tcBorders>
                    <w:bottom w:val="single" w:sz="4" w:space="0" w:color="auto"/>
                  </w:tcBorders>
                  <w:shd w:val="clear" w:color="000000" w:fill="FFFF00"/>
                  <w:noWrap/>
                  <w:vAlign w:val="bottom"/>
                </w:tcPr>
                <w:p w14:paraId="034D0A92" w14:textId="77777777" w:rsidR="00861314" w:rsidRPr="00D80B90" w:rsidRDefault="00861314" w:rsidP="00133C7F">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181.7</w:t>
                  </w:r>
                </w:p>
              </w:tc>
              <w:tc>
                <w:tcPr>
                  <w:tcW w:w="1659" w:type="dxa"/>
                  <w:tcBorders>
                    <w:bottom w:val="single" w:sz="4" w:space="0" w:color="auto"/>
                  </w:tcBorders>
                  <w:shd w:val="clear" w:color="000000" w:fill="FFFF00"/>
                  <w:vAlign w:val="bottom"/>
                </w:tcPr>
                <w:p w14:paraId="3D9B2F2C" w14:textId="77777777" w:rsidR="00861314" w:rsidRPr="00D80B90" w:rsidRDefault="00861314" w:rsidP="00133C7F">
                  <w:pPr>
                    <w:ind w:right="-45"/>
                    <w:jc w:val="right"/>
                    <w:rPr>
                      <w:rFonts w:ascii="Calibri" w:hAnsi="Calibri" w:cs="Calibri"/>
                      <w:b/>
                      <w:bCs/>
                      <w:color w:val="000000"/>
                      <w:sz w:val="20"/>
                      <w:szCs w:val="20"/>
                      <w:lang w:eastAsia="en-IE"/>
                    </w:rPr>
                  </w:pPr>
                  <w:r>
                    <w:rPr>
                      <w:rFonts w:ascii="Calibri" w:hAnsi="Calibri" w:cs="Calibri"/>
                      <w:b/>
                      <w:bCs/>
                      <w:color w:val="000000"/>
                      <w:sz w:val="20"/>
                      <w:szCs w:val="20"/>
                      <w:lang w:eastAsia="en-IE"/>
                    </w:rPr>
                    <w:t>347.9</w:t>
                  </w:r>
                </w:p>
              </w:tc>
              <w:tc>
                <w:tcPr>
                  <w:tcW w:w="1473" w:type="dxa"/>
                  <w:tcBorders>
                    <w:bottom w:val="single" w:sz="4" w:space="0" w:color="auto"/>
                  </w:tcBorders>
                  <w:shd w:val="clear" w:color="000000" w:fill="FFFF00"/>
                  <w:vAlign w:val="bottom"/>
                </w:tcPr>
                <w:p w14:paraId="056D844E" w14:textId="77777777" w:rsidR="00861314" w:rsidRPr="00D80B90" w:rsidRDefault="00861314" w:rsidP="00133C7F">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(529.6)</w:t>
                  </w:r>
                </w:p>
              </w:tc>
              <w:tc>
                <w:tcPr>
                  <w:tcW w:w="1493" w:type="dxa"/>
                  <w:tcBorders>
                    <w:bottom w:val="single" w:sz="4" w:space="0" w:color="auto"/>
                  </w:tcBorders>
                  <w:shd w:val="clear" w:color="000000" w:fill="FFFF00"/>
                  <w:noWrap/>
                  <w:vAlign w:val="bottom"/>
                </w:tcPr>
                <w:p w14:paraId="55795C3B" w14:textId="77777777" w:rsidR="00861314" w:rsidRPr="00D80B90" w:rsidRDefault="00861314" w:rsidP="00133C7F">
                  <w:pPr>
                    <w:jc w:val="right"/>
                    <w:rPr>
                      <w:rFonts w:ascii="Calibri" w:hAnsi="Calibri" w:cs="Calibri"/>
                      <w:b/>
                      <w:bCs/>
                      <w:color w:val="000000"/>
                      <w:sz w:val="20"/>
                      <w:szCs w:val="20"/>
                      <w:lang w:eastAsia="en-IE"/>
                    </w:rPr>
                  </w:pPr>
                  <w:r w:rsidRPr="00D80B90">
                    <w:rPr>
                      <w:rFonts w:ascii="Calibri" w:hAnsi="Calibri" w:cs="Calibri"/>
                      <w:b/>
                      <w:bCs/>
                      <w:color w:val="000000"/>
                      <w:sz w:val="20"/>
                      <w:szCs w:val="20"/>
                      <w:lang w:eastAsia="en-IE"/>
                    </w:rPr>
                    <w:t>-</w:t>
                  </w:r>
                </w:p>
              </w:tc>
            </w:tr>
            <w:tr w:rsidR="00861314" w:rsidRPr="001244BE" w14:paraId="539A6BEE" w14:textId="77777777" w:rsidTr="00133C7F">
              <w:trPr>
                <w:trHeight w:val="306"/>
              </w:trPr>
              <w:tc>
                <w:tcPr>
                  <w:tcW w:w="4147" w:type="dxa"/>
                  <w:shd w:val="clear" w:color="auto" w:fill="FFFFFF"/>
                  <w:vAlign w:val="bottom"/>
                  <w:hideMark/>
                </w:tcPr>
                <w:p w14:paraId="065976BD" w14:textId="77777777" w:rsidR="00861314" w:rsidRPr="00837D76" w:rsidRDefault="00861314" w:rsidP="00133C7F">
                  <w:pPr>
                    <w:rPr>
                      <w:rFonts w:ascii="Calibri" w:hAnsi="Calibri" w:cs="Calibri"/>
                      <w:color w:val="000000"/>
                      <w:sz w:val="20"/>
                      <w:szCs w:val="20"/>
                      <w:lang w:eastAsia="en-IE"/>
                    </w:rPr>
                  </w:pPr>
                  <w:r w:rsidRPr="00837D76">
                    <w:rPr>
                      <w:rFonts w:ascii="Calibri" w:hAnsi="Calibri" w:cs="Calibri"/>
                      <w:b/>
                      <w:bCs/>
                      <w:color w:val="000000"/>
                      <w:sz w:val="20"/>
                      <w:szCs w:val="20"/>
                      <w:lang w:eastAsia="en-IE"/>
                    </w:rPr>
                    <w:t xml:space="preserve">Segment revenue                    </w:t>
                  </w:r>
                </w:p>
              </w:tc>
              <w:tc>
                <w:tcPr>
                  <w:tcW w:w="1491" w:type="dxa"/>
                  <w:tcBorders>
                    <w:top w:val="single" w:sz="4" w:space="0" w:color="auto"/>
                    <w:bottom w:val="single" w:sz="12" w:space="0" w:color="auto"/>
                  </w:tcBorders>
                  <w:shd w:val="clear" w:color="auto" w:fill="FFFF00"/>
                  <w:noWrap/>
                  <w:vAlign w:val="bottom"/>
                </w:tcPr>
                <w:p w14:paraId="312CEEA1" w14:textId="77777777" w:rsidR="00861314" w:rsidRPr="00D80B90" w:rsidRDefault="00861314" w:rsidP="00133C7F">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2,870.8</w:t>
                  </w:r>
                </w:p>
              </w:tc>
              <w:tc>
                <w:tcPr>
                  <w:tcW w:w="1659" w:type="dxa"/>
                  <w:tcBorders>
                    <w:top w:val="single" w:sz="4" w:space="0" w:color="auto"/>
                    <w:bottom w:val="single" w:sz="12" w:space="0" w:color="auto"/>
                  </w:tcBorders>
                  <w:shd w:val="clear" w:color="auto" w:fill="FFFF00"/>
                  <w:vAlign w:val="bottom"/>
                </w:tcPr>
                <w:p w14:paraId="23CB5248" w14:textId="77777777" w:rsidR="00861314" w:rsidRPr="00D80B90" w:rsidRDefault="00861314" w:rsidP="00133C7F">
                  <w:pPr>
                    <w:ind w:right="-45"/>
                    <w:jc w:val="right"/>
                    <w:rPr>
                      <w:rFonts w:ascii="Calibri" w:hAnsi="Calibri" w:cs="Calibri"/>
                      <w:b/>
                      <w:bCs/>
                      <w:color w:val="000000"/>
                      <w:sz w:val="20"/>
                      <w:szCs w:val="20"/>
                      <w:lang w:eastAsia="en-IE"/>
                    </w:rPr>
                  </w:pPr>
                  <w:r>
                    <w:rPr>
                      <w:rFonts w:ascii="Calibri" w:hAnsi="Calibri" w:cs="Calibri"/>
                      <w:b/>
                      <w:bCs/>
                      <w:color w:val="000000"/>
                      <w:sz w:val="20"/>
                      <w:szCs w:val="20"/>
                      <w:lang w:eastAsia="en-IE"/>
                    </w:rPr>
                    <w:t>357.5</w:t>
                  </w:r>
                </w:p>
              </w:tc>
              <w:tc>
                <w:tcPr>
                  <w:tcW w:w="1473" w:type="dxa"/>
                  <w:tcBorders>
                    <w:top w:val="single" w:sz="4" w:space="0" w:color="auto"/>
                    <w:bottom w:val="single" w:sz="12" w:space="0" w:color="auto"/>
                  </w:tcBorders>
                  <w:shd w:val="clear" w:color="auto" w:fill="FFFF00"/>
                  <w:vAlign w:val="bottom"/>
                </w:tcPr>
                <w:p w14:paraId="4A206C0C" w14:textId="77777777" w:rsidR="00861314" w:rsidRPr="00D80B90" w:rsidRDefault="00861314" w:rsidP="00133C7F">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(529.6)</w:t>
                  </w:r>
                </w:p>
              </w:tc>
              <w:tc>
                <w:tcPr>
                  <w:tcW w:w="1493" w:type="dxa"/>
                  <w:tcBorders>
                    <w:top w:val="single" w:sz="4" w:space="0" w:color="auto"/>
                    <w:bottom w:val="single" w:sz="12" w:space="0" w:color="auto"/>
                  </w:tcBorders>
                  <w:shd w:val="clear" w:color="auto" w:fill="FFFF00"/>
                  <w:noWrap/>
                  <w:vAlign w:val="bottom"/>
                </w:tcPr>
                <w:p w14:paraId="58DDE4AB" w14:textId="77777777" w:rsidR="00861314" w:rsidRPr="00D80B90" w:rsidRDefault="00861314" w:rsidP="00133C7F">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2,698.7</w:t>
                  </w:r>
                </w:p>
              </w:tc>
            </w:tr>
            <w:tr w:rsidR="00861314" w:rsidRPr="001244BE" w14:paraId="0E79A2ED" w14:textId="77777777" w:rsidTr="00133C7F">
              <w:trPr>
                <w:trHeight w:val="57"/>
              </w:trPr>
              <w:tc>
                <w:tcPr>
                  <w:tcW w:w="4147" w:type="dxa"/>
                  <w:shd w:val="clear" w:color="auto" w:fill="FFFFFF"/>
                  <w:vAlign w:val="bottom"/>
                </w:tcPr>
                <w:p w14:paraId="662B744F" w14:textId="77777777" w:rsidR="00861314" w:rsidRPr="00837D76" w:rsidRDefault="00861314" w:rsidP="00133C7F">
                  <w:pPr>
                    <w:rPr>
                      <w:rFonts w:ascii="Calibri" w:hAnsi="Calibri" w:cs="Calibri"/>
                      <w:b/>
                      <w:bCs/>
                      <w:color w:val="000000"/>
                      <w:sz w:val="20"/>
                      <w:szCs w:val="20"/>
                      <w:lang w:eastAsia="en-IE"/>
                    </w:rPr>
                  </w:pPr>
                </w:p>
              </w:tc>
              <w:tc>
                <w:tcPr>
                  <w:tcW w:w="1491" w:type="dxa"/>
                  <w:tcBorders>
                    <w:top w:val="single" w:sz="12" w:space="0" w:color="auto"/>
                  </w:tcBorders>
                  <w:shd w:val="clear" w:color="000000" w:fill="FFFF00"/>
                  <w:noWrap/>
                  <w:vAlign w:val="bottom"/>
                </w:tcPr>
                <w:p w14:paraId="2C19D54A" w14:textId="77777777" w:rsidR="00861314" w:rsidRPr="00837D76" w:rsidRDefault="00861314" w:rsidP="00133C7F">
                  <w:pPr>
                    <w:jc w:val="right"/>
                    <w:rPr>
                      <w:rFonts w:ascii="Calibri" w:hAnsi="Calibri" w:cs="Calibri"/>
                      <w:b/>
                      <w:color w:val="000000"/>
                      <w:sz w:val="20"/>
                      <w:szCs w:val="20"/>
                      <w:lang w:eastAsia="en-IE"/>
                    </w:rPr>
                  </w:pPr>
                </w:p>
              </w:tc>
              <w:tc>
                <w:tcPr>
                  <w:tcW w:w="1659" w:type="dxa"/>
                  <w:tcBorders>
                    <w:top w:val="single" w:sz="12" w:space="0" w:color="auto"/>
                  </w:tcBorders>
                  <w:shd w:val="clear" w:color="000000" w:fill="FFFF00"/>
                  <w:vAlign w:val="bottom"/>
                </w:tcPr>
                <w:p w14:paraId="76184282" w14:textId="77777777" w:rsidR="00861314" w:rsidRPr="00837D76" w:rsidRDefault="00861314" w:rsidP="00133C7F">
                  <w:pPr>
                    <w:ind w:right="-45"/>
                    <w:jc w:val="right"/>
                    <w:rPr>
                      <w:rFonts w:ascii="Calibri" w:hAnsi="Calibri" w:cs="Calibri"/>
                      <w:b/>
                      <w:color w:val="000000"/>
                      <w:sz w:val="20"/>
                      <w:szCs w:val="20"/>
                    </w:rPr>
                  </w:pPr>
                </w:p>
              </w:tc>
              <w:tc>
                <w:tcPr>
                  <w:tcW w:w="1473" w:type="dxa"/>
                  <w:tcBorders>
                    <w:top w:val="single" w:sz="12" w:space="0" w:color="auto"/>
                  </w:tcBorders>
                  <w:shd w:val="clear" w:color="000000" w:fill="FFFF00"/>
                  <w:vAlign w:val="bottom"/>
                </w:tcPr>
                <w:p w14:paraId="1BBC7222" w14:textId="77777777" w:rsidR="00861314" w:rsidRPr="00837D76" w:rsidRDefault="00861314" w:rsidP="00133C7F">
                  <w:pPr>
                    <w:jc w:val="right"/>
                    <w:rPr>
                      <w:rFonts w:ascii="Calibri" w:hAnsi="Calibri" w:cs="Calibri"/>
                      <w:sz w:val="20"/>
                      <w:szCs w:val="20"/>
                    </w:rPr>
                  </w:pPr>
                </w:p>
              </w:tc>
              <w:tc>
                <w:tcPr>
                  <w:tcW w:w="1493" w:type="dxa"/>
                  <w:tcBorders>
                    <w:top w:val="single" w:sz="12" w:space="0" w:color="auto"/>
                  </w:tcBorders>
                  <w:shd w:val="clear" w:color="000000" w:fill="FFFF00"/>
                  <w:noWrap/>
                  <w:vAlign w:val="bottom"/>
                </w:tcPr>
                <w:p w14:paraId="27735466" w14:textId="77777777" w:rsidR="00861314" w:rsidRPr="00837D76" w:rsidRDefault="00861314" w:rsidP="00133C7F">
                  <w:pPr>
                    <w:jc w:val="right"/>
                    <w:rPr>
                      <w:rFonts w:ascii="Calibri" w:hAnsi="Calibri" w:cs="Calibri"/>
                      <w:b/>
                      <w:color w:val="000000"/>
                      <w:sz w:val="20"/>
                      <w:szCs w:val="20"/>
                    </w:rPr>
                  </w:pPr>
                </w:p>
              </w:tc>
            </w:tr>
            <w:tr w:rsidR="00861314" w:rsidRPr="001244BE" w14:paraId="22FB9C6D" w14:textId="77777777" w:rsidTr="00265600">
              <w:trPr>
                <w:trHeight w:val="306"/>
              </w:trPr>
              <w:tc>
                <w:tcPr>
                  <w:tcW w:w="4147" w:type="dxa"/>
                  <w:shd w:val="clear" w:color="auto" w:fill="FFFFFF"/>
                  <w:vAlign w:val="bottom"/>
                  <w:hideMark/>
                </w:tcPr>
                <w:p w14:paraId="6B6C17B7" w14:textId="77777777" w:rsidR="00861314" w:rsidRPr="00837D76" w:rsidRDefault="00861314" w:rsidP="00133C7F">
                  <w:pPr>
                    <w:rPr>
                      <w:rFonts w:ascii="Calibri" w:hAnsi="Calibri" w:cs="Calibri"/>
                      <w:b/>
                      <w:bCs/>
                      <w:color w:val="000000"/>
                      <w:sz w:val="20"/>
                      <w:szCs w:val="20"/>
                      <w:lang w:eastAsia="en-IE"/>
                    </w:rPr>
                  </w:pPr>
                  <w:r>
                    <w:rPr>
                      <w:rFonts w:ascii="Calibri" w:hAnsi="Calibri" w:cs="Calibri"/>
                      <w:b/>
                      <w:bCs/>
                      <w:color w:val="000000"/>
                      <w:sz w:val="20"/>
                      <w:szCs w:val="20"/>
                      <w:lang w:eastAsia="en-IE"/>
                    </w:rPr>
                    <w:t xml:space="preserve">Reportable </w:t>
                  </w:r>
                  <w:r w:rsidRPr="00B52B95">
                    <w:rPr>
                      <w:rFonts w:ascii="Calibri" w:hAnsi="Calibri" w:cs="Calibri"/>
                      <w:b/>
                      <w:bCs/>
                      <w:color w:val="000000"/>
                      <w:sz w:val="20"/>
                      <w:szCs w:val="20"/>
                      <w:lang w:eastAsia="en-IE"/>
                    </w:rPr>
                    <w:t>segment profit after</w:t>
                  </w:r>
                  <w:r>
                    <w:rPr>
                      <w:rFonts w:ascii="Calibri" w:hAnsi="Calibri" w:cs="Calibri"/>
                      <w:b/>
                      <w:bCs/>
                      <w:color w:val="000000"/>
                      <w:sz w:val="20"/>
                      <w:szCs w:val="20"/>
                      <w:lang w:eastAsia="en-IE"/>
                    </w:rPr>
                    <w:t xml:space="preserve"> income tax</w:t>
                  </w:r>
                </w:p>
              </w:tc>
              <w:tc>
                <w:tcPr>
                  <w:tcW w:w="1491" w:type="dxa"/>
                  <w:tcBorders>
                    <w:bottom w:val="single" w:sz="12" w:space="0" w:color="auto"/>
                  </w:tcBorders>
                  <w:shd w:val="clear" w:color="000000" w:fill="FFFF00"/>
                  <w:noWrap/>
                  <w:vAlign w:val="bottom"/>
                </w:tcPr>
                <w:p w14:paraId="2CD6BB79" w14:textId="77777777" w:rsidR="00861314" w:rsidRPr="00AF77E1" w:rsidRDefault="00265600" w:rsidP="00265600">
                  <w:pPr>
                    <w:jc w:val="right"/>
                    <w:rPr>
                      <w:rFonts w:ascii="Calibri" w:hAnsi="Calibri" w:cs="Calibri"/>
                      <w:b/>
                      <w:color w:val="000000"/>
                      <w:sz w:val="20"/>
                      <w:szCs w:val="20"/>
                      <w:lang w:eastAsia="en-IE"/>
                    </w:rPr>
                  </w:pPr>
                  <w:r>
                    <w:rPr>
                      <w:rFonts w:ascii="Calibri" w:hAnsi="Calibri" w:cs="Calibri"/>
                      <w:b/>
                      <w:color w:val="000000"/>
                      <w:sz w:val="20"/>
                      <w:szCs w:val="20"/>
                      <w:lang w:eastAsia="en-IE"/>
                    </w:rPr>
                    <w:t>7.0</w:t>
                  </w:r>
                </w:p>
              </w:tc>
              <w:tc>
                <w:tcPr>
                  <w:tcW w:w="1659" w:type="dxa"/>
                  <w:tcBorders>
                    <w:bottom w:val="single" w:sz="12" w:space="0" w:color="auto"/>
                  </w:tcBorders>
                  <w:shd w:val="clear" w:color="000000" w:fill="FFFF00"/>
                  <w:vAlign w:val="bottom"/>
                </w:tcPr>
                <w:p w14:paraId="44E2CB54" w14:textId="77777777" w:rsidR="00861314" w:rsidRPr="00AF77E1" w:rsidRDefault="00265600" w:rsidP="00265600">
                  <w:pPr>
                    <w:ind w:right="-45"/>
                    <w:jc w:val="right"/>
                    <w:rPr>
                      <w:rFonts w:ascii="Calibri" w:hAnsi="Calibri" w:cs="Calibri"/>
                      <w:b/>
                      <w:color w:val="000000"/>
                      <w:sz w:val="20"/>
                      <w:szCs w:val="20"/>
                    </w:rPr>
                  </w:pPr>
                  <w:r>
                    <w:rPr>
                      <w:rFonts w:ascii="Calibri" w:hAnsi="Calibri" w:cs="Calibri"/>
                      <w:b/>
                      <w:color w:val="000000"/>
                      <w:sz w:val="20"/>
                      <w:szCs w:val="20"/>
                    </w:rPr>
                    <w:t>7.8</w:t>
                  </w:r>
                </w:p>
              </w:tc>
              <w:tc>
                <w:tcPr>
                  <w:tcW w:w="1473" w:type="dxa"/>
                  <w:tcBorders>
                    <w:bottom w:val="single" w:sz="12" w:space="0" w:color="auto"/>
                  </w:tcBorders>
                  <w:shd w:val="clear" w:color="000000" w:fill="FFFF00"/>
                  <w:vAlign w:val="bottom"/>
                </w:tcPr>
                <w:p w14:paraId="4B9F1C19" w14:textId="77777777" w:rsidR="00861314" w:rsidRPr="00226D7D" w:rsidRDefault="00861314" w:rsidP="00265600">
                  <w:pPr>
                    <w:jc w:val="right"/>
                    <w:rPr>
                      <w:rFonts w:ascii="Calibri" w:hAnsi="Calibri" w:cs="Calibri"/>
                      <w:b/>
                      <w:bCs/>
                      <w:sz w:val="20"/>
                      <w:szCs w:val="20"/>
                    </w:rPr>
                  </w:pPr>
                  <w:r>
                    <w:rPr>
                      <w:rFonts w:ascii="Calibri" w:hAnsi="Calibri" w:cs="Calibri"/>
                      <w:b/>
                      <w:bCs/>
                      <w:sz w:val="20"/>
                      <w:szCs w:val="20"/>
                    </w:rPr>
                    <w:t>-</w:t>
                  </w:r>
                </w:p>
              </w:tc>
              <w:tc>
                <w:tcPr>
                  <w:tcW w:w="1493" w:type="dxa"/>
                  <w:tcBorders>
                    <w:bottom w:val="single" w:sz="12" w:space="0" w:color="auto"/>
                  </w:tcBorders>
                  <w:shd w:val="clear" w:color="000000" w:fill="FFFF00"/>
                  <w:noWrap/>
                  <w:vAlign w:val="bottom"/>
                </w:tcPr>
                <w:p w14:paraId="3205C8F8" w14:textId="77777777" w:rsidR="00861314" w:rsidRPr="00226D7D" w:rsidRDefault="00861314" w:rsidP="00265600">
                  <w:pPr>
                    <w:jc w:val="right"/>
                    <w:rPr>
                      <w:rFonts w:ascii="Calibri" w:hAnsi="Calibri" w:cs="Calibri"/>
                      <w:b/>
                      <w:color w:val="000000"/>
                      <w:sz w:val="20"/>
                      <w:szCs w:val="20"/>
                    </w:rPr>
                  </w:pPr>
                  <w:r>
                    <w:rPr>
                      <w:rFonts w:ascii="Calibri" w:hAnsi="Calibri" w:cs="Calibri"/>
                      <w:b/>
                      <w:color w:val="000000"/>
                      <w:sz w:val="20"/>
                      <w:szCs w:val="20"/>
                    </w:rPr>
                    <w:t>14.8</w:t>
                  </w:r>
                </w:p>
              </w:tc>
            </w:tr>
            <w:tr w:rsidR="00861314" w:rsidRPr="001244BE" w14:paraId="537CA2B0" w14:textId="77777777" w:rsidTr="00133C7F">
              <w:trPr>
                <w:trHeight w:val="306"/>
              </w:trPr>
              <w:tc>
                <w:tcPr>
                  <w:tcW w:w="4147" w:type="dxa"/>
                  <w:shd w:val="clear" w:color="auto" w:fill="FFFFFF"/>
                  <w:vAlign w:val="bottom"/>
                </w:tcPr>
                <w:p w14:paraId="29ACBC45" w14:textId="77777777" w:rsidR="00861314" w:rsidRPr="00837D76" w:rsidRDefault="00861314" w:rsidP="00133C7F">
                  <w:pPr>
                    <w:rPr>
                      <w:rFonts w:ascii="Calibri" w:hAnsi="Calibri" w:cs="Calibri"/>
                      <w:b/>
                      <w:bCs/>
                      <w:color w:val="000000"/>
                      <w:sz w:val="20"/>
                      <w:szCs w:val="20"/>
                      <w:lang w:eastAsia="en-IE"/>
                    </w:rPr>
                  </w:pPr>
                </w:p>
              </w:tc>
              <w:tc>
                <w:tcPr>
                  <w:tcW w:w="1491" w:type="dxa"/>
                  <w:tcBorders>
                    <w:top w:val="single" w:sz="12" w:space="0" w:color="auto"/>
                  </w:tcBorders>
                  <w:shd w:val="clear" w:color="auto" w:fill="FFFF00"/>
                  <w:noWrap/>
                  <w:vAlign w:val="bottom"/>
                </w:tcPr>
                <w:p w14:paraId="62BF5F28" w14:textId="77777777" w:rsidR="00861314" w:rsidRPr="00837D76" w:rsidRDefault="00861314" w:rsidP="00133C7F">
                  <w:pPr>
                    <w:jc w:val="right"/>
                    <w:rPr>
                      <w:rFonts w:ascii="Calibri" w:hAnsi="Calibri" w:cs="Calibri"/>
                      <w:b/>
                      <w:bCs/>
                      <w:color w:val="000000"/>
                      <w:sz w:val="20"/>
                      <w:szCs w:val="20"/>
                      <w:lang w:eastAsia="en-IE"/>
                    </w:rPr>
                  </w:pPr>
                </w:p>
              </w:tc>
              <w:tc>
                <w:tcPr>
                  <w:tcW w:w="1659" w:type="dxa"/>
                  <w:tcBorders>
                    <w:top w:val="single" w:sz="12" w:space="0" w:color="auto"/>
                  </w:tcBorders>
                  <w:shd w:val="clear" w:color="auto" w:fill="FFFF00"/>
                  <w:vAlign w:val="bottom"/>
                </w:tcPr>
                <w:p w14:paraId="62B2754B" w14:textId="77777777" w:rsidR="00861314" w:rsidRPr="00837D76" w:rsidRDefault="00861314" w:rsidP="00133C7F">
                  <w:pPr>
                    <w:ind w:right="-45"/>
                    <w:jc w:val="right"/>
                    <w:rPr>
                      <w:rFonts w:ascii="Calibri" w:eastAsia="Calibri" w:hAnsi="Calibri" w:cs="Calibri"/>
                      <w:b/>
                      <w:sz w:val="20"/>
                      <w:szCs w:val="20"/>
                      <w:lang w:eastAsia="en-IE"/>
                    </w:rPr>
                  </w:pPr>
                </w:p>
              </w:tc>
              <w:tc>
                <w:tcPr>
                  <w:tcW w:w="1473" w:type="dxa"/>
                  <w:tcBorders>
                    <w:top w:val="single" w:sz="12" w:space="0" w:color="auto"/>
                  </w:tcBorders>
                  <w:shd w:val="clear" w:color="auto" w:fill="FFFF00"/>
                  <w:vAlign w:val="bottom"/>
                </w:tcPr>
                <w:p w14:paraId="734AB06F" w14:textId="77777777" w:rsidR="00861314" w:rsidRPr="00837D76" w:rsidRDefault="00861314" w:rsidP="00133C7F">
                  <w:pPr>
                    <w:jc w:val="right"/>
                    <w:rPr>
                      <w:rFonts w:ascii="Calibri" w:eastAsia="Calibri" w:hAnsi="Calibri" w:cs="Calibri"/>
                      <w:b/>
                      <w:sz w:val="20"/>
                      <w:szCs w:val="20"/>
                      <w:lang w:eastAsia="en-IE"/>
                    </w:rPr>
                  </w:pPr>
                </w:p>
              </w:tc>
              <w:tc>
                <w:tcPr>
                  <w:tcW w:w="1493" w:type="dxa"/>
                  <w:tcBorders>
                    <w:top w:val="single" w:sz="12" w:space="0" w:color="auto"/>
                  </w:tcBorders>
                  <w:shd w:val="clear" w:color="auto" w:fill="FFFF00"/>
                  <w:noWrap/>
                  <w:vAlign w:val="bottom"/>
                </w:tcPr>
                <w:p w14:paraId="135F8BA3" w14:textId="77777777" w:rsidR="00861314" w:rsidRPr="00837D76" w:rsidRDefault="00861314" w:rsidP="00133C7F">
                  <w:pPr>
                    <w:jc w:val="right"/>
                    <w:rPr>
                      <w:rFonts w:ascii="Calibri" w:eastAsia="Calibri" w:hAnsi="Calibri" w:cs="Calibri"/>
                      <w:b/>
                      <w:sz w:val="20"/>
                      <w:szCs w:val="20"/>
                      <w:lang w:eastAsia="en-IE"/>
                    </w:rPr>
                  </w:pPr>
                </w:p>
              </w:tc>
            </w:tr>
            <w:tr w:rsidR="00861314" w:rsidRPr="001244BE" w14:paraId="563DC6E9" w14:textId="77777777" w:rsidTr="00133C7F">
              <w:trPr>
                <w:trHeight w:val="306"/>
              </w:trPr>
              <w:tc>
                <w:tcPr>
                  <w:tcW w:w="4147" w:type="dxa"/>
                  <w:shd w:val="clear" w:color="auto" w:fill="FFFFFF"/>
                  <w:vAlign w:val="bottom"/>
                  <w:hideMark/>
                </w:tcPr>
                <w:p w14:paraId="6F7A15CC" w14:textId="77777777" w:rsidR="00861314" w:rsidRPr="00837D76" w:rsidRDefault="00861314" w:rsidP="00133C7F">
                  <w:pPr>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 xml:space="preserve">Other segment information: </w:t>
                  </w:r>
                </w:p>
              </w:tc>
              <w:tc>
                <w:tcPr>
                  <w:tcW w:w="1491" w:type="dxa"/>
                  <w:shd w:val="clear" w:color="auto" w:fill="FFFF00"/>
                  <w:noWrap/>
                  <w:vAlign w:val="bottom"/>
                </w:tcPr>
                <w:p w14:paraId="39A32779" w14:textId="77777777" w:rsidR="00861314" w:rsidRPr="00837D76" w:rsidRDefault="00861314" w:rsidP="00133C7F">
                  <w:pPr>
                    <w:jc w:val="right"/>
                    <w:rPr>
                      <w:rFonts w:ascii="Calibri" w:hAnsi="Calibri" w:cs="Calibri"/>
                      <w:b/>
                      <w:bCs/>
                      <w:color w:val="000000"/>
                      <w:sz w:val="20"/>
                      <w:szCs w:val="20"/>
                      <w:lang w:eastAsia="en-IE"/>
                    </w:rPr>
                  </w:pPr>
                </w:p>
              </w:tc>
              <w:tc>
                <w:tcPr>
                  <w:tcW w:w="1659" w:type="dxa"/>
                  <w:shd w:val="clear" w:color="auto" w:fill="FFFF00"/>
                  <w:vAlign w:val="bottom"/>
                </w:tcPr>
                <w:p w14:paraId="432E2A3E" w14:textId="77777777" w:rsidR="00861314" w:rsidRPr="00837D76" w:rsidRDefault="00861314" w:rsidP="00133C7F">
                  <w:pPr>
                    <w:ind w:right="-45"/>
                    <w:jc w:val="right"/>
                    <w:rPr>
                      <w:rFonts w:ascii="Calibri" w:eastAsia="Calibri" w:hAnsi="Calibri" w:cs="Calibri"/>
                      <w:b/>
                      <w:sz w:val="20"/>
                      <w:szCs w:val="20"/>
                      <w:lang w:eastAsia="en-IE"/>
                    </w:rPr>
                  </w:pPr>
                </w:p>
              </w:tc>
              <w:tc>
                <w:tcPr>
                  <w:tcW w:w="1473" w:type="dxa"/>
                  <w:shd w:val="clear" w:color="auto" w:fill="FFFF00"/>
                  <w:vAlign w:val="bottom"/>
                </w:tcPr>
                <w:p w14:paraId="5D176BD5" w14:textId="77777777" w:rsidR="00861314" w:rsidRPr="00837D76" w:rsidRDefault="00861314" w:rsidP="00133C7F">
                  <w:pPr>
                    <w:jc w:val="right"/>
                    <w:rPr>
                      <w:rFonts w:ascii="Calibri" w:eastAsia="Calibri" w:hAnsi="Calibri" w:cs="Calibri"/>
                      <w:b/>
                      <w:sz w:val="20"/>
                      <w:szCs w:val="20"/>
                      <w:lang w:eastAsia="en-IE"/>
                    </w:rPr>
                  </w:pPr>
                </w:p>
              </w:tc>
              <w:tc>
                <w:tcPr>
                  <w:tcW w:w="1493" w:type="dxa"/>
                  <w:shd w:val="clear" w:color="auto" w:fill="FFFF00"/>
                  <w:noWrap/>
                  <w:vAlign w:val="bottom"/>
                </w:tcPr>
                <w:p w14:paraId="6690A604" w14:textId="77777777" w:rsidR="00861314" w:rsidRPr="00837D76" w:rsidRDefault="00861314" w:rsidP="00133C7F">
                  <w:pPr>
                    <w:jc w:val="right"/>
                    <w:rPr>
                      <w:rFonts w:ascii="Calibri" w:eastAsia="Calibri" w:hAnsi="Calibri" w:cs="Calibri"/>
                      <w:b/>
                      <w:sz w:val="20"/>
                      <w:szCs w:val="20"/>
                      <w:lang w:eastAsia="en-IE"/>
                    </w:rPr>
                  </w:pPr>
                </w:p>
              </w:tc>
            </w:tr>
            <w:tr w:rsidR="00861314" w:rsidRPr="001244BE" w14:paraId="03F32428" w14:textId="77777777" w:rsidTr="00133C7F">
              <w:trPr>
                <w:trHeight w:val="306"/>
              </w:trPr>
              <w:tc>
                <w:tcPr>
                  <w:tcW w:w="4147" w:type="dxa"/>
                  <w:shd w:val="clear" w:color="auto" w:fill="FFFFFF"/>
                  <w:vAlign w:val="bottom"/>
                  <w:hideMark/>
                </w:tcPr>
                <w:p w14:paraId="1B04C239" w14:textId="77777777" w:rsidR="00861314" w:rsidRPr="00837D76" w:rsidRDefault="00861314" w:rsidP="00133C7F">
                  <w:pPr>
                    <w:rPr>
                      <w:rFonts w:ascii="Calibri" w:hAnsi="Calibri" w:cs="Calibri"/>
                      <w:color w:val="000000"/>
                      <w:sz w:val="20"/>
                      <w:szCs w:val="20"/>
                      <w:lang w:eastAsia="en-IE"/>
                    </w:rPr>
                  </w:pPr>
                  <w:r w:rsidRPr="00837D76">
                    <w:rPr>
                      <w:rFonts w:ascii="Calibri" w:hAnsi="Calibri" w:cs="Calibri"/>
                      <w:color w:val="000000"/>
                      <w:sz w:val="20"/>
                      <w:szCs w:val="20"/>
                      <w:lang w:eastAsia="en-IE"/>
                    </w:rPr>
                    <w:t>Depreciation</w:t>
                  </w:r>
                </w:p>
              </w:tc>
              <w:tc>
                <w:tcPr>
                  <w:tcW w:w="1491" w:type="dxa"/>
                  <w:shd w:val="clear" w:color="000000" w:fill="FFFF00"/>
                  <w:noWrap/>
                  <w:vAlign w:val="bottom"/>
                </w:tcPr>
                <w:p w14:paraId="209BB590" w14:textId="77777777" w:rsidR="00861314" w:rsidRPr="00837D76" w:rsidRDefault="00861314" w:rsidP="00133C7F">
                  <w:pPr>
                    <w:jc w:val="right"/>
                    <w:rPr>
                      <w:rFonts w:ascii="Calibri" w:hAnsi="Calibri" w:cs="Calibri"/>
                      <w:b/>
                      <w:color w:val="000000"/>
                      <w:sz w:val="20"/>
                      <w:szCs w:val="20"/>
                      <w:lang w:eastAsia="en-IE"/>
                    </w:rPr>
                  </w:pPr>
                  <w:r>
                    <w:rPr>
                      <w:rFonts w:ascii="Calibri" w:hAnsi="Calibri" w:cs="Calibri"/>
                      <w:b/>
                      <w:color w:val="000000"/>
                      <w:sz w:val="20"/>
                      <w:szCs w:val="20"/>
                      <w:lang w:eastAsia="en-IE"/>
                    </w:rPr>
                    <w:t>(252.9)</w:t>
                  </w:r>
                </w:p>
              </w:tc>
              <w:tc>
                <w:tcPr>
                  <w:tcW w:w="1659" w:type="dxa"/>
                  <w:shd w:val="clear" w:color="000000" w:fill="FFFF00"/>
                  <w:vAlign w:val="bottom"/>
                </w:tcPr>
                <w:p w14:paraId="10911947" w14:textId="77777777" w:rsidR="00861314" w:rsidRPr="00837D76" w:rsidRDefault="00861314" w:rsidP="00133C7F">
                  <w:pPr>
                    <w:ind w:right="-45"/>
                    <w:jc w:val="right"/>
                    <w:rPr>
                      <w:rFonts w:ascii="Calibri" w:hAnsi="Calibri" w:cs="Calibri"/>
                      <w:b/>
                      <w:color w:val="000000"/>
                      <w:sz w:val="20"/>
                      <w:szCs w:val="20"/>
                    </w:rPr>
                  </w:pPr>
                  <w:r>
                    <w:rPr>
                      <w:rFonts w:ascii="Calibri" w:hAnsi="Calibri" w:cs="Calibri"/>
                      <w:b/>
                      <w:color w:val="000000"/>
                      <w:sz w:val="20"/>
                      <w:szCs w:val="20"/>
                    </w:rPr>
                    <w:t>(10.5)</w:t>
                  </w:r>
                </w:p>
              </w:tc>
              <w:tc>
                <w:tcPr>
                  <w:tcW w:w="1473" w:type="dxa"/>
                  <w:shd w:val="clear" w:color="000000" w:fill="FFFF00"/>
                  <w:vAlign w:val="bottom"/>
                </w:tcPr>
                <w:p w14:paraId="2983629B" w14:textId="77777777" w:rsidR="00861314" w:rsidRPr="00837D76" w:rsidRDefault="00861314" w:rsidP="00133C7F">
                  <w:pPr>
                    <w:jc w:val="right"/>
                    <w:rPr>
                      <w:rFonts w:ascii="Calibri" w:hAnsi="Calibri" w:cs="Calibri"/>
                      <w:b/>
                      <w:color w:val="000000"/>
                      <w:sz w:val="20"/>
                      <w:szCs w:val="20"/>
                    </w:rPr>
                  </w:pPr>
                  <w:r>
                    <w:rPr>
                      <w:rFonts w:ascii="Calibri" w:hAnsi="Calibri" w:cs="Calibri"/>
                      <w:b/>
                      <w:color w:val="000000"/>
                      <w:sz w:val="20"/>
                      <w:szCs w:val="20"/>
                    </w:rPr>
                    <w:t>-</w:t>
                  </w:r>
                </w:p>
              </w:tc>
              <w:tc>
                <w:tcPr>
                  <w:tcW w:w="1493" w:type="dxa"/>
                  <w:shd w:val="clear" w:color="000000" w:fill="FFFF00"/>
                  <w:noWrap/>
                  <w:vAlign w:val="bottom"/>
                </w:tcPr>
                <w:p w14:paraId="306A956C" w14:textId="77777777" w:rsidR="00861314" w:rsidRPr="00837D76" w:rsidRDefault="00861314" w:rsidP="00133C7F">
                  <w:pPr>
                    <w:jc w:val="right"/>
                    <w:rPr>
                      <w:rFonts w:ascii="Calibri" w:hAnsi="Calibri" w:cs="Calibri"/>
                      <w:b/>
                      <w:color w:val="000000"/>
                      <w:sz w:val="20"/>
                      <w:szCs w:val="20"/>
                    </w:rPr>
                  </w:pPr>
                  <w:r>
                    <w:rPr>
                      <w:rFonts w:ascii="Calibri" w:hAnsi="Calibri" w:cs="Calibri"/>
                      <w:b/>
                      <w:color w:val="000000"/>
                      <w:sz w:val="20"/>
                      <w:szCs w:val="20"/>
                    </w:rPr>
                    <w:t>(263.4)</w:t>
                  </w:r>
                </w:p>
              </w:tc>
            </w:tr>
            <w:tr w:rsidR="00861314" w:rsidRPr="001244BE" w14:paraId="253947E7" w14:textId="77777777" w:rsidTr="00133C7F">
              <w:trPr>
                <w:trHeight w:val="306"/>
              </w:trPr>
              <w:tc>
                <w:tcPr>
                  <w:tcW w:w="4147" w:type="dxa"/>
                  <w:shd w:val="clear" w:color="auto" w:fill="FFFFFF"/>
                  <w:vAlign w:val="bottom"/>
                </w:tcPr>
                <w:p w14:paraId="21BED6CB" w14:textId="77777777" w:rsidR="00861314" w:rsidRPr="00837D76" w:rsidRDefault="00861314" w:rsidP="00133C7F">
                  <w:pPr>
                    <w:rPr>
                      <w:rFonts w:ascii="Calibri" w:hAnsi="Calibri" w:cs="Calibri"/>
                      <w:color w:val="000000"/>
                      <w:sz w:val="20"/>
                      <w:szCs w:val="20"/>
                      <w:lang w:eastAsia="en-IE"/>
                    </w:rPr>
                  </w:pPr>
                  <w:r>
                    <w:rPr>
                      <w:rFonts w:ascii="Calibri" w:hAnsi="Calibri" w:cs="Calibri"/>
                      <w:color w:val="000000"/>
                      <w:sz w:val="20"/>
                      <w:szCs w:val="20"/>
                      <w:lang w:eastAsia="en-IE"/>
                    </w:rPr>
                    <w:t>Net finance income/(expense)</w:t>
                  </w:r>
                </w:p>
              </w:tc>
              <w:tc>
                <w:tcPr>
                  <w:tcW w:w="1491" w:type="dxa"/>
                  <w:shd w:val="clear" w:color="000000" w:fill="FFFF00"/>
                  <w:noWrap/>
                  <w:vAlign w:val="bottom"/>
                </w:tcPr>
                <w:p w14:paraId="3142EF6E" w14:textId="77777777" w:rsidR="00861314" w:rsidRPr="002E6EB1" w:rsidRDefault="00861314" w:rsidP="00133C7F">
                  <w:pPr>
                    <w:jc w:val="right"/>
                    <w:rPr>
                      <w:rFonts w:ascii="Calibri" w:hAnsi="Calibri" w:cs="Calibri"/>
                      <w:b/>
                      <w:color w:val="000000"/>
                      <w:sz w:val="20"/>
                      <w:szCs w:val="20"/>
                      <w:lang w:eastAsia="en-IE"/>
                    </w:rPr>
                  </w:pPr>
                  <w:r>
                    <w:rPr>
                      <w:rFonts w:ascii="Calibri" w:hAnsi="Calibri" w:cs="Calibri"/>
                      <w:b/>
                      <w:color w:val="000000"/>
                      <w:sz w:val="20"/>
                      <w:szCs w:val="20"/>
                      <w:lang w:eastAsia="en-IE"/>
                    </w:rPr>
                    <w:t>17.</w:t>
                  </w:r>
                  <w:r w:rsidR="00265600">
                    <w:rPr>
                      <w:rFonts w:ascii="Calibri" w:hAnsi="Calibri" w:cs="Calibri"/>
                      <w:b/>
                      <w:color w:val="000000"/>
                      <w:sz w:val="20"/>
                      <w:szCs w:val="20"/>
                      <w:lang w:eastAsia="en-IE"/>
                    </w:rPr>
                    <w:t>8</w:t>
                  </w:r>
                </w:p>
              </w:tc>
              <w:tc>
                <w:tcPr>
                  <w:tcW w:w="1659" w:type="dxa"/>
                  <w:shd w:val="clear" w:color="000000" w:fill="FFFF00"/>
                  <w:vAlign w:val="bottom"/>
                </w:tcPr>
                <w:p w14:paraId="6FE825F3" w14:textId="77777777" w:rsidR="00861314" w:rsidRDefault="00861314" w:rsidP="00133C7F">
                  <w:pPr>
                    <w:ind w:right="-45"/>
                    <w:jc w:val="right"/>
                    <w:rPr>
                      <w:rFonts w:ascii="Calibri" w:hAnsi="Calibri" w:cs="Calibri"/>
                      <w:b/>
                      <w:sz w:val="20"/>
                      <w:szCs w:val="20"/>
                    </w:rPr>
                  </w:pPr>
                  <w:r>
                    <w:rPr>
                      <w:rFonts w:ascii="Calibri" w:hAnsi="Calibri" w:cs="Calibri"/>
                      <w:b/>
                      <w:sz w:val="20"/>
                      <w:szCs w:val="20"/>
                    </w:rPr>
                    <w:t>(2.</w:t>
                  </w:r>
                  <w:r w:rsidR="00265600">
                    <w:rPr>
                      <w:rFonts w:ascii="Calibri" w:hAnsi="Calibri" w:cs="Calibri"/>
                      <w:b/>
                      <w:sz w:val="20"/>
                      <w:szCs w:val="20"/>
                    </w:rPr>
                    <w:t>0</w:t>
                  </w:r>
                  <w:r>
                    <w:rPr>
                      <w:rFonts w:ascii="Calibri" w:hAnsi="Calibri" w:cs="Calibri"/>
                      <w:b/>
                      <w:sz w:val="20"/>
                      <w:szCs w:val="20"/>
                    </w:rPr>
                    <w:t>)</w:t>
                  </w:r>
                </w:p>
              </w:tc>
              <w:tc>
                <w:tcPr>
                  <w:tcW w:w="1473" w:type="dxa"/>
                  <w:shd w:val="clear" w:color="000000" w:fill="FFFF00"/>
                  <w:vAlign w:val="bottom"/>
                </w:tcPr>
                <w:p w14:paraId="3804D70F" w14:textId="77777777" w:rsidR="00861314" w:rsidRDefault="00861314" w:rsidP="00133C7F">
                  <w:pPr>
                    <w:jc w:val="right"/>
                    <w:rPr>
                      <w:rFonts w:ascii="Calibri" w:eastAsia="Calibri" w:hAnsi="Calibri" w:cs="Calibri"/>
                      <w:b/>
                      <w:sz w:val="20"/>
                      <w:szCs w:val="20"/>
                      <w:lang w:eastAsia="en-IE"/>
                    </w:rPr>
                  </w:pPr>
                  <w:r>
                    <w:rPr>
                      <w:rFonts w:ascii="Calibri" w:eastAsia="Calibri" w:hAnsi="Calibri" w:cs="Calibri"/>
                      <w:b/>
                      <w:sz w:val="20"/>
                      <w:szCs w:val="20"/>
                      <w:lang w:eastAsia="en-IE"/>
                    </w:rPr>
                    <w:t>-</w:t>
                  </w:r>
                </w:p>
              </w:tc>
              <w:tc>
                <w:tcPr>
                  <w:tcW w:w="1493" w:type="dxa"/>
                  <w:shd w:val="clear" w:color="000000" w:fill="FFFF00"/>
                  <w:noWrap/>
                  <w:vAlign w:val="bottom"/>
                </w:tcPr>
                <w:p w14:paraId="2CBB36FD" w14:textId="77777777" w:rsidR="00861314" w:rsidRPr="002E6EB1" w:rsidRDefault="00861314" w:rsidP="00133C7F">
                  <w:pPr>
                    <w:jc w:val="right"/>
                    <w:rPr>
                      <w:rFonts w:ascii="Calibri" w:eastAsia="Calibri" w:hAnsi="Calibri" w:cs="Calibri"/>
                      <w:b/>
                      <w:sz w:val="20"/>
                      <w:szCs w:val="20"/>
                      <w:lang w:eastAsia="en-IE"/>
                    </w:rPr>
                  </w:pPr>
                  <w:r>
                    <w:rPr>
                      <w:rFonts w:ascii="Calibri" w:eastAsia="Calibri" w:hAnsi="Calibri" w:cs="Calibri"/>
                      <w:b/>
                      <w:sz w:val="20"/>
                      <w:szCs w:val="20"/>
                      <w:lang w:eastAsia="en-IE"/>
                    </w:rPr>
                    <w:t>15.8</w:t>
                  </w:r>
                </w:p>
              </w:tc>
            </w:tr>
            <w:tr w:rsidR="00861314" w:rsidRPr="001244BE" w14:paraId="45E90899" w14:textId="77777777" w:rsidTr="00133C7F">
              <w:trPr>
                <w:trHeight w:val="306"/>
              </w:trPr>
              <w:tc>
                <w:tcPr>
                  <w:tcW w:w="4147" w:type="dxa"/>
                  <w:shd w:val="clear" w:color="auto" w:fill="FFFFFF"/>
                  <w:vAlign w:val="bottom"/>
                  <w:hideMark/>
                </w:tcPr>
                <w:p w14:paraId="2188210B" w14:textId="77777777" w:rsidR="00861314" w:rsidRPr="00837D76" w:rsidRDefault="00861314" w:rsidP="00133C7F">
                  <w:pPr>
                    <w:rPr>
                      <w:rFonts w:ascii="Calibri" w:hAnsi="Calibri" w:cs="Calibri"/>
                      <w:color w:val="000000"/>
                      <w:sz w:val="20"/>
                      <w:szCs w:val="20"/>
                      <w:lang w:eastAsia="en-IE"/>
                    </w:rPr>
                  </w:pPr>
                  <w:r w:rsidRPr="00A4004C">
                    <w:rPr>
                      <w:rFonts w:ascii="Calibri" w:hAnsi="Calibri" w:cs="Calibri"/>
                      <w:color w:val="000000"/>
                      <w:sz w:val="20"/>
                      <w:szCs w:val="20"/>
                      <w:lang w:eastAsia="en-IE"/>
                    </w:rPr>
                    <w:t>Capital expenditure</w:t>
                  </w:r>
                </w:p>
              </w:tc>
              <w:tc>
                <w:tcPr>
                  <w:tcW w:w="1491" w:type="dxa"/>
                  <w:shd w:val="clear" w:color="000000" w:fill="FFFF00"/>
                  <w:noWrap/>
                  <w:vAlign w:val="bottom"/>
                </w:tcPr>
                <w:p w14:paraId="7E685857" w14:textId="77777777" w:rsidR="00861314" w:rsidRPr="008A1F20" w:rsidRDefault="00861314" w:rsidP="00133C7F">
                  <w:pPr>
                    <w:jc w:val="right"/>
                    <w:rPr>
                      <w:rFonts w:ascii="Calibri" w:hAnsi="Calibri" w:cs="Calibri"/>
                      <w:b/>
                      <w:color w:val="000000"/>
                      <w:sz w:val="20"/>
                      <w:szCs w:val="20"/>
                      <w:lang w:eastAsia="en-IE"/>
                    </w:rPr>
                  </w:pPr>
                  <w:r>
                    <w:rPr>
                      <w:rFonts w:ascii="Calibri" w:hAnsi="Calibri" w:cs="Calibri"/>
                      <w:b/>
                      <w:color w:val="000000"/>
                      <w:sz w:val="20"/>
                      <w:szCs w:val="20"/>
                      <w:lang w:eastAsia="en-IE"/>
                    </w:rPr>
                    <w:t>(539.2)</w:t>
                  </w:r>
                </w:p>
              </w:tc>
              <w:tc>
                <w:tcPr>
                  <w:tcW w:w="1659" w:type="dxa"/>
                  <w:shd w:val="clear" w:color="000000" w:fill="FFFF00"/>
                  <w:vAlign w:val="bottom"/>
                </w:tcPr>
                <w:p w14:paraId="04120E66" w14:textId="77777777" w:rsidR="00861314" w:rsidRPr="008A1F20" w:rsidRDefault="00861314" w:rsidP="00133C7F">
                  <w:pPr>
                    <w:ind w:right="-45"/>
                    <w:jc w:val="right"/>
                    <w:rPr>
                      <w:rFonts w:ascii="Calibri" w:hAnsi="Calibri" w:cs="Calibri"/>
                      <w:b/>
                      <w:sz w:val="20"/>
                      <w:szCs w:val="20"/>
                    </w:rPr>
                  </w:pPr>
                  <w:r>
                    <w:rPr>
                      <w:rFonts w:ascii="Calibri" w:hAnsi="Calibri" w:cs="Calibri"/>
                      <w:b/>
                      <w:sz w:val="20"/>
                      <w:szCs w:val="20"/>
                    </w:rPr>
                    <w:t>(13.0)</w:t>
                  </w:r>
                </w:p>
              </w:tc>
              <w:tc>
                <w:tcPr>
                  <w:tcW w:w="1473" w:type="dxa"/>
                  <w:shd w:val="clear" w:color="000000" w:fill="FFFF00"/>
                  <w:vAlign w:val="bottom"/>
                </w:tcPr>
                <w:p w14:paraId="43BF1E38" w14:textId="77777777" w:rsidR="00861314" w:rsidRPr="008A1F20" w:rsidRDefault="00861314" w:rsidP="00133C7F">
                  <w:pPr>
                    <w:jc w:val="right"/>
                    <w:rPr>
                      <w:rFonts w:ascii="Calibri" w:eastAsia="Calibri" w:hAnsi="Calibri" w:cs="Calibri"/>
                      <w:b/>
                      <w:sz w:val="20"/>
                      <w:szCs w:val="20"/>
                      <w:lang w:eastAsia="en-IE"/>
                    </w:rPr>
                  </w:pPr>
                  <w:r>
                    <w:rPr>
                      <w:rFonts w:ascii="Calibri" w:eastAsia="Calibri" w:hAnsi="Calibri" w:cs="Calibri"/>
                      <w:b/>
                      <w:sz w:val="20"/>
                      <w:szCs w:val="20"/>
                      <w:lang w:eastAsia="en-IE"/>
                    </w:rPr>
                    <w:t>-</w:t>
                  </w:r>
                </w:p>
              </w:tc>
              <w:tc>
                <w:tcPr>
                  <w:tcW w:w="1493" w:type="dxa"/>
                  <w:shd w:val="clear" w:color="000000" w:fill="FFFF00"/>
                  <w:noWrap/>
                  <w:vAlign w:val="bottom"/>
                </w:tcPr>
                <w:p w14:paraId="15F728E8" w14:textId="77777777" w:rsidR="00861314" w:rsidRPr="008A1F20" w:rsidRDefault="00861314" w:rsidP="00133C7F">
                  <w:pPr>
                    <w:jc w:val="right"/>
                    <w:rPr>
                      <w:rFonts w:ascii="Calibri" w:eastAsia="Calibri" w:hAnsi="Calibri" w:cs="Calibri"/>
                      <w:b/>
                      <w:sz w:val="20"/>
                      <w:szCs w:val="20"/>
                      <w:lang w:eastAsia="en-IE"/>
                    </w:rPr>
                  </w:pPr>
                  <w:r>
                    <w:rPr>
                      <w:rFonts w:ascii="Calibri" w:eastAsia="Calibri" w:hAnsi="Calibri" w:cs="Calibri"/>
                      <w:b/>
                      <w:sz w:val="20"/>
                      <w:szCs w:val="20"/>
                      <w:lang w:eastAsia="en-IE"/>
                    </w:rPr>
                    <w:t>(552.2)</w:t>
                  </w:r>
                </w:p>
              </w:tc>
            </w:tr>
            <w:tr w:rsidR="00861314" w:rsidRPr="001244BE" w14:paraId="02BC346C" w14:textId="77777777" w:rsidTr="00133C7F">
              <w:trPr>
                <w:trHeight w:val="306"/>
              </w:trPr>
              <w:tc>
                <w:tcPr>
                  <w:tcW w:w="4147" w:type="dxa"/>
                  <w:shd w:val="clear" w:color="auto" w:fill="FFFFFF"/>
                  <w:vAlign w:val="bottom"/>
                </w:tcPr>
                <w:p w14:paraId="17FBB7E4" w14:textId="77777777" w:rsidR="00861314" w:rsidRPr="00837D76" w:rsidRDefault="00861314" w:rsidP="00133C7F">
                  <w:pPr>
                    <w:rPr>
                      <w:rFonts w:ascii="Calibri" w:hAnsi="Calibri" w:cs="Calibri"/>
                      <w:color w:val="000000"/>
                      <w:sz w:val="20"/>
                      <w:szCs w:val="20"/>
                      <w:lang w:eastAsia="en-IE"/>
                    </w:rPr>
                  </w:pPr>
                </w:p>
              </w:tc>
              <w:tc>
                <w:tcPr>
                  <w:tcW w:w="1491" w:type="dxa"/>
                  <w:shd w:val="clear" w:color="000000" w:fill="FFFF00"/>
                  <w:noWrap/>
                  <w:vAlign w:val="bottom"/>
                </w:tcPr>
                <w:p w14:paraId="2ECA654B" w14:textId="77777777" w:rsidR="00861314" w:rsidRPr="00A10F85" w:rsidRDefault="00861314" w:rsidP="00133C7F">
                  <w:pPr>
                    <w:jc w:val="right"/>
                    <w:rPr>
                      <w:rFonts w:ascii="Calibri" w:hAnsi="Calibri" w:cs="Calibri"/>
                      <w:b/>
                      <w:color w:val="000000"/>
                      <w:sz w:val="20"/>
                      <w:szCs w:val="20"/>
                      <w:highlight w:val="green"/>
                      <w:lang w:eastAsia="en-IE"/>
                    </w:rPr>
                  </w:pPr>
                </w:p>
              </w:tc>
              <w:tc>
                <w:tcPr>
                  <w:tcW w:w="1659" w:type="dxa"/>
                  <w:shd w:val="clear" w:color="000000" w:fill="FFFF00"/>
                  <w:vAlign w:val="bottom"/>
                </w:tcPr>
                <w:p w14:paraId="259CC251" w14:textId="77777777" w:rsidR="00861314" w:rsidRPr="00A10F85" w:rsidRDefault="00861314" w:rsidP="00133C7F">
                  <w:pPr>
                    <w:ind w:right="-45"/>
                    <w:jc w:val="right"/>
                    <w:rPr>
                      <w:rFonts w:ascii="Calibri" w:hAnsi="Calibri" w:cs="Calibri"/>
                      <w:b/>
                      <w:sz w:val="20"/>
                      <w:szCs w:val="20"/>
                      <w:highlight w:val="green"/>
                    </w:rPr>
                  </w:pPr>
                </w:p>
              </w:tc>
              <w:tc>
                <w:tcPr>
                  <w:tcW w:w="1473" w:type="dxa"/>
                  <w:shd w:val="clear" w:color="000000" w:fill="FFFF00"/>
                  <w:vAlign w:val="bottom"/>
                </w:tcPr>
                <w:p w14:paraId="09D76FA0" w14:textId="77777777" w:rsidR="00861314" w:rsidRPr="006234BA" w:rsidRDefault="00861314" w:rsidP="00133C7F">
                  <w:pPr>
                    <w:jc w:val="right"/>
                    <w:rPr>
                      <w:rFonts w:ascii="Calibri" w:eastAsia="Calibri" w:hAnsi="Calibri" w:cs="Calibri"/>
                      <w:b/>
                      <w:sz w:val="20"/>
                      <w:szCs w:val="20"/>
                      <w:lang w:eastAsia="en-IE"/>
                    </w:rPr>
                  </w:pPr>
                </w:p>
              </w:tc>
              <w:tc>
                <w:tcPr>
                  <w:tcW w:w="1493" w:type="dxa"/>
                  <w:shd w:val="clear" w:color="000000" w:fill="FFFF00"/>
                  <w:noWrap/>
                  <w:vAlign w:val="bottom"/>
                </w:tcPr>
                <w:p w14:paraId="28E20A91" w14:textId="77777777" w:rsidR="00861314" w:rsidRPr="00A10F85" w:rsidRDefault="00861314" w:rsidP="00133C7F">
                  <w:pPr>
                    <w:jc w:val="right"/>
                    <w:rPr>
                      <w:rFonts w:ascii="Calibri" w:eastAsia="Calibri" w:hAnsi="Calibri" w:cs="Calibri"/>
                      <w:b/>
                      <w:sz w:val="20"/>
                      <w:szCs w:val="20"/>
                      <w:highlight w:val="green"/>
                      <w:lang w:eastAsia="en-IE"/>
                    </w:rPr>
                  </w:pPr>
                </w:p>
              </w:tc>
            </w:tr>
            <w:tr w:rsidR="00F62D01" w:rsidRPr="001244BE" w14:paraId="1AB2083D" w14:textId="77777777" w:rsidTr="00133C7F">
              <w:trPr>
                <w:trHeight w:val="306"/>
              </w:trPr>
              <w:tc>
                <w:tcPr>
                  <w:tcW w:w="4147" w:type="dxa"/>
                  <w:shd w:val="clear" w:color="auto" w:fill="FFFFFF"/>
                  <w:vAlign w:val="bottom"/>
                  <w:hideMark/>
                </w:tcPr>
                <w:p w14:paraId="0933BB40" w14:textId="77777777" w:rsidR="00F62D01" w:rsidRPr="00CF09DF" w:rsidRDefault="00F62D01" w:rsidP="00F62D01">
                  <w:pPr>
                    <w:rPr>
                      <w:rFonts w:ascii="Calibri" w:hAnsi="Calibri" w:cs="Calibri"/>
                      <w:color w:val="000000"/>
                      <w:sz w:val="20"/>
                      <w:szCs w:val="20"/>
                      <w:lang w:eastAsia="en-IE"/>
                    </w:rPr>
                  </w:pPr>
                  <w:r w:rsidRPr="00CF09DF">
                    <w:rPr>
                      <w:rFonts w:ascii="Calibri" w:hAnsi="Calibri" w:cs="Calibri"/>
                      <w:color w:val="000000"/>
                      <w:sz w:val="20"/>
                      <w:szCs w:val="20"/>
                      <w:lang w:eastAsia="en-IE"/>
                    </w:rPr>
                    <w:t>Segment assets</w:t>
                  </w:r>
                </w:p>
              </w:tc>
              <w:tc>
                <w:tcPr>
                  <w:tcW w:w="1491" w:type="dxa"/>
                  <w:shd w:val="clear" w:color="000000" w:fill="FFFF00"/>
                  <w:noWrap/>
                  <w:vAlign w:val="bottom"/>
                </w:tcPr>
                <w:p w14:paraId="20A33995" w14:textId="77777777" w:rsidR="00F62D01" w:rsidRPr="00682230" w:rsidRDefault="00F62D01" w:rsidP="00F62D01">
                  <w:pPr>
                    <w:ind w:left="-245" w:right="6"/>
                    <w:jc w:val="right"/>
                    <w:rPr>
                      <w:rFonts w:ascii="Calibri" w:hAnsi="Calibri" w:cs="Calibri"/>
                      <w:b/>
                      <w:bCs/>
                      <w:color w:val="000000"/>
                      <w:sz w:val="20"/>
                      <w:szCs w:val="20"/>
                      <w:lang w:eastAsia="en-IE"/>
                    </w:rPr>
                  </w:pPr>
                  <w:r w:rsidRPr="00D228EA">
                    <w:rPr>
                      <w:rFonts w:ascii="Calibri" w:hAnsi="Calibri" w:cs="Calibri"/>
                      <w:b/>
                      <w:bCs/>
                      <w:color w:val="000000"/>
                      <w:sz w:val="20"/>
                      <w:szCs w:val="20"/>
                      <w:lang w:eastAsia="en-IE"/>
                    </w:rPr>
                    <w:t>15,</w:t>
                  </w:r>
                  <w:r>
                    <w:rPr>
                      <w:rFonts w:ascii="Calibri" w:hAnsi="Calibri" w:cs="Calibri"/>
                      <w:b/>
                      <w:bCs/>
                      <w:color w:val="000000"/>
                      <w:sz w:val="20"/>
                      <w:szCs w:val="20"/>
                      <w:lang w:eastAsia="en-IE"/>
                    </w:rPr>
                    <w:t>112.1</w:t>
                  </w:r>
                </w:p>
              </w:tc>
              <w:tc>
                <w:tcPr>
                  <w:tcW w:w="1659" w:type="dxa"/>
                  <w:shd w:val="clear" w:color="000000" w:fill="FFFF00"/>
                  <w:vAlign w:val="bottom"/>
                </w:tcPr>
                <w:p w14:paraId="30E4BD7F" w14:textId="77777777" w:rsidR="00F62D01" w:rsidRPr="00854ED6" w:rsidRDefault="00F62D01" w:rsidP="00F62D01">
                  <w:pPr>
                    <w:ind w:right="-45"/>
                    <w:jc w:val="right"/>
                    <w:rPr>
                      <w:rFonts w:ascii="Calibri" w:hAnsi="Calibri" w:cs="Calibri"/>
                      <w:b/>
                      <w:bCs/>
                      <w:color w:val="000000"/>
                      <w:sz w:val="20"/>
                      <w:szCs w:val="20"/>
                      <w:highlight w:val="green"/>
                    </w:rPr>
                  </w:pPr>
                  <w:r>
                    <w:rPr>
                      <w:rFonts w:ascii="Calibri" w:hAnsi="Calibri" w:cs="Calibri"/>
                      <w:b/>
                      <w:bCs/>
                      <w:color w:val="000000"/>
                      <w:sz w:val="20"/>
                      <w:szCs w:val="20"/>
                    </w:rPr>
                    <w:t>343.6</w:t>
                  </w:r>
                </w:p>
              </w:tc>
              <w:tc>
                <w:tcPr>
                  <w:tcW w:w="1473" w:type="dxa"/>
                  <w:shd w:val="clear" w:color="000000" w:fill="FFFF00"/>
                  <w:vAlign w:val="bottom"/>
                </w:tcPr>
                <w:p w14:paraId="52467A74" w14:textId="77777777" w:rsidR="00F62D01" w:rsidRPr="00854ED6" w:rsidRDefault="00F62D01" w:rsidP="00F62D01">
                  <w:pPr>
                    <w:jc w:val="right"/>
                    <w:rPr>
                      <w:rFonts w:ascii="Calibri" w:eastAsia="Calibri" w:hAnsi="Calibri" w:cs="Calibri"/>
                      <w:b/>
                      <w:bCs/>
                      <w:sz w:val="20"/>
                      <w:szCs w:val="20"/>
                      <w:highlight w:val="green"/>
                      <w:lang w:eastAsia="en-IE"/>
                    </w:rPr>
                  </w:pPr>
                  <w:r>
                    <w:rPr>
                      <w:rFonts w:ascii="Calibri" w:eastAsia="Calibri" w:hAnsi="Calibri" w:cs="Calibri"/>
                      <w:b/>
                      <w:bCs/>
                      <w:sz w:val="20"/>
                      <w:szCs w:val="20"/>
                      <w:lang w:eastAsia="en-IE"/>
                    </w:rPr>
                    <w:t>-</w:t>
                  </w:r>
                </w:p>
              </w:tc>
              <w:tc>
                <w:tcPr>
                  <w:tcW w:w="1493" w:type="dxa"/>
                  <w:shd w:val="clear" w:color="000000" w:fill="FFFF00"/>
                  <w:noWrap/>
                  <w:vAlign w:val="bottom"/>
                </w:tcPr>
                <w:p w14:paraId="74D49701" w14:textId="77777777" w:rsidR="00F62D01" w:rsidRPr="00E6113C" w:rsidRDefault="00F62D01" w:rsidP="00F62D01">
                  <w:pPr>
                    <w:jc w:val="right"/>
                    <w:rPr>
                      <w:rFonts w:ascii="Calibri" w:eastAsia="Calibri" w:hAnsi="Calibri" w:cs="Calibri"/>
                      <w:b/>
                      <w:bCs/>
                      <w:sz w:val="20"/>
                      <w:szCs w:val="20"/>
                      <w:lang w:eastAsia="en-IE"/>
                    </w:rPr>
                  </w:pPr>
                  <w:r w:rsidRPr="00E6113C">
                    <w:rPr>
                      <w:rFonts w:ascii="Calibri" w:eastAsia="Calibri" w:hAnsi="Calibri" w:cs="Calibri"/>
                      <w:b/>
                      <w:bCs/>
                      <w:sz w:val="20"/>
                      <w:szCs w:val="20"/>
                      <w:lang w:eastAsia="en-IE"/>
                    </w:rPr>
                    <w:t>15,4</w:t>
                  </w:r>
                  <w:r>
                    <w:rPr>
                      <w:rFonts w:ascii="Calibri" w:eastAsia="Calibri" w:hAnsi="Calibri" w:cs="Calibri"/>
                      <w:b/>
                      <w:bCs/>
                      <w:sz w:val="20"/>
                      <w:szCs w:val="20"/>
                      <w:lang w:eastAsia="en-IE"/>
                    </w:rPr>
                    <w:t>55</w:t>
                  </w:r>
                  <w:r w:rsidRPr="00E6113C">
                    <w:rPr>
                      <w:rFonts w:ascii="Calibri" w:eastAsia="Calibri" w:hAnsi="Calibri" w:cs="Calibri"/>
                      <w:b/>
                      <w:bCs/>
                      <w:sz w:val="20"/>
                      <w:szCs w:val="20"/>
                      <w:lang w:eastAsia="en-IE"/>
                    </w:rPr>
                    <w:t>.</w:t>
                  </w:r>
                  <w:r>
                    <w:rPr>
                      <w:rFonts w:ascii="Calibri" w:eastAsia="Calibri" w:hAnsi="Calibri" w:cs="Calibri"/>
                      <w:b/>
                      <w:bCs/>
                      <w:sz w:val="20"/>
                      <w:szCs w:val="20"/>
                      <w:lang w:eastAsia="en-IE"/>
                    </w:rPr>
                    <w:t>7</w:t>
                  </w:r>
                </w:p>
              </w:tc>
            </w:tr>
            <w:tr w:rsidR="00F62D01" w:rsidRPr="001244BE" w14:paraId="0F06CD3B" w14:textId="77777777" w:rsidTr="00133C7F">
              <w:trPr>
                <w:trHeight w:val="306"/>
              </w:trPr>
              <w:tc>
                <w:tcPr>
                  <w:tcW w:w="4147" w:type="dxa"/>
                  <w:shd w:val="clear" w:color="auto" w:fill="FFFFFF"/>
                  <w:vAlign w:val="bottom"/>
                  <w:hideMark/>
                </w:tcPr>
                <w:p w14:paraId="3AF2BDD7" w14:textId="77777777" w:rsidR="00F62D01" w:rsidRPr="00CF09DF" w:rsidRDefault="00F62D01" w:rsidP="00F62D01">
                  <w:pPr>
                    <w:rPr>
                      <w:rFonts w:ascii="Calibri" w:hAnsi="Calibri" w:cs="Calibri"/>
                      <w:color w:val="000000"/>
                      <w:sz w:val="20"/>
                      <w:szCs w:val="20"/>
                      <w:lang w:eastAsia="en-IE"/>
                    </w:rPr>
                  </w:pPr>
                  <w:r w:rsidRPr="00CF09DF">
                    <w:rPr>
                      <w:rFonts w:ascii="Calibri" w:hAnsi="Calibri" w:cs="Calibri"/>
                      <w:color w:val="000000"/>
                      <w:sz w:val="20"/>
                      <w:szCs w:val="20"/>
                      <w:lang w:eastAsia="en-IE"/>
                    </w:rPr>
                    <w:t>Segment liabilities</w:t>
                  </w:r>
                </w:p>
              </w:tc>
              <w:tc>
                <w:tcPr>
                  <w:tcW w:w="1491" w:type="dxa"/>
                  <w:shd w:val="clear" w:color="000000" w:fill="FFFF00"/>
                  <w:noWrap/>
                  <w:vAlign w:val="bottom"/>
                </w:tcPr>
                <w:p w14:paraId="0D69A4FE" w14:textId="77777777" w:rsidR="00F62D01" w:rsidRPr="00682230" w:rsidRDefault="00F62D01" w:rsidP="00F62D01">
                  <w:pPr>
                    <w:jc w:val="right"/>
                    <w:rPr>
                      <w:rFonts w:ascii="Calibri" w:hAnsi="Calibri" w:cs="Calibri"/>
                      <w:b/>
                      <w:color w:val="000000"/>
                      <w:sz w:val="20"/>
                      <w:szCs w:val="20"/>
                      <w:lang w:eastAsia="en-IE"/>
                    </w:rPr>
                  </w:pPr>
                  <w:r w:rsidRPr="00D228EA">
                    <w:rPr>
                      <w:rFonts w:ascii="Calibri" w:hAnsi="Calibri" w:cs="Calibri"/>
                      <w:b/>
                      <w:bCs/>
                      <w:color w:val="000000"/>
                      <w:sz w:val="20"/>
                      <w:szCs w:val="20"/>
                      <w:lang w:eastAsia="en-IE"/>
                    </w:rPr>
                    <w:t>(6,9</w:t>
                  </w:r>
                  <w:r>
                    <w:rPr>
                      <w:rFonts w:ascii="Calibri" w:hAnsi="Calibri" w:cs="Calibri"/>
                      <w:b/>
                      <w:bCs/>
                      <w:color w:val="000000"/>
                      <w:sz w:val="20"/>
                      <w:szCs w:val="20"/>
                      <w:lang w:eastAsia="en-IE"/>
                    </w:rPr>
                    <w:t>58.1</w:t>
                  </w:r>
                  <w:r w:rsidRPr="00D228EA">
                    <w:rPr>
                      <w:rFonts w:ascii="Calibri" w:hAnsi="Calibri" w:cs="Calibri"/>
                      <w:b/>
                      <w:bCs/>
                      <w:color w:val="000000"/>
                      <w:sz w:val="20"/>
                      <w:szCs w:val="20"/>
                      <w:lang w:eastAsia="en-IE"/>
                    </w:rPr>
                    <w:t>)</w:t>
                  </w:r>
                </w:p>
              </w:tc>
              <w:tc>
                <w:tcPr>
                  <w:tcW w:w="1659" w:type="dxa"/>
                  <w:shd w:val="clear" w:color="000000" w:fill="FFFF00"/>
                  <w:vAlign w:val="bottom"/>
                </w:tcPr>
                <w:p w14:paraId="28EB6D7B" w14:textId="77777777" w:rsidR="00F62D01" w:rsidRPr="00854ED6" w:rsidRDefault="00F62D01" w:rsidP="00F62D01">
                  <w:pPr>
                    <w:ind w:right="-45"/>
                    <w:jc w:val="right"/>
                    <w:rPr>
                      <w:rFonts w:ascii="Calibri" w:hAnsi="Calibri" w:cs="Calibri"/>
                      <w:b/>
                      <w:color w:val="000000"/>
                      <w:sz w:val="20"/>
                      <w:szCs w:val="20"/>
                      <w:highlight w:val="green"/>
                    </w:rPr>
                  </w:pPr>
                  <w:r>
                    <w:rPr>
                      <w:rFonts w:ascii="Calibri" w:hAnsi="Calibri" w:cs="Calibri"/>
                      <w:b/>
                      <w:bCs/>
                      <w:color w:val="000000"/>
                      <w:sz w:val="20"/>
                      <w:szCs w:val="20"/>
                    </w:rPr>
                    <w:t>(626.1)</w:t>
                  </w:r>
                </w:p>
              </w:tc>
              <w:tc>
                <w:tcPr>
                  <w:tcW w:w="1473" w:type="dxa"/>
                  <w:shd w:val="clear" w:color="000000" w:fill="FFFF00"/>
                  <w:vAlign w:val="bottom"/>
                </w:tcPr>
                <w:p w14:paraId="6AD3CCEA" w14:textId="77777777" w:rsidR="00F62D01" w:rsidRPr="00854ED6" w:rsidRDefault="00F62D01" w:rsidP="00F62D01">
                  <w:pPr>
                    <w:jc w:val="right"/>
                    <w:rPr>
                      <w:rFonts w:ascii="Calibri" w:eastAsia="Calibri" w:hAnsi="Calibri" w:cs="Calibri"/>
                      <w:b/>
                      <w:bCs/>
                      <w:sz w:val="20"/>
                      <w:szCs w:val="20"/>
                      <w:highlight w:val="green"/>
                      <w:lang w:eastAsia="en-IE"/>
                    </w:rPr>
                  </w:pPr>
                  <w:r>
                    <w:rPr>
                      <w:rFonts w:ascii="Calibri" w:eastAsia="Calibri" w:hAnsi="Calibri" w:cs="Calibri"/>
                      <w:b/>
                      <w:bCs/>
                      <w:sz w:val="20"/>
                      <w:szCs w:val="20"/>
                      <w:lang w:eastAsia="en-IE"/>
                    </w:rPr>
                    <w:t>-</w:t>
                  </w:r>
                </w:p>
              </w:tc>
              <w:tc>
                <w:tcPr>
                  <w:tcW w:w="1493" w:type="dxa"/>
                  <w:shd w:val="clear" w:color="000000" w:fill="FFFF00"/>
                  <w:noWrap/>
                  <w:vAlign w:val="bottom"/>
                </w:tcPr>
                <w:p w14:paraId="5A6926EA" w14:textId="77777777" w:rsidR="00F62D01" w:rsidRPr="00E6113C" w:rsidRDefault="00F62D01" w:rsidP="00F62D01">
                  <w:pPr>
                    <w:jc w:val="right"/>
                    <w:rPr>
                      <w:rFonts w:ascii="Calibri" w:eastAsia="Calibri" w:hAnsi="Calibri" w:cs="Calibri"/>
                      <w:b/>
                      <w:sz w:val="20"/>
                      <w:szCs w:val="20"/>
                      <w:lang w:eastAsia="en-IE"/>
                    </w:rPr>
                  </w:pPr>
                  <w:r>
                    <w:rPr>
                      <w:rFonts w:ascii="Calibri" w:eastAsia="Calibri" w:hAnsi="Calibri" w:cs="Calibri"/>
                      <w:b/>
                      <w:sz w:val="20"/>
                      <w:szCs w:val="20"/>
                      <w:lang w:eastAsia="en-IE"/>
                    </w:rPr>
                    <w:t>(</w:t>
                  </w:r>
                  <w:r w:rsidRPr="00E6113C">
                    <w:rPr>
                      <w:rFonts w:ascii="Calibri" w:eastAsia="Calibri" w:hAnsi="Calibri" w:cs="Calibri"/>
                      <w:b/>
                      <w:sz w:val="20"/>
                      <w:szCs w:val="20"/>
                      <w:lang w:eastAsia="en-IE"/>
                    </w:rPr>
                    <w:t>7,5</w:t>
                  </w:r>
                  <w:r>
                    <w:rPr>
                      <w:rFonts w:ascii="Calibri" w:eastAsia="Calibri" w:hAnsi="Calibri" w:cs="Calibri"/>
                      <w:b/>
                      <w:sz w:val="20"/>
                      <w:szCs w:val="20"/>
                      <w:lang w:eastAsia="en-IE"/>
                    </w:rPr>
                    <w:t>84</w:t>
                  </w:r>
                  <w:r w:rsidRPr="00E6113C">
                    <w:rPr>
                      <w:rFonts w:ascii="Calibri" w:eastAsia="Calibri" w:hAnsi="Calibri" w:cs="Calibri"/>
                      <w:b/>
                      <w:sz w:val="20"/>
                      <w:szCs w:val="20"/>
                      <w:lang w:eastAsia="en-IE"/>
                    </w:rPr>
                    <w:t>.</w:t>
                  </w:r>
                  <w:r>
                    <w:rPr>
                      <w:rFonts w:ascii="Calibri" w:eastAsia="Calibri" w:hAnsi="Calibri" w:cs="Calibri"/>
                      <w:b/>
                      <w:sz w:val="20"/>
                      <w:szCs w:val="20"/>
                      <w:lang w:eastAsia="en-IE"/>
                    </w:rPr>
                    <w:t>2)</w:t>
                  </w:r>
                </w:p>
              </w:tc>
            </w:tr>
          </w:tbl>
          <w:p w14:paraId="12FC0B55" w14:textId="77777777" w:rsidR="00861314" w:rsidRPr="00C22F7C" w:rsidRDefault="00861314" w:rsidP="00133C7F">
            <w:pPr>
              <w:rPr>
                <w:rFonts w:ascii="Calibri" w:hAnsi="Calibri" w:cs="Calibri"/>
                <w:color w:val="000000"/>
                <w:sz w:val="22"/>
                <w:szCs w:val="22"/>
              </w:rPr>
            </w:pPr>
          </w:p>
        </w:tc>
      </w:tr>
    </w:tbl>
    <w:p w14:paraId="69A896FD" w14:textId="77777777" w:rsidR="00861314" w:rsidRDefault="00861314" w:rsidP="00861314"/>
    <w:tbl>
      <w:tblPr>
        <w:tblW w:w="10278" w:type="dxa"/>
        <w:tblInd w:w="108" w:type="dxa"/>
        <w:tblLayout w:type="fixed"/>
        <w:tblLook w:val="04A0" w:firstRow="1" w:lastRow="0" w:firstColumn="1" w:lastColumn="0" w:noHBand="0" w:noVBand="1"/>
      </w:tblPr>
      <w:tblGrid>
        <w:gridCol w:w="4145"/>
        <w:gridCol w:w="1491"/>
        <w:gridCol w:w="1658"/>
        <w:gridCol w:w="1492"/>
        <w:gridCol w:w="1492"/>
      </w:tblGrid>
      <w:tr w:rsidR="00861314" w:rsidRPr="00E6113C" w14:paraId="00C3AFF3" w14:textId="77777777" w:rsidTr="00133C7F">
        <w:trPr>
          <w:trHeight w:val="307"/>
        </w:trPr>
        <w:tc>
          <w:tcPr>
            <w:tcW w:w="4145" w:type="dxa"/>
            <w:shd w:val="clear" w:color="auto" w:fill="FFFFFF"/>
            <w:vAlign w:val="bottom"/>
          </w:tcPr>
          <w:p w14:paraId="03B55B3B" w14:textId="77777777" w:rsidR="00861314" w:rsidRPr="00E6113C" w:rsidRDefault="00861314" w:rsidP="00133C7F">
            <w:pPr>
              <w:rPr>
                <w:rFonts w:ascii="Calibri" w:hAnsi="Calibri" w:cs="Calibri"/>
                <w:color w:val="000000"/>
                <w:sz w:val="20"/>
                <w:szCs w:val="20"/>
                <w:lang w:eastAsia="en-IE"/>
              </w:rPr>
            </w:pPr>
            <w:r w:rsidRPr="00E6113C">
              <w:rPr>
                <w:rFonts w:ascii="Calibri" w:hAnsi="Calibri" w:cs="Calibri"/>
                <w:b/>
                <w:bCs/>
                <w:color w:val="000000"/>
                <w:sz w:val="20"/>
                <w:szCs w:val="20"/>
                <w:lang w:eastAsia="en-IE"/>
              </w:rPr>
              <w:t>Quarter Ended</w:t>
            </w:r>
          </w:p>
        </w:tc>
        <w:tc>
          <w:tcPr>
            <w:tcW w:w="1491" w:type="dxa"/>
            <w:shd w:val="clear" w:color="auto" w:fill="auto"/>
            <w:noWrap/>
            <w:vAlign w:val="bottom"/>
          </w:tcPr>
          <w:p w14:paraId="5F798873" w14:textId="77777777" w:rsidR="00861314" w:rsidRPr="00E6113C" w:rsidRDefault="00861314" w:rsidP="00133C7F">
            <w:pPr>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 xml:space="preserve">Ryanair DAC </w:t>
            </w:r>
          </w:p>
        </w:tc>
        <w:tc>
          <w:tcPr>
            <w:tcW w:w="1658" w:type="dxa"/>
            <w:shd w:val="clear" w:color="auto" w:fill="auto"/>
            <w:vAlign w:val="bottom"/>
          </w:tcPr>
          <w:p w14:paraId="54748F73" w14:textId="77777777" w:rsidR="00861314" w:rsidRPr="00E6113C" w:rsidRDefault="00861314" w:rsidP="00133C7F">
            <w:pPr>
              <w:ind w:right="-45"/>
              <w:jc w:val="right"/>
              <w:rPr>
                <w:rFonts w:ascii="Calibri" w:hAnsi="Calibri" w:cs="Calibri"/>
                <w:b/>
                <w:bCs/>
                <w:color w:val="000000"/>
                <w:sz w:val="20"/>
                <w:szCs w:val="20"/>
              </w:rPr>
            </w:pPr>
            <w:r w:rsidRPr="00E6113C">
              <w:rPr>
                <w:rFonts w:ascii="Calibri" w:hAnsi="Calibri" w:cs="Calibri"/>
                <w:b/>
                <w:bCs/>
                <w:color w:val="000000"/>
                <w:sz w:val="20"/>
                <w:szCs w:val="20"/>
                <w:lang w:eastAsia="en-IE"/>
              </w:rPr>
              <w:t>Other Airlines</w:t>
            </w:r>
          </w:p>
        </w:tc>
        <w:tc>
          <w:tcPr>
            <w:tcW w:w="1492" w:type="dxa"/>
            <w:shd w:val="clear" w:color="auto" w:fill="auto"/>
            <w:vAlign w:val="bottom"/>
          </w:tcPr>
          <w:p w14:paraId="16B0094B" w14:textId="77777777" w:rsidR="00861314" w:rsidRPr="00E6113C" w:rsidRDefault="00861314" w:rsidP="00133C7F">
            <w:pPr>
              <w:jc w:val="right"/>
              <w:rPr>
                <w:rFonts w:ascii="Calibri" w:eastAsia="Calibri" w:hAnsi="Calibri" w:cs="Calibri"/>
                <w:b/>
                <w:bCs/>
                <w:sz w:val="20"/>
                <w:szCs w:val="20"/>
                <w:lang w:eastAsia="en-IE"/>
              </w:rPr>
            </w:pPr>
            <w:r w:rsidRPr="00E6113C">
              <w:rPr>
                <w:rFonts w:ascii="Calibri" w:hAnsi="Calibri" w:cs="Calibri"/>
                <w:b/>
                <w:bCs/>
                <w:color w:val="000000"/>
                <w:sz w:val="20"/>
                <w:szCs w:val="20"/>
                <w:lang w:eastAsia="en-IE"/>
              </w:rPr>
              <w:t>Elimination</w:t>
            </w:r>
          </w:p>
        </w:tc>
        <w:tc>
          <w:tcPr>
            <w:tcW w:w="1492" w:type="dxa"/>
            <w:shd w:val="clear" w:color="auto" w:fill="auto"/>
            <w:noWrap/>
            <w:vAlign w:val="bottom"/>
          </w:tcPr>
          <w:p w14:paraId="7A6145E7" w14:textId="77777777" w:rsidR="00861314" w:rsidRPr="00E6113C" w:rsidRDefault="00861314" w:rsidP="00133C7F">
            <w:pPr>
              <w:jc w:val="right"/>
              <w:rPr>
                <w:rFonts w:ascii="Calibri" w:eastAsia="Calibri" w:hAnsi="Calibri" w:cs="Calibri"/>
                <w:b/>
                <w:bCs/>
                <w:sz w:val="20"/>
                <w:szCs w:val="20"/>
                <w:lang w:eastAsia="en-IE"/>
              </w:rPr>
            </w:pPr>
            <w:r w:rsidRPr="00E6113C">
              <w:rPr>
                <w:rFonts w:ascii="Calibri" w:hAnsi="Calibri" w:cs="Calibri"/>
                <w:b/>
                <w:bCs/>
                <w:color w:val="000000"/>
                <w:sz w:val="20"/>
                <w:szCs w:val="20"/>
                <w:lang w:eastAsia="en-IE"/>
              </w:rPr>
              <w:t>Total</w:t>
            </w:r>
          </w:p>
        </w:tc>
      </w:tr>
      <w:tr w:rsidR="00861314" w:rsidRPr="00E6113C" w14:paraId="42EC5903" w14:textId="77777777" w:rsidTr="00133C7F">
        <w:trPr>
          <w:trHeight w:val="307"/>
        </w:trPr>
        <w:tc>
          <w:tcPr>
            <w:tcW w:w="4145" w:type="dxa"/>
            <w:vMerge w:val="restart"/>
            <w:shd w:val="clear" w:color="auto" w:fill="FFFFFF"/>
            <w:vAlign w:val="center"/>
          </w:tcPr>
          <w:p w14:paraId="6E41A8A9" w14:textId="77777777" w:rsidR="00861314" w:rsidRPr="00E6113C" w:rsidRDefault="00861314" w:rsidP="00133C7F">
            <w:pPr>
              <w:rPr>
                <w:rFonts w:ascii="Calibri" w:hAnsi="Calibri" w:cs="Calibri"/>
                <w:color w:val="000000"/>
                <w:sz w:val="20"/>
                <w:szCs w:val="20"/>
                <w:lang w:eastAsia="en-IE"/>
              </w:rPr>
            </w:pPr>
          </w:p>
        </w:tc>
        <w:tc>
          <w:tcPr>
            <w:tcW w:w="1491" w:type="dxa"/>
            <w:shd w:val="clear" w:color="auto" w:fill="auto"/>
            <w:noWrap/>
            <w:vAlign w:val="bottom"/>
          </w:tcPr>
          <w:p w14:paraId="67F03BC0" w14:textId="77777777" w:rsidR="00861314" w:rsidRPr="00E6113C" w:rsidRDefault="00861314" w:rsidP="00133C7F">
            <w:pPr>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Dec 31,</w:t>
            </w:r>
          </w:p>
        </w:tc>
        <w:tc>
          <w:tcPr>
            <w:tcW w:w="1658" w:type="dxa"/>
            <w:shd w:val="clear" w:color="auto" w:fill="auto"/>
            <w:vAlign w:val="bottom"/>
          </w:tcPr>
          <w:p w14:paraId="063130C3" w14:textId="77777777" w:rsidR="00861314" w:rsidRPr="00E6113C" w:rsidRDefault="00861314" w:rsidP="00133C7F">
            <w:pPr>
              <w:ind w:right="-45"/>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Dec 31,</w:t>
            </w:r>
          </w:p>
        </w:tc>
        <w:tc>
          <w:tcPr>
            <w:tcW w:w="1492" w:type="dxa"/>
            <w:shd w:val="clear" w:color="auto" w:fill="auto"/>
            <w:vAlign w:val="bottom"/>
          </w:tcPr>
          <w:p w14:paraId="28284D8E" w14:textId="77777777" w:rsidR="00861314" w:rsidRPr="00E6113C" w:rsidRDefault="00861314" w:rsidP="00133C7F">
            <w:pPr>
              <w:jc w:val="right"/>
              <w:rPr>
                <w:rFonts w:ascii="Calibri" w:hAnsi="Calibri" w:cs="Calibri"/>
                <w:b/>
                <w:bCs/>
                <w:color w:val="000000"/>
                <w:sz w:val="16"/>
                <w:szCs w:val="16"/>
                <w:lang w:eastAsia="en-IE"/>
              </w:rPr>
            </w:pPr>
            <w:r w:rsidRPr="00E6113C">
              <w:rPr>
                <w:rFonts w:ascii="Calibri" w:hAnsi="Calibri" w:cs="Calibri"/>
                <w:b/>
                <w:bCs/>
                <w:color w:val="000000"/>
                <w:sz w:val="20"/>
                <w:szCs w:val="20"/>
                <w:lang w:eastAsia="en-IE"/>
              </w:rPr>
              <w:t>Dec 31,</w:t>
            </w:r>
          </w:p>
        </w:tc>
        <w:tc>
          <w:tcPr>
            <w:tcW w:w="1492" w:type="dxa"/>
            <w:shd w:val="clear" w:color="auto" w:fill="auto"/>
            <w:noWrap/>
            <w:vAlign w:val="bottom"/>
          </w:tcPr>
          <w:p w14:paraId="2D341A94" w14:textId="77777777" w:rsidR="00861314" w:rsidRPr="00E6113C" w:rsidRDefault="00861314" w:rsidP="00133C7F">
            <w:pPr>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Dec 31,</w:t>
            </w:r>
          </w:p>
        </w:tc>
      </w:tr>
      <w:tr w:rsidR="00861314" w:rsidRPr="00E6113C" w14:paraId="19CCC034" w14:textId="77777777" w:rsidTr="00133C7F">
        <w:trPr>
          <w:trHeight w:val="307"/>
        </w:trPr>
        <w:tc>
          <w:tcPr>
            <w:tcW w:w="4145" w:type="dxa"/>
            <w:vMerge/>
            <w:shd w:val="clear" w:color="auto" w:fill="FFFFFF"/>
            <w:vAlign w:val="bottom"/>
          </w:tcPr>
          <w:p w14:paraId="001F993E" w14:textId="77777777" w:rsidR="00861314" w:rsidRPr="00E6113C" w:rsidRDefault="00861314" w:rsidP="00133C7F">
            <w:pPr>
              <w:rPr>
                <w:rFonts w:ascii="Calibri" w:hAnsi="Calibri" w:cs="Calibri"/>
                <w:color w:val="000000"/>
                <w:sz w:val="20"/>
                <w:szCs w:val="20"/>
                <w:lang w:eastAsia="en-IE"/>
              </w:rPr>
            </w:pPr>
          </w:p>
        </w:tc>
        <w:tc>
          <w:tcPr>
            <w:tcW w:w="1491" w:type="dxa"/>
            <w:shd w:val="clear" w:color="auto" w:fill="auto"/>
            <w:noWrap/>
            <w:vAlign w:val="bottom"/>
          </w:tcPr>
          <w:p w14:paraId="57468822" w14:textId="77777777" w:rsidR="00861314" w:rsidRPr="00E6113C" w:rsidRDefault="00861314" w:rsidP="00133C7F">
            <w:pPr>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2022</w:t>
            </w:r>
          </w:p>
        </w:tc>
        <w:tc>
          <w:tcPr>
            <w:tcW w:w="1658" w:type="dxa"/>
            <w:shd w:val="clear" w:color="auto" w:fill="auto"/>
            <w:vAlign w:val="bottom"/>
          </w:tcPr>
          <w:p w14:paraId="47E16B6D" w14:textId="77777777" w:rsidR="00861314" w:rsidRPr="00E6113C" w:rsidRDefault="00861314" w:rsidP="00133C7F">
            <w:pPr>
              <w:ind w:right="-45"/>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2022</w:t>
            </w:r>
          </w:p>
        </w:tc>
        <w:tc>
          <w:tcPr>
            <w:tcW w:w="1492" w:type="dxa"/>
            <w:shd w:val="clear" w:color="auto" w:fill="auto"/>
            <w:vAlign w:val="bottom"/>
          </w:tcPr>
          <w:p w14:paraId="2DE30C1E" w14:textId="77777777" w:rsidR="00861314" w:rsidRPr="00E6113C" w:rsidRDefault="00861314" w:rsidP="00133C7F">
            <w:pPr>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2022</w:t>
            </w:r>
          </w:p>
        </w:tc>
        <w:tc>
          <w:tcPr>
            <w:tcW w:w="1492" w:type="dxa"/>
            <w:shd w:val="clear" w:color="auto" w:fill="auto"/>
            <w:noWrap/>
            <w:vAlign w:val="bottom"/>
          </w:tcPr>
          <w:p w14:paraId="7A54945D" w14:textId="77777777" w:rsidR="00861314" w:rsidRPr="00E6113C" w:rsidRDefault="00861314" w:rsidP="00133C7F">
            <w:pPr>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2022</w:t>
            </w:r>
          </w:p>
        </w:tc>
      </w:tr>
      <w:tr w:rsidR="00861314" w:rsidRPr="00E6113C" w14:paraId="10820AF3" w14:textId="77777777" w:rsidTr="00133C7F">
        <w:trPr>
          <w:trHeight w:val="307"/>
        </w:trPr>
        <w:tc>
          <w:tcPr>
            <w:tcW w:w="4145" w:type="dxa"/>
            <w:shd w:val="clear" w:color="auto" w:fill="FFFFFF"/>
            <w:vAlign w:val="bottom"/>
          </w:tcPr>
          <w:p w14:paraId="5EF64DA6" w14:textId="77777777" w:rsidR="00861314" w:rsidRPr="00E6113C" w:rsidRDefault="00861314" w:rsidP="00133C7F">
            <w:pPr>
              <w:rPr>
                <w:rFonts w:ascii="Calibri" w:hAnsi="Calibri" w:cs="Calibri"/>
                <w:color w:val="000000"/>
                <w:sz w:val="20"/>
                <w:szCs w:val="20"/>
                <w:lang w:eastAsia="en-IE"/>
              </w:rPr>
            </w:pPr>
          </w:p>
        </w:tc>
        <w:tc>
          <w:tcPr>
            <w:tcW w:w="1491" w:type="dxa"/>
            <w:shd w:val="clear" w:color="auto" w:fill="auto"/>
            <w:noWrap/>
            <w:vAlign w:val="bottom"/>
          </w:tcPr>
          <w:p w14:paraId="2A0DD371" w14:textId="77777777" w:rsidR="00861314" w:rsidRPr="00E6113C" w:rsidRDefault="00861314" w:rsidP="00133C7F">
            <w:pPr>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€M</w:t>
            </w:r>
          </w:p>
        </w:tc>
        <w:tc>
          <w:tcPr>
            <w:tcW w:w="1658" w:type="dxa"/>
            <w:shd w:val="clear" w:color="auto" w:fill="auto"/>
            <w:vAlign w:val="bottom"/>
          </w:tcPr>
          <w:p w14:paraId="6F754C5F" w14:textId="77777777" w:rsidR="00861314" w:rsidRPr="00E6113C" w:rsidRDefault="00861314" w:rsidP="00133C7F">
            <w:pPr>
              <w:ind w:right="-45"/>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€M</w:t>
            </w:r>
          </w:p>
        </w:tc>
        <w:tc>
          <w:tcPr>
            <w:tcW w:w="1492" w:type="dxa"/>
            <w:shd w:val="clear" w:color="auto" w:fill="auto"/>
            <w:vAlign w:val="bottom"/>
          </w:tcPr>
          <w:p w14:paraId="01FFCCCE" w14:textId="77777777" w:rsidR="00861314" w:rsidRPr="00E6113C" w:rsidRDefault="00861314" w:rsidP="00133C7F">
            <w:pPr>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€M</w:t>
            </w:r>
          </w:p>
        </w:tc>
        <w:tc>
          <w:tcPr>
            <w:tcW w:w="1492" w:type="dxa"/>
            <w:shd w:val="clear" w:color="auto" w:fill="auto"/>
            <w:noWrap/>
            <w:vAlign w:val="bottom"/>
          </w:tcPr>
          <w:p w14:paraId="4D60AAB7" w14:textId="77777777" w:rsidR="00861314" w:rsidRPr="00E6113C" w:rsidRDefault="00861314" w:rsidP="00133C7F">
            <w:pPr>
              <w:jc w:val="right"/>
              <w:rPr>
                <w:rFonts w:ascii="Calibri" w:hAnsi="Calibri" w:cs="Calibri"/>
                <w:b/>
                <w:bCs/>
                <w:color w:val="000000"/>
                <w:sz w:val="20"/>
                <w:szCs w:val="20"/>
                <w:lang w:eastAsia="en-IE"/>
              </w:rPr>
            </w:pPr>
            <w:r w:rsidRPr="00E6113C">
              <w:rPr>
                <w:rFonts w:ascii="Calibri" w:hAnsi="Calibri" w:cs="Calibri"/>
                <w:b/>
                <w:bCs/>
                <w:color w:val="000000"/>
                <w:sz w:val="20"/>
                <w:szCs w:val="20"/>
                <w:lang w:eastAsia="en-IE"/>
              </w:rPr>
              <w:t>€M</w:t>
            </w:r>
          </w:p>
        </w:tc>
      </w:tr>
      <w:tr w:rsidR="00861314" w:rsidRPr="00E6113C" w14:paraId="405AF9F0" w14:textId="77777777" w:rsidTr="00133C7F">
        <w:trPr>
          <w:trHeight w:val="307"/>
        </w:trPr>
        <w:tc>
          <w:tcPr>
            <w:tcW w:w="4145" w:type="dxa"/>
            <w:shd w:val="clear" w:color="auto" w:fill="FFFFFF"/>
            <w:vAlign w:val="bottom"/>
          </w:tcPr>
          <w:p w14:paraId="67EAB5EF" w14:textId="77777777" w:rsidR="00861314" w:rsidRPr="00E6113C" w:rsidRDefault="00861314" w:rsidP="00133C7F">
            <w:pPr>
              <w:jc w:val="both"/>
              <w:rPr>
                <w:rFonts w:ascii="Calibri" w:hAnsi="Calibri" w:cs="Calibri"/>
                <w:color w:val="000000"/>
                <w:sz w:val="20"/>
                <w:szCs w:val="20"/>
                <w:lang w:eastAsia="en-IE"/>
              </w:rPr>
            </w:pPr>
            <w:r w:rsidRPr="00E6113C">
              <w:rPr>
                <w:rFonts w:ascii="Calibri" w:hAnsi="Calibri" w:cs="Calibri"/>
                <w:color w:val="000000"/>
                <w:sz w:val="20"/>
                <w:szCs w:val="20"/>
                <w:lang w:eastAsia="en-IE"/>
              </w:rPr>
              <w:t>Scheduled revenue</w:t>
            </w:r>
          </w:p>
        </w:tc>
        <w:tc>
          <w:tcPr>
            <w:tcW w:w="1491" w:type="dxa"/>
            <w:shd w:val="clear" w:color="auto" w:fill="auto"/>
            <w:noWrap/>
            <w:vAlign w:val="bottom"/>
          </w:tcPr>
          <w:p w14:paraId="325291BA" w14:textId="77777777" w:rsidR="00861314" w:rsidRPr="00E6113C" w:rsidRDefault="00861314" w:rsidP="00133C7F">
            <w:pPr>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 xml:space="preserve">1,438.6 </w:t>
            </w:r>
          </w:p>
        </w:tc>
        <w:tc>
          <w:tcPr>
            <w:tcW w:w="1658" w:type="dxa"/>
            <w:shd w:val="clear" w:color="auto" w:fill="auto"/>
            <w:vAlign w:val="bottom"/>
          </w:tcPr>
          <w:p w14:paraId="24AD68BC" w14:textId="77777777" w:rsidR="00861314" w:rsidRPr="00E6113C" w:rsidRDefault="00861314" w:rsidP="00133C7F">
            <w:pPr>
              <w:ind w:right="-45"/>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 xml:space="preserve">8.0 </w:t>
            </w:r>
          </w:p>
        </w:tc>
        <w:tc>
          <w:tcPr>
            <w:tcW w:w="1492" w:type="dxa"/>
            <w:shd w:val="clear" w:color="auto" w:fill="auto"/>
            <w:vAlign w:val="bottom"/>
          </w:tcPr>
          <w:p w14:paraId="2B97B7CF" w14:textId="77777777" w:rsidR="00861314" w:rsidRPr="00E6113C" w:rsidRDefault="00861314" w:rsidP="00133C7F">
            <w:pPr>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w:t>
            </w:r>
          </w:p>
        </w:tc>
        <w:tc>
          <w:tcPr>
            <w:tcW w:w="1492" w:type="dxa"/>
            <w:shd w:val="clear" w:color="auto" w:fill="auto"/>
            <w:noWrap/>
            <w:vAlign w:val="bottom"/>
          </w:tcPr>
          <w:p w14:paraId="76734CEC" w14:textId="77777777" w:rsidR="00861314" w:rsidRPr="00E6113C" w:rsidRDefault="00861314" w:rsidP="00133C7F">
            <w:pPr>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 xml:space="preserve">1,446.6 </w:t>
            </w:r>
          </w:p>
        </w:tc>
      </w:tr>
      <w:tr w:rsidR="00861314" w:rsidRPr="00E6113C" w14:paraId="48775412" w14:textId="77777777" w:rsidTr="00133C7F">
        <w:trPr>
          <w:trHeight w:val="307"/>
        </w:trPr>
        <w:tc>
          <w:tcPr>
            <w:tcW w:w="4145" w:type="dxa"/>
            <w:shd w:val="clear" w:color="auto" w:fill="FFFFFF"/>
            <w:vAlign w:val="bottom"/>
          </w:tcPr>
          <w:p w14:paraId="7D333DEE" w14:textId="77777777" w:rsidR="00861314" w:rsidRPr="00E6113C" w:rsidRDefault="00861314" w:rsidP="00133C7F">
            <w:pPr>
              <w:jc w:val="both"/>
              <w:rPr>
                <w:rFonts w:ascii="Calibri" w:hAnsi="Calibri" w:cs="Calibri"/>
                <w:color w:val="000000"/>
                <w:sz w:val="20"/>
                <w:szCs w:val="20"/>
                <w:lang w:eastAsia="en-IE"/>
              </w:rPr>
            </w:pPr>
            <w:r w:rsidRPr="00E6113C">
              <w:rPr>
                <w:rFonts w:ascii="Calibri" w:hAnsi="Calibri" w:cs="Calibri"/>
                <w:color w:val="000000"/>
                <w:sz w:val="20"/>
                <w:szCs w:val="20"/>
                <w:lang w:eastAsia="en-IE"/>
              </w:rPr>
              <w:t>Ancillary revenue</w:t>
            </w:r>
          </w:p>
        </w:tc>
        <w:tc>
          <w:tcPr>
            <w:tcW w:w="1491" w:type="dxa"/>
            <w:shd w:val="clear" w:color="auto" w:fill="auto"/>
            <w:noWrap/>
            <w:vAlign w:val="bottom"/>
          </w:tcPr>
          <w:p w14:paraId="31DBDA2F" w14:textId="77777777" w:rsidR="00861314" w:rsidRPr="00E6113C" w:rsidRDefault="00861314" w:rsidP="00133C7F">
            <w:pPr>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 xml:space="preserve">865.5 </w:t>
            </w:r>
          </w:p>
        </w:tc>
        <w:tc>
          <w:tcPr>
            <w:tcW w:w="1658" w:type="dxa"/>
            <w:shd w:val="clear" w:color="auto" w:fill="auto"/>
            <w:vAlign w:val="bottom"/>
          </w:tcPr>
          <w:p w14:paraId="5A4E0754" w14:textId="77777777" w:rsidR="00861314" w:rsidRPr="00E6113C" w:rsidRDefault="00861314" w:rsidP="00133C7F">
            <w:pPr>
              <w:ind w:right="-45"/>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w:t>
            </w:r>
          </w:p>
        </w:tc>
        <w:tc>
          <w:tcPr>
            <w:tcW w:w="1492" w:type="dxa"/>
            <w:shd w:val="clear" w:color="auto" w:fill="auto"/>
            <w:vAlign w:val="bottom"/>
          </w:tcPr>
          <w:p w14:paraId="7E7BFB93" w14:textId="77777777" w:rsidR="00861314" w:rsidRPr="00E6113C" w:rsidRDefault="00861314" w:rsidP="00133C7F">
            <w:pPr>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w:t>
            </w:r>
          </w:p>
        </w:tc>
        <w:tc>
          <w:tcPr>
            <w:tcW w:w="1492" w:type="dxa"/>
            <w:shd w:val="clear" w:color="auto" w:fill="auto"/>
            <w:noWrap/>
            <w:vAlign w:val="bottom"/>
          </w:tcPr>
          <w:p w14:paraId="756F4357" w14:textId="77777777" w:rsidR="00861314" w:rsidRPr="00E6113C" w:rsidRDefault="00861314" w:rsidP="00133C7F">
            <w:pPr>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 xml:space="preserve">865.5 </w:t>
            </w:r>
          </w:p>
        </w:tc>
      </w:tr>
      <w:tr w:rsidR="00861314" w:rsidRPr="00E6113C" w14:paraId="0A4D551D" w14:textId="77777777" w:rsidTr="00133C7F">
        <w:trPr>
          <w:trHeight w:val="307"/>
        </w:trPr>
        <w:tc>
          <w:tcPr>
            <w:tcW w:w="4145" w:type="dxa"/>
            <w:shd w:val="clear" w:color="auto" w:fill="FFFFFF"/>
            <w:vAlign w:val="bottom"/>
          </w:tcPr>
          <w:p w14:paraId="24E10CEF" w14:textId="77777777" w:rsidR="00861314" w:rsidRPr="00E6113C" w:rsidRDefault="00861314" w:rsidP="00133C7F">
            <w:pPr>
              <w:rPr>
                <w:rFonts w:ascii="Calibri" w:hAnsi="Calibri" w:cs="Calibri"/>
                <w:color w:val="000000"/>
                <w:sz w:val="20"/>
                <w:szCs w:val="20"/>
                <w:lang w:eastAsia="en-IE"/>
              </w:rPr>
            </w:pPr>
            <w:r w:rsidRPr="00E6113C">
              <w:rPr>
                <w:rFonts w:ascii="Calibri" w:hAnsi="Calibri" w:cs="Calibri"/>
                <w:color w:val="000000"/>
                <w:sz w:val="20"/>
                <w:szCs w:val="20"/>
                <w:lang w:eastAsia="en-IE"/>
              </w:rPr>
              <w:t>Inter-segment revenue</w:t>
            </w:r>
          </w:p>
        </w:tc>
        <w:tc>
          <w:tcPr>
            <w:tcW w:w="1491" w:type="dxa"/>
            <w:tcBorders>
              <w:top w:val="nil"/>
              <w:left w:val="nil"/>
              <w:bottom w:val="single" w:sz="4" w:space="0" w:color="auto"/>
              <w:right w:val="nil"/>
            </w:tcBorders>
            <w:shd w:val="clear" w:color="auto" w:fill="auto"/>
            <w:noWrap/>
            <w:vAlign w:val="bottom"/>
          </w:tcPr>
          <w:p w14:paraId="68B9F0DB" w14:textId="77777777" w:rsidR="00861314" w:rsidRPr="00E6113C" w:rsidRDefault="00861314" w:rsidP="00133C7F">
            <w:pPr>
              <w:jc w:val="right"/>
              <w:rPr>
                <w:rFonts w:ascii="Calibri" w:hAnsi="Calibri" w:cs="Calibri"/>
                <w:color w:val="000000"/>
                <w:sz w:val="20"/>
                <w:szCs w:val="20"/>
              </w:rPr>
            </w:pPr>
            <w:r w:rsidRPr="00E6113C">
              <w:rPr>
                <w:rFonts w:ascii="Calibri" w:hAnsi="Calibri" w:cs="Calibri"/>
                <w:color w:val="000000"/>
                <w:sz w:val="20"/>
                <w:szCs w:val="20"/>
                <w:lang w:eastAsia="en-IE"/>
              </w:rPr>
              <w:t xml:space="preserve">190.8 </w:t>
            </w:r>
          </w:p>
        </w:tc>
        <w:tc>
          <w:tcPr>
            <w:tcW w:w="1658" w:type="dxa"/>
            <w:tcBorders>
              <w:top w:val="nil"/>
              <w:left w:val="nil"/>
              <w:bottom w:val="single" w:sz="4" w:space="0" w:color="auto"/>
              <w:right w:val="nil"/>
            </w:tcBorders>
            <w:shd w:val="clear" w:color="auto" w:fill="auto"/>
            <w:vAlign w:val="bottom"/>
          </w:tcPr>
          <w:p w14:paraId="4059FF10" w14:textId="77777777" w:rsidR="00861314" w:rsidRPr="00E6113C" w:rsidRDefault="00861314" w:rsidP="00133C7F">
            <w:pPr>
              <w:ind w:right="-45"/>
              <w:jc w:val="right"/>
              <w:rPr>
                <w:rFonts w:ascii="Calibri" w:hAnsi="Calibri" w:cs="Calibri"/>
                <w:color w:val="000000"/>
                <w:sz w:val="20"/>
                <w:szCs w:val="20"/>
              </w:rPr>
            </w:pPr>
            <w:r w:rsidRPr="00E6113C">
              <w:rPr>
                <w:rFonts w:ascii="Calibri" w:hAnsi="Calibri" w:cs="Calibri"/>
                <w:color w:val="000000"/>
                <w:sz w:val="20"/>
                <w:szCs w:val="20"/>
              </w:rPr>
              <w:t xml:space="preserve">317.9  </w:t>
            </w:r>
          </w:p>
        </w:tc>
        <w:tc>
          <w:tcPr>
            <w:tcW w:w="1492" w:type="dxa"/>
            <w:tcBorders>
              <w:top w:val="nil"/>
              <w:left w:val="nil"/>
              <w:bottom w:val="single" w:sz="4" w:space="0" w:color="auto"/>
              <w:right w:val="nil"/>
            </w:tcBorders>
            <w:shd w:val="clear" w:color="auto" w:fill="auto"/>
            <w:vAlign w:val="bottom"/>
          </w:tcPr>
          <w:p w14:paraId="579AEC2B" w14:textId="77777777" w:rsidR="00861314" w:rsidRPr="00E6113C" w:rsidRDefault="00861314" w:rsidP="00133C7F">
            <w:pPr>
              <w:jc w:val="right"/>
              <w:rPr>
                <w:rFonts w:ascii="Calibri" w:hAnsi="Calibri" w:cs="Calibri"/>
                <w:color w:val="000000"/>
                <w:sz w:val="20"/>
                <w:szCs w:val="20"/>
                <w:lang w:eastAsia="en-IE"/>
              </w:rPr>
            </w:pPr>
            <w:r w:rsidRPr="00E6113C">
              <w:rPr>
                <w:rFonts w:ascii="Calibri" w:hAnsi="Calibri" w:cs="Calibri"/>
                <w:color w:val="000000"/>
                <w:sz w:val="20"/>
                <w:szCs w:val="20"/>
              </w:rPr>
              <w:t>(508.7)</w:t>
            </w:r>
          </w:p>
        </w:tc>
        <w:tc>
          <w:tcPr>
            <w:tcW w:w="1492" w:type="dxa"/>
            <w:tcBorders>
              <w:top w:val="nil"/>
              <w:left w:val="nil"/>
              <w:bottom w:val="single" w:sz="4" w:space="0" w:color="auto"/>
              <w:right w:val="nil"/>
            </w:tcBorders>
            <w:shd w:val="clear" w:color="auto" w:fill="auto"/>
            <w:noWrap/>
            <w:vAlign w:val="bottom"/>
          </w:tcPr>
          <w:p w14:paraId="6D6301EA" w14:textId="77777777" w:rsidR="00861314" w:rsidRPr="00E6113C" w:rsidRDefault="00861314" w:rsidP="00133C7F">
            <w:pPr>
              <w:jc w:val="right"/>
              <w:rPr>
                <w:rFonts w:ascii="Calibri" w:hAnsi="Calibri" w:cs="Calibri"/>
                <w:color w:val="000000"/>
                <w:sz w:val="20"/>
                <w:szCs w:val="20"/>
                <w:lang w:eastAsia="en-IE"/>
              </w:rPr>
            </w:pPr>
            <w:r w:rsidRPr="00E6113C">
              <w:rPr>
                <w:rFonts w:ascii="Calibri" w:hAnsi="Calibri" w:cs="Calibri"/>
                <w:color w:val="000000"/>
                <w:sz w:val="20"/>
                <w:szCs w:val="20"/>
              </w:rPr>
              <w:t>-</w:t>
            </w:r>
          </w:p>
        </w:tc>
      </w:tr>
      <w:tr w:rsidR="00861314" w:rsidRPr="00E6113C" w14:paraId="50D537DA" w14:textId="77777777" w:rsidTr="00133C7F">
        <w:trPr>
          <w:trHeight w:val="307"/>
        </w:trPr>
        <w:tc>
          <w:tcPr>
            <w:tcW w:w="4145" w:type="dxa"/>
            <w:shd w:val="clear" w:color="auto" w:fill="FFFFFF"/>
            <w:vAlign w:val="bottom"/>
          </w:tcPr>
          <w:p w14:paraId="53C6EA9D" w14:textId="77777777" w:rsidR="00861314" w:rsidRPr="00E6113C" w:rsidRDefault="00861314" w:rsidP="00133C7F">
            <w:pPr>
              <w:rPr>
                <w:rFonts w:ascii="Calibri" w:hAnsi="Calibri" w:cs="Calibri"/>
                <w:color w:val="000000"/>
                <w:sz w:val="20"/>
                <w:szCs w:val="20"/>
                <w:lang w:eastAsia="en-IE"/>
              </w:rPr>
            </w:pPr>
            <w:r w:rsidRPr="00E6113C">
              <w:rPr>
                <w:rFonts w:ascii="Calibri" w:hAnsi="Calibri" w:cs="Calibri"/>
                <w:b/>
                <w:bCs/>
                <w:color w:val="000000"/>
                <w:sz w:val="20"/>
                <w:szCs w:val="20"/>
                <w:lang w:eastAsia="en-IE"/>
              </w:rPr>
              <w:t xml:space="preserve">Segment revenue                    </w:t>
            </w:r>
          </w:p>
        </w:tc>
        <w:tc>
          <w:tcPr>
            <w:tcW w:w="1491" w:type="dxa"/>
            <w:tcBorders>
              <w:top w:val="single" w:sz="4" w:space="0" w:color="auto"/>
              <w:bottom w:val="single" w:sz="12" w:space="0" w:color="auto"/>
            </w:tcBorders>
            <w:shd w:val="clear" w:color="auto" w:fill="auto"/>
            <w:noWrap/>
            <w:vAlign w:val="bottom"/>
          </w:tcPr>
          <w:p w14:paraId="112361E7" w14:textId="77777777" w:rsidR="00861314" w:rsidRPr="00E6113C" w:rsidRDefault="00861314" w:rsidP="00133C7F">
            <w:pPr>
              <w:jc w:val="right"/>
              <w:rPr>
                <w:rFonts w:ascii="Calibri" w:hAnsi="Calibri" w:cs="Calibri"/>
                <w:color w:val="000000"/>
                <w:sz w:val="20"/>
                <w:szCs w:val="20"/>
              </w:rPr>
            </w:pPr>
            <w:r w:rsidRPr="00E6113C">
              <w:rPr>
                <w:rFonts w:ascii="Calibri" w:hAnsi="Calibri" w:cs="Calibri"/>
                <w:color w:val="000000"/>
                <w:sz w:val="20"/>
                <w:szCs w:val="20"/>
                <w:lang w:eastAsia="en-IE"/>
              </w:rPr>
              <w:t xml:space="preserve">2,494.9  </w:t>
            </w:r>
          </w:p>
        </w:tc>
        <w:tc>
          <w:tcPr>
            <w:tcW w:w="1658" w:type="dxa"/>
            <w:tcBorders>
              <w:top w:val="single" w:sz="4" w:space="0" w:color="auto"/>
              <w:bottom w:val="single" w:sz="12" w:space="0" w:color="auto"/>
            </w:tcBorders>
            <w:shd w:val="clear" w:color="auto" w:fill="auto"/>
            <w:vAlign w:val="bottom"/>
          </w:tcPr>
          <w:p w14:paraId="156F9EBB" w14:textId="77777777" w:rsidR="00861314" w:rsidRPr="00E6113C" w:rsidRDefault="00861314" w:rsidP="00133C7F">
            <w:pPr>
              <w:ind w:right="-45"/>
              <w:jc w:val="right"/>
              <w:rPr>
                <w:rFonts w:ascii="Calibri" w:hAnsi="Calibri" w:cs="Calibri"/>
                <w:color w:val="000000"/>
                <w:sz w:val="20"/>
                <w:szCs w:val="20"/>
              </w:rPr>
            </w:pPr>
            <w:r w:rsidRPr="00E6113C">
              <w:rPr>
                <w:rFonts w:ascii="Calibri" w:eastAsia="Calibri" w:hAnsi="Calibri" w:cs="Calibri"/>
                <w:sz w:val="20"/>
                <w:szCs w:val="20"/>
                <w:lang w:eastAsia="en-IE"/>
              </w:rPr>
              <w:t xml:space="preserve">325.9 </w:t>
            </w:r>
          </w:p>
        </w:tc>
        <w:tc>
          <w:tcPr>
            <w:tcW w:w="1492" w:type="dxa"/>
            <w:tcBorders>
              <w:top w:val="single" w:sz="4" w:space="0" w:color="auto"/>
              <w:bottom w:val="single" w:sz="12" w:space="0" w:color="auto"/>
            </w:tcBorders>
            <w:shd w:val="clear" w:color="auto" w:fill="auto"/>
            <w:vAlign w:val="bottom"/>
          </w:tcPr>
          <w:p w14:paraId="76292E2B" w14:textId="77777777" w:rsidR="00861314" w:rsidRPr="00E6113C" w:rsidRDefault="00861314" w:rsidP="00133C7F">
            <w:pPr>
              <w:jc w:val="right"/>
              <w:rPr>
                <w:rFonts w:ascii="Calibri" w:hAnsi="Calibri" w:cs="Calibri"/>
                <w:color w:val="000000"/>
                <w:sz w:val="20"/>
                <w:szCs w:val="20"/>
              </w:rPr>
            </w:pPr>
            <w:r w:rsidRPr="00E6113C">
              <w:rPr>
                <w:rFonts w:ascii="Calibri" w:hAnsi="Calibri" w:cs="Calibri"/>
                <w:color w:val="000000"/>
                <w:sz w:val="20"/>
                <w:szCs w:val="20"/>
                <w:lang w:eastAsia="en-IE"/>
              </w:rPr>
              <w:t>(508.7)</w:t>
            </w:r>
          </w:p>
        </w:tc>
        <w:tc>
          <w:tcPr>
            <w:tcW w:w="1492" w:type="dxa"/>
            <w:tcBorders>
              <w:top w:val="single" w:sz="4" w:space="0" w:color="auto"/>
              <w:bottom w:val="single" w:sz="12" w:space="0" w:color="auto"/>
            </w:tcBorders>
            <w:shd w:val="clear" w:color="auto" w:fill="auto"/>
            <w:noWrap/>
            <w:vAlign w:val="bottom"/>
          </w:tcPr>
          <w:p w14:paraId="24DD1757" w14:textId="77777777" w:rsidR="00861314" w:rsidRPr="00E6113C" w:rsidRDefault="00861314" w:rsidP="00133C7F">
            <w:pPr>
              <w:jc w:val="right"/>
              <w:rPr>
                <w:rFonts w:ascii="Calibri" w:hAnsi="Calibri" w:cs="Calibri"/>
                <w:color w:val="000000"/>
                <w:sz w:val="20"/>
                <w:szCs w:val="20"/>
              </w:rPr>
            </w:pPr>
            <w:r w:rsidRPr="00E6113C">
              <w:rPr>
                <w:rFonts w:ascii="Calibri" w:hAnsi="Calibri" w:cs="Calibri"/>
                <w:color w:val="000000"/>
                <w:sz w:val="20"/>
                <w:szCs w:val="20"/>
                <w:lang w:eastAsia="en-IE"/>
              </w:rPr>
              <w:t xml:space="preserve">2,312.1 </w:t>
            </w:r>
          </w:p>
        </w:tc>
      </w:tr>
      <w:tr w:rsidR="00861314" w:rsidRPr="00E6113C" w14:paraId="4D7AB3C9" w14:textId="77777777" w:rsidTr="00133C7F">
        <w:trPr>
          <w:trHeight w:val="307"/>
        </w:trPr>
        <w:tc>
          <w:tcPr>
            <w:tcW w:w="4145" w:type="dxa"/>
            <w:shd w:val="clear" w:color="auto" w:fill="FFFFFF"/>
            <w:vAlign w:val="bottom"/>
          </w:tcPr>
          <w:p w14:paraId="1ECC7878" w14:textId="77777777" w:rsidR="00861314" w:rsidRPr="00E6113C" w:rsidRDefault="00861314" w:rsidP="00133C7F">
            <w:pPr>
              <w:rPr>
                <w:rFonts w:ascii="Calibri" w:hAnsi="Calibri" w:cs="Calibri"/>
                <w:b/>
                <w:bCs/>
                <w:color w:val="000000"/>
                <w:sz w:val="20"/>
                <w:szCs w:val="20"/>
                <w:lang w:eastAsia="en-IE"/>
              </w:rPr>
            </w:pPr>
          </w:p>
        </w:tc>
        <w:tc>
          <w:tcPr>
            <w:tcW w:w="1491" w:type="dxa"/>
            <w:tcBorders>
              <w:top w:val="single" w:sz="12" w:space="0" w:color="auto"/>
              <w:left w:val="nil"/>
              <w:right w:val="nil"/>
            </w:tcBorders>
            <w:shd w:val="clear" w:color="auto" w:fill="auto"/>
            <w:noWrap/>
            <w:vAlign w:val="bottom"/>
          </w:tcPr>
          <w:p w14:paraId="25365801" w14:textId="77777777" w:rsidR="00861314" w:rsidRPr="00E6113C" w:rsidRDefault="00861314" w:rsidP="00133C7F">
            <w:pPr>
              <w:jc w:val="right"/>
              <w:rPr>
                <w:rFonts w:ascii="Calibri" w:hAnsi="Calibri" w:cs="Calibri"/>
                <w:color w:val="000000"/>
                <w:sz w:val="20"/>
                <w:szCs w:val="20"/>
              </w:rPr>
            </w:pPr>
          </w:p>
        </w:tc>
        <w:tc>
          <w:tcPr>
            <w:tcW w:w="1658" w:type="dxa"/>
            <w:tcBorders>
              <w:top w:val="single" w:sz="12" w:space="0" w:color="auto"/>
              <w:left w:val="nil"/>
              <w:right w:val="nil"/>
            </w:tcBorders>
            <w:shd w:val="clear" w:color="auto" w:fill="auto"/>
            <w:vAlign w:val="bottom"/>
          </w:tcPr>
          <w:p w14:paraId="30DAF1FC" w14:textId="77777777" w:rsidR="00861314" w:rsidRPr="00E6113C" w:rsidRDefault="00861314" w:rsidP="00133C7F">
            <w:pPr>
              <w:ind w:right="-45"/>
              <w:jc w:val="right"/>
              <w:rPr>
                <w:rFonts w:ascii="Calibri" w:hAnsi="Calibri" w:cs="Calibri"/>
                <w:color w:val="000000"/>
                <w:sz w:val="20"/>
                <w:szCs w:val="20"/>
              </w:rPr>
            </w:pPr>
          </w:p>
        </w:tc>
        <w:tc>
          <w:tcPr>
            <w:tcW w:w="1492" w:type="dxa"/>
            <w:tcBorders>
              <w:top w:val="single" w:sz="12" w:space="0" w:color="auto"/>
              <w:left w:val="nil"/>
              <w:right w:val="nil"/>
            </w:tcBorders>
            <w:shd w:val="clear" w:color="auto" w:fill="auto"/>
            <w:vAlign w:val="bottom"/>
          </w:tcPr>
          <w:p w14:paraId="5A821F4C" w14:textId="77777777" w:rsidR="00861314" w:rsidRPr="00E6113C" w:rsidRDefault="00861314" w:rsidP="00133C7F">
            <w:pPr>
              <w:jc w:val="right"/>
              <w:rPr>
                <w:rFonts w:ascii="Calibri" w:hAnsi="Calibri" w:cs="Calibri"/>
                <w:sz w:val="20"/>
                <w:szCs w:val="20"/>
              </w:rPr>
            </w:pPr>
          </w:p>
        </w:tc>
        <w:tc>
          <w:tcPr>
            <w:tcW w:w="1492" w:type="dxa"/>
            <w:tcBorders>
              <w:top w:val="single" w:sz="12" w:space="0" w:color="auto"/>
              <w:left w:val="nil"/>
              <w:right w:val="nil"/>
            </w:tcBorders>
            <w:shd w:val="clear" w:color="auto" w:fill="auto"/>
            <w:noWrap/>
            <w:vAlign w:val="bottom"/>
          </w:tcPr>
          <w:p w14:paraId="4CF77CC7" w14:textId="77777777" w:rsidR="00861314" w:rsidRPr="00E6113C" w:rsidRDefault="00861314" w:rsidP="00133C7F">
            <w:pPr>
              <w:jc w:val="right"/>
              <w:rPr>
                <w:rFonts w:ascii="Calibri" w:hAnsi="Calibri" w:cs="Calibri"/>
                <w:color w:val="000000"/>
                <w:sz w:val="20"/>
                <w:szCs w:val="20"/>
              </w:rPr>
            </w:pPr>
          </w:p>
        </w:tc>
      </w:tr>
      <w:tr w:rsidR="00861314" w:rsidRPr="00E6113C" w14:paraId="54AD6ACF" w14:textId="77777777" w:rsidTr="00133C7F">
        <w:trPr>
          <w:trHeight w:val="307"/>
        </w:trPr>
        <w:tc>
          <w:tcPr>
            <w:tcW w:w="4145" w:type="dxa"/>
            <w:shd w:val="clear" w:color="auto" w:fill="FFFFFF"/>
            <w:vAlign w:val="bottom"/>
          </w:tcPr>
          <w:p w14:paraId="77500985" w14:textId="77777777" w:rsidR="00861314" w:rsidRPr="00E6113C" w:rsidRDefault="00861314" w:rsidP="00133C7F">
            <w:pPr>
              <w:rPr>
                <w:rFonts w:ascii="Calibri" w:hAnsi="Calibri" w:cs="Calibri"/>
                <w:color w:val="000000"/>
                <w:sz w:val="20"/>
                <w:szCs w:val="20"/>
                <w:lang w:eastAsia="en-IE"/>
              </w:rPr>
            </w:pPr>
            <w:r w:rsidRPr="00E6113C">
              <w:rPr>
                <w:rFonts w:ascii="Calibri" w:hAnsi="Calibri" w:cs="Calibri"/>
                <w:b/>
                <w:bCs/>
                <w:color w:val="000000"/>
                <w:sz w:val="20"/>
                <w:szCs w:val="20"/>
                <w:lang w:eastAsia="en-IE"/>
              </w:rPr>
              <w:t>Reportable segment profit after income tax (i)</w:t>
            </w:r>
          </w:p>
        </w:tc>
        <w:tc>
          <w:tcPr>
            <w:tcW w:w="1491" w:type="dxa"/>
            <w:tcBorders>
              <w:top w:val="nil"/>
              <w:left w:val="nil"/>
              <w:bottom w:val="single" w:sz="12" w:space="0" w:color="auto"/>
              <w:right w:val="nil"/>
            </w:tcBorders>
            <w:shd w:val="clear" w:color="auto" w:fill="auto"/>
            <w:noWrap/>
            <w:vAlign w:val="bottom"/>
          </w:tcPr>
          <w:p w14:paraId="548A3BE9" w14:textId="77777777" w:rsidR="00861314" w:rsidRPr="00E6113C" w:rsidRDefault="00861314" w:rsidP="00133C7F">
            <w:pPr>
              <w:jc w:val="right"/>
              <w:rPr>
                <w:rFonts w:ascii="Calibri" w:eastAsia="Calibri" w:hAnsi="Calibri" w:cs="Calibri"/>
                <w:sz w:val="20"/>
                <w:szCs w:val="20"/>
                <w:lang w:eastAsia="en-IE"/>
              </w:rPr>
            </w:pPr>
            <w:r w:rsidRPr="00E6113C">
              <w:rPr>
                <w:rFonts w:ascii="Calibri" w:hAnsi="Calibri" w:cs="Calibri"/>
                <w:color w:val="000000"/>
                <w:sz w:val="20"/>
                <w:szCs w:val="20"/>
                <w:lang w:eastAsia="en-IE"/>
              </w:rPr>
              <w:t xml:space="preserve">205.7 </w:t>
            </w:r>
          </w:p>
        </w:tc>
        <w:tc>
          <w:tcPr>
            <w:tcW w:w="1658" w:type="dxa"/>
            <w:tcBorders>
              <w:top w:val="nil"/>
              <w:left w:val="nil"/>
              <w:bottom w:val="single" w:sz="12" w:space="0" w:color="auto"/>
              <w:right w:val="nil"/>
            </w:tcBorders>
            <w:shd w:val="clear" w:color="auto" w:fill="auto"/>
            <w:vAlign w:val="bottom"/>
          </w:tcPr>
          <w:p w14:paraId="56293894" w14:textId="77777777" w:rsidR="00861314" w:rsidRPr="00E6113C" w:rsidRDefault="00861314" w:rsidP="00133C7F">
            <w:pPr>
              <w:ind w:right="-45"/>
              <w:jc w:val="right"/>
              <w:rPr>
                <w:rFonts w:ascii="Calibri" w:eastAsia="Calibri" w:hAnsi="Calibri" w:cs="Calibri"/>
                <w:sz w:val="20"/>
                <w:szCs w:val="20"/>
                <w:lang w:eastAsia="en-IE"/>
              </w:rPr>
            </w:pPr>
            <w:r w:rsidRPr="00E6113C">
              <w:rPr>
                <w:rFonts w:ascii="Calibri" w:hAnsi="Calibri" w:cs="Calibri"/>
                <w:color w:val="000000"/>
                <w:sz w:val="20"/>
                <w:szCs w:val="20"/>
              </w:rPr>
              <w:t xml:space="preserve">5.4  </w:t>
            </w:r>
          </w:p>
        </w:tc>
        <w:tc>
          <w:tcPr>
            <w:tcW w:w="1492" w:type="dxa"/>
            <w:tcBorders>
              <w:top w:val="nil"/>
              <w:left w:val="nil"/>
              <w:bottom w:val="single" w:sz="12" w:space="0" w:color="auto"/>
              <w:right w:val="nil"/>
            </w:tcBorders>
            <w:shd w:val="clear" w:color="auto" w:fill="auto"/>
            <w:vAlign w:val="bottom"/>
          </w:tcPr>
          <w:p w14:paraId="066C64EE" w14:textId="77777777" w:rsidR="00861314" w:rsidRPr="00E6113C" w:rsidRDefault="00861314" w:rsidP="00133C7F">
            <w:pPr>
              <w:jc w:val="right"/>
              <w:rPr>
                <w:rFonts w:ascii="Calibri" w:eastAsia="Calibri" w:hAnsi="Calibri" w:cs="Calibri"/>
                <w:sz w:val="20"/>
                <w:szCs w:val="20"/>
                <w:lang w:eastAsia="en-IE"/>
              </w:rPr>
            </w:pPr>
            <w:r w:rsidRPr="00E6113C">
              <w:rPr>
                <w:rFonts w:ascii="Calibri" w:hAnsi="Calibri" w:cs="Calibri"/>
                <w:sz w:val="20"/>
                <w:szCs w:val="20"/>
              </w:rPr>
              <w:t>-</w:t>
            </w:r>
          </w:p>
        </w:tc>
        <w:tc>
          <w:tcPr>
            <w:tcW w:w="1492" w:type="dxa"/>
            <w:tcBorders>
              <w:top w:val="nil"/>
              <w:left w:val="nil"/>
              <w:bottom w:val="single" w:sz="12" w:space="0" w:color="auto"/>
              <w:right w:val="nil"/>
            </w:tcBorders>
            <w:shd w:val="clear" w:color="auto" w:fill="auto"/>
            <w:noWrap/>
            <w:vAlign w:val="bottom"/>
          </w:tcPr>
          <w:p w14:paraId="0768A5CD" w14:textId="77777777" w:rsidR="00861314" w:rsidRPr="00E6113C" w:rsidRDefault="00861314" w:rsidP="00133C7F">
            <w:pPr>
              <w:jc w:val="right"/>
              <w:rPr>
                <w:rFonts w:ascii="Calibri" w:eastAsia="Calibri" w:hAnsi="Calibri" w:cs="Calibri"/>
                <w:sz w:val="20"/>
                <w:szCs w:val="20"/>
                <w:lang w:eastAsia="en-IE"/>
              </w:rPr>
            </w:pPr>
            <w:r w:rsidRPr="00E6113C">
              <w:rPr>
                <w:rFonts w:ascii="Calibri" w:hAnsi="Calibri" w:cs="Calibri"/>
                <w:color w:val="000000"/>
                <w:sz w:val="20"/>
                <w:szCs w:val="20"/>
              </w:rPr>
              <w:t xml:space="preserve">211.1 </w:t>
            </w:r>
          </w:p>
        </w:tc>
      </w:tr>
      <w:tr w:rsidR="00861314" w:rsidRPr="00E6113C" w14:paraId="2C84688D" w14:textId="77777777" w:rsidTr="00133C7F">
        <w:trPr>
          <w:trHeight w:val="307"/>
        </w:trPr>
        <w:tc>
          <w:tcPr>
            <w:tcW w:w="4145" w:type="dxa"/>
            <w:shd w:val="clear" w:color="auto" w:fill="FFFFFF"/>
            <w:vAlign w:val="bottom"/>
          </w:tcPr>
          <w:p w14:paraId="1BE77007" w14:textId="77777777" w:rsidR="00861314" w:rsidRPr="00E6113C" w:rsidRDefault="00861314" w:rsidP="00133C7F">
            <w:pPr>
              <w:rPr>
                <w:rFonts w:ascii="Calibri" w:hAnsi="Calibri" w:cs="Calibri"/>
                <w:color w:val="000000"/>
                <w:sz w:val="20"/>
                <w:szCs w:val="20"/>
                <w:lang w:eastAsia="en-IE"/>
              </w:rPr>
            </w:pPr>
            <w:r w:rsidRPr="00E6113C">
              <w:rPr>
                <w:rFonts w:ascii="Calibri" w:hAnsi="Calibri" w:cs="Calibri"/>
                <w:color w:val="000000"/>
                <w:sz w:val="20"/>
                <w:szCs w:val="20"/>
                <w:lang w:eastAsia="en-IE"/>
              </w:rPr>
              <w:t> </w:t>
            </w:r>
          </w:p>
        </w:tc>
        <w:tc>
          <w:tcPr>
            <w:tcW w:w="1491" w:type="dxa"/>
            <w:tcBorders>
              <w:top w:val="single" w:sz="12" w:space="0" w:color="auto"/>
            </w:tcBorders>
            <w:shd w:val="clear" w:color="auto" w:fill="auto"/>
            <w:noWrap/>
            <w:vAlign w:val="bottom"/>
          </w:tcPr>
          <w:p w14:paraId="18C17471" w14:textId="77777777" w:rsidR="00861314" w:rsidRPr="00E6113C" w:rsidRDefault="00861314" w:rsidP="00133C7F">
            <w:pPr>
              <w:jc w:val="right"/>
              <w:rPr>
                <w:rFonts w:ascii="Calibri" w:hAnsi="Calibri" w:cs="Calibri"/>
                <w:color w:val="000000"/>
                <w:sz w:val="20"/>
                <w:szCs w:val="20"/>
              </w:rPr>
            </w:pPr>
          </w:p>
        </w:tc>
        <w:tc>
          <w:tcPr>
            <w:tcW w:w="1658" w:type="dxa"/>
            <w:tcBorders>
              <w:top w:val="single" w:sz="12" w:space="0" w:color="auto"/>
            </w:tcBorders>
            <w:shd w:val="clear" w:color="auto" w:fill="auto"/>
            <w:vAlign w:val="bottom"/>
          </w:tcPr>
          <w:p w14:paraId="509CD9DB" w14:textId="77777777" w:rsidR="00861314" w:rsidRPr="00E6113C" w:rsidRDefault="00861314" w:rsidP="00133C7F">
            <w:pPr>
              <w:ind w:right="-45"/>
              <w:jc w:val="right"/>
              <w:rPr>
                <w:rFonts w:ascii="Calibri" w:hAnsi="Calibri" w:cs="Calibri"/>
                <w:color w:val="000000"/>
                <w:sz w:val="20"/>
                <w:szCs w:val="20"/>
              </w:rPr>
            </w:pPr>
          </w:p>
        </w:tc>
        <w:tc>
          <w:tcPr>
            <w:tcW w:w="1492" w:type="dxa"/>
            <w:tcBorders>
              <w:top w:val="single" w:sz="12" w:space="0" w:color="auto"/>
            </w:tcBorders>
            <w:shd w:val="clear" w:color="auto" w:fill="auto"/>
            <w:vAlign w:val="bottom"/>
          </w:tcPr>
          <w:p w14:paraId="2C5E995A" w14:textId="77777777" w:rsidR="00861314" w:rsidRPr="00E6113C" w:rsidRDefault="00861314" w:rsidP="00133C7F">
            <w:pPr>
              <w:jc w:val="right"/>
              <w:rPr>
                <w:rFonts w:ascii="Calibri" w:hAnsi="Calibri" w:cs="Calibri"/>
                <w:color w:val="000000"/>
                <w:sz w:val="20"/>
                <w:szCs w:val="20"/>
              </w:rPr>
            </w:pPr>
          </w:p>
        </w:tc>
        <w:tc>
          <w:tcPr>
            <w:tcW w:w="1492" w:type="dxa"/>
            <w:tcBorders>
              <w:top w:val="single" w:sz="12" w:space="0" w:color="auto"/>
            </w:tcBorders>
            <w:shd w:val="clear" w:color="auto" w:fill="auto"/>
            <w:noWrap/>
            <w:vAlign w:val="bottom"/>
          </w:tcPr>
          <w:p w14:paraId="442DCFA9" w14:textId="77777777" w:rsidR="00861314" w:rsidRPr="00E6113C" w:rsidRDefault="00861314" w:rsidP="00133C7F">
            <w:pPr>
              <w:jc w:val="right"/>
              <w:rPr>
                <w:rFonts w:ascii="Calibri" w:hAnsi="Calibri" w:cs="Calibri"/>
                <w:color w:val="000000"/>
                <w:sz w:val="20"/>
                <w:szCs w:val="20"/>
              </w:rPr>
            </w:pPr>
          </w:p>
        </w:tc>
      </w:tr>
      <w:tr w:rsidR="00861314" w:rsidRPr="00E6113C" w14:paraId="401C7F40" w14:textId="77777777" w:rsidTr="00133C7F">
        <w:trPr>
          <w:trHeight w:val="307"/>
        </w:trPr>
        <w:tc>
          <w:tcPr>
            <w:tcW w:w="4145" w:type="dxa"/>
            <w:shd w:val="clear" w:color="auto" w:fill="FFFFFF"/>
            <w:vAlign w:val="bottom"/>
          </w:tcPr>
          <w:p w14:paraId="6EABC11C" w14:textId="77777777" w:rsidR="00861314" w:rsidRPr="00E6113C" w:rsidRDefault="00861314" w:rsidP="00133C7F">
            <w:pPr>
              <w:rPr>
                <w:rFonts w:ascii="Calibri" w:hAnsi="Calibri" w:cs="Calibri"/>
                <w:color w:val="000000"/>
                <w:sz w:val="20"/>
                <w:szCs w:val="20"/>
                <w:lang w:eastAsia="en-IE"/>
              </w:rPr>
            </w:pPr>
            <w:r w:rsidRPr="00E6113C">
              <w:rPr>
                <w:rFonts w:ascii="Calibri" w:hAnsi="Calibri" w:cs="Calibri"/>
                <w:b/>
                <w:bCs/>
                <w:color w:val="000000"/>
                <w:sz w:val="20"/>
                <w:szCs w:val="20"/>
                <w:lang w:eastAsia="en-IE"/>
              </w:rPr>
              <w:t xml:space="preserve">Other segment information: </w:t>
            </w:r>
          </w:p>
        </w:tc>
        <w:tc>
          <w:tcPr>
            <w:tcW w:w="1491" w:type="dxa"/>
            <w:shd w:val="clear" w:color="auto" w:fill="auto"/>
            <w:noWrap/>
            <w:vAlign w:val="bottom"/>
          </w:tcPr>
          <w:p w14:paraId="4E1C51D9" w14:textId="77777777" w:rsidR="00861314" w:rsidRPr="00E6113C" w:rsidRDefault="00861314" w:rsidP="00133C7F">
            <w:pPr>
              <w:jc w:val="right"/>
              <w:rPr>
                <w:rFonts w:ascii="Calibri" w:hAnsi="Calibri" w:cs="Calibri"/>
                <w:color w:val="000000"/>
                <w:sz w:val="20"/>
                <w:szCs w:val="20"/>
              </w:rPr>
            </w:pPr>
          </w:p>
        </w:tc>
        <w:tc>
          <w:tcPr>
            <w:tcW w:w="1658" w:type="dxa"/>
            <w:shd w:val="clear" w:color="auto" w:fill="auto"/>
            <w:vAlign w:val="bottom"/>
          </w:tcPr>
          <w:p w14:paraId="2F7CC348" w14:textId="77777777" w:rsidR="00861314" w:rsidRPr="00E6113C" w:rsidRDefault="00861314" w:rsidP="00133C7F">
            <w:pPr>
              <w:ind w:right="-45"/>
              <w:jc w:val="right"/>
              <w:rPr>
                <w:rFonts w:ascii="Calibri" w:hAnsi="Calibri" w:cs="Calibri"/>
                <w:color w:val="000000"/>
                <w:sz w:val="20"/>
                <w:szCs w:val="20"/>
              </w:rPr>
            </w:pPr>
          </w:p>
        </w:tc>
        <w:tc>
          <w:tcPr>
            <w:tcW w:w="1492" w:type="dxa"/>
            <w:shd w:val="clear" w:color="auto" w:fill="auto"/>
            <w:vAlign w:val="bottom"/>
          </w:tcPr>
          <w:p w14:paraId="605C65A4" w14:textId="77777777" w:rsidR="00861314" w:rsidRPr="00E6113C" w:rsidRDefault="00861314" w:rsidP="00133C7F">
            <w:pPr>
              <w:jc w:val="right"/>
              <w:rPr>
                <w:rFonts w:ascii="Calibri" w:hAnsi="Calibri" w:cs="Calibri"/>
                <w:color w:val="000000"/>
                <w:sz w:val="20"/>
                <w:szCs w:val="20"/>
              </w:rPr>
            </w:pPr>
          </w:p>
        </w:tc>
        <w:tc>
          <w:tcPr>
            <w:tcW w:w="1492" w:type="dxa"/>
            <w:shd w:val="clear" w:color="auto" w:fill="auto"/>
            <w:noWrap/>
            <w:vAlign w:val="bottom"/>
          </w:tcPr>
          <w:p w14:paraId="53B41F2A" w14:textId="77777777" w:rsidR="00861314" w:rsidRPr="00E6113C" w:rsidRDefault="00861314" w:rsidP="00133C7F">
            <w:pPr>
              <w:jc w:val="right"/>
              <w:rPr>
                <w:rFonts w:ascii="Calibri" w:hAnsi="Calibri" w:cs="Calibri"/>
                <w:color w:val="000000"/>
                <w:sz w:val="20"/>
                <w:szCs w:val="20"/>
              </w:rPr>
            </w:pPr>
          </w:p>
        </w:tc>
      </w:tr>
      <w:tr w:rsidR="00861314" w:rsidRPr="00E6113C" w14:paraId="1436726B" w14:textId="77777777" w:rsidTr="00133C7F">
        <w:trPr>
          <w:trHeight w:val="307"/>
        </w:trPr>
        <w:tc>
          <w:tcPr>
            <w:tcW w:w="4145" w:type="dxa"/>
            <w:shd w:val="clear" w:color="auto" w:fill="FFFFFF"/>
            <w:vAlign w:val="bottom"/>
          </w:tcPr>
          <w:p w14:paraId="204A90CB" w14:textId="77777777" w:rsidR="00861314" w:rsidRPr="00E6113C" w:rsidRDefault="00861314" w:rsidP="00133C7F">
            <w:pPr>
              <w:rPr>
                <w:rFonts w:ascii="Calibri" w:hAnsi="Calibri" w:cs="Calibri"/>
                <w:color w:val="000000"/>
                <w:sz w:val="20"/>
                <w:szCs w:val="20"/>
                <w:lang w:eastAsia="en-IE"/>
              </w:rPr>
            </w:pPr>
            <w:r w:rsidRPr="00E6113C">
              <w:rPr>
                <w:rFonts w:ascii="Calibri" w:hAnsi="Calibri" w:cs="Calibri"/>
                <w:color w:val="000000"/>
                <w:sz w:val="20"/>
                <w:szCs w:val="20"/>
                <w:lang w:eastAsia="en-IE"/>
              </w:rPr>
              <w:t>Depreciation</w:t>
            </w:r>
          </w:p>
        </w:tc>
        <w:tc>
          <w:tcPr>
            <w:tcW w:w="1491" w:type="dxa"/>
            <w:tcBorders>
              <w:top w:val="nil"/>
              <w:left w:val="nil"/>
              <w:right w:val="nil"/>
            </w:tcBorders>
            <w:shd w:val="clear" w:color="auto" w:fill="auto"/>
            <w:noWrap/>
            <w:vAlign w:val="bottom"/>
          </w:tcPr>
          <w:p w14:paraId="67A18DB7" w14:textId="77777777" w:rsidR="00861314" w:rsidRPr="00E6113C" w:rsidRDefault="00861314" w:rsidP="00133C7F">
            <w:pPr>
              <w:jc w:val="right"/>
              <w:rPr>
                <w:rFonts w:ascii="Calibri" w:hAnsi="Calibri" w:cs="Calibri"/>
                <w:color w:val="000000"/>
                <w:sz w:val="20"/>
                <w:szCs w:val="20"/>
              </w:rPr>
            </w:pPr>
            <w:r w:rsidRPr="00E6113C">
              <w:rPr>
                <w:rFonts w:ascii="Calibri" w:hAnsi="Calibri" w:cs="Calibri"/>
                <w:color w:val="000000"/>
                <w:sz w:val="20"/>
                <w:szCs w:val="20"/>
                <w:lang w:eastAsia="en-IE"/>
              </w:rPr>
              <w:t>(202.0)</w:t>
            </w:r>
          </w:p>
        </w:tc>
        <w:tc>
          <w:tcPr>
            <w:tcW w:w="1658" w:type="dxa"/>
            <w:tcBorders>
              <w:top w:val="nil"/>
              <w:left w:val="nil"/>
              <w:right w:val="nil"/>
            </w:tcBorders>
            <w:shd w:val="clear" w:color="auto" w:fill="auto"/>
            <w:vAlign w:val="bottom"/>
          </w:tcPr>
          <w:p w14:paraId="3BC69ABE" w14:textId="77777777" w:rsidR="00861314" w:rsidRPr="00E6113C" w:rsidRDefault="00861314" w:rsidP="00133C7F">
            <w:pPr>
              <w:ind w:right="-45"/>
              <w:jc w:val="right"/>
              <w:rPr>
                <w:rFonts w:ascii="Calibri" w:hAnsi="Calibri" w:cs="Calibri"/>
                <w:color w:val="000000"/>
                <w:sz w:val="20"/>
                <w:szCs w:val="20"/>
              </w:rPr>
            </w:pPr>
            <w:r w:rsidRPr="00E6113C">
              <w:rPr>
                <w:rFonts w:ascii="Calibri" w:hAnsi="Calibri" w:cs="Calibri"/>
                <w:color w:val="000000"/>
                <w:sz w:val="20"/>
                <w:szCs w:val="20"/>
              </w:rPr>
              <w:t xml:space="preserve">(10.7) </w:t>
            </w:r>
          </w:p>
        </w:tc>
        <w:tc>
          <w:tcPr>
            <w:tcW w:w="1492" w:type="dxa"/>
            <w:tcBorders>
              <w:top w:val="nil"/>
              <w:left w:val="nil"/>
              <w:right w:val="nil"/>
            </w:tcBorders>
            <w:shd w:val="clear" w:color="auto" w:fill="auto"/>
            <w:vAlign w:val="bottom"/>
          </w:tcPr>
          <w:p w14:paraId="4D2B4F21" w14:textId="77777777" w:rsidR="00861314" w:rsidRPr="00E6113C" w:rsidRDefault="00861314" w:rsidP="00133C7F">
            <w:pPr>
              <w:jc w:val="right"/>
              <w:rPr>
                <w:rFonts w:ascii="Calibri" w:hAnsi="Calibri" w:cs="Calibri"/>
                <w:color w:val="000000"/>
                <w:sz w:val="20"/>
                <w:szCs w:val="20"/>
              </w:rPr>
            </w:pPr>
            <w:r w:rsidRPr="00E6113C">
              <w:rPr>
                <w:rFonts w:ascii="Calibri" w:hAnsi="Calibri" w:cs="Calibri"/>
                <w:color w:val="000000"/>
                <w:sz w:val="20"/>
                <w:szCs w:val="20"/>
              </w:rPr>
              <w:t>-</w:t>
            </w:r>
          </w:p>
        </w:tc>
        <w:tc>
          <w:tcPr>
            <w:tcW w:w="1492" w:type="dxa"/>
            <w:tcBorders>
              <w:top w:val="nil"/>
              <w:left w:val="nil"/>
              <w:right w:val="nil"/>
            </w:tcBorders>
            <w:shd w:val="clear" w:color="auto" w:fill="auto"/>
            <w:noWrap/>
            <w:vAlign w:val="bottom"/>
          </w:tcPr>
          <w:p w14:paraId="1187723E" w14:textId="77777777" w:rsidR="00861314" w:rsidRPr="00E6113C" w:rsidRDefault="00861314" w:rsidP="00133C7F">
            <w:pPr>
              <w:jc w:val="right"/>
              <w:rPr>
                <w:rFonts w:ascii="Calibri" w:hAnsi="Calibri" w:cs="Calibri"/>
                <w:color w:val="000000"/>
                <w:sz w:val="20"/>
                <w:szCs w:val="20"/>
              </w:rPr>
            </w:pPr>
            <w:r w:rsidRPr="00E6113C">
              <w:rPr>
                <w:rFonts w:ascii="Calibri" w:hAnsi="Calibri" w:cs="Calibri"/>
                <w:color w:val="000000"/>
                <w:sz w:val="20"/>
                <w:szCs w:val="20"/>
              </w:rPr>
              <w:t xml:space="preserve"> (212.7) </w:t>
            </w:r>
          </w:p>
        </w:tc>
      </w:tr>
      <w:tr w:rsidR="00861314" w:rsidRPr="00E6113C" w14:paraId="35E785B7" w14:textId="77777777" w:rsidTr="00133C7F">
        <w:trPr>
          <w:trHeight w:val="307"/>
        </w:trPr>
        <w:tc>
          <w:tcPr>
            <w:tcW w:w="4145" w:type="dxa"/>
            <w:shd w:val="clear" w:color="auto" w:fill="FFFFFF"/>
            <w:vAlign w:val="bottom"/>
          </w:tcPr>
          <w:p w14:paraId="07D027B3" w14:textId="77777777" w:rsidR="00861314" w:rsidRPr="00E6113C" w:rsidRDefault="00861314" w:rsidP="00133C7F">
            <w:pPr>
              <w:rPr>
                <w:rFonts w:ascii="Calibri" w:hAnsi="Calibri" w:cs="Calibri"/>
                <w:color w:val="000000"/>
                <w:sz w:val="20"/>
                <w:szCs w:val="20"/>
                <w:lang w:eastAsia="en-IE"/>
              </w:rPr>
            </w:pPr>
            <w:r w:rsidRPr="00E6113C">
              <w:rPr>
                <w:rFonts w:ascii="Calibri" w:hAnsi="Calibri" w:cs="Calibri"/>
                <w:color w:val="000000"/>
                <w:sz w:val="20"/>
                <w:szCs w:val="20"/>
                <w:lang w:eastAsia="en-IE"/>
              </w:rPr>
              <w:t>Net finance expense</w:t>
            </w:r>
          </w:p>
        </w:tc>
        <w:tc>
          <w:tcPr>
            <w:tcW w:w="1491" w:type="dxa"/>
            <w:tcBorders>
              <w:top w:val="nil"/>
              <w:left w:val="nil"/>
              <w:right w:val="nil"/>
            </w:tcBorders>
            <w:shd w:val="clear" w:color="auto" w:fill="auto"/>
            <w:noWrap/>
            <w:vAlign w:val="bottom"/>
          </w:tcPr>
          <w:p w14:paraId="578FB3AD" w14:textId="77777777" w:rsidR="00861314" w:rsidRPr="00E6113C" w:rsidRDefault="00861314" w:rsidP="00133C7F">
            <w:pPr>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 xml:space="preserve">(3.6) </w:t>
            </w:r>
          </w:p>
        </w:tc>
        <w:tc>
          <w:tcPr>
            <w:tcW w:w="1658" w:type="dxa"/>
            <w:tcBorders>
              <w:top w:val="nil"/>
              <w:left w:val="nil"/>
              <w:right w:val="nil"/>
            </w:tcBorders>
            <w:shd w:val="clear" w:color="auto" w:fill="auto"/>
            <w:vAlign w:val="bottom"/>
          </w:tcPr>
          <w:p w14:paraId="3EECCFC9" w14:textId="77777777" w:rsidR="00861314" w:rsidRPr="00E6113C" w:rsidRDefault="00861314" w:rsidP="00133C7F">
            <w:pPr>
              <w:ind w:right="-45"/>
              <w:jc w:val="right"/>
              <w:rPr>
                <w:rFonts w:ascii="Calibri" w:hAnsi="Calibri" w:cs="Calibri"/>
                <w:color w:val="000000"/>
                <w:sz w:val="20"/>
                <w:szCs w:val="20"/>
              </w:rPr>
            </w:pPr>
            <w:r w:rsidRPr="00E6113C">
              <w:rPr>
                <w:rFonts w:ascii="Calibri" w:hAnsi="Calibri" w:cs="Calibri"/>
                <w:sz w:val="20"/>
                <w:szCs w:val="20"/>
              </w:rPr>
              <w:t xml:space="preserve">(2.3) </w:t>
            </w:r>
          </w:p>
        </w:tc>
        <w:tc>
          <w:tcPr>
            <w:tcW w:w="1492" w:type="dxa"/>
            <w:tcBorders>
              <w:top w:val="nil"/>
              <w:left w:val="nil"/>
              <w:right w:val="nil"/>
            </w:tcBorders>
            <w:shd w:val="clear" w:color="auto" w:fill="auto"/>
            <w:vAlign w:val="bottom"/>
          </w:tcPr>
          <w:p w14:paraId="1DEC26FE" w14:textId="77777777" w:rsidR="00861314" w:rsidRPr="00E6113C" w:rsidRDefault="00861314" w:rsidP="00133C7F">
            <w:pPr>
              <w:jc w:val="right"/>
              <w:rPr>
                <w:rFonts w:ascii="Calibri" w:hAnsi="Calibri" w:cs="Calibri"/>
                <w:color w:val="000000"/>
                <w:sz w:val="20"/>
                <w:szCs w:val="20"/>
              </w:rPr>
            </w:pPr>
            <w:r w:rsidRPr="00E6113C">
              <w:rPr>
                <w:rFonts w:ascii="Calibri" w:eastAsia="Calibri" w:hAnsi="Calibri" w:cs="Calibri"/>
                <w:sz w:val="20"/>
                <w:szCs w:val="20"/>
                <w:lang w:eastAsia="en-IE"/>
              </w:rPr>
              <w:t>-</w:t>
            </w:r>
          </w:p>
        </w:tc>
        <w:tc>
          <w:tcPr>
            <w:tcW w:w="1492" w:type="dxa"/>
            <w:tcBorders>
              <w:top w:val="nil"/>
              <w:left w:val="nil"/>
              <w:right w:val="nil"/>
            </w:tcBorders>
            <w:shd w:val="clear" w:color="auto" w:fill="auto"/>
            <w:noWrap/>
            <w:vAlign w:val="bottom"/>
          </w:tcPr>
          <w:p w14:paraId="07A09101" w14:textId="77777777" w:rsidR="00861314" w:rsidRPr="00E6113C" w:rsidRDefault="00861314" w:rsidP="00133C7F">
            <w:pPr>
              <w:jc w:val="right"/>
              <w:rPr>
                <w:rFonts w:ascii="Calibri" w:hAnsi="Calibri" w:cs="Calibri"/>
                <w:color w:val="000000"/>
                <w:sz w:val="20"/>
                <w:szCs w:val="20"/>
              </w:rPr>
            </w:pPr>
            <w:r w:rsidRPr="00E6113C">
              <w:rPr>
                <w:rFonts w:ascii="Calibri" w:eastAsia="Calibri" w:hAnsi="Calibri" w:cs="Calibri"/>
                <w:sz w:val="20"/>
                <w:szCs w:val="20"/>
                <w:lang w:eastAsia="en-IE"/>
              </w:rPr>
              <w:t xml:space="preserve">(5.9) </w:t>
            </w:r>
          </w:p>
        </w:tc>
      </w:tr>
      <w:tr w:rsidR="00861314" w:rsidRPr="00E6113C" w14:paraId="26C00AD1" w14:textId="77777777" w:rsidTr="00133C7F">
        <w:trPr>
          <w:trHeight w:val="307"/>
        </w:trPr>
        <w:tc>
          <w:tcPr>
            <w:tcW w:w="4145" w:type="dxa"/>
            <w:shd w:val="clear" w:color="auto" w:fill="FFFFFF"/>
            <w:vAlign w:val="bottom"/>
          </w:tcPr>
          <w:p w14:paraId="0E0199B8" w14:textId="77777777" w:rsidR="00861314" w:rsidRPr="00E6113C" w:rsidRDefault="00861314" w:rsidP="00133C7F">
            <w:pPr>
              <w:rPr>
                <w:rFonts w:ascii="Calibri" w:hAnsi="Calibri" w:cs="Calibri"/>
                <w:color w:val="000000"/>
                <w:sz w:val="20"/>
                <w:szCs w:val="20"/>
                <w:lang w:eastAsia="en-IE"/>
              </w:rPr>
            </w:pPr>
            <w:r w:rsidRPr="00E6113C">
              <w:rPr>
                <w:rFonts w:ascii="Calibri" w:hAnsi="Calibri" w:cs="Calibri"/>
                <w:color w:val="000000"/>
                <w:sz w:val="20"/>
                <w:szCs w:val="20"/>
                <w:lang w:eastAsia="en-IE"/>
              </w:rPr>
              <w:t>Capital expenditure</w:t>
            </w:r>
          </w:p>
        </w:tc>
        <w:tc>
          <w:tcPr>
            <w:tcW w:w="1491" w:type="dxa"/>
            <w:tcBorders>
              <w:left w:val="nil"/>
              <w:right w:val="nil"/>
            </w:tcBorders>
            <w:shd w:val="clear" w:color="auto" w:fill="auto"/>
            <w:noWrap/>
            <w:vAlign w:val="bottom"/>
          </w:tcPr>
          <w:p w14:paraId="6E72F252" w14:textId="77777777" w:rsidR="00861314" w:rsidRPr="00E6113C" w:rsidRDefault="00861314" w:rsidP="00133C7F">
            <w:pPr>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 xml:space="preserve">(583.7) </w:t>
            </w:r>
          </w:p>
        </w:tc>
        <w:tc>
          <w:tcPr>
            <w:tcW w:w="1658" w:type="dxa"/>
            <w:tcBorders>
              <w:left w:val="nil"/>
              <w:right w:val="nil"/>
            </w:tcBorders>
            <w:shd w:val="clear" w:color="auto" w:fill="auto"/>
            <w:vAlign w:val="bottom"/>
          </w:tcPr>
          <w:p w14:paraId="4AC722C2" w14:textId="77777777" w:rsidR="00861314" w:rsidRPr="00E6113C" w:rsidRDefault="00861314" w:rsidP="00133C7F">
            <w:pPr>
              <w:ind w:right="-45"/>
              <w:jc w:val="right"/>
              <w:rPr>
                <w:rFonts w:ascii="Calibri" w:hAnsi="Calibri" w:cs="Calibri"/>
                <w:color w:val="000000"/>
                <w:sz w:val="20"/>
                <w:szCs w:val="20"/>
              </w:rPr>
            </w:pPr>
            <w:r w:rsidRPr="00E6113C">
              <w:rPr>
                <w:rFonts w:ascii="Calibri" w:hAnsi="Calibri" w:cs="Calibri"/>
                <w:sz w:val="20"/>
                <w:szCs w:val="20"/>
              </w:rPr>
              <w:t xml:space="preserve">- </w:t>
            </w:r>
          </w:p>
        </w:tc>
        <w:tc>
          <w:tcPr>
            <w:tcW w:w="1492" w:type="dxa"/>
            <w:tcBorders>
              <w:left w:val="nil"/>
              <w:right w:val="nil"/>
            </w:tcBorders>
            <w:shd w:val="clear" w:color="auto" w:fill="auto"/>
            <w:vAlign w:val="bottom"/>
          </w:tcPr>
          <w:p w14:paraId="548D46C4" w14:textId="77777777" w:rsidR="00861314" w:rsidRPr="00E6113C" w:rsidRDefault="00861314" w:rsidP="00133C7F">
            <w:pPr>
              <w:jc w:val="right"/>
              <w:rPr>
                <w:rFonts w:ascii="Calibri" w:hAnsi="Calibri" w:cs="Calibri"/>
                <w:color w:val="000000"/>
                <w:sz w:val="20"/>
                <w:szCs w:val="20"/>
              </w:rPr>
            </w:pPr>
            <w:r w:rsidRPr="00E6113C">
              <w:rPr>
                <w:rFonts w:ascii="Calibri" w:eastAsia="Calibri" w:hAnsi="Calibri" w:cs="Calibri"/>
                <w:sz w:val="20"/>
                <w:szCs w:val="20"/>
                <w:lang w:eastAsia="en-IE"/>
              </w:rPr>
              <w:t>-</w:t>
            </w:r>
          </w:p>
        </w:tc>
        <w:tc>
          <w:tcPr>
            <w:tcW w:w="1492" w:type="dxa"/>
            <w:tcBorders>
              <w:left w:val="nil"/>
              <w:right w:val="nil"/>
            </w:tcBorders>
            <w:shd w:val="clear" w:color="auto" w:fill="auto"/>
            <w:noWrap/>
            <w:vAlign w:val="bottom"/>
          </w:tcPr>
          <w:p w14:paraId="4AE0A252" w14:textId="77777777" w:rsidR="00861314" w:rsidRPr="00E6113C" w:rsidRDefault="00861314" w:rsidP="00133C7F">
            <w:pPr>
              <w:jc w:val="right"/>
              <w:rPr>
                <w:rFonts w:ascii="Calibri" w:hAnsi="Calibri" w:cs="Calibri"/>
                <w:color w:val="000000"/>
                <w:sz w:val="20"/>
                <w:szCs w:val="20"/>
              </w:rPr>
            </w:pPr>
            <w:r w:rsidRPr="00E6113C">
              <w:rPr>
                <w:rFonts w:ascii="Calibri" w:eastAsia="Calibri" w:hAnsi="Calibri" w:cs="Calibri"/>
                <w:sz w:val="20"/>
                <w:szCs w:val="20"/>
                <w:lang w:eastAsia="en-IE"/>
              </w:rPr>
              <w:t>(583.7)</w:t>
            </w:r>
          </w:p>
        </w:tc>
      </w:tr>
      <w:tr w:rsidR="00861314" w:rsidRPr="00E6113C" w14:paraId="21919807" w14:textId="77777777" w:rsidTr="00133C7F">
        <w:trPr>
          <w:trHeight w:val="307"/>
        </w:trPr>
        <w:tc>
          <w:tcPr>
            <w:tcW w:w="4145" w:type="dxa"/>
            <w:shd w:val="clear" w:color="auto" w:fill="FFFFFF"/>
            <w:vAlign w:val="bottom"/>
          </w:tcPr>
          <w:p w14:paraId="306BC466" w14:textId="77777777" w:rsidR="00861314" w:rsidRPr="00E6113C" w:rsidRDefault="00861314" w:rsidP="00133C7F">
            <w:pPr>
              <w:rPr>
                <w:rFonts w:ascii="Calibri" w:hAnsi="Calibri" w:cs="Calibri"/>
                <w:color w:val="000000"/>
                <w:sz w:val="20"/>
                <w:szCs w:val="20"/>
                <w:lang w:eastAsia="en-IE"/>
              </w:rPr>
            </w:pPr>
            <w:r w:rsidRPr="00E6113C">
              <w:rPr>
                <w:rFonts w:ascii="Calibri" w:hAnsi="Calibri" w:cs="Calibri"/>
                <w:color w:val="000000"/>
                <w:sz w:val="20"/>
                <w:szCs w:val="20"/>
                <w:lang w:eastAsia="en-IE"/>
              </w:rPr>
              <w:t> </w:t>
            </w:r>
          </w:p>
        </w:tc>
        <w:tc>
          <w:tcPr>
            <w:tcW w:w="1491" w:type="dxa"/>
            <w:tcBorders>
              <w:left w:val="nil"/>
              <w:right w:val="nil"/>
            </w:tcBorders>
            <w:shd w:val="clear" w:color="auto" w:fill="auto"/>
            <w:noWrap/>
            <w:vAlign w:val="bottom"/>
          </w:tcPr>
          <w:p w14:paraId="315A5A0B" w14:textId="77777777" w:rsidR="00861314" w:rsidRPr="00E6113C" w:rsidRDefault="00861314" w:rsidP="00133C7F">
            <w:pPr>
              <w:jc w:val="right"/>
              <w:rPr>
                <w:rFonts w:ascii="Calibri" w:hAnsi="Calibri" w:cs="Calibri"/>
                <w:color w:val="000000"/>
                <w:sz w:val="20"/>
                <w:szCs w:val="20"/>
                <w:lang w:eastAsia="en-IE"/>
              </w:rPr>
            </w:pPr>
          </w:p>
        </w:tc>
        <w:tc>
          <w:tcPr>
            <w:tcW w:w="1658" w:type="dxa"/>
            <w:tcBorders>
              <w:left w:val="nil"/>
              <w:right w:val="nil"/>
            </w:tcBorders>
            <w:shd w:val="clear" w:color="auto" w:fill="auto"/>
            <w:vAlign w:val="bottom"/>
          </w:tcPr>
          <w:p w14:paraId="723D1B6E" w14:textId="77777777" w:rsidR="00861314" w:rsidRPr="00E6113C" w:rsidRDefault="00861314" w:rsidP="00133C7F">
            <w:pPr>
              <w:ind w:right="-45"/>
              <w:jc w:val="right"/>
              <w:rPr>
                <w:rFonts w:ascii="Calibri" w:hAnsi="Calibri" w:cs="Calibri"/>
                <w:color w:val="000000"/>
                <w:sz w:val="20"/>
                <w:szCs w:val="20"/>
                <w:lang w:eastAsia="en-IE"/>
              </w:rPr>
            </w:pPr>
          </w:p>
        </w:tc>
        <w:tc>
          <w:tcPr>
            <w:tcW w:w="1492" w:type="dxa"/>
            <w:tcBorders>
              <w:left w:val="nil"/>
              <w:right w:val="nil"/>
            </w:tcBorders>
            <w:shd w:val="clear" w:color="auto" w:fill="auto"/>
            <w:vAlign w:val="bottom"/>
          </w:tcPr>
          <w:p w14:paraId="2D523715" w14:textId="77777777" w:rsidR="00861314" w:rsidRPr="00E6113C" w:rsidRDefault="00861314" w:rsidP="00133C7F">
            <w:pPr>
              <w:ind w:left="-245"/>
              <w:jc w:val="right"/>
              <w:rPr>
                <w:rFonts w:ascii="Calibri" w:hAnsi="Calibri" w:cs="Calibri"/>
                <w:color w:val="000000"/>
                <w:sz w:val="20"/>
                <w:szCs w:val="20"/>
                <w:lang w:eastAsia="en-IE"/>
              </w:rPr>
            </w:pPr>
          </w:p>
        </w:tc>
        <w:tc>
          <w:tcPr>
            <w:tcW w:w="1492" w:type="dxa"/>
            <w:tcBorders>
              <w:left w:val="nil"/>
              <w:right w:val="nil"/>
            </w:tcBorders>
            <w:shd w:val="clear" w:color="auto" w:fill="auto"/>
            <w:noWrap/>
            <w:vAlign w:val="bottom"/>
          </w:tcPr>
          <w:p w14:paraId="4617FEAA" w14:textId="77777777" w:rsidR="00861314" w:rsidRPr="00E6113C" w:rsidRDefault="00861314" w:rsidP="00133C7F">
            <w:pPr>
              <w:jc w:val="right"/>
              <w:rPr>
                <w:rFonts w:ascii="Calibri" w:hAnsi="Calibri" w:cs="Calibri"/>
                <w:color w:val="000000"/>
                <w:sz w:val="20"/>
                <w:szCs w:val="20"/>
                <w:lang w:eastAsia="en-IE"/>
              </w:rPr>
            </w:pPr>
          </w:p>
        </w:tc>
      </w:tr>
      <w:tr w:rsidR="00861314" w:rsidRPr="00E6113C" w14:paraId="5FA094F1" w14:textId="77777777" w:rsidTr="00133C7F">
        <w:trPr>
          <w:trHeight w:val="307"/>
        </w:trPr>
        <w:tc>
          <w:tcPr>
            <w:tcW w:w="4145" w:type="dxa"/>
            <w:shd w:val="clear" w:color="auto" w:fill="FFFFFF"/>
            <w:vAlign w:val="bottom"/>
          </w:tcPr>
          <w:p w14:paraId="6981F6F8" w14:textId="77777777" w:rsidR="00861314" w:rsidRPr="00E6113C" w:rsidRDefault="00861314" w:rsidP="00133C7F">
            <w:pPr>
              <w:rPr>
                <w:rFonts w:ascii="Calibri" w:hAnsi="Calibri" w:cs="Calibri"/>
                <w:color w:val="000000"/>
                <w:sz w:val="20"/>
                <w:szCs w:val="20"/>
                <w:lang w:eastAsia="en-IE"/>
              </w:rPr>
            </w:pPr>
            <w:r w:rsidRPr="00E6113C">
              <w:rPr>
                <w:rFonts w:ascii="Calibri" w:hAnsi="Calibri" w:cs="Calibri"/>
                <w:color w:val="000000"/>
                <w:sz w:val="20"/>
                <w:szCs w:val="20"/>
                <w:lang w:eastAsia="en-IE"/>
              </w:rPr>
              <w:t>Segment assets</w:t>
            </w:r>
          </w:p>
        </w:tc>
        <w:tc>
          <w:tcPr>
            <w:tcW w:w="1491" w:type="dxa"/>
            <w:tcBorders>
              <w:top w:val="nil"/>
              <w:left w:val="nil"/>
              <w:bottom w:val="nil"/>
              <w:right w:val="nil"/>
            </w:tcBorders>
            <w:shd w:val="clear" w:color="auto" w:fill="auto"/>
            <w:noWrap/>
            <w:vAlign w:val="bottom"/>
          </w:tcPr>
          <w:p w14:paraId="39EC6B4D" w14:textId="77777777" w:rsidR="00861314" w:rsidRPr="00E6113C" w:rsidRDefault="00861314" w:rsidP="00133C7F">
            <w:pPr>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 xml:space="preserve">          15,263.7 </w:t>
            </w:r>
          </w:p>
        </w:tc>
        <w:tc>
          <w:tcPr>
            <w:tcW w:w="1658" w:type="dxa"/>
            <w:tcBorders>
              <w:top w:val="nil"/>
              <w:left w:val="nil"/>
              <w:bottom w:val="nil"/>
              <w:right w:val="nil"/>
            </w:tcBorders>
            <w:shd w:val="clear" w:color="auto" w:fill="auto"/>
            <w:vAlign w:val="bottom"/>
          </w:tcPr>
          <w:p w14:paraId="3DDD2F55" w14:textId="77777777" w:rsidR="00861314" w:rsidRPr="00E6113C" w:rsidRDefault="00861314" w:rsidP="00133C7F">
            <w:pPr>
              <w:ind w:right="-45"/>
              <w:jc w:val="right"/>
              <w:rPr>
                <w:rFonts w:ascii="Calibri" w:hAnsi="Calibri" w:cs="Calibri"/>
                <w:color w:val="000000"/>
                <w:sz w:val="20"/>
                <w:szCs w:val="20"/>
                <w:lang w:eastAsia="en-IE"/>
              </w:rPr>
            </w:pPr>
            <w:r w:rsidRPr="00E6113C">
              <w:rPr>
                <w:rFonts w:ascii="Calibri" w:hAnsi="Calibri" w:cs="Calibri"/>
                <w:color w:val="000000"/>
                <w:sz w:val="20"/>
                <w:szCs w:val="20"/>
              </w:rPr>
              <w:t xml:space="preserve">497.2 </w:t>
            </w:r>
          </w:p>
        </w:tc>
        <w:tc>
          <w:tcPr>
            <w:tcW w:w="1492" w:type="dxa"/>
            <w:tcBorders>
              <w:top w:val="nil"/>
              <w:left w:val="nil"/>
              <w:bottom w:val="nil"/>
              <w:right w:val="nil"/>
            </w:tcBorders>
            <w:shd w:val="clear" w:color="auto" w:fill="auto"/>
            <w:vAlign w:val="bottom"/>
          </w:tcPr>
          <w:p w14:paraId="696D98DB" w14:textId="77777777" w:rsidR="00861314" w:rsidRPr="00E6113C" w:rsidRDefault="00861314" w:rsidP="00133C7F">
            <w:pPr>
              <w:ind w:left="-245"/>
              <w:jc w:val="right"/>
              <w:rPr>
                <w:rFonts w:ascii="Calibri" w:hAnsi="Calibri" w:cs="Calibri"/>
                <w:color w:val="000000"/>
                <w:sz w:val="20"/>
                <w:szCs w:val="20"/>
                <w:lang w:eastAsia="en-IE"/>
              </w:rPr>
            </w:pPr>
            <w:r w:rsidRPr="00E6113C">
              <w:rPr>
                <w:rFonts w:ascii="Calibri" w:eastAsia="Calibri" w:hAnsi="Calibri" w:cs="Calibri"/>
                <w:sz w:val="20"/>
                <w:szCs w:val="20"/>
                <w:lang w:eastAsia="en-IE"/>
              </w:rPr>
              <w:t>-</w:t>
            </w:r>
          </w:p>
        </w:tc>
        <w:tc>
          <w:tcPr>
            <w:tcW w:w="1492" w:type="dxa"/>
            <w:tcBorders>
              <w:top w:val="nil"/>
              <w:left w:val="nil"/>
              <w:bottom w:val="nil"/>
              <w:right w:val="nil"/>
            </w:tcBorders>
            <w:shd w:val="clear" w:color="auto" w:fill="auto"/>
            <w:noWrap/>
            <w:vAlign w:val="bottom"/>
          </w:tcPr>
          <w:p w14:paraId="2C8E069E" w14:textId="77777777" w:rsidR="00861314" w:rsidRPr="00E6113C" w:rsidRDefault="00861314" w:rsidP="00133C7F">
            <w:pPr>
              <w:jc w:val="right"/>
              <w:rPr>
                <w:rFonts w:ascii="Calibri" w:hAnsi="Calibri" w:cs="Calibri"/>
                <w:color w:val="000000"/>
                <w:sz w:val="20"/>
                <w:szCs w:val="20"/>
                <w:lang w:eastAsia="en-IE"/>
              </w:rPr>
            </w:pPr>
            <w:r w:rsidRPr="00E6113C">
              <w:rPr>
                <w:rFonts w:ascii="Calibri" w:eastAsia="Calibri" w:hAnsi="Calibri" w:cs="Calibri"/>
                <w:sz w:val="20"/>
                <w:szCs w:val="20"/>
                <w:lang w:eastAsia="en-IE"/>
              </w:rPr>
              <w:t xml:space="preserve">15,760.9 </w:t>
            </w:r>
          </w:p>
        </w:tc>
      </w:tr>
      <w:tr w:rsidR="00861314" w:rsidRPr="00E6113C" w14:paraId="2287C8A2" w14:textId="77777777" w:rsidTr="00133C7F">
        <w:trPr>
          <w:trHeight w:val="307"/>
        </w:trPr>
        <w:tc>
          <w:tcPr>
            <w:tcW w:w="4145" w:type="dxa"/>
            <w:shd w:val="clear" w:color="auto" w:fill="FFFFFF"/>
            <w:vAlign w:val="bottom"/>
          </w:tcPr>
          <w:p w14:paraId="2E7ECE93" w14:textId="77777777" w:rsidR="00861314" w:rsidRPr="00E6113C" w:rsidRDefault="00861314" w:rsidP="00133C7F">
            <w:pPr>
              <w:rPr>
                <w:rFonts w:ascii="Calibri" w:hAnsi="Calibri" w:cs="Calibri"/>
                <w:color w:val="000000"/>
                <w:sz w:val="20"/>
                <w:szCs w:val="20"/>
                <w:lang w:eastAsia="en-IE"/>
              </w:rPr>
            </w:pPr>
            <w:r w:rsidRPr="00E6113C">
              <w:rPr>
                <w:rFonts w:ascii="Calibri" w:hAnsi="Calibri" w:cs="Calibri"/>
                <w:color w:val="000000"/>
                <w:sz w:val="20"/>
                <w:szCs w:val="20"/>
                <w:lang w:eastAsia="en-IE"/>
              </w:rPr>
              <w:t>Segment liabilities</w:t>
            </w:r>
          </w:p>
        </w:tc>
        <w:tc>
          <w:tcPr>
            <w:tcW w:w="1491" w:type="dxa"/>
            <w:tcBorders>
              <w:top w:val="nil"/>
              <w:left w:val="nil"/>
              <w:bottom w:val="nil"/>
              <w:right w:val="nil"/>
            </w:tcBorders>
            <w:shd w:val="clear" w:color="auto" w:fill="auto"/>
            <w:noWrap/>
            <w:vAlign w:val="bottom"/>
          </w:tcPr>
          <w:p w14:paraId="51C79BE4" w14:textId="77777777" w:rsidR="00861314" w:rsidRPr="00E6113C" w:rsidRDefault="00861314" w:rsidP="00133C7F">
            <w:pPr>
              <w:jc w:val="right"/>
              <w:rPr>
                <w:rFonts w:ascii="Calibri" w:hAnsi="Calibri" w:cs="Calibri"/>
                <w:color w:val="000000"/>
                <w:sz w:val="20"/>
                <w:szCs w:val="20"/>
                <w:lang w:eastAsia="en-IE"/>
              </w:rPr>
            </w:pPr>
            <w:r w:rsidRPr="00E6113C">
              <w:rPr>
                <w:rFonts w:ascii="Calibri" w:hAnsi="Calibri" w:cs="Calibri"/>
                <w:color w:val="000000"/>
                <w:sz w:val="20"/>
                <w:szCs w:val="20"/>
                <w:lang w:eastAsia="en-IE"/>
              </w:rPr>
              <w:t xml:space="preserve">        (8,599.3) </w:t>
            </w:r>
          </w:p>
        </w:tc>
        <w:tc>
          <w:tcPr>
            <w:tcW w:w="1658" w:type="dxa"/>
            <w:tcBorders>
              <w:top w:val="nil"/>
              <w:left w:val="nil"/>
              <w:bottom w:val="nil"/>
              <w:right w:val="nil"/>
            </w:tcBorders>
            <w:shd w:val="clear" w:color="auto" w:fill="auto"/>
            <w:vAlign w:val="bottom"/>
          </w:tcPr>
          <w:p w14:paraId="71B46666" w14:textId="77777777" w:rsidR="00861314" w:rsidRPr="00E6113C" w:rsidRDefault="00861314" w:rsidP="00133C7F">
            <w:pPr>
              <w:ind w:right="-45"/>
              <w:jc w:val="right"/>
              <w:rPr>
                <w:rFonts w:ascii="Calibri" w:hAnsi="Calibri" w:cs="Calibri"/>
                <w:color w:val="000000"/>
                <w:sz w:val="20"/>
                <w:szCs w:val="20"/>
              </w:rPr>
            </w:pPr>
            <w:r w:rsidRPr="00E6113C">
              <w:rPr>
                <w:rFonts w:ascii="Calibri" w:hAnsi="Calibri" w:cs="Calibri"/>
                <w:color w:val="000000"/>
                <w:sz w:val="20"/>
                <w:szCs w:val="20"/>
              </w:rPr>
              <w:t xml:space="preserve">(869.3) </w:t>
            </w:r>
          </w:p>
        </w:tc>
        <w:tc>
          <w:tcPr>
            <w:tcW w:w="1492" w:type="dxa"/>
            <w:tcBorders>
              <w:top w:val="nil"/>
              <w:left w:val="nil"/>
              <w:bottom w:val="nil"/>
              <w:right w:val="nil"/>
            </w:tcBorders>
            <w:shd w:val="clear" w:color="auto" w:fill="auto"/>
            <w:vAlign w:val="bottom"/>
          </w:tcPr>
          <w:p w14:paraId="30C93876" w14:textId="77777777" w:rsidR="00861314" w:rsidRPr="00E6113C" w:rsidRDefault="00861314" w:rsidP="00133C7F">
            <w:pPr>
              <w:jc w:val="right"/>
              <w:rPr>
                <w:rFonts w:ascii="Calibri" w:hAnsi="Calibri" w:cs="Calibri"/>
                <w:color w:val="000000"/>
                <w:sz w:val="20"/>
                <w:szCs w:val="20"/>
                <w:lang w:eastAsia="en-IE"/>
              </w:rPr>
            </w:pPr>
            <w:r w:rsidRPr="00E6113C">
              <w:rPr>
                <w:rFonts w:ascii="Calibri" w:eastAsia="Calibri" w:hAnsi="Calibri" w:cs="Calibri"/>
                <w:sz w:val="20"/>
                <w:szCs w:val="20"/>
                <w:lang w:eastAsia="en-IE"/>
              </w:rPr>
              <w:t>-</w:t>
            </w:r>
          </w:p>
        </w:tc>
        <w:tc>
          <w:tcPr>
            <w:tcW w:w="1492" w:type="dxa"/>
            <w:tcBorders>
              <w:top w:val="nil"/>
              <w:left w:val="nil"/>
              <w:bottom w:val="nil"/>
              <w:right w:val="nil"/>
            </w:tcBorders>
            <w:shd w:val="clear" w:color="auto" w:fill="auto"/>
            <w:noWrap/>
            <w:vAlign w:val="bottom"/>
          </w:tcPr>
          <w:p w14:paraId="3287E5CD" w14:textId="77777777" w:rsidR="00861314" w:rsidRPr="00E6113C" w:rsidRDefault="00861314" w:rsidP="00133C7F">
            <w:pPr>
              <w:jc w:val="right"/>
              <w:rPr>
                <w:rFonts w:ascii="Calibri" w:hAnsi="Calibri" w:cs="Calibri"/>
                <w:color w:val="000000"/>
                <w:sz w:val="20"/>
                <w:szCs w:val="20"/>
                <w:lang w:eastAsia="en-IE"/>
              </w:rPr>
            </w:pPr>
            <w:r w:rsidRPr="00E6113C">
              <w:rPr>
                <w:rFonts w:ascii="Calibri" w:eastAsia="Calibri" w:hAnsi="Calibri" w:cs="Calibri"/>
                <w:sz w:val="20"/>
                <w:szCs w:val="20"/>
                <w:lang w:eastAsia="en-IE"/>
              </w:rPr>
              <w:t xml:space="preserve">(9,468.6) </w:t>
            </w:r>
          </w:p>
        </w:tc>
      </w:tr>
    </w:tbl>
    <w:p w14:paraId="4E28BC8D" w14:textId="77777777" w:rsidR="00861314" w:rsidRPr="00E6113C" w:rsidRDefault="00861314" w:rsidP="00861314">
      <w:pPr>
        <w:tabs>
          <w:tab w:val="left" w:pos="4080"/>
        </w:tabs>
        <w:rPr>
          <w:rFonts w:ascii="Calibri" w:hAnsi="Calibri" w:cs="Calibri"/>
          <w:lang w:val="en-US"/>
        </w:rPr>
      </w:pPr>
    </w:p>
    <w:p w14:paraId="0BD654ED" w14:textId="77777777" w:rsidR="00861314" w:rsidRPr="00E6113C" w:rsidRDefault="00861314" w:rsidP="00861314">
      <w:pPr>
        <w:ind w:right="-142"/>
        <w:jc w:val="both"/>
        <w:rPr>
          <w:rFonts w:ascii="Calibri" w:hAnsi="Calibri" w:cs="Calibri"/>
          <w:i/>
          <w:iCs/>
          <w:sz w:val="18"/>
          <w:szCs w:val="18"/>
        </w:rPr>
      </w:pPr>
      <w:r w:rsidRPr="00E6113C">
        <w:rPr>
          <w:rFonts w:ascii="Calibri" w:hAnsi="Calibri" w:cs="Calibri"/>
          <w:i/>
          <w:iCs/>
          <w:sz w:val="18"/>
          <w:szCs w:val="18"/>
        </w:rPr>
        <w:t>(i) Adjusted profit after tax in the three months to December 31, 2022, excludes a net exceptional loss after tax of €9.0M, attributable to the fair value measurement of jet fuel call options.</w:t>
      </w:r>
    </w:p>
    <w:p w14:paraId="3884CA8F" w14:textId="77777777" w:rsidR="00861314" w:rsidRDefault="00861314" w:rsidP="00F3553F">
      <w:pPr>
        <w:ind w:right="-143"/>
        <w:jc w:val="both"/>
        <w:rPr>
          <w:rFonts w:ascii="Calibri" w:hAnsi="Calibri" w:cs="Calibri"/>
          <w:b/>
          <w:bCs/>
          <w:color w:val="000000"/>
          <w:sz w:val="22"/>
          <w:szCs w:val="22"/>
        </w:rPr>
      </w:pPr>
    </w:p>
    <w:p w14:paraId="595BAE35" w14:textId="77777777" w:rsidR="00531AB4" w:rsidRDefault="00346E22" w:rsidP="00861314">
      <w:pPr>
        <w:ind w:right="-142"/>
        <w:jc w:val="both"/>
        <w:rPr>
          <w:rFonts w:ascii="Calibri" w:hAnsi="Calibri" w:cs="Calibri"/>
          <w:sz w:val="22"/>
          <w:szCs w:val="22"/>
        </w:rPr>
      </w:pPr>
      <w:r w:rsidRPr="00E6113C">
        <w:rPr>
          <w:rFonts w:ascii="Calibri" w:hAnsi="Calibri" w:cs="Calibri"/>
          <w:sz w:val="22"/>
          <w:szCs w:val="22"/>
        </w:rPr>
        <w:t xml:space="preserve">The following table disaggregates revenue by primary geographical market. In accordance with IFRS 8, revenue by country of </w:t>
      </w:r>
      <w:r w:rsidR="00531AB4">
        <w:rPr>
          <w:rFonts w:ascii="Calibri" w:hAnsi="Calibri" w:cs="Calibri"/>
          <w:sz w:val="22"/>
          <w:szCs w:val="22"/>
        </w:rPr>
        <w:t>departure</w:t>
      </w:r>
      <w:r w:rsidRPr="00E6113C">
        <w:rPr>
          <w:rFonts w:ascii="Calibri" w:hAnsi="Calibri" w:cs="Calibri"/>
          <w:sz w:val="22"/>
          <w:szCs w:val="22"/>
        </w:rPr>
        <w:t xml:space="preserve"> has been provided where revenue for that country is in excess of 10% of total revenue. Ireland is presented as it represents the country of domicile. “Other” includes all other countries in which the Group has operations.</w:t>
      </w:r>
    </w:p>
    <w:p w14:paraId="2D37146D" w14:textId="77777777" w:rsidR="002560B2" w:rsidRDefault="002560B2" w:rsidP="00861314">
      <w:pPr>
        <w:ind w:right="-142"/>
        <w:jc w:val="both"/>
      </w:pPr>
      <w:r>
        <w:br w:type="page"/>
      </w:r>
    </w:p>
    <w:tbl>
      <w:tblPr>
        <w:tblW w:w="10232" w:type="dxa"/>
        <w:tblInd w:w="108" w:type="dxa"/>
        <w:tblLook w:val="04A0" w:firstRow="1" w:lastRow="0" w:firstColumn="1" w:lastColumn="0" w:noHBand="0" w:noVBand="1"/>
      </w:tblPr>
      <w:tblGrid>
        <w:gridCol w:w="3686"/>
        <w:gridCol w:w="284"/>
        <w:gridCol w:w="283"/>
        <w:gridCol w:w="1559"/>
        <w:gridCol w:w="1418"/>
        <w:gridCol w:w="1514"/>
        <w:gridCol w:w="1488"/>
      </w:tblGrid>
      <w:tr w:rsidR="00BF4A9E" w14:paraId="1AA58F5C" w14:textId="77777777" w:rsidTr="009C5CA5">
        <w:trPr>
          <w:trHeight w:val="223"/>
        </w:trPr>
        <w:tc>
          <w:tcPr>
            <w:tcW w:w="3686" w:type="dxa"/>
          </w:tcPr>
          <w:p w14:paraId="35176607" w14:textId="77777777" w:rsidR="00BF4A9E" w:rsidRDefault="00BF4A9E" w:rsidP="002560B2">
            <w:pPr>
              <w:autoSpaceDE w:val="0"/>
              <w:autoSpaceDN w:val="0"/>
              <w:adjustRightInd w:val="0"/>
              <w:ind w:hanging="105"/>
              <w:rPr>
                <w:rFonts w:ascii="Calibri" w:hAnsi="Calibri" w:cs="Calibri"/>
                <w:color w:val="000000"/>
                <w:sz w:val="22"/>
                <w:szCs w:val="22"/>
              </w:rPr>
            </w:pPr>
          </w:p>
        </w:tc>
        <w:tc>
          <w:tcPr>
            <w:tcW w:w="284" w:type="dxa"/>
          </w:tcPr>
          <w:p w14:paraId="5DB1D882" w14:textId="77777777" w:rsidR="00BF4A9E" w:rsidRDefault="00BF4A9E">
            <w:pPr>
              <w:autoSpaceDE w:val="0"/>
              <w:autoSpaceDN w:val="0"/>
              <w:adjustRightInd w:val="0"/>
              <w:jc w:val="right"/>
              <w:rPr>
                <w:rFonts w:ascii="Calibri" w:hAnsi="Calibri" w:cs="Calibri"/>
                <w:b/>
                <w:bCs/>
                <w:color w:val="000000"/>
                <w:sz w:val="22"/>
                <w:szCs w:val="22"/>
                <w:highlight w:val="yellow"/>
              </w:rPr>
            </w:pPr>
          </w:p>
        </w:tc>
        <w:tc>
          <w:tcPr>
            <w:tcW w:w="283" w:type="dxa"/>
          </w:tcPr>
          <w:p w14:paraId="0ACBD563" w14:textId="77777777" w:rsidR="00BF4A9E" w:rsidRDefault="00BF4A9E">
            <w:pPr>
              <w:autoSpaceDE w:val="0"/>
              <w:autoSpaceDN w:val="0"/>
              <w:adjustRightInd w:val="0"/>
              <w:jc w:val="right"/>
              <w:rPr>
                <w:rFonts w:ascii="Calibri" w:hAnsi="Calibri" w:cs="Calibri"/>
                <w:color w:val="000000"/>
                <w:sz w:val="22"/>
                <w:szCs w:val="22"/>
              </w:rPr>
            </w:pPr>
          </w:p>
        </w:tc>
        <w:tc>
          <w:tcPr>
            <w:tcW w:w="1559" w:type="dxa"/>
            <w:shd w:val="clear" w:color="auto" w:fill="FFFF00"/>
            <w:hideMark/>
          </w:tcPr>
          <w:p w14:paraId="48C5E87E" w14:textId="77777777" w:rsidR="00947EBA" w:rsidRDefault="006A0488">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Nine Months</w:t>
            </w:r>
          </w:p>
          <w:p w14:paraId="6B750615" w14:textId="77777777" w:rsidR="00B4227E" w:rsidRDefault="00BF4A9E">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 xml:space="preserve">Ended </w:t>
            </w:r>
          </w:p>
          <w:p w14:paraId="03774B71" w14:textId="77777777" w:rsidR="00BF4A9E" w:rsidRDefault="006A0488">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Dec</w:t>
            </w:r>
            <w:r w:rsidR="00BF4A9E">
              <w:rPr>
                <w:rFonts w:ascii="Calibri" w:hAnsi="Calibri" w:cs="Calibri"/>
                <w:b/>
                <w:color w:val="000000"/>
                <w:sz w:val="22"/>
                <w:szCs w:val="22"/>
              </w:rPr>
              <w:t xml:space="preserve"> 3</w:t>
            </w:r>
            <w:r>
              <w:rPr>
                <w:rFonts w:ascii="Calibri" w:hAnsi="Calibri" w:cs="Calibri"/>
                <w:b/>
                <w:color w:val="000000"/>
                <w:sz w:val="22"/>
                <w:szCs w:val="22"/>
              </w:rPr>
              <w:t>1</w:t>
            </w:r>
            <w:r w:rsidR="00BF4A9E">
              <w:rPr>
                <w:rFonts w:ascii="Calibri" w:hAnsi="Calibri" w:cs="Calibri"/>
                <w:b/>
                <w:color w:val="000000"/>
                <w:sz w:val="22"/>
                <w:szCs w:val="22"/>
              </w:rPr>
              <w:t>, 202</w:t>
            </w:r>
            <w:r w:rsidR="00346E22">
              <w:rPr>
                <w:rFonts w:ascii="Calibri" w:hAnsi="Calibri" w:cs="Calibri"/>
                <w:b/>
                <w:color w:val="000000"/>
                <w:sz w:val="22"/>
                <w:szCs w:val="22"/>
              </w:rPr>
              <w:t>3</w:t>
            </w:r>
          </w:p>
        </w:tc>
        <w:tc>
          <w:tcPr>
            <w:tcW w:w="1418" w:type="dxa"/>
            <w:hideMark/>
          </w:tcPr>
          <w:p w14:paraId="1295F29D" w14:textId="77777777" w:rsidR="00947EBA" w:rsidRDefault="006A0488" w:rsidP="00947EBA">
            <w:pPr>
              <w:autoSpaceDE w:val="0"/>
              <w:autoSpaceDN w:val="0"/>
              <w:adjustRightInd w:val="0"/>
              <w:ind w:left="-108"/>
              <w:jc w:val="right"/>
              <w:rPr>
                <w:rFonts w:ascii="Calibri" w:hAnsi="Calibri" w:cs="Calibri"/>
                <w:color w:val="000000"/>
                <w:sz w:val="22"/>
                <w:szCs w:val="22"/>
              </w:rPr>
            </w:pPr>
            <w:r>
              <w:rPr>
                <w:rFonts w:ascii="Calibri" w:hAnsi="Calibri" w:cs="Calibri"/>
                <w:color w:val="000000"/>
                <w:sz w:val="22"/>
                <w:szCs w:val="22"/>
              </w:rPr>
              <w:t>Nine Months</w:t>
            </w:r>
          </w:p>
          <w:p w14:paraId="1D892C3B" w14:textId="77777777" w:rsidR="00B4227E" w:rsidRPr="00BD0069" w:rsidRDefault="00BF4A9E" w:rsidP="00947EBA">
            <w:pPr>
              <w:autoSpaceDE w:val="0"/>
              <w:autoSpaceDN w:val="0"/>
              <w:adjustRightInd w:val="0"/>
              <w:ind w:left="-108"/>
              <w:jc w:val="right"/>
              <w:rPr>
                <w:rFonts w:ascii="Calibri" w:hAnsi="Calibri" w:cs="Calibri"/>
                <w:color w:val="000000"/>
                <w:sz w:val="22"/>
                <w:szCs w:val="22"/>
              </w:rPr>
            </w:pPr>
            <w:r w:rsidRPr="00BD0069">
              <w:rPr>
                <w:rFonts w:ascii="Calibri" w:hAnsi="Calibri" w:cs="Calibri"/>
                <w:color w:val="000000"/>
                <w:sz w:val="22"/>
                <w:szCs w:val="22"/>
              </w:rPr>
              <w:t xml:space="preserve">Ended </w:t>
            </w:r>
          </w:p>
          <w:p w14:paraId="327299F1" w14:textId="77777777" w:rsidR="00BF4A9E" w:rsidRPr="00BD0069" w:rsidRDefault="006A0488" w:rsidP="002026C2">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Dec 31</w:t>
            </w:r>
            <w:r w:rsidR="00BF4A9E" w:rsidRPr="00BD0069">
              <w:rPr>
                <w:rFonts w:ascii="Calibri" w:hAnsi="Calibri" w:cs="Calibri"/>
                <w:color w:val="000000"/>
                <w:sz w:val="22"/>
                <w:szCs w:val="22"/>
              </w:rPr>
              <w:t>, 202</w:t>
            </w:r>
            <w:r w:rsidR="00346E22">
              <w:rPr>
                <w:rFonts w:ascii="Calibri" w:hAnsi="Calibri" w:cs="Calibri"/>
                <w:color w:val="000000"/>
                <w:sz w:val="22"/>
                <w:szCs w:val="22"/>
              </w:rPr>
              <w:t>2</w:t>
            </w:r>
          </w:p>
        </w:tc>
        <w:tc>
          <w:tcPr>
            <w:tcW w:w="1514" w:type="dxa"/>
            <w:shd w:val="clear" w:color="auto" w:fill="FFFF00"/>
            <w:hideMark/>
          </w:tcPr>
          <w:p w14:paraId="71888977" w14:textId="77777777" w:rsidR="00947EBA" w:rsidRDefault="00BF4A9E" w:rsidP="002026C2">
            <w:pPr>
              <w:autoSpaceDE w:val="0"/>
              <w:autoSpaceDN w:val="0"/>
              <w:adjustRightInd w:val="0"/>
              <w:ind w:left="-110"/>
              <w:jc w:val="right"/>
              <w:rPr>
                <w:rFonts w:ascii="Calibri" w:hAnsi="Calibri" w:cs="Calibri"/>
                <w:b/>
                <w:color w:val="000000"/>
                <w:sz w:val="22"/>
                <w:szCs w:val="22"/>
              </w:rPr>
            </w:pPr>
            <w:r>
              <w:rPr>
                <w:rFonts w:ascii="Calibri" w:hAnsi="Calibri" w:cs="Calibri"/>
                <w:b/>
                <w:color w:val="000000"/>
                <w:sz w:val="22"/>
                <w:szCs w:val="22"/>
              </w:rPr>
              <w:t>Quarter</w:t>
            </w:r>
          </w:p>
          <w:p w14:paraId="1E0E8F0C" w14:textId="77777777" w:rsidR="00B4227E" w:rsidRDefault="00BF4A9E" w:rsidP="002026C2">
            <w:pPr>
              <w:autoSpaceDE w:val="0"/>
              <w:autoSpaceDN w:val="0"/>
              <w:adjustRightInd w:val="0"/>
              <w:ind w:left="-110"/>
              <w:jc w:val="right"/>
              <w:rPr>
                <w:rFonts w:ascii="Calibri" w:hAnsi="Calibri" w:cs="Calibri"/>
                <w:b/>
                <w:color w:val="000000"/>
                <w:sz w:val="22"/>
                <w:szCs w:val="22"/>
              </w:rPr>
            </w:pPr>
            <w:r>
              <w:rPr>
                <w:rFonts w:ascii="Calibri" w:hAnsi="Calibri" w:cs="Calibri"/>
                <w:b/>
                <w:color w:val="000000"/>
                <w:sz w:val="22"/>
                <w:szCs w:val="22"/>
              </w:rPr>
              <w:t xml:space="preserve">Ended </w:t>
            </w:r>
          </w:p>
          <w:p w14:paraId="2F9279BB" w14:textId="77777777" w:rsidR="00BF4A9E" w:rsidRDefault="006A0488">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Dec</w:t>
            </w:r>
            <w:r w:rsidR="00BF4A9E">
              <w:rPr>
                <w:rFonts w:ascii="Calibri" w:hAnsi="Calibri" w:cs="Calibri"/>
                <w:b/>
                <w:color w:val="000000"/>
                <w:sz w:val="22"/>
                <w:szCs w:val="22"/>
              </w:rPr>
              <w:t xml:space="preserve"> 3</w:t>
            </w:r>
            <w:r>
              <w:rPr>
                <w:rFonts w:ascii="Calibri" w:hAnsi="Calibri" w:cs="Calibri"/>
                <w:b/>
                <w:color w:val="000000"/>
                <w:sz w:val="22"/>
                <w:szCs w:val="22"/>
              </w:rPr>
              <w:t>1</w:t>
            </w:r>
            <w:r w:rsidR="00BF4A9E">
              <w:rPr>
                <w:rFonts w:ascii="Calibri" w:hAnsi="Calibri" w:cs="Calibri"/>
                <w:b/>
                <w:color w:val="000000"/>
                <w:sz w:val="22"/>
                <w:szCs w:val="22"/>
              </w:rPr>
              <w:t>, 202</w:t>
            </w:r>
            <w:r w:rsidR="00346E22">
              <w:rPr>
                <w:rFonts w:ascii="Calibri" w:hAnsi="Calibri" w:cs="Calibri"/>
                <w:b/>
                <w:color w:val="000000"/>
                <w:sz w:val="22"/>
                <w:szCs w:val="22"/>
              </w:rPr>
              <w:t>3</w:t>
            </w:r>
          </w:p>
        </w:tc>
        <w:tc>
          <w:tcPr>
            <w:tcW w:w="1488" w:type="dxa"/>
            <w:hideMark/>
          </w:tcPr>
          <w:p w14:paraId="2154C185" w14:textId="77777777" w:rsidR="00947EBA" w:rsidRDefault="00BF4A9E" w:rsidP="009C5CA5">
            <w:pPr>
              <w:autoSpaceDE w:val="0"/>
              <w:autoSpaceDN w:val="0"/>
              <w:adjustRightInd w:val="0"/>
              <w:ind w:right="-81"/>
              <w:jc w:val="right"/>
              <w:rPr>
                <w:rFonts w:ascii="Calibri" w:hAnsi="Calibri" w:cs="Calibri"/>
                <w:color w:val="000000"/>
                <w:sz w:val="22"/>
                <w:szCs w:val="22"/>
              </w:rPr>
            </w:pPr>
            <w:r w:rsidRPr="00BD0069">
              <w:rPr>
                <w:rFonts w:ascii="Calibri" w:hAnsi="Calibri" w:cs="Calibri"/>
                <w:color w:val="000000"/>
                <w:sz w:val="22"/>
                <w:szCs w:val="22"/>
              </w:rPr>
              <w:t>Quarter</w:t>
            </w:r>
          </w:p>
          <w:p w14:paraId="4B90C2D7" w14:textId="77777777" w:rsidR="00B4227E" w:rsidRPr="00BD0069" w:rsidRDefault="00BF4A9E" w:rsidP="009C5CA5">
            <w:pPr>
              <w:autoSpaceDE w:val="0"/>
              <w:autoSpaceDN w:val="0"/>
              <w:adjustRightInd w:val="0"/>
              <w:ind w:right="-81"/>
              <w:jc w:val="right"/>
              <w:rPr>
                <w:rFonts w:ascii="Calibri" w:hAnsi="Calibri" w:cs="Calibri"/>
                <w:color w:val="000000"/>
                <w:sz w:val="22"/>
                <w:szCs w:val="22"/>
              </w:rPr>
            </w:pPr>
            <w:r w:rsidRPr="00BD0069">
              <w:rPr>
                <w:rFonts w:ascii="Calibri" w:hAnsi="Calibri" w:cs="Calibri"/>
                <w:color w:val="000000"/>
                <w:sz w:val="22"/>
                <w:szCs w:val="22"/>
              </w:rPr>
              <w:t xml:space="preserve">Ended </w:t>
            </w:r>
          </w:p>
          <w:p w14:paraId="0B8F7C70" w14:textId="77777777" w:rsidR="00BF4A9E" w:rsidRPr="00BD0069" w:rsidRDefault="006A0488" w:rsidP="002026C2">
            <w:pPr>
              <w:autoSpaceDE w:val="0"/>
              <w:autoSpaceDN w:val="0"/>
              <w:adjustRightInd w:val="0"/>
              <w:ind w:right="-81"/>
              <w:jc w:val="right"/>
              <w:rPr>
                <w:rFonts w:ascii="Calibri" w:hAnsi="Calibri" w:cs="Calibri"/>
                <w:color w:val="000000"/>
                <w:sz w:val="22"/>
                <w:szCs w:val="22"/>
              </w:rPr>
            </w:pPr>
            <w:r>
              <w:rPr>
                <w:rFonts w:ascii="Calibri" w:hAnsi="Calibri" w:cs="Calibri"/>
                <w:color w:val="000000"/>
                <w:sz w:val="22"/>
                <w:szCs w:val="22"/>
              </w:rPr>
              <w:t>Dec 31</w:t>
            </w:r>
            <w:r w:rsidR="00BF4A9E" w:rsidRPr="00BD0069">
              <w:rPr>
                <w:rFonts w:ascii="Calibri" w:hAnsi="Calibri" w:cs="Calibri"/>
                <w:color w:val="000000"/>
                <w:sz w:val="22"/>
                <w:szCs w:val="22"/>
              </w:rPr>
              <w:t>,</w:t>
            </w:r>
            <w:r w:rsidR="002026C2">
              <w:rPr>
                <w:rFonts w:ascii="Calibri" w:hAnsi="Calibri" w:cs="Calibri"/>
                <w:color w:val="000000"/>
                <w:sz w:val="22"/>
                <w:szCs w:val="22"/>
              </w:rPr>
              <w:t xml:space="preserve"> </w:t>
            </w:r>
            <w:r w:rsidR="00BF4A9E" w:rsidRPr="00BD0069">
              <w:rPr>
                <w:rFonts w:ascii="Calibri" w:hAnsi="Calibri" w:cs="Calibri"/>
                <w:color w:val="000000"/>
                <w:sz w:val="22"/>
                <w:szCs w:val="22"/>
              </w:rPr>
              <w:t>202</w:t>
            </w:r>
            <w:r w:rsidR="00346E22">
              <w:rPr>
                <w:rFonts w:ascii="Calibri" w:hAnsi="Calibri" w:cs="Calibri"/>
                <w:color w:val="000000"/>
                <w:sz w:val="22"/>
                <w:szCs w:val="22"/>
              </w:rPr>
              <w:t>2</w:t>
            </w:r>
          </w:p>
        </w:tc>
      </w:tr>
      <w:tr w:rsidR="00BF4A9E" w14:paraId="6DEB7BB9" w14:textId="77777777" w:rsidTr="009C5CA5">
        <w:trPr>
          <w:trHeight w:val="223"/>
        </w:trPr>
        <w:tc>
          <w:tcPr>
            <w:tcW w:w="3686" w:type="dxa"/>
          </w:tcPr>
          <w:p w14:paraId="5C797883" w14:textId="77777777" w:rsidR="00BF4A9E" w:rsidRDefault="00BF4A9E" w:rsidP="00984744">
            <w:pPr>
              <w:autoSpaceDE w:val="0"/>
              <w:autoSpaceDN w:val="0"/>
              <w:adjustRightInd w:val="0"/>
              <w:ind w:hanging="105"/>
              <w:jc w:val="right"/>
              <w:rPr>
                <w:rFonts w:ascii="Calibri" w:hAnsi="Calibri" w:cs="Calibri"/>
                <w:color w:val="000000"/>
                <w:sz w:val="22"/>
                <w:szCs w:val="22"/>
              </w:rPr>
            </w:pPr>
          </w:p>
        </w:tc>
        <w:tc>
          <w:tcPr>
            <w:tcW w:w="284" w:type="dxa"/>
          </w:tcPr>
          <w:p w14:paraId="3B112D5B" w14:textId="77777777" w:rsidR="00BF4A9E" w:rsidRDefault="00BF4A9E">
            <w:pPr>
              <w:autoSpaceDE w:val="0"/>
              <w:autoSpaceDN w:val="0"/>
              <w:adjustRightInd w:val="0"/>
              <w:ind w:left="-106" w:right="-113"/>
              <w:jc w:val="right"/>
              <w:rPr>
                <w:rFonts w:ascii="Calibri" w:hAnsi="Calibri" w:cs="Calibri"/>
                <w:b/>
                <w:bCs/>
                <w:color w:val="000000"/>
                <w:sz w:val="22"/>
                <w:szCs w:val="22"/>
                <w:highlight w:val="yellow"/>
              </w:rPr>
            </w:pPr>
          </w:p>
        </w:tc>
        <w:tc>
          <w:tcPr>
            <w:tcW w:w="283" w:type="dxa"/>
          </w:tcPr>
          <w:p w14:paraId="1D05C7E3" w14:textId="77777777" w:rsidR="00BF4A9E" w:rsidRDefault="00BF4A9E">
            <w:pPr>
              <w:autoSpaceDE w:val="0"/>
              <w:autoSpaceDN w:val="0"/>
              <w:adjustRightInd w:val="0"/>
              <w:ind w:left="-112" w:right="-107"/>
              <w:jc w:val="right"/>
              <w:rPr>
                <w:rFonts w:ascii="Calibri" w:hAnsi="Calibri" w:cs="Calibri"/>
                <w:color w:val="000000"/>
                <w:sz w:val="22"/>
                <w:szCs w:val="22"/>
              </w:rPr>
            </w:pPr>
          </w:p>
        </w:tc>
        <w:tc>
          <w:tcPr>
            <w:tcW w:w="1559" w:type="dxa"/>
            <w:shd w:val="clear" w:color="auto" w:fill="FFFF00"/>
          </w:tcPr>
          <w:p w14:paraId="01D2226A" w14:textId="77777777" w:rsidR="00BF4A9E" w:rsidRDefault="00D62753">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€M</w:t>
            </w:r>
          </w:p>
        </w:tc>
        <w:tc>
          <w:tcPr>
            <w:tcW w:w="1418" w:type="dxa"/>
          </w:tcPr>
          <w:p w14:paraId="757EF2E7" w14:textId="77777777" w:rsidR="00BF4A9E" w:rsidRPr="00BD0069" w:rsidRDefault="00D62753">
            <w:pPr>
              <w:autoSpaceDE w:val="0"/>
              <w:autoSpaceDN w:val="0"/>
              <w:adjustRightInd w:val="0"/>
              <w:jc w:val="right"/>
              <w:rPr>
                <w:rFonts w:ascii="Calibri" w:hAnsi="Calibri" w:cs="Calibri"/>
                <w:color w:val="000000"/>
                <w:sz w:val="22"/>
                <w:szCs w:val="22"/>
              </w:rPr>
            </w:pPr>
            <w:r w:rsidRPr="00BD0069">
              <w:rPr>
                <w:rFonts w:ascii="Calibri" w:hAnsi="Calibri" w:cs="Calibri"/>
                <w:color w:val="000000"/>
                <w:sz w:val="22"/>
                <w:szCs w:val="22"/>
              </w:rPr>
              <w:t>€M</w:t>
            </w:r>
          </w:p>
        </w:tc>
        <w:tc>
          <w:tcPr>
            <w:tcW w:w="1514" w:type="dxa"/>
            <w:shd w:val="clear" w:color="auto" w:fill="FFFF00"/>
          </w:tcPr>
          <w:p w14:paraId="2239832E" w14:textId="77777777" w:rsidR="00BF4A9E" w:rsidRDefault="00D62753">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€M</w:t>
            </w:r>
          </w:p>
        </w:tc>
        <w:tc>
          <w:tcPr>
            <w:tcW w:w="1488" w:type="dxa"/>
          </w:tcPr>
          <w:p w14:paraId="136A3E7A" w14:textId="77777777" w:rsidR="00BF4A9E" w:rsidRPr="00BD0069" w:rsidRDefault="00D62753" w:rsidP="009C5CA5">
            <w:pPr>
              <w:autoSpaceDE w:val="0"/>
              <w:autoSpaceDN w:val="0"/>
              <w:adjustRightInd w:val="0"/>
              <w:ind w:right="-81"/>
              <w:jc w:val="right"/>
              <w:rPr>
                <w:rFonts w:ascii="Calibri" w:hAnsi="Calibri" w:cs="Calibri"/>
                <w:color w:val="000000"/>
                <w:sz w:val="22"/>
                <w:szCs w:val="22"/>
              </w:rPr>
            </w:pPr>
            <w:r w:rsidRPr="00BD0069">
              <w:rPr>
                <w:rFonts w:ascii="Calibri" w:hAnsi="Calibri" w:cs="Calibri"/>
                <w:color w:val="000000"/>
                <w:sz w:val="22"/>
                <w:szCs w:val="22"/>
              </w:rPr>
              <w:t>€M</w:t>
            </w:r>
          </w:p>
        </w:tc>
      </w:tr>
      <w:tr w:rsidR="00BF4A9E" w14:paraId="309AFABB" w14:textId="77777777" w:rsidTr="009C5CA5">
        <w:trPr>
          <w:trHeight w:val="223"/>
        </w:trPr>
        <w:tc>
          <w:tcPr>
            <w:tcW w:w="3686" w:type="dxa"/>
          </w:tcPr>
          <w:p w14:paraId="7DF66B41" w14:textId="77777777" w:rsidR="00BF4A9E" w:rsidRDefault="00BF4A9E" w:rsidP="00984744">
            <w:pPr>
              <w:autoSpaceDE w:val="0"/>
              <w:autoSpaceDN w:val="0"/>
              <w:adjustRightInd w:val="0"/>
              <w:ind w:hanging="105"/>
              <w:jc w:val="right"/>
              <w:rPr>
                <w:rFonts w:ascii="Calibri" w:hAnsi="Calibri" w:cs="Calibri"/>
                <w:color w:val="000000"/>
                <w:sz w:val="22"/>
                <w:szCs w:val="22"/>
              </w:rPr>
            </w:pPr>
          </w:p>
        </w:tc>
        <w:tc>
          <w:tcPr>
            <w:tcW w:w="284" w:type="dxa"/>
          </w:tcPr>
          <w:p w14:paraId="717D90F9" w14:textId="77777777" w:rsidR="00BF4A9E" w:rsidRDefault="00BF4A9E">
            <w:pPr>
              <w:autoSpaceDE w:val="0"/>
              <w:autoSpaceDN w:val="0"/>
              <w:adjustRightInd w:val="0"/>
              <w:ind w:left="-106"/>
              <w:jc w:val="right"/>
              <w:rPr>
                <w:rFonts w:ascii="Calibri" w:hAnsi="Calibri" w:cs="Calibri"/>
                <w:b/>
                <w:bCs/>
                <w:color w:val="000000"/>
                <w:sz w:val="22"/>
                <w:szCs w:val="22"/>
                <w:highlight w:val="yellow"/>
              </w:rPr>
            </w:pPr>
          </w:p>
        </w:tc>
        <w:tc>
          <w:tcPr>
            <w:tcW w:w="283" w:type="dxa"/>
          </w:tcPr>
          <w:p w14:paraId="792FA41A" w14:textId="77777777" w:rsidR="00BF4A9E" w:rsidRDefault="00BF4A9E">
            <w:pPr>
              <w:autoSpaceDE w:val="0"/>
              <w:autoSpaceDN w:val="0"/>
              <w:adjustRightInd w:val="0"/>
              <w:ind w:left="-112"/>
              <w:jc w:val="right"/>
              <w:rPr>
                <w:rFonts w:ascii="Calibri" w:hAnsi="Calibri" w:cs="Calibri"/>
                <w:bCs/>
                <w:color w:val="000000"/>
                <w:sz w:val="22"/>
                <w:szCs w:val="22"/>
              </w:rPr>
            </w:pPr>
          </w:p>
        </w:tc>
        <w:tc>
          <w:tcPr>
            <w:tcW w:w="1559" w:type="dxa"/>
            <w:shd w:val="clear" w:color="auto" w:fill="FFFF00"/>
          </w:tcPr>
          <w:p w14:paraId="33B77F32" w14:textId="77777777" w:rsidR="00BF4A9E" w:rsidRDefault="00BF4A9E">
            <w:pPr>
              <w:autoSpaceDE w:val="0"/>
              <w:autoSpaceDN w:val="0"/>
              <w:adjustRightInd w:val="0"/>
              <w:ind w:left="-245"/>
              <w:jc w:val="right"/>
              <w:rPr>
                <w:rFonts w:ascii="Calibri" w:hAnsi="Calibri" w:cs="Calibri"/>
                <w:b/>
                <w:bCs/>
                <w:color w:val="000000"/>
                <w:sz w:val="22"/>
                <w:szCs w:val="22"/>
              </w:rPr>
            </w:pPr>
          </w:p>
        </w:tc>
        <w:tc>
          <w:tcPr>
            <w:tcW w:w="1418" w:type="dxa"/>
          </w:tcPr>
          <w:p w14:paraId="21975D7C" w14:textId="77777777" w:rsidR="00BF4A9E" w:rsidRDefault="00BF4A9E">
            <w:pPr>
              <w:autoSpaceDE w:val="0"/>
              <w:autoSpaceDN w:val="0"/>
              <w:adjustRightInd w:val="0"/>
              <w:ind w:left="-245"/>
              <w:jc w:val="right"/>
              <w:rPr>
                <w:rFonts w:ascii="Calibri" w:hAnsi="Calibri" w:cs="Calibri"/>
                <w:b/>
                <w:bCs/>
                <w:color w:val="000000"/>
                <w:sz w:val="22"/>
                <w:szCs w:val="22"/>
              </w:rPr>
            </w:pPr>
          </w:p>
        </w:tc>
        <w:tc>
          <w:tcPr>
            <w:tcW w:w="1514" w:type="dxa"/>
            <w:shd w:val="clear" w:color="auto" w:fill="FFFF00"/>
          </w:tcPr>
          <w:p w14:paraId="46EA19FD" w14:textId="77777777" w:rsidR="00BF4A9E" w:rsidRDefault="00BF4A9E">
            <w:pPr>
              <w:autoSpaceDE w:val="0"/>
              <w:autoSpaceDN w:val="0"/>
              <w:adjustRightInd w:val="0"/>
              <w:ind w:left="-245"/>
              <w:jc w:val="right"/>
              <w:rPr>
                <w:rFonts w:ascii="Calibri" w:hAnsi="Calibri" w:cs="Calibri"/>
                <w:b/>
                <w:bCs/>
                <w:color w:val="000000"/>
                <w:sz w:val="22"/>
                <w:szCs w:val="22"/>
              </w:rPr>
            </w:pPr>
          </w:p>
        </w:tc>
        <w:tc>
          <w:tcPr>
            <w:tcW w:w="1488" w:type="dxa"/>
          </w:tcPr>
          <w:p w14:paraId="1DF3E4BD" w14:textId="77777777" w:rsidR="00BF4A9E" w:rsidRDefault="00BF4A9E" w:rsidP="009C5CA5">
            <w:pPr>
              <w:autoSpaceDE w:val="0"/>
              <w:autoSpaceDN w:val="0"/>
              <w:adjustRightInd w:val="0"/>
              <w:ind w:left="-109" w:right="-81"/>
              <w:jc w:val="right"/>
              <w:rPr>
                <w:rFonts w:ascii="Calibri" w:hAnsi="Calibri" w:cs="Calibri"/>
                <w:bCs/>
                <w:color w:val="000000"/>
                <w:sz w:val="22"/>
                <w:szCs w:val="22"/>
              </w:rPr>
            </w:pPr>
          </w:p>
        </w:tc>
      </w:tr>
      <w:tr w:rsidR="00E6113C" w14:paraId="0EC76063" w14:textId="77777777" w:rsidTr="009C5CA5">
        <w:trPr>
          <w:trHeight w:val="223"/>
        </w:trPr>
        <w:tc>
          <w:tcPr>
            <w:tcW w:w="3686" w:type="dxa"/>
            <w:hideMark/>
          </w:tcPr>
          <w:p w14:paraId="4491AA21" w14:textId="77777777" w:rsidR="00E6113C" w:rsidRPr="005454B4" w:rsidRDefault="00E6113C" w:rsidP="00E6113C">
            <w:pPr>
              <w:autoSpaceDE w:val="0"/>
              <w:autoSpaceDN w:val="0"/>
              <w:adjustRightInd w:val="0"/>
              <w:ind w:hanging="105"/>
              <w:rPr>
                <w:rFonts w:ascii="Calibri" w:hAnsi="Calibri" w:cs="Calibri"/>
                <w:color w:val="000000"/>
                <w:sz w:val="22"/>
                <w:szCs w:val="22"/>
              </w:rPr>
            </w:pPr>
            <w:r w:rsidRPr="005454B4">
              <w:rPr>
                <w:rFonts w:ascii="Calibri" w:hAnsi="Calibri" w:cs="Calibri"/>
                <w:color w:val="000000"/>
                <w:sz w:val="22"/>
                <w:szCs w:val="22"/>
              </w:rPr>
              <w:t>Italy</w:t>
            </w:r>
          </w:p>
        </w:tc>
        <w:tc>
          <w:tcPr>
            <w:tcW w:w="284" w:type="dxa"/>
          </w:tcPr>
          <w:p w14:paraId="233897CB" w14:textId="77777777" w:rsidR="00E6113C" w:rsidRPr="005454B4" w:rsidRDefault="00E6113C" w:rsidP="00E6113C">
            <w:pPr>
              <w:autoSpaceDE w:val="0"/>
              <w:autoSpaceDN w:val="0"/>
              <w:adjustRightInd w:val="0"/>
              <w:jc w:val="right"/>
              <w:rPr>
                <w:rFonts w:ascii="Calibri" w:hAnsi="Calibri" w:cs="Calibri"/>
                <w:b/>
                <w:bCs/>
                <w:color w:val="000000"/>
                <w:sz w:val="22"/>
                <w:szCs w:val="22"/>
              </w:rPr>
            </w:pPr>
          </w:p>
        </w:tc>
        <w:tc>
          <w:tcPr>
            <w:tcW w:w="283" w:type="dxa"/>
          </w:tcPr>
          <w:p w14:paraId="4D241E7D" w14:textId="77777777" w:rsidR="00E6113C" w:rsidRPr="005454B4" w:rsidRDefault="00E6113C" w:rsidP="00E6113C">
            <w:pPr>
              <w:autoSpaceDE w:val="0"/>
              <w:autoSpaceDN w:val="0"/>
              <w:adjustRightInd w:val="0"/>
              <w:jc w:val="right"/>
              <w:rPr>
                <w:rFonts w:ascii="Calibri" w:hAnsi="Calibri" w:cs="Calibri"/>
                <w:bCs/>
                <w:color w:val="000000"/>
                <w:sz w:val="22"/>
                <w:szCs w:val="22"/>
              </w:rPr>
            </w:pPr>
          </w:p>
        </w:tc>
        <w:tc>
          <w:tcPr>
            <w:tcW w:w="1559" w:type="dxa"/>
            <w:shd w:val="clear" w:color="auto" w:fill="FFFF00"/>
          </w:tcPr>
          <w:p w14:paraId="7DB26FC8" w14:textId="77777777" w:rsidR="00E6113C" w:rsidRPr="00FB1F4E" w:rsidRDefault="00531AB4" w:rsidP="00E6113C">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2,400.8</w:t>
            </w:r>
          </w:p>
        </w:tc>
        <w:tc>
          <w:tcPr>
            <w:tcW w:w="1418" w:type="dxa"/>
            <w:hideMark/>
          </w:tcPr>
          <w:p w14:paraId="41774BB5" w14:textId="77777777" w:rsidR="00E6113C" w:rsidRPr="004A2481" w:rsidRDefault="00E6113C" w:rsidP="00E6113C">
            <w:pPr>
              <w:widowControl w:val="0"/>
              <w:autoSpaceDE w:val="0"/>
              <w:autoSpaceDN w:val="0"/>
              <w:adjustRightInd w:val="0"/>
              <w:jc w:val="right"/>
              <w:rPr>
                <w:rFonts w:ascii="Calibri" w:hAnsi="Calibri" w:cs="Calibri"/>
                <w:sz w:val="22"/>
                <w:szCs w:val="22"/>
              </w:rPr>
            </w:pPr>
            <w:r>
              <w:rPr>
                <w:rFonts w:ascii="Calibri" w:hAnsi="Calibri" w:cs="Calibri"/>
                <w:sz w:val="22"/>
                <w:szCs w:val="22"/>
              </w:rPr>
              <w:t>1,998.0</w:t>
            </w:r>
          </w:p>
        </w:tc>
        <w:tc>
          <w:tcPr>
            <w:tcW w:w="1514" w:type="dxa"/>
            <w:shd w:val="clear" w:color="auto" w:fill="FFFF00"/>
          </w:tcPr>
          <w:p w14:paraId="18A048EE" w14:textId="77777777" w:rsidR="00E6113C" w:rsidRPr="00FB1F4E" w:rsidRDefault="00701C83" w:rsidP="00E6113C">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571.3</w:t>
            </w:r>
          </w:p>
        </w:tc>
        <w:tc>
          <w:tcPr>
            <w:tcW w:w="1488" w:type="dxa"/>
            <w:hideMark/>
          </w:tcPr>
          <w:p w14:paraId="581A94B2" w14:textId="77777777" w:rsidR="00E6113C" w:rsidRPr="004A2481" w:rsidRDefault="00E6113C" w:rsidP="00E6113C">
            <w:pPr>
              <w:autoSpaceDE w:val="0"/>
              <w:autoSpaceDN w:val="0"/>
              <w:adjustRightInd w:val="0"/>
              <w:ind w:right="-81"/>
              <w:jc w:val="right"/>
              <w:rPr>
                <w:rFonts w:ascii="Calibri" w:hAnsi="Calibri" w:cs="Calibri"/>
                <w:color w:val="000000"/>
                <w:sz w:val="22"/>
                <w:szCs w:val="22"/>
              </w:rPr>
            </w:pPr>
            <w:r>
              <w:rPr>
                <w:rFonts w:ascii="Calibri" w:hAnsi="Calibri" w:cs="Calibri"/>
                <w:color w:val="000000"/>
                <w:sz w:val="22"/>
                <w:szCs w:val="22"/>
              </w:rPr>
              <w:t>501.1</w:t>
            </w:r>
          </w:p>
        </w:tc>
      </w:tr>
      <w:tr w:rsidR="00E6113C" w14:paraId="300C9485" w14:textId="77777777" w:rsidTr="009C5CA5">
        <w:trPr>
          <w:trHeight w:val="223"/>
        </w:trPr>
        <w:tc>
          <w:tcPr>
            <w:tcW w:w="3686" w:type="dxa"/>
            <w:hideMark/>
          </w:tcPr>
          <w:p w14:paraId="11C962C6" w14:textId="77777777" w:rsidR="00E6113C" w:rsidRPr="005454B4" w:rsidRDefault="00E6113C" w:rsidP="00E6113C">
            <w:pPr>
              <w:autoSpaceDE w:val="0"/>
              <w:autoSpaceDN w:val="0"/>
              <w:adjustRightInd w:val="0"/>
              <w:ind w:hanging="105"/>
              <w:rPr>
                <w:rFonts w:ascii="Calibri" w:hAnsi="Calibri" w:cs="Calibri"/>
                <w:color w:val="000000"/>
                <w:sz w:val="22"/>
                <w:szCs w:val="22"/>
              </w:rPr>
            </w:pPr>
            <w:r w:rsidRPr="005454B4">
              <w:rPr>
                <w:rFonts w:ascii="Calibri" w:hAnsi="Calibri" w:cs="Calibri"/>
                <w:color w:val="000000"/>
                <w:sz w:val="22"/>
                <w:szCs w:val="22"/>
              </w:rPr>
              <w:t>Spain</w:t>
            </w:r>
          </w:p>
        </w:tc>
        <w:tc>
          <w:tcPr>
            <w:tcW w:w="284" w:type="dxa"/>
          </w:tcPr>
          <w:p w14:paraId="75DF113B" w14:textId="77777777" w:rsidR="00E6113C" w:rsidRPr="005454B4" w:rsidRDefault="00E6113C" w:rsidP="00E6113C">
            <w:pPr>
              <w:autoSpaceDE w:val="0"/>
              <w:autoSpaceDN w:val="0"/>
              <w:adjustRightInd w:val="0"/>
              <w:jc w:val="right"/>
              <w:rPr>
                <w:rFonts w:ascii="Calibri" w:hAnsi="Calibri" w:cs="Calibri"/>
                <w:b/>
                <w:bCs/>
                <w:color w:val="000000"/>
                <w:sz w:val="22"/>
                <w:szCs w:val="22"/>
              </w:rPr>
            </w:pPr>
          </w:p>
        </w:tc>
        <w:tc>
          <w:tcPr>
            <w:tcW w:w="283" w:type="dxa"/>
          </w:tcPr>
          <w:p w14:paraId="09A4F355" w14:textId="77777777" w:rsidR="00E6113C" w:rsidRPr="005454B4" w:rsidRDefault="00E6113C" w:rsidP="00E6113C">
            <w:pPr>
              <w:autoSpaceDE w:val="0"/>
              <w:autoSpaceDN w:val="0"/>
              <w:adjustRightInd w:val="0"/>
              <w:jc w:val="right"/>
              <w:rPr>
                <w:rFonts w:ascii="Calibri" w:hAnsi="Calibri" w:cs="Calibri"/>
                <w:bCs/>
                <w:color w:val="000000"/>
                <w:sz w:val="22"/>
                <w:szCs w:val="22"/>
              </w:rPr>
            </w:pPr>
          </w:p>
        </w:tc>
        <w:tc>
          <w:tcPr>
            <w:tcW w:w="1559" w:type="dxa"/>
            <w:shd w:val="clear" w:color="auto" w:fill="FFFF00"/>
          </w:tcPr>
          <w:p w14:paraId="1817B0C4" w14:textId="77777777" w:rsidR="00E6113C" w:rsidRPr="00FB1F4E" w:rsidRDefault="00616DC3" w:rsidP="00E6113C">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2,032.9</w:t>
            </w:r>
          </w:p>
        </w:tc>
        <w:tc>
          <w:tcPr>
            <w:tcW w:w="1418" w:type="dxa"/>
            <w:hideMark/>
          </w:tcPr>
          <w:p w14:paraId="5FE4FB1C" w14:textId="77777777" w:rsidR="00E6113C" w:rsidRPr="004A2481" w:rsidRDefault="00E6113C" w:rsidP="00E6113C">
            <w:pPr>
              <w:widowControl w:val="0"/>
              <w:autoSpaceDE w:val="0"/>
              <w:autoSpaceDN w:val="0"/>
              <w:adjustRightInd w:val="0"/>
              <w:jc w:val="right"/>
              <w:rPr>
                <w:rFonts w:ascii="Calibri" w:hAnsi="Calibri" w:cs="Calibri"/>
                <w:sz w:val="22"/>
                <w:szCs w:val="22"/>
              </w:rPr>
            </w:pPr>
            <w:r>
              <w:rPr>
                <w:rFonts w:ascii="Calibri" w:hAnsi="Calibri" w:cs="Calibri"/>
                <w:sz w:val="22"/>
                <w:szCs w:val="22"/>
              </w:rPr>
              <w:t>1,601.3</w:t>
            </w:r>
          </w:p>
        </w:tc>
        <w:tc>
          <w:tcPr>
            <w:tcW w:w="1514" w:type="dxa"/>
            <w:shd w:val="clear" w:color="auto" w:fill="FFFF00"/>
          </w:tcPr>
          <w:p w14:paraId="6E824BF1" w14:textId="77777777" w:rsidR="00E6113C" w:rsidRPr="00FB1F4E" w:rsidRDefault="00701C83" w:rsidP="00E6113C">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481.8</w:t>
            </w:r>
          </w:p>
        </w:tc>
        <w:tc>
          <w:tcPr>
            <w:tcW w:w="1488" w:type="dxa"/>
            <w:hideMark/>
          </w:tcPr>
          <w:p w14:paraId="17A85689" w14:textId="77777777" w:rsidR="00E6113C" w:rsidRPr="004A2481" w:rsidRDefault="00E6113C" w:rsidP="00E6113C">
            <w:pPr>
              <w:autoSpaceDE w:val="0"/>
              <w:autoSpaceDN w:val="0"/>
              <w:adjustRightInd w:val="0"/>
              <w:ind w:right="-81"/>
              <w:jc w:val="right"/>
              <w:rPr>
                <w:rFonts w:ascii="Calibri" w:hAnsi="Calibri" w:cs="Calibri"/>
                <w:color w:val="000000"/>
                <w:sz w:val="22"/>
                <w:szCs w:val="22"/>
              </w:rPr>
            </w:pPr>
            <w:r>
              <w:rPr>
                <w:rFonts w:ascii="Calibri" w:hAnsi="Calibri" w:cs="Calibri"/>
                <w:color w:val="000000"/>
                <w:sz w:val="22"/>
                <w:szCs w:val="22"/>
              </w:rPr>
              <w:t>399.1</w:t>
            </w:r>
          </w:p>
        </w:tc>
      </w:tr>
      <w:tr w:rsidR="00E6113C" w14:paraId="4EDA9840" w14:textId="77777777" w:rsidTr="009C5CA5">
        <w:trPr>
          <w:trHeight w:val="223"/>
        </w:trPr>
        <w:tc>
          <w:tcPr>
            <w:tcW w:w="3686" w:type="dxa"/>
          </w:tcPr>
          <w:p w14:paraId="6DAA887B" w14:textId="77777777" w:rsidR="00E6113C" w:rsidRPr="005454B4" w:rsidRDefault="00E6113C" w:rsidP="00E6113C">
            <w:pPr>
              <w:autoSpaceDE w:val="0"/>
              <w:autoSpaceDN w:val="0"/>
              <w:adjustRightInd w:val="0"/>
              <w:ind w:hanging="105"/>
              <w:rPr>
                <w:rFonts w:ascii="Calibri" w:hAnsi="Calibri" w:cs="Calibri"/>
                <w:color w:val="000000"/>
                <w:sz w:val="22"/>
                <w:szCs w:val="22"/>
              </w:rPr>
            </w:pPr>
            <w:r w:rsidRPr="005454B4">
              <w:rPr>
                <w:rFonts w:ascii="Calibri" w:hAnsi="Calibri" w:cs="Calibri"/>
                <w:color w:val="000000"/>
                <w:sz w:val="22"/>
                <w:szCs w:val="22"/>
              </w:rPr>
              <w:t>United Kingdom</w:t>
            </w:r>
          </w:p>
        </w:tc>
        <w:tc>
          <w:tcPr>
            <w:tcW w:w="284" w:type="dxa"/>
          </w:tcPr>
          <w:p w14:paraId="4242D28A" w14:textId="77777777" w:rsidR="00E6113C" w:rsidRPr="005454B4" w:rsidRDefault="00E6113C" w:rsidP="00E6113C">
            <w:pPr>
              <w:autoSpaceDE w:val="0"/>
              <w:autoSpaceDN w:val="0"/>
              <w:adjustRightInd w:val="0"/>
              <w:jc w:val="right"/>
              <w:rPr>
                <w:rFonts w:ascii="Calibri" w:hAnsi="Calibri" w:cs="Calibri"/>
                <w:b/>
                <w:bCs/>
                <w:color w:val="000000"/>
                <w:sz w:val="22"/>
                <w:szCs w:val="22"/>
              </w:rPr>
            </w:pPr>
          </w:p>
        </w:tc>
        <w:tc>
          <w:tcPr>
            <w:tcW w:w="283" w:type="dxa"/>
          </w:tcPr>
          <w:p w14:paraId="1893DBB7" w14:textId="77777777" w:rsidR="00E6113C" w:rsidRPr="005454B4" w:rsidRDefault="00E6113C" w:rsidP="00E6113C">
            <w:pPr>
              <w:autoSpaceDE w:val="0"/>
              <w:autoSpaceDN w:val="0"/>
              <w:adjustRightInd w:val="0"/>
              <w:jc w:val="right"/>
              <w:rPr>
                <w:rFonts w:ascii="Calibri" w:hAnsi="Calibri" w:cs="Calibri"/>
                <w:bCs/>
                <w:color w:val="000000"/>
                <w:sz w:val="22"/>
                <w:szCs w:val="22"/>
              </w:rPr>
            </w:pPr>
          </w:p>
        </w:tc>
        <w:tc>
          <w:tcPr>
            <w:tcW w:w="1559" w:type="dxa"/>
            <w:shd w:val="clear" w:color="auto" w:fill="FFFF00"/>
          </w:tcPr>
          <w:p w14:paraId="7B60BE50" w14:textId="77777777" w:rsidR="00E6113C" w:rsidRPr="00FB1F4E" w:rsidRDefault="00616DC3" w:rsidP="00E6113C">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1,686.0</w:t>
            </w:r>
          </w:p>
        </w:tc>
        <w:tc>
          <w:tcPr>
            <w:tcW w:w="1418" w:type="dxa"/>
          </w:tcPr>
          <w:p w14:paraId="4972042A" w14:textId="77777777" w:rsidR="00E6113C" w:rsidRPr="004A2481" w:rsidRDefault="00E6113C" w:rsidP="00E6113C">
            <w:pPr>
              <w:widowControl w:val="0"/>
              <w:autoSpaceDE w:val="0"/>
              <w:autoSpaceDN w:val="0"/>
              <w:adjustRightInd w:val="0"/>
              <w:jc w:val="right"/>
              <w:rPr>
                <w:rFonts w:ascii="Calibri" w:hAnsi="Calibri" w:cs="Calibri"/>
                <w:sz w:val="22"/>
                <w:szCs w:val="22"/>
              </w:rPr>
            </w:pPr>
            <w:r>
              <w:rPr>
                <w:rFonts w:ascii="Calibri" w:hAnsi="Calibri" w:cs="Calibri"/>
                <w:sz w:val="22"/>
                <w:szCs w:val="22"/>
              </w:rPr>
              <w:t>1,301.1</w:t>
            </w:r>
          </w:p>
        </w:tc>
        <w:tc>
          <w:tcPr>
            <w:tcW w:w="1514" w:type="dxa"/>
            <w:shd w:val="clear" w:color="auto" w:fill="FFFF00"/>
          </w:tcPr>
          <w:p w14:paraId="361697E6" w14:textId="77777777" w:rsidR="00E6113C" w:rsidRPr="00FB1F4E" w:rsidRDefault="00701C83" w:rsidP="00E6113C">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418.9</w:t>
            </w:r>
          </w:p>
        </w:tc>
        <w:tc>
          <w:tcPr>
            <w:tcW w:w="1488" w:type="dxa"/>
          </w:tcPr>
          <w:p w14:paraId="1BCE27D3" w14:textId="77777777" w:rsidR="00E6113C" w:rsidRPr="004A2481" w:rsidRDefault="00E6113C" w:rsidP="00E6113C">
            <w:pPr>
              <w:autoSpaceDE w:val="0"/>
              <w:autoSpaceDN w:val="0"/>
              <w:adjustRightInd w:val="0"/>
              <w:ind w:right="-81"/>
              <w:jc w:val="right"/>
              <w:rPr>
                <w:rFonts w:ascii="Calibri" w:hAnsi="Calibri" w:cs="Calibri"/>
                <w:color w:val="000000"/>
                <w:sz w:val="22"/>
                <w:szCs w:val="22"/>
              </w:rPr>
            </w:pPr>
            <w:r>
              <w:rPr>
                <w:rFonts w:ascii="Calibri" w:hAnsi="Calibri" w:cs="Calibri"/>
                <w:color w:val="000000"/>
                <w:sz w:val="22"/>
                <w:szCs w:val="22"/>
              </w:rPr>
              <w:t>351.8</w:t>
            </w:r>
          </w:p>
        </w:tc>
      </w:tr>
      <w:tr w:rsidR="00E6113C" w14:paraId="5F1EEFBB" w14:textId="77777777" w:rsidTr="009C5CA5">
        <w:trPr>
          <w:trHeight w:val="223"/>
        </w:trPr>
        <w:tc>
          <w:tcPr>
            <w:tcW w:w="3686" w:type="dxa"/>
            <w:hideMark/>
          </w:tcPr>
          <w:p w14:paraId="330FBDD8" w14:textId="77777777" w:rsidR="00E6113C" w:rsidRPr="005454B4" w:rsidRDefault="00E6113C" w:rsidP="00E6113C">
            <w:pPr>
              <w:autoSpaceDE w:val="0"/>
              <w:autoSpaceDN w:val="0"/>
              <w:adjustRightInd w:val="0"/>
              <w:ind w:hanging="105"/>
              <w:rPr>
                <w:rFonts w:ascii="Calibri" w:hAnsi="Calibri" w:cs="Calibri"/>
                <w:color w:val="000000"/>
                <w:sz w:val="22"/>
                <w:szCs w:val="22"/>
              </w:rPr>
            </w:pPr>
            <w:r w:rsidRPr="005454B4">
              <w:rPr>
                <w:rFonts w:ascii="Calibri" w:hAnsi="Calibri" w:cs="Calibri"/>
                <w:color w:val="000000"/>
                <w:sz w:val="22"/>
                <w:szCs w:val="22"/>
              </w:rPr>
              <w:t>Ireland</w:t>
            </w:r>
          </w:p>
        </w:tc>
        <w:tc>
          <w:tcPr>
            <w:tcW w:w="284" w:type="dxa"/>
          </w:tcPr>
          <w:p w14:paraId="7DF2E533" w14:textId="77777777" w:rsidR="00E6113C" w:rsidRPr="005454B4" w:rsidRDefault="00E6113C" w:rsidP="00E6113C">
            <w:pPr>
              <w:autoSpaceDE w:val="0"/>
              <w:autoSpaceDN w:val="0"/>
              <w:adjustRightInd w:val="0"/>
              <w:jc w:val="right"/>
              <w:rPr>
                <w:rFonts w:ascii="Calibri" w:hAnsi="Calibri" w:cs="Calibri"/>
                <w:b/>
                <w:bCs/>
                <w:color w:val="000000"/>
                <w:sz w:val="22"/>
                <w:szCs w:val="22"/>
              </w:rPr>
            </w:pPr>
          </w:p>
        </w:tc>
        <w:tc>
          <w:tcPr>
            <w:tcW w:w="283" w:type="dxa"/>
          </w:tcPr>
          <w:p w14:paraId="6A4FDEA5" w14:textId="77777777" w:rsidR="00E6113C" w:rsidRPr="005454B4" w:rsidRDefault="00E6113C" w:rsidP="00E6113C">
            <w:pPr>
              <w:autoSpaceDE w:val="0"/>
              <w:autoSpaceDN w:val="0"/>
              <w:adjustRightInd w:val="0"/>
              <w:jc w:val="right"/>
              <w:rPr>
                <w:rFonts w:ascii="Calibri" w:hAnsi="Calibri" w:cs="Calibri"/>
                <w:bCs/>
                <w:color w:val="000000"/>
                <w:sz w:val="22"/>
                <w:szCs w:val="22"/>
              </w:rPr>
            </w:pPr>
          </w:p>
        </w:tc>
        <w:tc>
          <w:tcPr>
            <w:tcW w:w="1559" w:type="dxa"/>
            <w:shd w:val="clear" w:color="auto" w:fill="FFFF00"/>
          </w:tcPr>
          <w:p w14:paraId="151D495E" w14:textId="77777777" w:rsidR="00E6113C" w:rsidRPr="00FB1F4E" w:rsidRDefault="00616DC3" w:rsidP="00E6113C">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653.9</w:t>
            </w:r>
          </w:p>
        </w:tc>
        <w:tc>
          <w:tcPr>
            <w:tcW w:w="1418" w:type="dxa"/>
            <w:hideMark/>
          </w:tcPr>
          <w:p w14:paraId="1F94646E" w14:textId="77777777" w:rsidR="00E6113C" w:rsidRPr="004A2481" w:rsidRDefault="00E6113C" w:rsidP="00E6113C">
            <w:pPr>
              <w:widowControl w:val="0"/>
              <w:autoSpaceDE w:val="0"/>
              <w:autoSpaceDN w:val="0"/>
              <w:adjustRightInd w:val="0"/>
              <w:jc w:val="right"/>
              <w:rPr>
                <w:rFonts w:ascii="Calibri" w:hAnsi="Calibri" w:cs="Calibri"/>
                <w:sz w:val="22"/>
                <w:szCs w:val="22"/>
              </w:rPr>
            </w:pPr>
            <w:r>
              <w:rPr>
                <w:rFonts w:ascii="Calibri" w:hAnsi="Calibri" w:cs="Calibri"/>
                <w:sz w:val="22"/>
                <w:szCs w:val="22"/>
              </w:rPr>
              <w:t>522.5</w:t>
            </w:r>
          </w:p>
        </w:tc>
        <w:tc>
          <w:tcPr>
            <w:tcW w:w="1514" w:type="dxa"/>
            <w:shd w:val="clear" w:color="auto" w:fill="FFFF00"/>
          </w:tcPr>
          <w:p w14:paraId="1ADD9C2A" w14:textId="77777777" w:rsidR="00E6113C" w:rsidRPr="00FB1F4E" w:rsidRDefault="0041701E" w:rsidP="00E6113C">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163.4</w:t>
            </w:r>
          </w:p>
        </w:tc>
        <w:tc>
          <w:tcPr>
            <w:tcW w:w="1488" w:type="dxa"/>
            <w:hideMark/>
          </w:tcPr>
          <w:p w14:paraId="42BCC6AF" w14:textId="77777777" w:rsidR="00E6113C" w:rsidRPr="004A2481" w:rsidRDefault="00E6113C" w:rsidP="00E6113C">
            <w:pPr>
              <w:autoSpaceDE w:val="0"/>
              <w:autoSpaceDN w:val="0"/>
              <w:adjustRightInd w:val="0"/>
              <w:ind w:right="-81"/>
              <w:jc w:val="right"/>
              <w:rPr>
                <w:rFonts w:ascii="Calibri" w:hAnsi="Calibri" w:cs="Calibri"/>
                <w:color w:val="000000"/>
                <w:sz w:val="22"/>
                <w:szCs w:val="22"/>
              </w:rPr>
            </w:pPr>
            <w:r>
              <w:rPr>
                <w:rFonts w:ascii="Calibri" w:hAnsi="Calibri" w:cs="Calibri"/>
                <w:color w:val="000000"/>
                <w:sz w:val="22"/>
                <w:szCs w:val="22"/>
              </w:rPr>
              <w:t>142.8</w:t>
            </w:r>
          </w:p>
        </w:tc>
      </w:tr>
      <w:tr w:rsidR="00E6113C" w14:paraId="74A9A61F" w14:textId="77777777" w:rsidTr="009C5CA5">
        <w:trPr>
          <w:trHeight w:val="223"/>
        </w:trPr>
        <w:tc>
          <w:tcPr>
            <w:tcW w:w="3686" w:type="dxa"/>
          </w:tcPr>
          <w:p w14:paraId="40DFAFB3" w14:textId="77777777" w:rsidR="00E6113C" w:rsidRPr="005454B4" w:rsidRDefault="00E6113C" w:rsidP="00E6113C">
            <w:pPr>
              <w:autoSpaceDE w:val="0"/>
              <w:autoSpaceDN w:val="0"/>
              <w:adjustRightInd w:val="0"/>
              <w:ind w:hanging="105"/>
              <w:rPr>
                <w:rFonts w:ascii="Calibri" w:hAnsi="Calibri" w:cs="Calibri"/>
                <w:color w:val="000000"/>
                <w:sz w:val="22"/>
                <w:szCs w:val="22"/>
              </w:rPr>
            </w:pPr>
            <w:r w:rsidRPr="005454B4">
              <w:rPr>
                <w:rFonts w:ascii="Calibri" w:hAnsi="Calibri" w:cs="Calibri"/>
                <w:color w:val="000000"/>
                <w:sz w:val="22"/>
                <w:szCs w:val="22"/>
              </w:rPr>
              <w:t xml:space="preserve">Other </w:t>
            </w:r>
          </w:p>
        </w:tc>
        <w:tc>
          <w:tcPr>
            <w:tcW w:w="284" w:type="dxa"/>
          </w:tcPr>
          <w:p w14:paraId="60644CE7" w14:textId="77777777" w:rsidR="00E6113C" w:rsidRPr="005454B4" w:rsidRDefault="00E6113C" w:rsidP="00E6113C">
            <w:pPr>
              <w:autoSpaceDE w:val="0"/>
              <w:autoSpaceDN w:val="0"/>
              <w:adjustRightInd w:val="0"/>
              <w:jc w:val="right"/>
              <w:rPr>
                <w:rFonts w:ascii="Calibri" w:hAnsi="Calibri" w:cs="Calibri"/>
                <w:b/>
                <w:bCs/>
                <w:color w:val="000000"/>
                <w:sz w:val="22"/>
                <w:szCs w:val="22"/>
              </w:rPr>
            </w:pPr>
          </w:p>
        </w:tc>
        <w:tc>
          <w:tcPr>
            <w:tcW w:w="283" w:type="dxa"/>
          </w:tcPr>
          <w:p w14:paraId="02E722D2" w14:textId="77777777" w:rsidR="00E6113C" w:rsidRPr="005454B4" w:rsidRDefault="00E6113C" w:rsidP="00E6113C">
            <w:pPr>
              <w:autoSpaceDE w:val="0"/>
              <w:autoSpaceDN w:val="0"/>
              <w:adjustRightInd w:val="0"/>
              <w:jc w:val="right"/>
              <w:rPr>
                <w:rFonts w:ascii="Calibri" w:hAnsi="Calibri" w:cs="Calibri"/>
                <w:bCs/>
                <w:color w:val="000000"/>
                <w:sz w:val="22"/>
                <w:szCs w:val="22"/>
              </w:rPr>
            </w:pPr>
          </w:p>
        </w:tc>
        <w:tc>
          <w:tcPr>
            <w:tcW w:w="1559" w:type="dxa"/>
            <w:tcBorders>
              <w:top w:val="nil"/>
              <w:left w:val="nil"/>
              <w:bottom w:val="single" w:sz="4" w:space="0" w:color="auto"/>
              <w:right w:val="nil"/>
            </w:tcBorders>
            <w:shd w:val="clear" w:color="auto" w:fill="FFFF00"/>
          </w:tcPr>
          <w:p w14:paraId="782F9127" w14:textId="77777777" w:rsidR="00E6113C" w:rsidRPr="00FB1F4E" w:rsidRDefault="00616DC3" w:rsidP="00E6113C">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4,500.3</w:t>
            </w:r>
          </w:p>
        </w:tc>
        <w:tc>
          <w:tcPr>
            <w:tcW w:w="1418" w:type="dxa"/>
            <w:tcBorders>
              <w:top w:val="nil"/>
              <w:left w:val="nil"/>
              <w:bottom w:val="single" w:sz="4" w:space="0" w:color="auto"/>
              <w:right w:val="nil"/>
            </w:tcBorders>
          </w:tcPr>
          <w:p w14:paraId="53E06E38" w14:textId="77777777" w:rsidR="00E6113C" w:rsidRPr="004A2481" w:rsidRDefault="00E6113C" w:rsidP="00E6113C">
            <w:pPr>
              <w:widowControl w:val="0"/>
              <w:autoSpaceDE w:val="0"/>
              <w:autoSpaceDN w:val="0"/>
              <w:adjustRightInd w:val="0"/>
              <w:jc w:val="right"/>
              <w:rPr>
                <w:rFonts w:ascii="Calibri" w:hAnsi="Calibri" w:cs="Calibri"/>
                <w:sz w:val="22"/>
                <w:szCs w:val="22"/>
              </w:rPr>
            </w:pPr>
            <w:r>
              <w:rPr>
                <w:rFonts w:ascii="Calibri" w:hAnsi="Calibri" w:cs="Calibri"/>
                <w:sz w:val="22"/>
                <w:szCs w:val="22"/>
              </w:rPr>
              <w:t>3,505.3</w:t>
            </w:r>
          </w:p>
        </w:tc>
        <w:tc>
          <w:tcPr>
            <w:tcW w:w="1514" w:type="dxa"/>
            <w:tcBorders>
              <w:top w:val="nil"/>
              <w:left w:val="nil"/>
              <w:bottom w:val="single" w:sz="4" w:space="0" w:color="auto"/>
              <w:right w:val="nil"/>
            </w:tcBorders>
            <w:shd w:val="clear" w:color="auto" w:fill="FFFF00"/>
          </w:tcPr>
          <w:p w14:paraId="63F13E39" w14:textId="77777777" w:rsidR="00E6113C" w:rsidRPr="00FB1F4E" w:rsidRDefault="0041701E" w:rsidP="00E6113C">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1,063.3</w:t>
            </w:r>
          </w:p>
        </w:tc>
        <w:tc>
          <w:tcPr>
            <w:tcW w:w="1488" w:type="dxa"/>
            <w:tcBorders>
              <w:top w:val="nil"/>
              <w:left w:val="nil"/>
              <w:bottom w:val="single" w:sz="4" w:space="0" w:color="auto"/>
              <w:right w:val="nil"/>
            </w:tcBorders>
          </w:tcPr>
          <w:p w14:paraId="38ECEF6B" w14:textId="77777777" w:rsidR="00E6113C" w:rsidRPr="004A2481" w:rsidRDefault="00E6113C" w:rsidP="00E6113C">
            <w:pPr>
              <w:autoSpaceDE w:val="0"/>
              <w:autoSpaceDN w:val="0"/>
              <w:adjustRightInd w:val="0"/>
              <w:ind w:right="-81"/>
              <w:jc w:val="right"/>
              <w:rPr>
                <w:rFonts w:ascii="Calibri" w:hAnsi="Calibri" w:cs="Calibri"/>
                <w:color w:val="000000"/>
                <w:sz w:val="22"/>
                <w:szCs w:val="22"/>
              </w:rPr>
            </w:pPr>
            <w:r>
              <w:rPr>
                <w:rFonts w:ascii="Calibri" w:hAnsi="Calibri" w:cs="Calibri"/>
                <w:color w:val="000000"/>
                <w:sz w:val="22"/>
                <w:szCs w:val="22"/>
              </w:rPr>
              <w:t>917.3</w:t>
            </w:r>
          </w:p>
        </w:tc>
      </w:tr>
      <w:tr w:rsidR="00E6113C" w14:paraId="5F0F4631" w14:textId="77777777" w:rsidTr="009C5CA5">
        <w:trPr>
          <w:trHeight w:val="293"/>
        </w:trPr>
        <w:tc>
          <w:tcPr>
            <w:tcW w:w="3686" w:type="dxa"/>
            <w:hideMark/>
          </w:tcPr>
          <w:p w14:paraId="2B56F3B1" w14:textId="77777777" w:rsidR="00E6113C" w:rsidRPr="005454B4" w:rsidRDefault="00E6113C" w:rsidP="00E6113C">
            <w:pPr>
              <w:autoSpaceDE w:val="0"/>
              <w:autoSpaceDN w:val="0"/>
              <w:adjustRightInd w:val="0"/>
              <w:ind w:hanging="105"/>
              <w:rPr>
                <w:rFonts w:ascii="Calibri" w:hAnsi="Calibri" w:cs="Calibri"/>
                <w:color w:val="000000"/>
                <w:sz w:val="22"/>
                <w:szCs w:val="22"/>
              </w:rPr>
            </w:pPr>
            <w:r w:rsidRPr="005454B4">
              <w:rPr>
                <w:rFonts w:ascii="Calibri" w:hAnsi="Calibri" w:cs="Calibri"/>
                <w:color w:val="000000"/>
                <w:sz w:val="22"/>
                <w:szCs w:val="22"/>
              </w:rPr>
              <w:t>Total revenue</w:t>
            </w:r>
          </w:p>
        </w:tc>
        <w:tc>
          <w:tcPr>
            <w:tcW w:w="284" w:type="dxa"/>
          </w:tcPr>
          <w:p w14:paraId="41CF8DAA" w14:textId="77777777" w:rsidR="00E6113C" w:rsidRPr="005454B4" w:rsidRDefault="00E6113C" w:rsidP="00E6113C">
            <w:pPr>
              <w:autoSpaceDE w:val="0"/>
              <w:autoSpaceDN w:val="0"/>
              <w:adjustRightInd w:val="0"/>
              <w:jc w:val="right"/>
              <w:rPr>
                <w:rFonts w:ascii="Calibri" w:hAnsi="Calibri" w:cs="Calibri"/>
                <w:b/>
                <w:bCs/>
                <w:color w:val="000000"/>
                <w:sz w:val="22"/>
                <w:szCs w:val="22"/>
              </w:rPr>
            </w:pPr>
          </w:p>
        </w:tc>
        <w:tc>
          <w:tcPr>
            <w:tcW w:w="283" w:type="dxa"/>
          </w:tcPr>
          <w:p w14:paraId="527A8DB8" w14:textId="77777777" w:rsidR="00E6113C" w:rsidRPr="005454B4" w:rsidRDefault="00E6113C" w:rsidP="00E6113C">
            <w:pPr>
              <w:autoSpaceDE w:val="0"/>
              <w:autoSpaceDN w:val="0"/>
              <w:adjustRightInd w:val="0"/>
              <w:jc w:val="right"/>
              <w:rPr>
                <w:rFonts w:ascii="Calibri" w:hAnsi="Calibri" w:cs="Calibri"/>
                <w:bCs/>
                <w:color w:val="000000"/>
                <w:sz w:val="22"/>
                <w:szCs w:val="22"/>
              </w:rPr>
            </w:pPr>
          </w:p>
        </w:tc>
        <w:tc>
          <w:tcPr>
            <w:tcW w:w="1559" w:type="dxa"/>
            <w:tcBorders>
              <w:top w:val="single" w:sz="4" w:space="0" w:color="auto"/>
              <w:left w:val="nil"/>
              <w:bottom w:val="single" w:sz="12" w:space="0" w:color="auto"/>
              <w:right w:val="nil"/>
            </w:tcBorders>
            <w:shd w:val="clear" w:color="auto" w:fill="FFFF00"/>
          </w:tcPr>
          <w:p w14:paraId="429BB950" w14:textId="77777777" w:rsidR="00E6113C" w:rsidRPr="005454B4" w:rsidRDefault="00616DC3" w:rsidP="00E6113C">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11,273.9</w:t>
            </w:r>
          </w:p>
        </w:tc>
        <w:tc>
          <w:tcPr>
            <w:tcW w:w="1418" w:type="dxa"/>
            <w:tcBorders>
              <w:top w:val="single" w:sz="4" w:space="0" w:color="auto"/>
              <w:left w:val="nil"/>
              <w:bottom w:val="single" w:sz="12" w:space="0" w:color="auto"/>
              <w:right w:val="nil"/>
            </w:tcBorders>
            <w:hideMark/>
          </w:tcPr>
          <w:p w14:paraId="6B211A5C" w14:textId="77777777" w:rsidR="00E6113C" w:rsidRPr="004A2481" w:rsidRDefault="00E6113C" w:rsidP="00E6113C">
            <w:pPr>
              <w:widowControl w:val="0"/>
              <w:autoSpaceDE w:val="0"/>
              <w:autoSpaceDN w:val="0"/>
              <w:adjustRightInd w:val="0"/>
              <w:jc w:val="right"/>
              <w:rPr>
                <w:rFonts w:ascii="Calibri" w:hAnsi="Calibri" w:cs="Calibri"/>
                <w:sz w:val="22"/>
                <w:szCs w:val="22"/>
              </w:rPr>
            </w:pPr>
            <w:r>
              <w:rPr>
                <w:rFonts w:ascii="Calibri" w:hAnsi="Calibri" w:cs="Calibri"/>
                <w:sz w:val="22"/>
                <w:szCs w:val="22"/>
              </w:rPr>
              <w:t>8,928.2</w:t>
            </w:r>
          </w:p>
        </w:tc>
        <w:tc>
          <w:tcPr>
            <w:tcW w:w="1514" w:type="dxa"/>
            <w:tcBorders>
              <w:top w:val="single" w:sz="4" w:space="0" w:color="auto"/>
              <w:left w:val="nil"/>
              <w:bottom w:val="single" w:sz="12" w:space="0" w:color="auto"/>
              <w:right w:val="nil"/>
            </w:tcBorders>
            <w:shd w:val="clear" w:color="auto" w:fill="FFFF00"/>
          </w:tcPr>
          <w:p w14:paraId="6FFD35A1" w14:textId="77777777" w:rsidR="00E6113C" w:rsidRPr="005454B4" w:rsidRDefault="00701C83" w:rsidP="00E6113C">
            <w:pPr>
              <w:widowControl w:val="0"/>
              <w:autoSpaceDE w:val="0"/>
              <w:autoSpaceDN w:val="0"/>
              <w:adjustRightInd w:val="0"/>
              <w:jc w:val="right"/>
              <w:rPr>
                <w:rFonts w:ascii="Calibri" w:hAnsi="Calibri" w:cs="Calibri"/>
                <w:b/>
                <w:bCs/>
                <w:sz w:val="22"/>
                <w:szCs w:val="22"/>
              </w:rPr>
            </w:pPr>
            <w:r>
              <w:rPr>
                <w:rFonts w:ascii="Calibri" w:hAnsi="Calibri" w:cs="Calibri"/>
                <w:b/>
                <w:bCs/>
                <w:sz w:val="22"/>
                <w:szCs w:val="22"/>
              </w:rPr>
              <w:t>2,698.7</w:t>
            </w:r>
          </w:p>
        </w:tc>
        <w:tc>
          <w:tcPr>
            <w:tcW w:w="1488" w:type="dxa"/>
            <w:tcBorders>
              <w:top w:val="single" w:sz="4" w:space="0" w:color="auto"/>
              <w:left w:val="nil"/>
              <w:bottom w:val="single" w:sz="12" w:space="0" w:color="auto"/>
              <w:right w:val="nil"/>
            </w:tcBorders>
            <w:hideMark/>
          </w:tcPr>
          <w:p w14:paraId="5FFF4537" w14:textId="77777777" w:rsidR="00E6113C" w:rsidRPr="004A2481" w:rsidRDefault="00E6113C" w:rsidP="00E6113C">
            <w:pPr>
              <w:autoSpaceDE w:val="0"/>
              <w:autoSpaceDN w:val="0"/>
              <w:adjustRightInd w:val="0"/>
              <w:ind w:left="-203" w:right="-81"/>
              <w:jc w:val="right"/>
              <w:rPr>
                <w:rFonts w:ascii="Calibri" w:hAnsi="Calibri" w:cs="Calibri"/>
                <w:color w:val="000000"/>
                <w:sz w:val="22"/>
                <w:szCs w:val="22"/>
              </w:rPr>
            </w:pPr>
            <w:r>
              <w:rPr>
                <w:rFonts w:ascii="Calibri" w:hAnsi="Calibri" w:cs="Calibri"/>
                <w:color w:val="000000"/>
                <w:sz w:val="22"/>
                <w:szCs w:val="22"/>
              </w:rPr>
              <w:t>2,312.1</w:t>
            </w:r>
          </w:p>
        </w:tc>
      </w:tr>
    </w:tbl>
    <w:p w14:paraId="68049F43" w14:textId="77777777" w:rsidR="00FB1140" w:rsidRDefault="00FB1140" w:rsidP="00136DF6">
      <w:pPr>
        <w:rPr>
          <w:rFonts w:ascii="Calibri" w:hAnsi="Calibri" w:cs="Calibri"/>
          <w:lang w:val="en-US"/>
        </w:rPr>
      </w:pPr>
    </w:p>
    <w:p w14:paraId="145EC8E6" w14:textId="77777777" w:rsidR="00346E22" w:rsidRPr="00E6113C" w:rsidRDefault="00346E22" w:rsidP="00346E22">
      <w:pPr>
        <w:ind w:right="-143"/>
        <w:jc w:val="both"/>
        <w:rPr>
          <w:rFonts w:ascii="Calibri" w:hAnsi="Calibri" w:cs="Calibri"/>
          <w:sz w:val="22"/>
          <w:szCs w:val="22"/>
        </w:rPr>
      </w:pPr>
      <w:r w:rsidRPr="00E6113C">
        <w:rPr>
          <w:rFonts w:ascii="Calibri" w:hAnsi="Calibri" w:cs="Calibri"/>
          <w:sz w:val="22"/>
          <w:szCs w:val="22"/>
        </w:rPr>
        <w:t xml:space="preserve">Ancillary revenues comprise revenues from non-flight scheduled operations, inflight sales and internet-related services. Non-flight scheduled revenue arises from the sale of </w:t>
      </w:r>
      <w:r w:rsidR="006534C0" w:rsidRPr="00E6113C">
        <w:rPr>
          <w:rFonts w:ascii="Calibri" w:hAnsi="Calibri" w:cs="Calibri"/>
          <w:sz w:val="22"/>
          <w:szCs w:val="22"/>
        </w:rPr>
        <w:t xml:space="preserve">discretionary products such as </w:t>
      </w:r>
      <w:r w:rsidRPr="00E6113C">
        <w:rPr>
          <w:rFonts w:ascii="Calibri" w:hAnsi="Calibri" w:cs="Calibri"/>
          <w:sz w:val="22"/>
          <w:szCs w:val="22"/>
        </w:rPr>
        <w:t>priority boarding, allocated seats, car hire, travel insurance, airport transfers, room reservations and other sources, including excess baggage charges and other fees, all directly attributable to the low-fares business.</w:t>
      </w:r>
    </w:p>
    <w:p w14:paraId="134DE730" w14:textId="77777777" w:rsidR="00346E22" w:rsidRPr="00E6113C" w:rsidRDefault="00346E22" w:rsidP="00346E22">
      <w:pPr>
        <w:ind w:right="-143"/>
        <w:jc w:val="both"/>
        <w:rPr>
          <w:rFonts w:ascii="Calibri" w:hAnsi="Calibri" w:cs="Calibri"/>
          <w:sz w:val="22"/>
          <w:szCs w:val="22"/>
        </w:rPr>
      </w:pPr>
    </w:p>
    <w:p w14:paraId="2EAAE8CA" w14:textId="77777777" w:rsidR="00D00A73" w:rsidRPr="00E6113C" w:rsidRDefault="00346E22" w:rsidP="00D00A73">
      <w:pPr>
        <w:ind w:right="-143"/>
        <w:jc w:val="both"/>
        <w:rPr>
          <w:rFonts w:ascii="Calibri" w:hAnsi="Calibri" w:cs="Calibri"/>
          <w:sz w:val="22"/>
          <w:szCs w:val="22"/>
        </w:rPr>
      </w:pPr>
      <w:r w:rsidRPr="00E6113C">
        <w:rPr>
          <w:rFonts w:ascii="Calibri" w:hAnsi="Calibri" w:cs="Calibri"/>
          <w:sz w:val="22"/>
          <w:szCs w:val="22"/>
        </w:rPr>
        <w:t>The vast majority of ancillary revenue is recognised at a point in time, which is typically the flight date. The economic factors that would impact the nature, amount, timing and uncertainty of revenue and cashflows associated with the provision of passenger travel-related ancillary services are homogeneous across the various component categories within ancillary revenue. Accordingly, there is no further disaggregation of ancillary revenue required in accordance with IFRS 15.</w:t>
      </w:r>
    </w:p>
    <w:p w14:paraId="6DB16ABE" w14:textId="77777777" w:rsidR="00D00A73" w:rsidRPr="00E6113C" w:rsidRDefault="00D00A73" w:rsidP="00D00A73">
      <w:pPr>
        <w:ind w:right="-143"/>
        <w:jc w:val="both"/>
        <w:rPr>
          <w:rFonts w:ascii="Calibri" w:hAnsi="Calibri" w:cs="Calibri"/>
          <w:sz w:val="22"/>
          <w:szCs w:val="22"/>
        </w:rPr>
      </w:pPr>
    </w:p>
    <w:p w14:paraId="4A58E14D" w14:textId="77777777" w:rsidR="00097571" w:rsidRPr="00E6113C" w:rsidRDefault="004A6FF0" w:rsidP="00D00A73">
      <w:pPr>
        <w:ind w:right="-143"/>
        <w:jc w:val="both"/>
        <w:rPr>
          <w:rFonts w:ascii="Calibri" w:hAnsi="Calibri" w:cs="Calibri"/>
          <w:b/>
          <w:sz w:val="22"/>
          <w:szCs w:val="22"/>
        </w:rPr>
      </w:pPr>
      <w:r w:rsidRPr="00E6113C">
        <w:rPr>
          <w:rFonts w:ascii="Calibri" w:hAnsi="Calibri" w:cs="Calibri"/>
          <w:b/>
          <w:sz w:val="22"/>
          <w:szCs w:val="22"/>
        </w:rPr>
        <w:t>8</w:t>
      </w:r>
      <w:r w:rsidR="00097571" w:rsidRPr="00E6113C">
        <w:rPr>
          <w:rFonts w:ascii="Calibri" w:hAnsi="Calibri" w:cs="Calibri"/>
          <w:b/>
          <w:sz w:val="22"/>
          <w:szCs w:val="22"/>
        </w:rPr>
        <w:t>.</w:t>
      </w:r>
      <w:r w:rsidR="00097571" w:rsidRPr="00E6113C">
        <w:rPr>
          <w:rFonts w:ascii="Calibri" w:hAnsi="Calibri" w:cs="Calibri"/>
          <w:b/>
          <w:sz w:val="22"/>
          <w:szCs w:val="22"/>
        </w:rPr>
        <w:tab/>
        <w:t>Property, plant and equipment</w:t>
      </w:r>
      <w:r w:rsidR="009F6FFA" w:rsidRPr="00E6113C">
        <w:rPr>
          <w:rFonts w:ascii="Calibri" w:hAnsi="Calibri" w:cs="Calibri"/>
          <w:b/>
          <w:sz w:val="22"/>
          <w:szCs w:val="22"/>
        </w:rPr>
        <w:t xml:space="preserve"> </w:t>
      </w:r>
    </w:p>
    <w:p w14:paraId="4EC81E90" w14:textId="77777777" w:rsidR="00097571" w:rsidRPr="00E6113C" w:rsidRDefault="00097571" w:rsidP="009C5CA5">
      <w:pPr>
        <w:ind w:right="-143"/>
        <w:rPr>
          <w:rFonts w:ascii="Calibri" w:hAnsi="Calibri" w:cs="Calibri"/>
          <w:lang w:val="en-US"/>
        </w:rPr>
      </w:pPr>
    </w:p>
    <w:p w14:paraId="6E49611D" w14:textId="77777777" w:rsidR="00097571" w:rsidRPr="00E6113C" w:rsidRDefault="00097571" w:rsidP="009C5CA5">
      <w:pPr>
        <w:autoSpaceDE w:val="0"/>
        <w:autoSpaceDN w:val="0"/>
        <w:adjustRightInd w:val="0"/>
        <w:ind w:right="-143"/>
        <w:jc w:val="both"/>
        <w:rPr>
          <w:rFonts w:ascii="Calibri" w:hAnsi="Calibri" w:cs="Calibri"/>
          <w:i/>
          <w:sz w:val="22"/>
          <w:szCs w:val="22"/>
        </w:rPr>
      </w:pPr>
      <w:r w:rsidRPr="00E6113C">
        <w:rPr>
          <w:rFonts w:ascii="Calibri" w:hAnsi="Calibri" w:cs="Calibri"/>
          <w:i/>
          <w:sz w:val="22"/>
          <w:szCs w:val="22"/>
        </w:rPr>
        <w:t>Acquisitions and disposals</w:t>
      </w:r>
    </w:p>
    <w:p w14:paraId="101F7778" w14:textId="77777777" w:rsidR="00984744" w:rsidRPr="00E6113C" w:rsidRDefault="00346E22" w:rsidP="00984744">
      <w:pPr>
        <w:jc w:val="both"/>
        <w:rPr>
          <w:rFonts w:ascii="Calibri" w:hAnsi="Calibri" w:cs="Calibri"/>
          <w:sz w:val="22"/>
          <w:szCs w:val="22"/>
        </w:rPr>
      </w:pPr>
      <w:bookmarkStart w:id="25" w:name="_Hlk155346016"/>
      <w:r w:rsidRPr="00E6113C">
        <w:rPr>
          <w:rFonts w:ascii="Calibri" w:hAnsi="Calibri" w:cs="Calibri"/>
          <w:sz w:val="22"/>
          <w:szCs w:val="22"/>
        </w:rPr>
        <w:t xml:space="preserve">During the period ended </w:t>
      </w:r>
      <w:r w:rsidR="006A0488" w:rsidRPr="00E6113C">
        <w:rPr>
          <w:rFonts w:ascii="Calibri" w:hAnsi="Calibri" w:cs="Calibri"/>
          <w:sz w:val="22"/>
          <w:szCs w:val="22"/>
        </w:rPr>
        <w:t>December 31</w:t>
      </w:r>
      <w:r w:rsidRPr="00E6113C">
        <w:rPr>
          <w:rFonts w:ascii="Calibri" w:hAnsi="Calibri" w:cs="Calibri"/>
          <w:sz w:val="22"/>
          <w:szCs w:val="22"/>
        </w:rPr>
        <w:t>, 2023, net capital additions amounted to €</w:t>
      </w:r>
      <w:r w:rsidR="00DF32E5" w:rsidRPr="00E6113C">
        <w:rPr>
          <w:rFonts w:ascii="Calibri" w:hAnsi="Calibri" w:cs="Calibri"/>
          <w:sz w:val="22"/>
          <w:szCs w:val="22"/>
        </w:rPr>
        <w:t>1.46BN</w:t>
      </w:r>
      <w:r w:rsidRPr="00E6113C">
        <w:rPr>
          <w:rFonts w:ascii="Calibri" w:hAnsi="Calibri" w:cs="Calibri"/>
          <w:sz w:val="22"/>
          <w:szCs w:val="22"/>
        </w:rPr>
        <w:t xml:space="preserve"> principally reflecting aircraft deliveries in the period</w:t>
      </w:r>
      <w:bookmarkEnd w:id="25"/>
      <w:r w:rsidRPr="00E6113C">
        <w:rPr>
          <w:rFonts w:ascii="Calibri" w:hAnsi="Calibri" w:cs="Calibri"/>
          <w:sz w:val="22"/>
          <w:szCs w:val="22"/>
        </w:rPr>
        <w:t xml:space="preserve">, aircraft pre-delivery deposits and capitalised maintenance, offset by supplier reimbursements and favourable </w:t>
      </w:r>
      <w:r w:rsidR="00E94A24" w:rsidRPr="00E6113C">
        <w:rPr>
          <w:rFonts w:ascii="Calibri" w:hAnsi="Calibri" w:cs="Calibri"/>
          <w:sz w:val="22"/>
          <w:szCs w:val="22"/>
        </w:rPr>
        <w:t xml:space="preserve">€/US$ </w:t>
      </w:r>
      <w:r w:rsidRPr="00E6113C">
        <w:rPr>
          <w:rFonts w:ascii="Calibri" w:hAnsi="Calibri" w:cs="Calibri"/>
          <w:sz w:val="22"/>
          <w:szCs w:val="22"/>
        </w:rPr>
        <w:t>hedging.</w:t>
      </w:r>
    </w:p>
    <w:p w14:paraId="2236F9A8" w14:textId="77777777" w:rsidR="00346E22" w:rsidRPr="00E6113C" w:rsidRDefault="00346E22" w:rsidP="00984744">
      <w:pPr>
        <w:jc w:val="both"/>
        <w:rPr>
          <w:rFonts w:ascii="Calibri" w:hAnsi="Calibri" w:cs="Calibri"/>
          <w:sz w:val="22"/>
          <w:szCs w:val="22"/>
        </w:rPr>
      </w:pPr>
    </w:p>
    <w:p w14:paraId="32146B50" w14:textId="77777777" w:rsidR="00346E22" w:rsidRPr="00E6113C" w:rsidRDefault="00346E22" w:rsidP="00346E22">
      <w:pPr>
        <w:jc w:val="both"/>
        <w:rPr>
          <w:sz w:val="22"/>
          <w:szCs w:val="22"/>
        </w:rPr>
      </w:pPr>
      <w:r w:rsidRPr="00E6113C">
        <w:rPr>
          <w:rFonts w:ascii="Calibri" w:hAnsi="Calibri" w:cs="Calibri"/>
          <w:b/>
          <w:sz w:val="22"/>
          <w:szCs w:val="22"/>
          <w:lang w:val="en-US"/>
        </w:rPr>
        <w:t>9.</w:t>
      </w:r>
      <w:r w:rsidRPr="00E6113C">
        <w:rPr>
          <w:rFonts w:ascii="Calibri" w:hAnsi="Calibri" w:cs="Calibri"/>
          <w:b/>
          <w:sz w:val="22"/>
          <w:szCs w:val="22"/>
          <w:lang w:val="en-US"/>
        </w:rPr>
        <w:tab/>
        <w:t>Related party transactions</w:t>
      </w:r>
    </w:p>
    <w:p w14:paraId="5465A843" w14:textId="77777777" w:rsidR="00346E22" w:rsidRPr="00E6113C" w:rsidRDefault="00346E22" w:rsidP="00346E22">
      <w:pPr>
        <w:jc w:val="both"/>
        <w:rPr>
          <w:sz w:val="22"/>
          <w:szCs w:val="22"/>
        </w:rPr>
      </w:pPr>
    </w:p>
    <w:p w14:paraId="5AF50820" w14:textId="77777777" w:rsidR="00346E22" w:rsidRPr="00E6113C" w:rsidRDefault="00346E22" w:rsidP="00346E22">
      <w:pPr>
        <w:jc w:val="both"/>
        <w:rPr>
          <w:rFonts w:ascii="Calibri" w:hAnsi="Calibri" w:cs="Calibri"/>
          <w:sz w:val="22"/>
          <w:szCs w:val="22"/>
        </w:rPr>
      </w:pPr>
      <w:r w:rsidRPr="00E6113C">
        <w:rPr>
          <w:rFonts w:ascii="Calibri" w:hAnsi="Calibri" w:cs="Calibri"/>
          <w:sz w:val="22"/>
          <w:szCs w:val="22"/>
        </w:rPr>
        <w:t>The Company’s related parties comprise its subsidiaries, Directors and key management personnel. All transactions with subsidiaries eliminate on consolidation and are not disclosed.</w:t>
      </w:r>
    </w:p>
    <w:p w14:paraId="0545A226" w14:textId="77777777" w:rsidR="00346E22" w:rsidRPr="00E6113C" w:rsidRDefault="00346E22" w:rsidP="00346E22">
      <w:pPr>
        <w:jc w:val="both"/>
        <w:rPr>
          <w:rFonts w:ascii="Calibri" w:hAnsi="Calibri" w:cs="Calibri"/>
          <w:sz w:val="22"/>
          <w:szCs w:val="22"/>
        </w:rPr>
      </w:pPr>
    </w:p>
    <w:p w14:paraId="5B6A3C35" w14:textId="77777777" w:rsidR="00346E22" w:rsidRPr="00E6113C" w:rsidRDefault="00346E22" w:rsidP="002560B2">
      <w:pPr>
        <w:jc w:val="both"/>
        <w:rPr>
          <w:rFonts w:ascii="Calibri" w:hAnsi="Calibri" w:cs="Calibri"/>
          <w:sz w:val="22"/>
          <w:szCs w:val="22"/>
        </w:rPr>
      </w:pPr>
      <w:r w:rsidRPr="00E6113C">
        <w:rPr>
          <w:rFonts w:ascii="Calibri" w:hAnsi="Calibri" w:cs="Calibri"/>
          <w:sz w:val="22"/>
          <w:szCs w:val="22"/>
        </w:rPr>
        <w:t xml:space="preserve">There were no related party transactions in the </w:t>
      </w:r>
      <w:r w:rsidR="00447634" w:rsidRPr="00E6113C">
        <w:rPr>
          <w:rFonts w:ascii="Calibri" w:hAnsi="Calibri" w:cs="Calibri"/>
          <w:sz w:val="22"/>
          <w:szCs w:val="22"/>
        </w:rPr>
        <w:t>nine month</w:t>
      </w:r>
      <w:r w:rsidR="00475E4E" w:rsidRPr="00E6113C">
        <w:rPr>
          <w:rFonts w:ascii="Calibri" w:hAnsi="Calibri" w:cs="Calibri"/>
          <w:sz w:val="22"/>
          <w:szCs w:val="22"/>
        </w:rPr>
        <w:t>s</w:t>
      </w:r>
      <w:r w:rsidRPr="00E6113C">
        <w:rPr>
          <w:rFonts w:ascii="Calibri" w:hAnsi="Calibri" w:cs="Calibri"/>
          <w:sz w:val="22"/>
          <w:szCs w:val="22"/>
        </w:rPr>
        <w:t xml:space="preserve"> ended </w:t>
      </w:r>
      <w:r w:rsidR="006A0488" w:rsidRPr="00E6113C">
        <w:rPr>
          <w:rFonts w:ascii="Calibri" w:hAnsi="Calibri" w:cs="Calibri"/>
          <w:sz w:val="22"/>
          <w:szCs w:val="22"/>
        </w:rPr>
        <w:t>December 31</w:t>
      </w:r>
      <w:r w:rsidRPr="00E6113C">
        <w:rPr>
          <w:rFonts w:ascii="Calibri" w:hAnsi="Calibri" w:cs="Calibri"/>
          <w:sz w:val="22"/>
          <w:szCs w:val="22"/>
        </w:rPr>
        <w:t>, 2023 that materially affected the financial position or the performance of the Group during that period and there were no changes in the related party transactions described in the 2023 Annual Report that could have a material effect on the financial position or performance of the Group in the same period.</w:t>
      </w:r>
    </w:p>
    <w:p w14:paraId="1594A422" w14:textId="77777777" w:rsidR="002560B2" w:rsidRPr="00E6113C" w:rsidRDefault="002560B2" w:rsidP="002560B2">
      <w:pPr>
        <w:jc w:val="both"/>
        <w:rPr>
          <w:rFonts w:ascii="Calibri" w:hAnsi="Calibri" w:cs="Calibri"/>
          <w:sz w:val="22"/>
          <w:szCs w:val="22"/>
        </w:rPr>
      </w:pPr>
    </w:p>
    <w:p w14:paraId="02696EE4" w14:textId="77777777" w:rsidR="00097571" w:rsidRPr="00E6113C" w:rsidRDefault="00346E22" w:rsidP="002560B2">
      <w:pPr>
        <w:autoSpaceDE w:val="0"/>
        <w:autoSpaceDN w:val="0"/>
        <w:adjustRightInd w:val="0"/>
        <w:ind w:right="-143"/>
        <w:jc w:val="both"/>
        <w:rPr>
          <w:rFonts w:ascii="Calibri" w:hAnsi="Calibri" w:cs="Calibri"/>
          <w:b/>
          <w:sz w:val="22"/>
          <w:szCs w:val="22"/>
        </w:rPr>
      </w:pPr>
      <w:r w:rsidRPr="00E6113C">
        <w:rPr>
          <w:rFonts w:ascii="Calibri" w:hAnsi="Calibri" w:cs="Calibri"/>
          <w:b/>
          <w:sz w:val="22"/>
          <w:szCs w:val="22"/>
        </w:rPr>
        <w:t>10</w:t>
      </w:r>
      <w:r w:rsidR="00097571" w:rsidRPr="00E6113C">
        <w:rPr>
          <w:rFonts w:ascii="Calibri" w:hAnsi="Calibri" w:cs="Calibri"/>
          <w:b/>
          <w:sz w:val="22"/>
          <w:szCs w:val="22"/>
        </w:rPr>
        <w:t>.</w:t>
      </w:r>
      <w:r w:rsidR="00097571" w:rsidRPr="00E6113C">
        <w:rPr>
          <w:rFonts w:ascii="Calibri" w:hAnsi="Calibri" w:cs="Calibri"/>
          <w:sz w:val="22"/>
          <w:szCs w:val="22"/>
        </w:rPr>
        <w:tab/>
      </w:r>
      <w:r w:rsidR="00097571" w:rsidRPr="00E6113C">
        <w:rPr>
          <w:rFonts w:ascii="Calibri" w:hAnsi="Calibri" w:cs="Calibri"/>
          <w:b/>
          <w:sz w:val="22"/>
          <w:szCs w:val="22"/>
        </w:rPr>
        <w:t xml:space="preserve">Financial instruments and financial risk management </w:t>
      </w:r>
    </w:p>
    <w:p w14:paraId="21CFDFB2" w14:textId="77777777" w:rsidR="001B35FF" w:rsidRPr="00E6113C" w:rsidRDefault="001B35FF" w:rsidP="009C5CA5">
      <w:pPr>
        <w:autoSpaceDE w:val="0"/>
        <w:autoSpaceDN w:val="0"/>
        <w:adjustRightInd w:val="0"/>
        <w:ind w:right="-143"/>
        <w:jc w:val="both"/>
        <w:rPr>
          <w:rFonts w:ascii="Calibri" w:eastAsia="Calibri" w:hAnsi="Calibri" w:cs="Calibri"/>
          <w:sz w:val="22"/>
          <w:szCs w:val="22"/>
        </w:rPr>
      </w:pPr>
    </w:p>
    <w:p w14:paraId="3EC5725A" w14:textId="77777777" w:rsidR="00097571" w:rsidRPr="00E6113C" w:rsidRDefault="00097571" w:rsidP="009C5CA5">
      <w:pPr>
        <w:autoSpaceDE w:val="0"/>
        <w:autoSpaceDN w:val="0"/>
        <w:adjustRightInd w:val="0"/>
        <w:ind w:right="-143"/>
        <w:jc w:val="both"/>
        <w:rPr>
          <w:rFonts w:ascii="Calibri" w:eastAsia="Calibri" w:hAnsi="Calibri" w:cs="Calibri"/>
          <w:sz w:val="22"/>
          <w:szCs w:val="22"/>
        </w:rPr>
      </w:pPr>
      <w:r w:rsidRPr="00E6113C">
        <w:rPr>
          <w:rFonts w:ascii="Calibri" w:eastAsia="Calibri" w:hAnsi="Calibri" w:cs="Calibri"/>
          <w:sz w:val="22"/>
          <w:szCs w:val="22"/>
        </w:rPr>
        <w:t xml:space="preserve">The Group is exposed to various financial risks arising in the normal course of business. The Group’s financial risk exposures are predominantly related to </w:t>
      </w:r>
      <w:r w:rsidRPr="00E6113C">
        <w:rPr>
          <w:rFonts w:ascii="Calibri" w:hAnsi="Calibri" w:cs="Calibri"/>
          <w:sz w:val="22"/>
          <w:szCs w:val="22"/>
        </w:rPr>
        <w:t xml:space="preserve">commodity price, foreign exchange and interest rate risks. The Group uses financial instruments to manage exposures arising from these risks. </w:t>
      </w:r>
      <w:r w:rsidRPr="00E6113C">
        <w:rPr>
          <w:rFonts w:ascii="Calibri" w:eastAsia="Calibri" w:hAnsi="Calibri" w:cs="Calibri"/>
          <w:sz w:val="22"/>
          <w:szCs w:val="22"/>
        </w:rPr>
        <w:t xml:space="preserve"> </w:t>
      </w:r>
    </w:p>
    <w:p w14:paraId="37C0CA80" w14:textId="77777777" w:rsidR="00097571" w:rsidRPr="00E6113C" w:rsidRDefault="00097571" w:rsidP="009C5CA5">
      <w:pPr>
        <w:autoSpaceDE w:val="0"/>
        <w:autoSpaceDN w:val="0"/>
        <w:adjustRightInd w:val="0"/>
        <w:ind w:right="-143"/>
        <w:jc w:val="both"/>
        <w:rPr>
          <w:rFonts w:ascii="Calibri" w:eastAsia="Calibri" w:hAnsi="Calibri" w:cs="Calibri"/>
          <w:sz w:val="22"/>
          <w:szCs w:val="22"/>
        </w:rPr>
      </w:pPr>
    </w:p>
    <w:p w14:paraId="7A25683D" w14:textId="77777777" w:rsidR="003F214A" w:rsidRPr="00E6113C" w:rsidRDefault="00097571" w:rsidP="009C5CA5">
      <w:pPr>
        <w:autoSpaceDE w:val="0"/>
        <w:autoSpaceDN w:val="0"/>
        <w:adjustRightInd w:val="0"/>
        <w:ind w:right="-143"/>
        <w:jc w:val="both"/>
        <w:rPr>
          <w:rFonts w:ascii="Calibri" w:hAnsi="Calibri" w:cs="Calibri"/>
          <w:sz w:val="22"/>
          <w:szCs w:val="22"/>
        </w:rPr>
      </w:pPr>
      <w:r w:rsidRPr="00E6113C">
        <w:rPr>
          <w:rFonts w:ascii="Calibri" w:eastAsia="Calibri" w:hAnsi="Calibri" w:cs="Calibri"/>
          <w:sz w:val="22"/>
          <w:szCs w:val="22"/>
        </w:rPr>
        <w:t>These interim financial statements do not include all financial risk management information and disclosures required in the annual financial statements and should be read in conjunction with the 20</w:t>
      </w:r>
      <w:r w:rsidR="00D019C0" w:rsidRPr="00E6113C">
        <w:rPr>
          <w:rFonts w:ascii="Calibri" w:eastAsia="Calibri" w:hAnsi="Calibri" w:cs="Calibri"/>
          <w:sz w:val="22"/>
          <w:szCs w:val="22"/>
        </w:rPr>
        <w:t>2</w:t>
      </w:r>
      <w:r w:rsidR="00346E22" w:rsidRPr="00E6113C">
        <w:rPr>
          <w:rFonts w:ascii="Calibri" w:eastAsia="Calibri" w:hAnsi="Calibri" w:cs="Calibri"/>
          <w:sz w:val="22"/>
          <w:szCs w:val="22"/>
        </w:rPr>
        <w:t>3</w:t>
      </w:r>
      <w:r w:rsidRPr="00E6113C">
        <w:rPr>
          <w:rFonts w:ascii="Calibri" w:eastAsia="Calibri" w:hAnsi="Calibri" w:cs="Calibri"/>
          <w:sz w:val="22"/>
          <w:szCs w:val="22"/>
        </w:rPr>
        <w:t xml:space="preserve"> Annual Report. </w:t>
      </w:r>
      <w:r w:rsidR="00264E71" w:rsidRPr="00E6113C">
        <w:rPr>
          <w:rFonts w:ascii="Calibri" w:hAnsi="Calibri" w:cs="Calibri"/>
          <w:sz w:val="22"/>
          <w:szCs w:val="22"/>
        </w:rPr>
        <w:t>There have been no changes in our risk management policies in the period.</w:t>
      </w:r>
    </w:p>
    <w:p w14:paraId="081CE0E7" w14:textId="77777777" w:rsidR="003F214A" w:rsidRPr="00E6113C" w:rsidRDefault="003F214A" w:rsidP="009C5CA5">
      <w:pPr>
        <w:autoSpaceDE w:val="0"/>
        <w:autoSpaceDN w:val="0"/>
        <w:adjustRightInd w:val="0"/>
        <w:ind w:right="-143"/>
        <w:jc w:val="both"/>
        <w:rPr>
          <w:rFonts w:ascii="Calibri" w:hAnsi="Calibri" w:cs="Calibri"/>
          <w:sz w:val="22"/>
          <w:szCs w:val="22"/>
        </w:rPr>
      </w:pPr>
    </w:p>
    <w:p w14:paraId="56ECB165" w14:textId="77777777" w:rsidR="00097571" w:rsidRPr="00E6113C" w:rsidRDefault="00097571" w:rsidP="009C5CA5">
      <w:pPr>
        <w:autoSpaceDE w:val="0"/>
        <w:autoSpaceDN w:val="0"/>
        <w:adjustRightInd w:val="0"/>
        <w:ind w:right="-143"/>
        <w:jc w:val="both"/>
        <w:rPr>
          <w:rFonts w:ascii="Calibri" w:eastAsia="Calibri" w:hAnsi="Calibri" w:cs="Calibri"/>
          <w:b/>
          <w:bCs/>
          <w:i/>
          <w:iCs/>
          <w:sz w:val="22"/>
          <w:szCs w:val="22"/>
        </w:rPr>
      </w:pPr>
      <w:r w:rsidRPr="00E6113C">
        <w:rPr>
          <w:rFonts w:ascii="Calibri" w:eastAsia="Calibri" w:hAnsi="Calibri" w:cs="Calibri"/>
          <w:b/>
          <w:bCs/>
          <w:i/>
          <w:iCs/>
          <w:sz w:val="22"/>
          <w:szCs w:val="22"/>
        </w:rPr>
        <w:t>Fair value hierarchy</w:t>
      </w:r>
    </w:p>
    <w:p w14:paraId="515E415D" w14:textId="77777777" w:rsidR="00097571" w:rsidRPr="00E6113C" w:rsidRDefault="00097571" w:rsidP="009C5CA5">
      <w:pPr>
        <w:ind w:right="-143"/>
        <w:jc w:val="both"/>
        <w:rPr>
          <w:rFonts w:ascii="Calibri" w:eastAsia="MS Mincho" w:hAnsi="Calibri" w:cs="Calibri"/>
          <w:sz w:val="22"/>
          <w:szCs w:val="22"/>
          <w:lang w:val="en-US"/>
        </w:rPr>
      </w:pPr>
      <w:r w:rsidRPr="00E6113C">
        <w:rPr>
          <w:rFonts w:ascii="Calibri" w:hAnsi="Calibri" w:cs="Calibri"/>
          <w:sz w:val="22"/>
          <w:szCs w:val="22"/>
        </w:rPr>
        <w:t>Financial instruments measured at fair value in the balance sheet are categorised by the type of valuation method used. The different valuation levels are defined as follows:</w:t>
      </w:r>
    </w:p>
    <w:p w14:paraId="27FE662D" w14:textId="77777777" w:rsidR="00097571" w:rsidRPr="00E6113C" w:rsidRDefault="00097571" w:rsidP="009C5CA5">
      <w:pPr>
        <w:numPr>
          <w:ilvl w:val="0"/>
          <w:numId w:val="5"/>
        </w:numPr>
        <w:autoSpaceDE w:val="0"/>
        <w:autoSpaceDN w:val="0"/>
        <w:adjustRightInd w:val="0"/>
        <w:ind w:left="426" w:right="-143" w:hanging="426"/>
        <w:jc w:val="both"/>
        <w:rPr>
          <w:rFonts w:ascii="Calibri" w:hAnsi="Calibri" w:cs="Calibri"/>
          <w:sz w:val="22"/>
          <w:szCs w:val="22"/>
          <w:lang w:val="en-US"/>
        </w:rPr>
      </w:pPr>
      <w:r w:rsidRPr="00E6113C">
        <w:rPr>
          <w:rFonts w:ascii="Calibri" w:hAnsi="Calibri" w:cs="Calibri"/>
          <w:sz w:val="22"/>
          <w:szCs w:val="22"/>
          <w:lang w:val="en-US"/>
        </w:rPr>
        <w:t>Level 1: quoted prices (unadjusted) in active markets for identical assets or liabilities that the Group can access at the measurement date.</w:t>
      </w:r>
    </w:p>
    <w:p w14:paraId="65A29A92" w14:textId="77777777" w:rsidR="00097571" w:rsidRPr="00E6113C" w:rsidRDefault="00097571" w:rsidP="009C5CA5">
      <w:pPr>
        <w:numPr>
          <w:ilvl w:val="0"/>
          <w:numId w:val="5"/>
        </w:numPr>
        <w:autoSpaceDE w:val="0"/>
        <w:autoSpaceDN w:val="0"/>
        <w:adjustRightInd w:val="0"/>
        <w:ind w:left="426" w:right="-143" w:hanging="426"/>
        <w:jc w:val="both"/>
        <w:rPr>
          <w:rFonts w:ascii="Calibri" w:hAnsi="Calibri" w:cs="Calibri"/>
          <w:sz w:val="22"/>
          <w:szCs w:val="22"/>
          <w:lang w:val="en-US"/>
        </w:rPr>
      </w:pPr>
      <w:r w:rsidRPr="00E6113C">
        <w:rPr>
          <w:rFonts w:ascii="Calibri" w:hAnsi="Calibri" w:cs="Calibri"/>
          <w:sz w:val="22"/>
          <w:szCs w:val="22"/>
          <w:lang w:val="en-US"/>
        </w:rPr>
        <w:t>Level 2: inputs other than quoted prices included within Level 1 that are observable for that asset or liability, either directly or indirectly.</w:t>
      </w:r>
    </w:p>
    <w:p w14:paraId="2A10C528" w14:textId="77777777" w:rsidR="00984744" w:rsidRPr="00E6113C" w:rsidRDefault="00097571" w:rsidP="009C5CA5">
      <w:pPr>
        <w:numPr>
          <w:ilvl w:val="0"/>
          <w:numId w:val="5"/>
        </w:numPr>
        <w:autoSpaceDE w:val="0"/>
        <w:autoSpaceDN w:val="0"/>
        <w:adjustRightInd w:val="0"/>
        <w:ind w:left="426" w:right="-143" w:hanging="426"/>
        <w:jc w:val="both"/>
        <w:rPr>
          <w:rFonts w:ascii="Calibri" w:eastAsia="Calibri" w:hAnsi="Calibri" w:cs="Calibri"/>
          <w:b/>
          <w:bCs/>
          <w:i/>
          <w:iCs/>
          <w:sz w:val="22"/>
          <w:szCs w:val="22"/>
        </w:rPr>
      </w:pPr>
      <w:r w:rsidRPr="00E6113C">
        <w:rPr>
          <w:rFonts w:ascii="Calibri" w:hAnsi="Calibri" w:cs="Calibri"/>
          <w:sz w:val="22"/>
          <w:szCs w:val="22"/>
          <w:lang w:val="en-US"/>
        </w:rPr>
        <w:t>Level 3: significant unobservable inputs for the asset or liability.</w:t>
      </w:r>
    </w:p>
    <w:p w14:paraId="60685B82" w14:textId="77777777" w:rsidR="00984744" w:rsidRPr="00E6113C" w:rsidRDefault="00984744" w:rsidP="009C5CA5">
      <w:pPr>
        <w:autoSpaceDE w:val="0"/>
        <w:autoSpaceDN w:val="0"/>
        <w:adjustRightInd w:val="0"/>
        <w:ind w:right="-143"/>
        <w:jc w:val="both"/>
        <w:rPr>
          <w:rFonts w:ascii="Calibri" w:hAnsi="Calibri" w:cs="Calibri"/>
          <w:sz w:val="22"/>
          <w:szCs w:val="22"/>
          <w:lang w:val="en-US"/>
        </w:rPr>
      </w:pPr>
    </w:p>
    <w:p w14:paraId="1E8B6B1C" w14:textId="77777777" w:rsidR="00097571" w:rsidRPr="00E6113C" w:rsidRDefault="00097571" w:rsidP="009C5CA5">
      <w:pPr>
        <w:autoSpaceDE w:val="0"/>
        <w:autoSpaceDN w:val="0"/>
        <w:adjustRightInd w:val="0"/>
        <w:ind w:right="-143"/>
        <w:jc w:val="both"/>
        <w:rPr>
          <w:rFonts w:ascii="Calibri" w:eastAsia="Calibri" w:hAnsi="Calibri" w:cs="Calibri"/>
          <w:b/>
          <w:bCs/>
          <w:i/>
          <w:iCs/>
          <w:sz w:val="22"/>
          <w:szCs w:val="22"/>
        </w:rPr>
      </w:pPr>
      <w:r w:rsidRPr="00E6113C">
        <w:rPr>
          <w:rFonts w:ascii="Calibri" w:eastAsia="Calibri" w:hAnsi="Calibri" w:cs="Calibri"/>
          <w:b/>
          <w:bCs/>
          <w:i/>
          <w:iCs/>
          <w:sz w:val="22"/>
          <w:szCs w:val="22"/>
        </w:rPr>
        <w:t>Fair value estimation</w:t>
      </w:r>
    </w:p>
    <w:p w14:paraId="6598E5B0" w14:textId="77777777" w:rsidR="00984744" w:rsidRPr="00E6113C" w:rsidRDefault="00097571" w:rsidP="009C5CA5">
      <w:pPr>
        <w:pStyle w:val="CG-SingleSp05s2"/>
        <w:spacing w:after="0"/>
        <w:ind w:right="-143" w:firstLine="0"/>
        <w:rPr>
          <w:rFonts w:ascii="Calibri" w:hAnsi="Calibri" w:cs="Calibri"/>
          <w:szCs w:val="22"/>
        </w:rPr>
      </w:pPr>
      <w:r w:rsidRPr="00E6113C">
        <w:rPr>
          <w:rFonts w:ascii="Calibri" w:hAnsi="Calibri" w:cs="Calibri"/>
          <w:szCs w:val="22"/>
        </w:rPr>
        <w:t>Fair value is the price that would be received to sell an asset, or paid to transfer a liability, in an orderly transaction between market participants at the measurement date. The following methods and assumptions were used to estimate the fair value of each material class of the Group’s financial instruments:</w:t>
      </w:r>
    </w:p>
    <w:p w14:paraId="35B08CF2" w14:textId="77777777" w:rsidR="00BD2DAC" w:rsidRPr="00E6113C" w:rsidRDefault="00BD2DAC" w:rsidP="00984744">
      <w:pPr>
        <w:pStyle w:val="CG-SingleSp05s2"/>
        <w:spacing w:after="0"/>
        <w:ind w:firstLine="0"/>
        <w:rPr>
          <w:rFonts w:ascii="Calibri" w:hAnsi="Calibri" w:cs="Calibri"/>
          <w:i/>
          <w:szCs w:val="22"/>
        </w:rPr>
      </w:pPr>
    </w:p>
    <w:p w14:paraId="511BEAFE" w14:textId="77777777" w:rsidR="00097571" w:rsidRPr="00E6113C" w:rsidRDefault="00097571" w:rsidP="009C5CA5">
      <w:pPr>
        <w:pStyle w:val="CG-SingleSp05s2"/>
        <w:spacing w:after="0"/>
        <w:ind w:right="-143" w:firstLine="0"/>
        <w:rPr>
          <w:rFonts w:ascii="Calibri" w:hAnsi="Calibri" w:cs="Calibri"/>
          <w:i/>
          <w:szCs w:val="22"/>
        </w:rPr>
      </w:pPr>
      <w:r w:rsidRPr="00E6113C">
        <w:rPr>
          <w:rFonts w:ascii="Calibri" w:hAnsi="Calibri" w:cs="Calibri"/>
          <w:i/>
          <w:szCs w:val="22"/>
        </w:rPr>
        <w:t>Financial instruments measured at fair value</w:t>
      </w:r>
    </w:p>
    <w:p w14:paraId="3712EC43" w14:textId="77777777" w:rsidR="00984744" w:rsidRPr="00E6113C" w:rsidRDefault="00984744" w:rsidP="009C5CA5">
      <w:pPr>
        <w:pStyle w:val="CG-SingleSp05s2"/>
        <w:spacing w:after="0"/>
        <w:ind w:right="-143" w:firstLine="0"/>
        <w:rPr>
          <w:rFonts w:ascii="Calibri" w:hAnsi="Calibri" w:cs="Calibri"/>
          <w:i/>
          <w:szCs w:val="22"/>
        </w:rPr>
      </w:pPr>
    </w:p>
    <w:p w14:paraId="6BFEA5F2" w14:textId="77777777" w:rsidR="00097571" w:rsidRPr="00E6113C" w:rsidRDefault="00097571" w:rsidP="00502376">
      <w:pPr>
        <w:pStyle w:val="CG-SingleSp05s2"/>
        <w:numPr>
          <w:ilvl w:val="0"/>
          <w:numId w:val="3"/>
        </w:numPr>
        <w:tabs>
          <w:tab w:val="clear" w:pos="340"/>
          <w:tab w:val="left" w:pos="-284"/>
          <w:tab w:val="num" w:pos="426"/>
        </w:tabs>
        <w:snapToGrid w:val="0"/>
        <w:spacing w:after="0"/>
        <w:ind w:left="426" w:right="-143" w:hanging="426"/>
        <w:rPr>
          <w:rFonts w:ascii="Calibri" w:hAnsi="Calibri" w:cs="Calibri"/>
          <w:szCs w:val="22"/>
        </w:rPr>
      </w:pPr>
      <w:r w:rsidRPr="00E6113C">
        <w:rPr>
          <w:rFonts w:ascii="Calibri" w:hAnsi="Calibri" w:cs="Calibri"/>
          <w:b/>
          <w:bCs/>
          <w:szCs w:val="22"/>
        </w:rPr>
        <w:t xml:space="preserve">Derivatives – interest rate swaps: </w:t>
      </w:r>
      <w:r w:rsidR="003022F1" w:rsidRPr="00E6113C">
        <w:rPr>
          <w:rFonts w:ascii="Calibri" w:hAnsi="Calibri" w:cs="Calibri"/>
          <w:szCs w:val="22"/>
        </w:rPr>
        <w:t>Discounted cash-flow analyses have been used to determine their fair value, taking into account current market inputs and rates. The Group’s credit risk and counterparty’s credit risk is taken into account when establishing fair value (Level 2).</w:t>
      </w:r>
    </w:p>
    <w:p w14:paraId="23312C6D" w14:textId="77777777" w:rsidR="00CA278A" w:rsidRPr="00E6113C" w:rsidRDefault="00CA278A" w:rsidP="00502376">
      <w:pPr>
        <w:pStyle w:val="CG-SingleSp05s2"/>
        <w:numPr>
          <w:ilvl w:val="0"/>
          <w:numId w:val="3"/>
        </w:numPr>
        <w:tabs>
          <w:tab w:val="clear" w:pos="340"/>
          <w:tab w:val="num" w:pos="-284"/>
          <w:tab w:val="num" w:pos="426"/>
        </w:tabs>
        <w:snapToGrid w:val="0"/>
        <w:spacing w:after="0"/>
        <w:ind w:left="426" w:right="-143" w:hanging="426"/>
        <w:rPr>
          <w:rFonts w:ascii="Calibri" w:hAnsi="Calibri" w:cs="Calibri"/>
          <w:szCs w:val="22"/>
        </w:rPr>
      </w:pPr>
      <w:r w:rsidRPr="00E6113C">
        <w:rPr>
          <w:rFonts w:ascii="Calibri" w:hAnsi="Calibri" w:cs="Calibri"/>
          <w:b/>
          <w:bCs/>
          <w:szCs w:val="22"/>
        </w:rPr>
        <w:t xml:space="preserve">Derivatives – currency forwards, </w:t>
      </w:r>
      <w:r w:rsidR="00264E71" w:rsidRPr="00E6113C">
        <w:rPr>
          <w:rFonts w:ascii="Calibri" w:hAnsi="Calibri" w:cs="Calibri"/>
          <w:b/>
          <w:bCs/>
          <w:szCs w:val="22"/>
        </w:rPr>
        <w:t>jet fuel forward contracts and carbon</w:t>
      </w:r>
      <w:r w:rsidRPr="00E6113C">
        <w:rPr>
          <w:rFonts w:ascii="Calibri" w:hAnsi="Calibri" w:cs="Calibri"/>
          <w:b/>
          <w:bCs/>
          <w:szCs w:val="22"/>
        </w:rPr>
        <w:t xml:space="preserve"> contracts: </w:t>
      </w:r>
      <w:r w:rsidR="003022F1" w:rsidRPr="00E6113C">
        <w:rPr>
          <w:rFonts w:ascii="Calibri" w:hAnsi="Calibri" w:cs="Calibri"/>
          <w:szCs w:val="22"/>
        </w:rPr>
        <w:t xml:space="preserve">A comparison of the contracted rate to the market rate for contracts providing a similar risk profile at </w:t>
      </w:r>
      <w:r w:rsidR="006A0488" w:rsidRPr="00E6113C">
        <w:rPr>
          <w:rFonts w:ascii="Calibri" w:hAnsi="Calibri" w:cs="Calibri"/>
          <w:szCs w:val="22"/>
        </w:rPr>
        <w:t>December 31</w:t>
      </w:r>
      <w:r w:rsidR="003022F1" w:rsidRPr="00E6113C">
        <w:rPr>
          <w:rFonts w:ascii="Calibri" w:hAnsi="Calibri" w:cs="Calibri"/>
          <w:szCs w:val="22"/>
        </w:rPr>
        <w:t>, 202</w:t>
      </w:r>
      <w:r w:rsidR="00346E22" w:rsidRPr="00E6113C">
        <w:rPr>
          <w:rFonts w:ascii="Calibri" w:hAnsi="Calibri" w:cs="Calibri"/>
          <w:szCs w:val="22"/>
        </w:rPr>
        <w:t>3</w:t>
      </w:r>
      <w:r w:rsidR="003022F1" w:rsidRPr="00E6113C">
        <w:rPr>
          <w:rFonts w:ascii="Calibri" w:hAnsi="Calibri" w:cs="Calibri"/>
          <w:szCs w:val="22"/>
        </w:rPr>
        <w:t xml:space="preserve"> has been used to establish fair value. The Group’s credit risk and counterparty’s credit risk is taken into account when establishing fair value (Level 2).</w:t>
      </w:r>
    </w:p>
    <w:p w14:paraId="308220A6" w14:textId="77777777" w:rsidR="00BD1B5D" w:rsidRPr="00E6113C" w:rsidRDefault="00CA278A" w:rsidP="00502376">
      <w:pPr>
        <w:pStyle w:val="CG-SingleSp05s2"/>
        <w:numPr>
          <w:ilvl w:val="0"/>
          <w:numId w:val="3"/>
        </w:numPr>
        <w:tabs>
          <w:tab w:val="clear" w:pos="340"/>
          <w:tab w:val="num" w:pos="-284"/>
          <w:tab w:val="num" w:pos="426"/>
        </w:tabs>
        <w:autoSpaceDE w:val="0"/>
        <w:autoSpaceDN w:val="0"/>
        <w:adjustRightInd w:val="0"/>
        <w:snapToGrid w:val="0"/>
        <w:spacing w:after="0" w:line="300" w:lineRule="exact"/>
        <w:ind w:left="426" w:right="-143" w:hanging="426"/>
        <w:rPr>
          <w:rFonts w:ascii="Calibri" w:hAnsi="Calibri" w:cs="Calibri"/>
          <w:szCs w:val="22"/>
        </w:rPr>
      </w:pPr>
      <w:r w:rsidRPr="00E6113C">
        <w:rPr>
          <w:rFonts w:ascii="Calibri" w:hAnsi="Calibri" w:cs="Calibri"/>
          <w:b/>
          <w:bCs/>
          <w:szCs w:val="22"/>
        </w:rPr>
        <w:t xml:space="preserve">Derivatives – </w:t>
      </w:r>
      <w:r w:rsidR="00264E71" w:rsidRPr="00E6113C">
        <w:rPr>
          <w:rFonts w:ascii="Calibri" w:hAnsi="Calibri" w:cs="Calibri"/>
          <w:b/>
          <w:bCs/>
          <w:szCs w:val="22"/>
        </w:rPr>
        <w:t>jet fuel call</w:t>
      </w:r>
      <w:r w:rsidRPr="00E6113C">
        <w:rPr>
          <w:rFonts w:ascii="Calibri" w:hAnsi="Calibri" w:cs="Calibri"/>
          <w:b/>
          <w:bCs/>
          <w:szCs w:val="22"/>
        </w:rPr>
        <w:t xml:space="preserve"> options:</w:t>
      </w:r>
      <w:r w:rsidRPr="00E6113C">
        <w:rPr>
          <w:rFonts w:ascii="Calibri" w:hAnsi="Calibri" w:cs="Calibri"/>
          <w:szCs w:val="22"/>
        </w:rPr>
        <w:t xml:space="preserve"> </w:t>
      </w:r>
      <w:r w:rsidR="00FA26A4" w:rsidRPr="00E6113C">
        <w:rPr>
          <w:rFonts w:ascii="Calibri" w:hAnsi="Calibri" w:cs="Calibri"/>
          <w:szCs w:val="22"/>
        </w:rPr>
        <w:t>The fair value of jet fuel call options is determined based on standard option pricing valuation models (Level 2).</w:t>
      </w:r>
    </w:p>
    <w:p w14:paraId="0B2B4BFC" w14:textId="77777777" w:rsidR="001B35FF" w:rsidRPr="00E6113C" w:rsidRDefault="001B35FF" w:rsidP="009C5CA5">
      <w:pPr>
        <w:pStyle w:val="CG-SingleSp05s2"/>
        <w:tabs>
          <w:tab w:val="num" w:pos="426"/>
        </w:tabs>
        <w:autoSpaceDE w:val="0"/>
        <w:autoSpaceDN w:val="0"/>
        <w:adjustRightInd w:val="0"/>
        <w:snapToGrid w:val="0"/>
        <w:spacing w:after="0"/>
        <w:ind w:left="426" w:right="-143" w:hanging="426"/>
        <w:rPr>
          <w:rFonts w:ascii="Calibri" w:hAnsi="Calibri" w:cs="Calibri"/>
          <w:bCs/>
          <w:iCs/>
          <w:szCs w:val="22"/>
        </w:rPr>
      </w:pPr>
    </w:p>
    <w:p w14:paraId="170EC78F" w14:textId="77777777" w:rsidR="007F460F" w:rsidRPr="00E6113C" w:rsidRDefault="00097571" w:rsidP="009C5CA5">
      <w:pPr>
        <w:pStyle w:val="CG-SingleSp05s2"/>
        <w:tabs>
          <w:tab w:val="num" w:pos="0"/>
        </w:tabs>
        <w:autoSpaceDE w:val="0"/>
        <w:autoSpaceDN w:val="0"/>
        <w:adjustRightInd w:val="0"/>
        <w:snapToGrid w:val="0"/>
        <w:spacing w:after="0"/>
        <w:ind w:right="-143" w:firstLine="0"/>
        <w:rPr>
          <w:rFonts w:ascii="Calibri" w:hAnsi="Calibri" w:cs="Calibri"/>
          <w:bCs/>
          <w:iCs/>
          <w:szCs w:val="22"/>
        </w:rPr>
      </w:pPr>
      <w:r w:rsidRPr="00E6113C">
        <w:rPr>
          <w:rFonts w:ascii="Calibri" w:hAnsi="Calibri" w:cs="Calibri"/>
          <w:bCs/>
          <w:iCs/>
          <w:szCs w:val="22"/>
        </w:rPr>
        <w:t xml:space="preserve">The Group policy is to recognise any transfers between levels of the fair value hierarchy as of the end of the reporting period during which the transfer occurred. During the </w:t>
      </w:r>
      <w:r w:rsidR="00475E4E" w:rsidRPr="00E6113C">
        <w:rPr>
          <w:rFonts w:ascii="Calibri" w:hAnsi="Calibri" w:cs="Calibri"/>
          <w:bCs/>
          <w:iCs/>
          <w:szCs w:val="22"/>
        </w:rPr>
        <w:t xml:space="preserve">nine months </w:t>
      </w:r>
      <w:r w:rsidRPr="00E6113C">
        <w:rPr>
          <w:rFonts w:ascii="Calibri" w:hAnsi="Calibri" w:cs="Calibri"/>
          <w:bCs/>
          <w:iCs/>
          <w:szCs w:val="22"/>
        </w:rPr>
        <w:t xml:space="preserve">ended </w:t>
      </w:r>
      <w:r w:rsidR="006A0488" w:rsidRPr="00E6113C">
        <w:rPr>
          <w:rFonts w:ascii="Calibri" w:hAnsi="Calibri" w:cs="Calibri"/>
          <w:bCs/>
          <w:iCs/>
          <w:szCs w:val="22"/>
        </w:rPr>
        <w:t>December 31</w:t>
      </w:r>
      <w:r w:rsidRPr="00E6113C">
        <w:rPr>
          <w:rFonts w:ascii="Calibri" w:hAnsi="Calibri" w:cs="Calibri"/>
          <w:bCs/>
          <w:iCs/>
          <w:szCs w:val="22"/>
        </w:rPr>
        <w:t>, 202</w:t>
      </w:r>
      <w:r w:rsidR="007D493D" w:rsidRPr="00E6113C">
        <w:rPr>
          <w:rFonts w:ascii="Calibri" w:hAnsi="Calibri" w:cs="Calibri"/>
          <w:bCs/>
          <w:iCs/>
          <w:szCs w:val="22"/>
        </w:rPr>
        <w:t>3</w:t>
      </w:r>
      <w:r w:rsidRPr="00E6113C">
        <w:rPr>
          <w:rFonts w:ascii="Calibri" w:hAnsi="Calibri" w:cs="Calibri"/>
          <w:bCs/>
          <w:iCs/>
          <w:szCs w:val="22"/>
        </w:rPr>
        <w:t>, there were no reclassifications of financial instruments and no transfers between levels of the fair value hierarchy used in measuring the fair value of financial instruments.</w:t>
      </w:r>
    </w:p>
    <w:p w14:paraId="2D0A7797" w14:textId="77777777" w:rsidR="00984744" w:rsidRPr="00E6113C" w:rsidRDefault="00984744" w:rsidP="009C5CA5">
      <w:pPr>
        <w:pStyle w:val="CG-SingleSp05s2"/>
        <w:autoSpaceDE w:val="0"/>
        <w:autoSpaceDN w:val="0"/>
        <w:adjustRightInd w:val="0"/>
        <w:snapToGrid w:val="0"/>
        <w:spacing w:after="0"/>
        <w:ind w:right="-143" w:firstLine="0"/>
        <w:rPr>
          <w:rFonts w:ascii="Calibri" w:hAnsi="Calibri" w:cs="Calibri"/>
          <w:bCs/>
          <w:iCs/>
          <w:szCs w:val="22"/>
        </w:rPr>
      </w:pPr>
    </w:p>
    <w:p w14:paraId="059AB001" w14:textId="77777777" w:rsidR="00097571" w:rsidRPr="00E6113C" w:rsidRDefault="00097571" w:rsidP="009C5CA5">
      <w:pPr>
        <w:pStyle w:val="ListParagraph"/>
        <w:autoSpaceDE w:val="0"/>
        <w:autoSpaceDN w:val="0"/>
        <w:adjustRightInd w:val="0"/>
        <w:ind w:left="0" w:right="-143"/>
        <w:jc w:val="both"/>
        <w:rPr>
          <w:rFonts w:ascii="Calibri" w:hAnsi="Calibri" w:cs="Calibri"/>
          <w:i/>
          <w:sz w:val="22"/>
          <w:szCs w:val="22"/>
        </w:rPr>
      </w:pPr>
      <w:r w:rsidRPr="00E6113C">
        <w:rPr>
          <w:rFonts w:ascii="Calibri" w:hAnsi="Calibri" w:cs="Calibri"/>
          <w:i/>
          <w:sz w:val="22"/>
          <w:szCs w:val="22"/>
        </w:rPr>
        <w:t>Financial instruments not measured at fair value</w:t>
      </w:r>
    </w:p>
    <w:p w14:paraId="1A5EC92B" w14:textId="77777777" w:rsidR="00984744" w:rsidRPr="00E6113C" w:rsidRDefault="00984744" w:rsidP="009C5CA5">
      <w:pPr>
        <w:pStyle w:val="ListParagraph"/>
        <w:autoSpaceDE w:val="0"/>
        <w:autoSpaceDN w:val="0"/>
        <w:adjustRightInd w:val="0"/>
        <w:ind w:left="0" w:right="-143"/>
        <w:jc w:val="both"/>
        <w:rPr>
          <w:rFonts w:ascii="Calibri" w:hAnsi="Calibri" w:cs="Calibri"/>
          <w:i/>
          <w:sz w:val="22"/>
          <w:szCs w:val="22"/>
        </w:rPr>
      </w:pPr>
    </w:p>
    <w:p w14:paraId="41582FF1" w14:textId="77777777" w:rsidR="00BD1B5D" w:rsidRPr="00E6113C" w:rsidRDefault="00097571" w:rsidP="009C5CA5">
      <w:pPr>
        <w:pStyle w:val="CG-SingleSp05s2"/>
        <w:numPr>
          <w:ilvl w:val="0"/>
          <w:numId w:val="3"/>
        </w:numPr>
        <w:tabs>
          <w:tab w:val="clear" w:pos="340"/>
          <w:tab w:val="num" w:pos="-284"/>
          <w:tab w:val="num" w:pos="426"/>
        </w:tabs>
        <w:autoSpaceDE w:val="0"/>
        <w:autoSpaceDN w:val="0"/>
        <w:adjustRightInd w:val="0"/>
        <w:snapToGrid w:val="0"/>
        <w:spacing w:after="0"/>
        <w:ind w:left="426" w:right="-143" w:hanging="426"/>
        <w:rPr>
          <w:rFonts w:ascii="Calibri" w:hAnsi="Calibri" w:cs="Calibri"/>
          <w:szCs w:val="22"/>
        </w:rPr>
      </w:pPr>
      <w:r w:rsidRPr="00E6113C">
        <w:rPr>
          <w:rFonts w:ascii="Calibri" w:hAnsi="Calibri" w:cs="Calibri"/>
          <w:b/>
          <w:bCs/>
          <w:szCs w:val="22"/>
        </w:rPr>
        <w:t xml:space="preserve">Long-term debt: </w:t>
      </w:r>
      <w:r w:rsidRPr="00E6113C">
        <w:rPr>
          <w:rFonts w:ascii="Calibri" w:hAnsi="Calibri" w:cs="Calibri"/>
          <w:szCs w:val="22"/>
        </w:rPr>
        <w:t xml:space="preserve">The repayments which the Group is committed to make have been discounted at the relevant market rates of interest applicable (including credit spreads) at </w:t>
      </w:r>
      <w:r w:rsidR="006A0488" w:rsidRPr="00E6113C">
        <w:rPr>
          <w:rFonts w:ascii="Calibri" w:hAnsi="Calibri" w:cs="Calibri"/>
          <w:szCs w:val="22"/>
        </w:rPr>
        <w:t>December 31</w:t>
      </w:r>
      <w:r w:rsidRPr="00E6113C">
        <w:rPr>
          <w:rFonts w:ascii="Calibri" w:hAnsi="Calibri" w:cs="Calibri"/>
          <w:szCs w:val="22"/>
        </w:rPr>
        <w:t>, 202</w:t>
      </w:r>
      <w:r w:rsidR="00346E22" w:rsidRPr="00E6113C">
        <w:rPr>
          <w:rFonts w:ascii="Calibri" w:hAnsi="Calibri" w:cs="Calibri"/>
          <w:szCs w:val="22"/>
        </w:rPr>
        <w:t>3</w:t>
      </w:r>
      <w:r w:rsidRPr="00E6113C">
        <w:rPr>
          <w:rFonts w:ascii="Calibri" w:hAnsi="Calibri" w:cs="Calibri"/>
          <w:szCs w:val="22"/>
        </w:rPr>
        <w:t xml:space="preserve"> to arrive at a fair value representing the amount payable to a third party to assume the obligations.</w:t>
      </w:r>
    </w:p>
    <w:p w14:paraId="6F3408AA" w14:textId="77777777" w:rsidR="00691043" w:rsidRPr="00E6113C" w:rsidRDefault="00691043" w:rsidP="009C5CA5">
      <w:pPr>
        <w:autoSpaceDE w:val="0"/>
        <w:autoSpaceDN w:val="0"/>
        <w:adjustRightInd w:val="0"/>
        <w:ind w:right="-143"/>
        <w:jc w:val="both"/>
        <w:rPr>
          <w:rFonts w:ascii="Calibri" w:hAnsi="Calibri" w:cs="Calibri"/>
          <w:sz w:val="22"/>
          <w:szCs w:val="22"/>
        </w:rPr>
      </w:pPr>
    </w:p>
    <w:p w14:paraId="3A3D52FA" w14:textId="77777777" w:rsidR="00D00A73" w:rsidRPr="00E6113C" w:rsidRDefault="00C11D72" w:rsidP="008173A8">
      <w:pPr>
        <w:autoSpaceDE w:val="0"/>
        <w:autoSpaceDN w:val="0"/>
        <w:adjustRightInd w:val="0"/>
        <w:ind w:right="-143"/>
        <w:jc w:val="both"/>
        <w:rPr>
          <w:rFonts w:ascii="Calibri" w:hAnsi="Calibri" w:cs="Calibri"/>
          <w:bCs/>
          <w:iCs/>
          <w:sz w:val="22"/>
          <w:szCs w:val="22"/>
        </w:rPr>
      </w:pPr>
      <w:r w:rsidRPr="00E6113C">
        <w:rPr>
          <w:rFonts w:ascii="Calibri" w:hAnsi="Calibri" w:cs="Calibri"/>
          <w:bCs/>
          <w:iCs/>
          <w:sz w:val="22"/>
          <w:szCs w:val="22"/>
        </w:rPr>
        <w:t>The fair value of financial assets and financial liabilities, together with the carrying amounts in the condensed consolidated balance sheet, are as follows:</w:t>
      </w:r>
    </w:p>
    <w:p w14:paraId="5DA505FA" w14:textId="77777777" w:rsidR="001B6BEE" w:rsidRDefault="00D00A73" w:rsidP="008173A8">
      <w:pPr>
        <w:autoSpaceDE w:val="0"/>
        <w:autoSpaceDN w:val="0"/>
        <w:adjustRightInd w:val="0"/>
        <w:ind w:right="-143"/>
        <w:jc w:val="both"/>
      </w:pPr>
      <w:r w:rsidRPr="00ED7EEC">
        <w:rPr>
          <w:rFonts w:ascii="Calibri" w:hAnsi="Calibri" w:cs="Calibri"/>
          <w:bCs/>
          <w:iCs/>
          <w:sz w:val="22"/>
          <w:szCs w:val="22"/>
          <w:highlight w:val="green"/>
        </w:rPr>
        <w:br w:type="page"/>
      </w:r>
    </w:p>
    <w:tbl>
      <w:tblPr>
        <w:tblW w:w="10349" w:type="dxa"/>
        <w:tblLayout w:type="fixed"/>
        <w:tblLook w:val="04A0" w:firstRow="1" w:lastRow="0" w:firstColumn="1" w:lastColumn="0" w:noHBand="0" w:noVBand="1"/>
      </w:tblPr>
      <w:tblGrid>
        <w:gridCol w:w="4820"/>
        <w:gridCol w:w="1417"/>
        <w:gridCol w:w="1417"/>
        <w:gridCol w:w="1417"/>
        <w:gridCol w:w="1278"/>
      </w:tblGrid>
      <w:tr w:rsidR="00E36553" w:rsidRPr="00135F6B" w14:paraId="4A0CA7FD" w14:textId="77777777" w:rsidTr="00013C6F">
        <w:trPr>
          <w:trHeight w:val="232"/>
        </w:trPr>
        <w:tc>
          <w:tcPr>
            <w:tcW w:w="4820" w:type="dxa"/>
            <w:shd w:val="clear" w:color="auto" w:fill="FFFFFF"/>
            <w:vAlign w:val="center"/>
            <w:hideMark/>
          </w:tcPr>
          <w:p w14:paraId="1EE33AC3" w14:textId="77777777" w:rsidR="00E36553" w:rsidRPr="00B64FD7" w:rsidRDefault="00E36553" w:rsidP="00013C6F">
            <w:pPr>
              <w:ind w:left="-284" w:right="-2"/>
              <w:rPr>
                <w:rFonts w:ascii="Calibri" w:hAnsi="Calibri" w:cs="Calibri"/>
                <w:color w:val="000000"/>
                <w:sz w:val="20"/>
                <w:szCs w:val="20"/>
                <w:lang w:eastAsia="en-IE"/>
              </w:rPr>
            </w:pPr>
            <w:bookmarkStart w:id="26" w:name="_Hlk144819342"/>
            <w:r>
              <w:br w:type="page"/>
            </w:r>
            <w:r w:rsidRPr="00B373F3">
              <w:rPr>
                <w:rFonts w:ascii="Calibri" w:hAnsi="Calibri" w:cs="Calibri"/>
                <w:bCs/>
                <w:iCs/>
                <w:sz w:val="20"/>
                <w:szCs w:val="20"/>
              </w:rPr>
              <w:br w:type="page"/>
            </w:r>
            <w:r w:rsidRPr="00B64FD7">
              <w:rPr>
                <w:rFonts w:ascii="Calibri" w:hAnsi="Calibri" w:cs="Calibri"/>
                <w:color w:val="000000"/>
                <w:sz w:val="20"/>
                <w:szCs w:val="20"/>
                <w:lang w:eastAsia="en-IE"/>
              </w:rPr>
              <w:t> </w:t>
            </w:r>
          </w:p>
        </w:tc>
        <w:tc>
          <w:tcPr>
            <w:tcW w:w="1417" w:type="dxa"/>
            <w:shd w:val="clear" w:color="auto" w:fill="FFFF00"/>
            <w:vAlign w:val="center"/>
            <w:hideMark/>
          </w:tcPr>
          <w:p w14:paraId="0E5216BF" w14:textId="77777777" w:rsidR="00E36553" w:rsidRPr="00E4569B" w:rsidRDefault="00E36553" w:rsidP="00013C6F">
            <w:pPr>
              <w:ind w:left="-284" w:right="-2"/>
              <w:jc w:val="right"/>
              <w:rPr>
                <w:rFonts w:ascii="Calibri" w:hAnsi="Calibri" w:cs="Calibri"/>
                <w:b/>
                <w:bCs/>
                <w:color w:val="000000"/>
                <w:sz w:val="20"/>
                <w:szCs w:val="20"/>
                <w:lang w:eastAsia="en-IE"/>
              </w:rPr>
            </w:pPr>
            <w:r w:rsidRPr="00E4569B">
              <w:rPr>
                <w:rFonts w:ascii="Calibri" w:hAnsi="Calibri" w:cs="Calibri"/>
                <w:b/>
                <w:bCs/>
                <w:color w:val="000000"/>
                <w:sz w:val="20"/>
                <w:szCs w:val="20"/>
                <w:lang w:eastAsia="en-IE"/>
              </w:rPr>
              <w:t xml:space="preserve">At </w:t>
            </w:r>
            <w:r w:rsidR="006A0488">
              <w:rPr>
                <w:rFonts w:ascii="Calibri" w:hAnsi="Calibri" w:cs="Calibri"/>
                <w:b/>
                <w:bCs/>
                <w:color w:val="000000"/>
                <w:sz w:val="20"/>
                <w:szCs w:val="20"/>
                <w:lang w:eastAsia="en-IE"/>
              </w:rPr>
              <w:t>Dec</w:t>
            </w:r>
            <w:r>
              <w:rPr>
                <w:rFonts w:ascii="Calibri" w:hAnsi="Calibri" w:cs="Calibri"/>
                <w:b/>
                <w:bCs/>
                <w:color w:val="000000"/>
                <w:sz w:val="20"/>
                <w:szCs w:val="20"/>
                <w:lang w:eastAsia="en-IE"/>
              </w:rPr>
              <w:t xml:space="preserve"> 3</w:t>
            </w:r>
            <w:r w:rsidR="006A0488">
              <w:rPr>
                <w:rFonts w:ascii="Calibri" w:hAnsi="Calibri" w:cs="Calibri"/>
                <w:b/>
                <w:bCs/>
                <w:color w:val="000000"/>
                <w:sz w:val="20"/>
                <w:szCs w:val="20"/>
                <w:lang w:eastAsia="en-IE"/>
              </w:rPr>
              <w:t>1</w:t>
            </w:r>
            <w:r w:rsidRPr="00E4569B">
              <w:rPr>
                <w:rFonts w:ascii="Calibri" w:hAnsi="Calibri" w:cs="Calibri"/>
                <w:b/>
                <w:bCs/>
                <w:color w:val="000000"/>
                <w:sz w:val="20"/>
                <w:szCs w:val="20"/>
                <w:lang w:eastAsia="en-IE"/>
              </w:rPr>
              <w:t>,</w:t>
            </w:r>
          </w:p>
        </w:tc>
        <w:tc>
          <w:tcPr>
            <w:tcW w:w="1417" w:type="dxa"/>
            <w:shd w:val="clear" w:color="auto" w:fill="FFFF00"/>
            <w:vAlign w:val="center"/>
            <w:hideMark/>
          </w:tcPr>
          <w:p w14:paraId="7E3F50EF" w14:textId="77777777" w:rsidR="00E36553" w:rsidRPr="00700397" w:rsidRDefault="00E36553" w:rsidP="00013C6F">
            <w:pPr>
              <w:ind w:left="-284" w:right="-2"/>
              <w:jc w:val="right"/>
              <w:rPr>
                <w:rFonts w:ascii="Calibri" w:hAnsi="Calibri" w:cs="Calibri"/>
                <w:b/>
                <w:bCs/>
                <w:color w:val="000000"/>
                <w:sz w:val="20"/>
                <w:szCs w:val="20"/>
                <w:lang w:eastAsia="en-IE"/>
              </w:rPr>
            </w:pPr>
            <w:r w:rsidRPr="00D51978">
              <w:rPr>
                <w:rFonts w:ascii="Calibri" w:hAnsi="Calibri" w:cs="Calibri"/>
                <w:b/>
                <w:bCs/>
                <w:color w:val="000000"/>
                <w:sz w:val="20"/>
                <w:szCs w:val="20"/>
                <w:lang w:eastAsia="en-IE"/>
              </w:rPr>
              <w:t xml:space="preserve">At </w:t>
            </w:r>
            <w:r w:rsidR="006A0488">
              <w:rPr>
                <w:rFonts w:ascii="Calibri" w:hAnsi="Calibri" w:cs="Calibri"/>
                <w:b/>
                <w:bCs/>
                <w:color w:val="000000"/>
                <w:sz w:val="20"/>
                <w:szCs w:val="20"/>
                <w:lang w:eastAsia="en-IE"/>
              </w:rPr>
              <w:t xml:space="preserve">Dec </w:t>
            </w:r>
            <w:r>
              <w:rPr>
                <w:rFonts w:ascii="Calibri" w:hAnsi="Calibri" w:cs="Calibri"/>
                <w:b/>
                <w:bCs/>
                <w:color w:val="000000"/>
                <w:sz w:val="20"/>
                <w:szCs w:val="20"/>
                <w:lang w:eastAsia="en-IE"/>
              </w:rPr>
              <w:t>3</w:t>
            </w:r>
            <w:r w:rsidR="006A0488">
              <w:rPr>
                <w:rFonts w:ascii="Calibri" w:hAnsi="Calibri" w:cs="Calibri"/>
                <w:b/>
                <w:bCs/>
                <w:color w:val="000000"/>
                <w:sz w:val="20"/>
                <w:szCs w:val="20"/>
                <w:lang w:eastAsia="en-IE"/>
              </w:rPr>
              <w:t>1</w:t>
            </w:r>
            <w:r w:rsidRPr="00D51978">
              <w:rPr>
                <w:rFonts w:ascii="Calibri" w:hAnsi="Calibri" w:cs="Calibri"/>
                <w:b/>
                <w:bCs/>
                <w:color w:val="000000"/>
                <w:sz w:val="20"/>
                <w:szCs w:val="20"/>
                <w:lang w:eastAsia="en-IE"/>
              </w:rPr>
              <w:t>,</w:t>
            </w:r>
          </w:p>
        </w:tc>
        <w:tc>
          <w:tcPr>
            <w:tcW w:w="1417" w:type="dxa"/>
            <w:shd w:val="clear" w:color="auto" w:fill="FFFFFF"/>
            <w:vAlign w:val="center"/>
            <w:hideMark/>
          </w:tcPr>
          <w:p w14:paraId="5E10DFD3" w14:textId="77777777" w:rsidR="00E36553" w:rsidRPr="00E52C8A" w:rsidRDefault="00E36553" w:rsidP="00013C6F">
            <w:pPr>
              <w:ind w:left="-284" w:right="-2"/>
              <w:jc w:val="right"/>
              <w:rPr>
                <w:rFonts w:ascii="Calibri" w:hAnsi="Calibri" w:cs="Calibri"/>
                <w:b/>
                <w:bCs/>
                <w:color w:val="000000"/>
                <w:sz w:val="20"/>
                <w:szCs w:val="20"/>
                <w:lang w:eastAsia="en-IE"/>
              </w:rPr>
            </w:pPr>
            <w:r w:rsidRPr="00E52C8A">
              <w:rPr>
                <w:rFonts w:ascii="Calibri" w:hAnsi="Calibri" w:cs="Calibri"/>
                <w:b/>
                <w:bCs/>
                <w:color w:val="000000"/>
                <w:sz w:val="20"/>
                <w:szCs w:val="20"/>
                <w:lang w:eastAsia="en-IE"/>
              </w:rPr>
              <w:t>At Mar 31,</w:t>
            </w:r>
          </w:p>
        </w:tc>
        <w:tc>
          <w:tcPr>
            <w:tcW w:w="1278" w:type="dxa"/>
            <w:shd w:val="clear" w:color="auto" w:fill="FFFFFF"/>
            <w:vAlign w:val="center"/>
            <w:hideMark/>
          </w:tcPr>
          <w:p w14:paraId="48679D5C" w14:textId="77777777" w:rsidR="00E36553" w:rsidRPr="00135F6B" w:rsidRDefault="00E36553" w:rsidP="00013C6F">
            <w:pPr>
              <w:ind w:left="-284" w:right="-2"/>
              <w:jc w:val="right"/>
              <w:rPr>
                <w:rFonts w:ascii="Calibri" w:hAnsi="Calibri" w:cs="Calibri"/>
                <w:b/>
                <w:bCs/>
                <w:color w:val="000000"/>
                <w:sz w:val="20"/>
                <w:szCs w:val="20"/>
                <w:lang w:eastAsia="en-IE"/>
              </w:rPr>
            </w:pPr>
            <w:r w:rsidRPr="00224058">
              <w:rPr>
                <w:rFonts w:ascii="Calibri" w:hAnsi="Calibri" w:cs="Calibri"/>
                <w:b/>
                <w:bCs/>
                <w:color w:val="000000"/>
                <w:sz w:val="20"/>
                <w:szCs w:val="20"/>
                <w:lang w:eastAsia="en-IE"/>
              </w:rPr>
              <w:t>At Mar 3</w:t>
            </w:r>
            <w:r w:rsidRPr="00135F6B">
              <w:rPr>
                <w:rFonts w:ascii="Calibri" w:hAnsi="Calibri" w:cs="Calibri"/>
                <w:b/>
                <w:bCs/>
                <w:color w:val="000000"/>
                <w:sz w:val="20"/>
                <w:szCs w:val="20"/>
                <w:lang w:eastAsia="en-IE"/>
              </w:rPr>
              <w:t>1,</w:t>
            </w:r>
          </w:p>
        </w:tc>
      </w:tr>
      <w:tr w:rsidR="00E36553" w:rsidRPr="00135F6B" w14:paraId="2E3681FC" w14:textId="77777777" w:rsidTr="00013C6F">
        <w:trPr>
          <w:trHeight w:val="232"/>
        </w:trPr>
        <w:tc>
          <w:tcPr>
            <w:tcW w:w="4820" w:type="dxa"/>
            <w:shd w:val="clear" w:color="auto" w:fill="FFFFFF"/>
            <w:vAlign w:val="center"/>
            <w:hideMark/>
          </w:tcPr>
          <w:p w14:paraId="62957F62" w14:textId="77777777" w:rsidR="00E36553" w:rsidRPr="00135F6B" w:rsidRDefault="00E36553" w:rsidP="00013C6F">
            <w:pPr>
              <w:ind w:left="-284" w:right="-2"/>
              <w:rPr>
                <w:rFonts w:ascii="Calibri" w:hAnsi="Calibri" w:cs="Calibri"/>
                <w:color w:val="000000"/>
                <w:sz w:val="20"/>
                <w:szCs w:val="20"/>
                <w:lang w:eastAsia="en-IE"/>
              </w:rPr>
            </w:pPr>
            <w:r w:rsidRPr="00135F6B">
              <w:rPr>
                <w:rFonts w:ascii="Calibri" w:hAnsi="Calibri" w:cs="Calibri"/>
                <w:color w:val="000000"/>
                <w:sz w:val="20"/>
                <w:szCs w:val="20"/>
                <w:lang w:eastAsia="en-IE"/>
              </w:rPr>
              <w:t> </w:t>
            </w:r>
          </w:p>
        </w:tc>
        <w:tc>
          <w:tcPr>
            <w:tcW w:w="1417" w:type="dxa"/>
            <w:shd w:val="clear" w:color="auto" w:fill="FFFF00"/>
            <w:vAlign w:val="center"/>
            <w:hideMark/>
          </w:tcPr>
          <w:p w14:paraId="1C44B0B7"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417" w:type="dxa"/>
            <w:shd w:val="clear" w:color="auto" w:fill="FFFF00"/>
            <w:vAlign w:val="center"/>
            <w:hideMark/>
          </w:tcPr>
          <w:p w14:paraId="123C155B"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417" w:type="dxa"/>
            <w:shd w:val="clear" w:color="auto" w:fill="FFFFFF"/>
            <w:vAlign w:val="center"/>
            <w:hideMark/>
          </w:tcPr>
          <w:p w14:paraId="260BF25E"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278" w:type="dxa"/>
            <w:shd w:val="clear" w:color="auto" w:fill="FFFFFF"/>
            <w:vAlign w:val="center"/>
            <w:hideMark/>
          </w:tcPr>
          <w:p w14:paraId="335DBD5E"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r>
      <w:tr w:rsidR="00E36553" w:rsidRPr="00135F6B" w14:paraId="0F9CB9F1" w14:textId="77777777" w:rsidTr="00013C6F">
        <w:trPr>
          <w:trHeight w:val="232"/>
        </w:trPr>
        <w:tc>
          <w:tcPr>
            <w:tcW w:w="4820" w:type="dxa"/>
            <w:shd w:val="clear" w:color="auto" w:fill="FFFFFF"/>
            <w:vAlign w:val="center"/>
            <w:hideMark/>
          </w:tcPr>
          <w:p w14:paraId="7C257B48" w14:textId="77777777" w:rsidR="00E36553" w:rsidRPr="00135F6B" w:rsidRDefault="00E36553" w:rsidP="00013C6F">
            <w:pPr>
              <w:ind w:left="-284" w:right="-2"/>
              <w:rPr>
                <w:rFonts w:ascii="Calibri" w:hAnsi="Calibri" w:cs="Calibri"/>
                <w:color w:val="000000"/>
                <w:sz w:val="20"/>
                <w:szCs w:val="20"/>
                <w:lang w:eastAsia="en-IE"/>
              </w:rPr>
            </w:pPr>
            <w:r w:rsidRPr="00135F6B">
              <w:rPr>
                <w:rFonts w:ascii="Calibri" w:hAnsi="Calibri" w:cs="Calibri"/>
                <w:color w:val="000000"/>
                <w:sz w:val="20"/>
                <w:szCs w:val="20"/>
                <w:lang w:eastAsia="en-IE"/>
              </w:rPr>
              <w:t> </w:t>
            </w:r>
          </w:p>
        </w:tc>
        <w:tc>
          <w:tcPr>
            <w:tcW w:w="1417" w:type="dxa"/>
            <w:shd w:val="clear" w:color="auto" w:fill="FFFF00"/>
            <w:vAlign w:val="center"/>
            <w:hideMark/>
          </w:tcPr>
          <w:p w14:paraId="44F77816"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Carrying</w:t>
            </w:r>
          </w:p>
        </w:tc>
        <w:tc>
          <w:tcPr>
            <w:tcW w:w="1417" w:type="dxa"/>
            <w:shd w:val="clear" w:color="auto" w:fill="FFFF00"/>
            <w:vAlign w:val="center"/>
            <w:hideMark/>
          </w:tcPr>
          <w:p w14:paraId="64C6B271"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Fair</w:t>
            </w:r>
          </w:p>
        </w:tc>
        <w:tc>
          <w:tcPr>
            <w:tcW w:w="1417" w:type="dxa"/>
            <w:shd w:val="clear" w:color="auto" w:fill="FFFFFF"/>
            <w:vAlign w:val="center"/>
            <w:hideMark/>
          </w:tcPr>
          <w:p w14:paraId="35B879B6"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Carrying</w:t>
            </w:r>
          </w:p>
        </w:tc>
        <w:tc>
          <w:tcPr>
            <w:tcW w:w="1278" w:type="dxa"/>
            <w:shd w:val="clear" w:color="auto" w:fill="FFFFFF"/>
            <w:vAlign w:val="center"/>
            <w:hideMark/>
          </w:tcPr>
          <w:p w14:paraId="0121FABC"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Fair</w:t>
            </w:r>
          </w:p>
        </w:tc>
      </w:tr>
      <w:tr w:rsidR="00E36553" w:rsidRPr="00135F6B" w14:paraId="3ED96D81" w14:textId="77777777" w:rsidTr="00013C6F">
        <w:trPr>
          <w:trHeight w:val="232"/>
        </w:trPr>
        <w:tc>
          <w:tcPr>
            <w:tcW w:w="4820" w:type="dxa"/>
            <w:shd w:val="clear" w:color="auto" w:fill="FFFFFF"/>
            <w:vAlign w:val="center"/>
            <w:hideMark/>
          </w:tcPr>
          <w:p w14:paraId="0A961C82" w14:textId="77777777" w:rsidR="00E36553" w:rsidRPr="00135F6B" w:rsidRDefault="00E36553" w:rsidP="00013C6F">
            <w:pPr>
              <w:ind w:left="-284" w:right="-2"/>
              <w:rPr>
                <w:rFonts w:ascii="Calibri" w:hAnsi="Calibri" w:cs="Calibri"/>
                <w:color w:val="000000"/>
                <w:sz w:val="20"/>
                <w:szCs w:val="20"/>
                <w:lang w:eastAsia="en-IE"/>
              </w:rPr>
            </w:pPr>
            <w:r w:rsidRPr="00135F6B">
              <w:rPr>
                <w:rFonts w:ascii="Calibri" w:hAnsi="Calibri" w:cs="Calibri"/>
                <w:color w:val="000000"/>
                <w:sz w:val="20"/>
                <w:szCs w:val="20"/>
                <w:lang w:eastAsia="en-IE"/>
              </w:rPr>
              <w:t> </w:t>
            </w:r>
          </w:p>
        </w:tc>
        <w:tc>
          <w:tcPr>
            <w:tcW w:w="1417" w:type="dxa"/>
            <w:tcBorders>
              <w:top w:val="nil"/>
              <w:left w:val="nil"/>
              <w:bottom w:val="single" w:sz="8" w:space="0" w:color="auto"/>
              <w:right w:val="nil"/>
            </w:tcBorders>
            <w:shd w:val="clear" w:color="auto" w:fill="FFFF00"/>
            <w:vAlign w:val="center"/>
            <w:hideMark/>
          </w:tcPr>
          <w:p w14:paraId="3BD070EB"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Amount</w:t>
            </w:r>
          </w:p>
        </w:tc>
        <w:tc>
          <w:tcPr>
            <w:tcW w:w="1417" w:type="dxa"/>
            <w:tcBorders>
              <w:top w:val="nil"/>
              <w:left w:val="nil"/>
              <w:bottom w:val="single" w:sz="8" w:space="0" w:color="auto"/>
              <w:right w:val="nil"/>
            </w:tcBorders>
            <w:shd w:val="clear" w:color="auto" w:fill="FFFF00"/>
            <w:vAlign w:val="center"/>
            <w:hideMark/>
          </w:tcPr>
          <w:p w14:paraId="4688C6B8"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Value</w:t>
            </w:r>
          </w:p>
        </w:tc>
        <w:tc>
          <w:tcPr>
            <w:tcW w:w="1417" w:type="dxa"/>
            <w:tcBorders>
              <w:top w:val="nil"/>
              <w:left w:val="nil"/>
              <w:bottom w:val="single" w:sz="8" w:space="0" w:color="auto"/>
              <w:right w:val="nil"/>
            </w:tcBorders>
            <w:shd w:val="clear" w:color="auto" w:fill="FFFFFF"/>
            <w:vAlign w:val="center"/>
            <w:hideMark/>
          </w:tcPr>
          <w:p w14:paraId="083C4CD3"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Amount</w:t>
            </w:r>
          </w:p>
        </w:tc>
        <w:tc>
          <w:tcPr>
            <w:tcW w:w="1278" w:type="dxa"/>
            <w:tcBorders>
              <w:top w:val="nil"/>
              <w:left w:val="nil"/>
              <w:bottom w:val="single" w:sz="8" w:space="0" w:color="auto"/>
              <w:right w:val="nil"/>
            </w:tcBorders>
            <w:shd w:val="clear" w:color="auto" w:fill="FFFFFF"/>
            <w:vAlign w:val="center"/>
            <w:hideMark/>
          </w:tcPr>
          <w:p w14:paraId="0C5BF52D"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Value</w:t>
            </w:r>
          </w:p>
        </w:tc>
      </w:tr>
      <w:tr w:rsidR="00E36553" w:rsidRPr="00135F6B" w14:paraId="137ECDC7" w14:textId="77777777" w:rsidTr="00013C6F">
        <w:trPr>
          <w:trHeight w:val="232"/>
        </w:trPr>
        <w:tc>
          <w:tcPr>
            <w:tcW w:w="4820" w:type="dxa"/>
            <w:shd w:val="clear" w:color="auto" w:fill="FFFFFF"/>
            <w:vAlign w:val="center"/>
            <w:hideMark/>
          </w:tcPr>
          <w:p w14:paraId="364AC382" w14:textId="77777777" w:rsidR="00E36553" w:rsidRPr="00156BD0" w:rsidRDefault="00E36553" w:rsidP="00013C6F">
            <w:pPr>
              <w:ind w:right="-2" w:hanging="105"/>
              <w:rPr>
                <w:rFonts w:ascii="Calibri" w:hAnsi="Calibri" w:cs="Calibri"/>
                <w:b/>
                <w:bCs/>
                <w:color w:val="000000"/>
                <w:sz w:val="20"/>
                <w:szCs w:val="20"/>
                <w:lang w:eastAsia="en-IE"/>
              </w:rPr>
            </w:pPr>
            <w:r w:rsidRPr="00156BD0">
              <w:rPr>
                <w:rFonts w:ascii="Calibri" w:hAnsi="Calibri" w:cs="Calibri"/>
                <w:b/>
                <w:bCs/>
                <w:color w:val="000000"/>
                <w:sz w:val="20"/>
                <w:szCs w:val="20"/>
                <w:lang w:eastAsia="en-IE"/>
              </w:rPr>
              <w:t>Non-current financial assets</w:t>
            </w:r>
          </w:p>
        </w:tc>
        <w:tc>
          <w:tcPr>
            <w:tcW w:w="1417" w:type="dxa"/>
            <w:shd w:val="clear" w:color="auto" w:fill="FFFF00"/>
            <w:vAlign w:val="center"/>
            <w:hideMark/>
          </w:tcPr>
          <w:p w14:paraId="6D3B1D4D" w14:textId="77777777" w:rsidR="00E36553" w:rsidRPr="00135F6B" w:rsidRDefault="00E36553" w:rsidP="00013C6F">
            <w:pPr>
              <w:ind w:left="-284" w:right="-2"/>
              <w:jc w:val="right"/>
              <w:rPr>
                <w:rFonts w:ascii="Calibri" w:hAnsi="Calibri" w:cs="Calibri"/>
                <w:b/>
                <w:bCs/>
                <w:color w:val="000000"/>
                <w:sz w:val="20"/>
                <w:szCs w:val="20"/>
                <w:u w:val="single"/>
                <w:lang w:eastAsia="en-IE"/>
              </w:rPr>
            </w:pPr>
            <w:r w:rsidRPr="00135F6B">
              <w:rPr>
                <w:rFonts w:ascii="Calibri" w:hAnsi="Calibri" w:cs="Calibri"/>
                <w:b/>
                <w:bCs/>
                <w:color w:val="000000"/>
                <w:sz w:val="20"/>
                <w:szCs w:val="20"/>
                <w:u w:val="single"/>
                <w:lang w:eastAsia="en-IE"/>
              </w:rPr>
              <w:t>€M</w:t>
            </w:r>
          </w:p>
        </w:tc>
        <w:tc>
          <w:tcPr>
            <w:tcW w:w="1417" w:type="dxa"/>
            <w:shd w:val="clear" w:color="auto" w:fill="FFFF00"/>
            <w:vAlign w:val="center"/>
            <w:hideMark/>
          </w:tcPr>
          <w:p w14:paraId="0FE01354" w14:textId="77777777" w:rsidR="00E36553" w:rsidRPr="00135F6B" w:rsidRDefault="00E36553" w:rsidP="00013C6F">
            <w:pPr>
              <w:ind w:left="-284" w:right="-2"/>
              <w:jc w:val="right"/>
              <w:rPr>
                <w:rFonts w:ascii="Calibri" w:hAnsi="Calibri" w:cs="Calibri"/>
                <w:b/>
                <w:bCs/>
                <w:color w:val="000000"/>
                <w:sz w:val="20"/>
                <w:szCs w:val="20"/>
                <w:u w:val="single"/>
                <w:lang w:eastAsia="en-IE"/>
              </w:rPr>
            </w:pPr>
            <w:r w:rsidRPr="00135F6B">
              <w:rPr>
                <w:rFonts w:ascii="Calibri" w:hAnsi="Calibri" w:cs="Calibri"/>
                <w:b/>
                <w:bCs/>
                <w:color w:val="000000"/>
                <w:sz w:val="20"/>
                <w:szCs w:val="20"/>
                <w:u w:val="single"/>
                <w:lang w:eastAsia="en-IE"/>
              </w:rPr>
              <w:t>€M</w:t>
            </w:r>
          </w:p>
        </w:tc>
        <w:tc>
          <w:tcPr>
            <w:tcW w:w="1417" w:type="dxa"/>
            <w:shd w:val="clear" w:color="auto" w:fill="FFFFFF"/>
            <w:vAlign w:val="center"/>
            <w:hideMark/>
          </w:tcPr>
          <w:p w14:paraId="225236D7" w14:textId="77777777" w:rsidR="00E36553" w:rsidRPr="00AD66EB" w:rsidRDefault="00E36553" w:rsidP="00013C6F">
            <w:pPr>
              <w:ind w:left="-284" w:right="-2"/>
              <w:jc w:val="right"/>
              <w:rPr>
                <w:rFonts w:ascii="Calibri" w:hAnsi="Calibri" w:cs="Calibri"/>
                <w:b/>
                <w:bCs/>
                <w:color w:val="000000"/>
                <w:sz w:val="20"/>
                <w:szCs w:val="20"/>
                <w:u w:val="single"/>
                <w:lang w:eastAsia="en-IE"/>
              </w:rPr>
            </w:pPr>
            <w:r w:rsidRPr="00AD66EB">
              <w:rPr>
                <w:rFonts w:ascii="Calibri" w:hAnsi="Calibri" w:cs="Calibri"/>
                <w:b/>
                <w:bCs/>
                <w:color w:val="000000"/>
                <w:sz w:val="20"/>
                <w:szCs w:val="20"/>
                <w:u w:val="single"/>
                <w:lang w:eastAsia="en-IE"/>
              </w:rPr>
              <w:t>€M</w:t>
            </w:r>
          </w:p>
        </w:tc>
        <w:tc>
          <w:tcPr>
            <w:tcW w:w="1278" w:type="dxa"/>
            <w:shd w:val="clear" w:color="auto" w:fill="FFFFFF"/>
            <w:vAlign w:val="center"/>
            <w:hideMark/>
          </w:tcPr>
          <w:p w14:paraId="470E87DC" w14:textId="77777777" w:rsidR="00E36553" w:rsidRPr="00AD66EB" w:rsidRDefault="00E36553" w:rsidP="00013C6F">
            <w:pPr>
              <w:ind w:left="-284" w:right="-2"/>
              <w:jc w:val="right"/>
              <w:rPr>
                <w:rFonts w:ascii="Calibri" w:hAnsi="Calibri" w:cs="Calibri"/>
                <w:b/>
                <w:bCs/>
                <w:color w:val="000000"/>
                <w:sz w:val="20"/>
                <w:szCs w:val="20"/>
                <w:u w:val="single"/>
                <w:lang w:eastAsia="en-IE"/>
              </w:rPr>
            </w:pPr>
            <w:r w:rsidRPr="00AD66EB">
              <w:rPr>
                <w:rFonts w:ascii="Calibri" w:hAnsi="Calibri" w:cs="Calibri"/>
                <w:b/>
                <w:bCs/>
                <w:color w:val="000000"/>
                <w:sz w:val="20"/>
                <w:szCs w:val="20"/>
                <w:u w:val="single"/>
                <w:lang w:eastAsia="en-IE"/>
              </w:rPr>
              <w:t>€M</w:t>
            </w:r>
          </w:p>
        </w:tc>
      </w:tr>
      <w:tr w:rsidR="00E36553" w:rsidRPr="00135F6B" w14:paraId="521EE4D4" w14:textId="77777777" w:rsidTr="00013C6F">
        <w:trPr>
          <w:trHeight w:val="232"/>
        </w:trPr>
        <w:tc>
          <w:tcPr>
            <w:tcW w:w="4820" w:type="dxa"/>
            <w:shd w:val="clear" w:color="auto" w:fill="FFFFFF"/>
            <w:vAlign w:val="center"/>
            <w:hideMark/>
          </w:tcPr>
          <w:p w14:paraId="02A91062"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Derivative financial instruments:</w:t>
            </w:r>
          </w:p>
        </w:tc>
        <w:tc>
          <w:tcPr>
            <w:tcW w:w="1417" w:type="dxa"/>
            <w:shd w:val="clear" w:color="auto" w:fill="FFFF00"/>
            <w:vAlign w:val="center"/>
            <w:hideMark/>
          </w:tcPr>
          <w:p w14:paraId="2AE61ED9" w14:textId="77777777" w:rsidR="00E36553" w:rsidRPr="00135F6B" w:rsidRDefault="00E36553" w:rsidP="00013C6F">
            <w:pPr>
              <w:ind w:left="-284" w:right="-2"/>
              <w:rPr>
                <w:rFonts w:ascii="Calibri" w:hAnsi="Calibri" w:cs="Calibri"/>
                <w:color w:val="000000"/>
                <w:sz w:val="20"/>
                <w:szCs w:val="20"/>
                <w:lang w:eastAsia="en-IE"/>
              </w:rPr>
            </w:pPr>
          </w:p>
        </w:tc>
        <w:tc>
          <w:tcPr>
            <w:tcW w:w="1417" w:type="dxa"/>
            <w:shd w:val="clear" w:color="auto" w:fill="FFFF00"/>
            <w:vAlign w:val="center"/>
            <w:hideMark/>
          </w:tcPr>
          <w:p w14:paraId="593A3ADB" w14:textId="77777777" w:rsidR="00E36553" w:rsidRPr="00135F6B" w:rsidRDefault="00E36553" w:rsidP="00013C6F">
            <w:pPr>
              <w:ind w:left="-284" w:right="-2"/>
              <w:rPr>
                <w:rFonts w:ascii="Calibri" w:eastAsia="Calibri" w:hAnsi="Calibri" w:cs="Calibri"/>
                <w:sz w:val="20"/>
                <w:szCs w:val="20"/>
                <w:lang w:eastAsia="en-IE"/>
              </w:rPr>
            </w:pPr>
          </w:p>
        </w:tc>
        <w:tc>
          <w:tcPr>
            <w:tcW w:w="1417" w:type="dxa"/>
            <w:shd w:val="clear" w:color="auto" w:fill="FFFFFF"/>
            <w:noWrap/>
            <w:vAlign w:val="bottom"/>
            <w:hideMark/>
          </w:tcPr>
          <w:p w14:paraId="29F0D41A" w14:textId="77777777" w:rsidR="00E36553" w:rsidRPr="00135F6B" w:rsidRDefault="00E36553" w:rsidP="00013C6F">
            <w:pPr>
              <w:ind w:left="-284" w:right="-2"/>
              <w:rPr>
                <w:rFonts w:ascii="Calibri" w:eastAsia="Calibri" w:hAnsi="Calibri" w:cs="Calibri"/>
                <w:sz w:val="20"/>
                <w:szCs w:val="20"/>
                <w:lang w:eastAsia="en-IE"/>
              </w:rPr>
            </w:pPr>
          </w:p>
        </w:tc>
        <w:tc>
          <w:tcPr>
            <w:tcW w:w="1278" w:type="dxa"/>
            <w:shd w:val="clear" w:color="auto" w:fill="FFFFFF"/>
            <w:noWrap/>
            <w:vAlign w:val="bottom"/>
            <w:hideMark/>
          </w:tcPr>
          <w:p w14:paraId="1705BC8B" w14:textId="77777777" w:rsidR="00E36553" w:rsidRPr="00135F6B" w:rsidRDefault="00E36553" w:rsidP="00013C6F">
            <w:pPr>
              <w:ind w:left="-284" w:right="-2"/>
              <w:rPr>
                <w:rFonts w:ascii="Calibri" w:eastAsia="Calibri" w:hAnsi="Calibri" w:cs="Calibri"/>
                <w:sz w:val="20"/>
                <w:szCs w:val="20"/>
                <w:lang w:eastAsia="en-IE"/>
              </w:rPr>
            </w:pPr>
          </w:p>
        </w:tc>
      </w:tr>
      <w:tr w:rsidR="00E36553" w:rsidRPr="00135F6B" w14:paraId="7A1C669C" w14:textId="77777777" w:rsidTr="00013C6F">
        <w:trPr>
          <w:trHeight w:val="232"/>
        </w:trPr>
        <w:tc>
          <w:tcPr>
            <w:tcW w:w="4820" w:type="dxa"/>
            <w:shd w:val="clear" w:color="auto" w:fill="FFFFFF"/>
            <w:vAlign w:val="center"/>
            <w:hideMark/>
          </w:tcPr>
          <w:p w14:paraId="063D8C09"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xml:space="preserve">- U.S. dollar currency forward contracts </w:t>
            </w:r>
          </w:p>
        </w:tc>
        <w:tc>
          <w:tcPr>
            <w:tcW w:w="1417" w:type="dxa"/>
            <w:shd w:val="clear" w:color="auto" w:fill="FFFF00"/>
            <w:vAlign w:val="center"/>
          </w:tcPr>
          <w:p w14:paraId="0231E1C8" w14:textId="77777777" w:rsidR="00E36553" w:rsidRPr="00135F6B" w:rsidRDefault="00DC1E7F"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3.4</w:t>
            </w:r>
          </w:p>
        </w:tc>
        <w:tc>
          <w:tcPr>
            <w:tcW w:w="1417" w:type="dxa"/>
            <w:shd w:val="clear" w:color="auto" w:fill="FFFF00"/>
            <w:vAlign w:val="center"/>
          </w:tcPr>
          <w:p w14:paraId="4EAF6516" w14:textId="77777777" w:rsidR="00E36553" w:rsidRPr="00135F6B" w:rsidRDefault="00DC1E7F"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3.4</w:t>
            </w:r>
          </w:p>
        </w:tc>
        <w:tc>
          <w:tcPr>
            <w:tcW w:w="1417" w:type="dxa"/>
            <w:shd w:val="clear" w:color="auto" w:fill="FFFFFF"/>
            <w:vAlign w:val="center"/>
            <w:hideMark/>
          </w:tcPr>
          <w:p w14:paraId="39C5D603"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53.2</w:t>
            </w:r>
          </w:p>
        </w:tc>
        <w:tc>
          <w:tcPr>
            <w:tcW w:w="1278" w:type="dxa"/>
            <w:shd w:val="clear" w:color="auto" w:fill="FFFFFF"/>
            <w:vAlign w:val="center"/>
            <w:hideMark/>
          </w:tcPr>
          <w:p w14:paraId="75AFF379"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53.2</w:t>
            </w:r>
          </w:p>
        </w:tc>
      </w:tr>
      <w:tr w:rsidR="00E36553" w:rsidRPr="00135F6B" w14:paraId="729D4946" w14:textId="77777777" w:rsidTr="00013C6F">
        <w:trPr>
          <w:trHeight w:val="232"/>
        </w:trPr>
        <w:tc>
          <w:tcPr>
            <w:tcW w:w="4820" w:type="dxa"/>
            <w:shd w:val="clear" w:color="auto" w:fill="FFFFFF"/>
            <w:vAlign w:val="center"/>
            <w:hideMark/>
          </w:tcPr>
          <w:p w14:paraId="2E99600A"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Interest rate swaps</w:t>
            </w:r>
          </w:p>
        </w:tc>
        <w:tc>
          <w:tcPr>
            <w:tcW w:w="1417" w:type="dxa"/>
            <w:tcBorders>
              <w:left w:val="nil"/>
              <w:bottom w:val="single" w:sz="8" w:space="0" w:color="auto"/>
              <w:right w:val="nil"/>
            </w:tcBorders>
            <w:shd w:val="clear" w:color="auto" w:fill="FFFF00"/>
            <w:vAlign w:val="center"/>
          </w:tcPr>
          <w:p w14:paraId="4D0632BA" w14:textId="77777777" w:rsidR="00E36553" w:rsidRPr="00135F6B" w:rsidRDefault="00DC1E7F"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w:t>
            </w:r>
          </w:p>
        </w:tc>
        <w:tc>
          <w:tcPr>
            <w:tcW w:w="1417" w:type="dxa"/>
            <w:tcBorders>
              <w:left w:val="nil"/>
              <w:bottom w:val="single" w:sz="8" w:space="0" w:color="auto"/>
              <w:right w:val="nil"/>
            </w:tcBorders>
            <w:shd w:val="clear" w:color="auto" w:fill="FFFF00"/>
            <w:vAlign w:val="center"/>
          </w:tcPr>
          <w:p w14:paraId="01D4F446" w14:textId="77777777" w:rsidR="00E36553" w:rsidRPr="00135F6B" w:rsidRDefault="00DC1E7F"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w:t>
            </w:r>
          </w:p>
        </w:tc>
        <w:tc>
          <w:tcPr>
            <w:tcW w:w="1417" w:type="dxa"/>
            <w:tcBorders>
              <w:left w:val="nil"/>
              <w:bottom w:val="single" w:sz="8" w:space="0" w:color="auto"/>
              <w:right w:val="nil"/>
            </w:tcBorders>
            <w:shd w:val="clear" w:color="auto" w:fill="FFFFFF"/>
            <w:vAlign w:val="center"/>
            <w:hideMark/>
          </w:tcPr>
          <w:p w14:paraId="61ABC7B7"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1.4</w:t>
            </w:r>
          </w:p>
        </w:tc>
        <w:tc>
          <w:tcPr>
            <w:tcW w:w="1278" w:type="dxa"/>
            <w:tcBorders>
              <w:left w:val="nil"/>
              <w:bottom w:val="single" w:sz="8" w:space="0" w:color="auto"/>
              <w:right w:val="nil"/>
            </w:tcBorders>
            <w:shd w:val="clear" w:color="auto" w:fill="FFFFFF"/>
            <w:vAlign w:val="center"/>
            <w:hideMark/>
          </w:tcPr>
          <w:p w14:paraId="1619B0B8"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1.4</w:t>
            </w:r>
          </w:p>
        </w:tc>
      </w:tr>
      <w:tr w:rsidR="00E36553" w:rsidRPr="00135F6B" w14:paraId="55C480EA" w14:textId="77777777" w:rsidTr="00013C6F">
        <w:trPr>
          <w:trHeight w:val="232"/>
        </w:trPr>
        <w:tc>
          <w:tcPr>
            <w:tcW w:w="4820" w:type="dxa"/>
            <w:shd w:val="clear" w:color="auto" w:fill="FFFFFF"/>
            <w:vAlign w:val="bottom"/>
            <w:hideMark/>
          </w:tcPr>
          <w:p w14:paraId="1710F8BF"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shd w:val="clear" w:color="auto" w:fill="FFFF00"/>
            <w:vAlign w:val="center"/>
          </w:tcPr>
          <w:p w14:paraId="012363AC" w14:textId="77777777" w:rsidR="00E36553" w:rsidRPr="00135F6B" w:rsidRDefault="00DC1E7F"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3.4</w:t>
            </w:r>
          </w:p>
        </w:tc>
        <w:tc>
          <w:tcPr>
            <w:tcW w:w="1417" w:type="dxa"/>
            <w:shd w:val="clear" w:color="auto" w:fill="FFFF00"/>
            <w:vAlign w:val="center"/>
          </w:tcPr>
          <w:p w14:paraId="45B37E5F" w14:textId="77777777" w:rsidR="00E36553" w:rsidRPr="00135F6B" w:rsidRDefault="00DC1E7F"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3.4</w:t>
            </w:r>
          </w:p>
        </w:tc>
        <w:tc>
          <w:tcPr>
            <w:tcW w:w="1417" w:type="dxa"/>
            <w:shd w:val="clear" w:color="auto" w:fill="FFFFFF"/>
            <w:vAlign w:val="center"/>
            <w:hideMark/>
          </w:tcPr>
          <w:p w14:paraId="1203E7E5"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54.6</w:t>
            </w:r>
          </w:p>
        </w:tc>
        <w:tc>
          <w:tcPr>
            <w:tcW w:w="1278" w:type="dxa"/>
            <w:shd w:val="clear" w:color="auto" w:fill="FFFFFF"/>
            <w:vAlign w:val="center"/>
            <w:hideMark/>
          </w:tcPr>
          <w:p w14:paraId="3AE3F1EA"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54.6</w:t>
            </w:r>
          </w:p>
        </w:tc>
      </w:tr>
      <w:tr w:rsidR="00E36553" w:rsidRPr="00135F6B" w14:paraId="12408DB2" w14:textId="77777777" w:rsidTr="00013C6F">
        <w:trPr>
          <w:trHeight w:val="232"/>
        </w:trPr>
        <w:tc>
          <w:tcPr>
            <w:tcW w:w="4820" w:type="dxa"/>
            <w:shd w:val="clear" w:color="auto" w:fill="FFFFFF"/>
            <w:vAlign w:val="center"/>
            <w:hideMark/>
          </w:tcPr>
          <w:p w14:paraId="6E9261DA" w14:textId="77777777" w:rsidR="00E36553" w:rsidRPr="00156BD0" w:rsidRDefault="00E36553" w:rsidP="00013C6F">
            <w:pPr>
              <w:ind w:right="-2" w:hanging="105"/>
              <w:rPr>
                <w:rFonts w:ascii="Calibri" w:hAnsi="Calibri" w:cs="Calibri"/>
                <w:b/>
                <w:bCs/>
                <w:color w:val="000000"/>
                <w:sz w:val="20"/>
                <w:szCs w:val="20"/>
                <w:lang w:eastAsia="en-IE"/>
              </w:rPr>
            </w:pPr>
            <w:r w:rsidRPr="00156BD0">
              <w:rPr>
                <w:rFonts w:ascii="Calibri" w:hAnsi="Calibri" w:cs="Calibri"/>
                <w:b/>
                <w:bCs/>
                <w:color w:val="000000"/>
                <w:sz w:val="20"/>
                <w:szCs w:val="20"/>
                <w:lang w:eastAsia="en-IE"/>
              </w:rPr>
              <w:t>Current financial assets</w:t>
            </w:r>
          </w:p>
        </w:tc>
        <w:tc>
          <w:tcPr>
            <w:tcW w:w="1417" w:type="dxa"/>
            <w:shd w:val="clear" w:color="auto" w:fill="FFFF00"/>
            <w:vAlign w:val="center"/>
          </w:tcPr>
          <w:p w14:paraId="00C0E807" w14:textId="77777777" w:rsidR="00E36553" w:rsidRPr="00135F6B" w:rsidRDefault="00E36553" w:rsidP="00013C6F">
            <w:pPr>
              <w:ind w:left="-284" w:right="-2"/>
              <w:jc w:val="right"/>
              <w:rPr>
                <w:rFonts w:ascii="Calibri" w:hAnsi="Calibri" w:cs="Calibri"/>
                <w:b/>
                <w:bCs/>
                <w:color w:val="000000"/>
                <w:sz w:val="20"/>
                <w:szCs w:val="20"/>
                <w:lang w:eastAsia="en-IE"/>
              </w:rPr>
            </w:pPr>
          </w:p>
        </w:tc>
        <w:tc>
          <w:tcPr>
            <w:tcW w:w="1417" w:type="dxa"/>
            <w:shd w:val="clear" w:color="auto" w:fill="FFFF00"/>
            <w:vAlign w:val="center"/>
          </w:tcPr>
          <w:p w14:paraId="03920387"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139E0141" w14:textId="77777777" w:rsidR="00E36553" w:rsidRPr="00AD66EB" w:rsidRDefault="00E36553" w:rsidP="00013C6F">
            <w:pPr>
              <w:ind w:left="-284" w:right="-2"/>
              <w:jc w:val="right"/>
              <w:rPr>
                <w:rFonts w:ascii="Calibri" w:eastAsia="Calibri" w:hAnsi="Calibri" w:cs="Calibri"/>
                <w:bCs/>
                <w:sz w:val="20"/>
                <w:szCs w:val="20"/>
                <w:lang w:eastAsia="en-IE"/>
              </w:rPr>
            </w:pPr>
          </w:p>
        </w:tc>
        <w:tc>
          <w:tcPr>
            <w:tcW w:w="1278" w:type="dxa"/>
            <w:shd w:val="clear" w:color="auto" w:fill="FFFFFF"/>
            <w:vAlign w:val="center"/>
            <w:hideMark/>
          </w:tcPr>
          <w:p w14:paraId="2FA2C3DC" w14:textId="77777777" w:rsidR="00E36553" w:rsidRPr="00AD66EB" w:rsidRDefault="00E36553" w:rsidP="00013C6F">
            <w:pPr>
              <w:ind w:left="-284" w:right="-2"/>
              <w:jc w:val="right"/>
              <w:rPr>
                <w:rFonts w:ascii="Calibri" w:eastAsia="Calibri" w:hAnsi="Calibri" w:cs="Calibri"/>
                <w:bCs/>
                <w:sz w:val="20"/>
                <w:szCs w:val="20"/>
                <w:lang w:eastAsia="en-IE"/>
              </w:rPr>
            </w:pPr>
          </w:p>
        </w:tc>
      </w:tr>
      <w:tr w:rsidR="00E36553" w:rsidRPr="00135F6B" w14:paraId="3514D484" w14:textId="77777777" w:rsidTr="00013C6F">
        <w:trPr>
          <w:trHeight w:val="232"/>
        </w:trPr>
        <w:tc>
          <w:tcPr>
            <w:tcW w:w="4820" w:type="dxa"/>
            <w:shd w:val="clear" w:color="auto" w:fill="FFFFFF"/>
            <w:vAlign w:val="center"/>
            <w:hideMark/>
          </w:tcPr>
          <w:p w14:paraId="5188A940"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Derivative financial instruments:</w:t>
            </w:r>
          </w:p>
        </w:tc>
        <w:tc>
          <w:tcPr>
            <w:tcW w:w="1417" w:type="dxa"/>
            <w:shd w:val="clear" w:color="auto" w:fill="FFFF00"/>
            <w:vAlign w:val="center"/>
          </w:tcPr>
          <w:p w14:paraId="02D1CFF3" w14:textId="77777777" w:rsidR="00E36553" w:rsidRPr="00135F6B" w:rsidRDefault="00E36553" w:rsidP="00013C6F">
            <w:pPr>
              <w:ind w:left="-284" w:right="-2"/>
              <w:jc w:val="right"/>
              <w:rPr>
                <w:rFonts w:ascii="Calibri" w:hAnsi="Calibri" w:cs="Calibri"/>
                <w:b/>
                <w:color w:val="000000"/>
                <w:sz w:val="20"/>
                <w:szCs w:val="20"/>
                <w:lang w:eastAsia="en-IE"/>
              </w:rPr>
            </w:pPr>
          </w:p>
        </w:tc>
        <w:tc>
          <w:tcPr>
            <w:tcW w:w="1417" w:type="dxa"/>
            <w:shd w:val="clear" w:color="auto" w:fill="FFFF00"/>
            <w:vAlign w:val="center"/>
          </w:tcPr>
          <w:p w14:paraId="46234CA2"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533FB4E6" w14:textId="77777777" w:rsidR="00E36553" w:rsidRPr="00AD66EB" w:rsidRDefault="00E36553" w:rsidP="00013C6F">
            <w:pPr>
              <w:ind w:left="-284" w:right="-2"/>
              <w:jc w:val="right"/>
              <w:rPr>
                <w:rFonts w:ascii="Calibri" w:eastAsia="Calibri" w:hAnsi="Calibri" w:cs="Calibri"/>
                <w:bCs/>
                <w:sz w:val="20"/>
                <w:szCs w:val="20"/>
                <w:lang w:eastAsia="en-IE"/>
              </w:rPr>
            </w:pPr>
          </w:p>
        </w:tc>
        <w:tc>
          <w:tcPr>
            <w:tcW w:w="1278" w:type="dxa"/>
            <w:shd w:val="clear" w:color="auto" w:fill="FFFFFF"/>
            <w:vAlign w:val="center"/>
            <w:hideMark/>
          </w:tcPr>
          <w:p w14:paraId="4E0BC86D" w14:textId="77777777" w:rsidR="00E36553" w:rsidRPr="00AD66EB" w:rsidRDefault="00E36553" w:rsidP="00013C6F">
            <w:pPr>
              <w:ind w:left="-284" w:right="-2"/>
              <w:jc w:val="right"/>
              <w:rPr>
                <w:rFonts w:ascii="Calibri" w:eastAsia="Calibri" w:hAnsi="Calibri" w:cs="Calibri"/>
                <w:bCs/>
                <w:sz w:val="20"/>
                <w:szCs w:val="20"/>
                <w:lang w:eastAsia="en-IE"/>
              </w:rPr>
            </w:pPr>
          </w:p>
        </w:tc>
      </w:tr>
      <w:tr w:rsidR="00E36553" w:rsidRPr="00135F6B" w14:paraId="3D8C2C62" w14:textId="77777777" w:rsidTr="00013C6F">
        <w:trPr>
          <w:trHeight w:val="232"/>
        </w:trPr>
        <w:tc>
          <w:tcPr>
            <w:tcW w:w="4820" w:type="dxa"/>
            <w:shd w:val="clear" w:color="auto" w:fill="FFFFFF"/>
            <w:vAlign w:val="center"/>
            <w:hideMark/>
          </w:tcPr>
          <w:p w14:paraId="7B299A66"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U.S. dollar currency forward contracts</w:t>
            </w:r>
          </w:p>
        </w:tc>
        <w:tc>
          <w:tcPr>
            <w:tcW w:w="1417" w:type="dxa"/>
            <w:shd w:val="clear" w:color="auto" w:fill="FFFF00"/>
            <w:vAlign w:val="center"/>
          </w:tcPr>
          <w:p w14:paraId="06154214" w14:textId="77777777" w:rsidR="00E36553" w:rsidRPr="00135F6B" w:rsidRDefault="00DC1E7F"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105.4</w:t>
            </w:r>
          </w:p>
        </w:tc>
        <w:tc>
          <w:tcPr>
            <w:tcW w:w="1417" w:type="dxa"/>
            <w:shd w:val="clear" w:color="auto" w:fill="FFFF00"/>
            <w:vAlign w:val="center"/>
          </w:tcPr>
          <w:p w14:paraId="7894B907" w14:textId="77777777" w:rsidR="00E36553" w:rsidRPr="00135F6B" w:rsidRDefault="00DC1E7F"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105.4</w:t>
            </w:r>
          </w:p>
        </w:tc>
        <w:tc>
          <w:tcPr>
            <w:tcW w:w="1417" w:type="dxa"/>
            <w:shd w:val="clear" w:color="auto" w:fill="FFFFFF"/>
            <w:vAlign w:val="center"/>
            <w:hideMark/>
          </w:tcPr>
          <w:p w14:paraId="7C8B317C"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226.2</w:t>
            </w:r>
          </w:p>
        </w:tc>
        <w:tc>
          <w:tcPr>
            <w:tcW w:w="1278" w:type="dxa"/>
            <w:shd w:val="clear" w:color="auto" w:fill="FFFFFF"/>
            <w:vAlign w:val="center"/>
            <w:hideMark/>
          </w:tcPr>
          <w:p w14:paraId="02F64A47"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226.2</w:t>
            </w:r>
          </w:p>
        </w:tc>
      </w:tr>
      <w:tr w:rsidR="00E36553" w:rsidRPr="00135F6B" w14:paraId="1AD6DBB4" w14:textId="77777777" w:rsidTr="00013C6F">
        <w:trPr>
          <w:trHeight w:val="232"/>
        </w:trPr>
        <w:tc>
          <w:tcPr>
            <w:tcW w:w="4820" w:type="dxa"/>
            <w:shd w:val="clear" w:color="auto" w:fill="FFFFFF"/>
            <w:vAlign w:val="center"/>
          </w:tcPr>
          <w:p w14:paraId="458F73FC"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Jet fuel options</w:t>
            </w:r>
          </w:p>
        </w:tc>
        <w:tc>
          <w:tcPr>
            <w:tcW w:w="1417" w:type="dxa"/>
            <w:tcBorders>
              <w:top w:val="nil"/>
              <w:left w:val="nil"/>
              <w:right w:val="nil"/>
            </w:tcBorders>
            <w:shd w:val="clear" w:color="auto" w:fill="FFFF00"/>
            <w:vAlign w:val="center"/>
          </w:tcPr>
          <w:p w14:paraId="2B6166DC" w14:textId="77777777" w:rsidR="00E36553" w:rsidRPr="00135F6B" w:rsidRDefault="00DC1E7F"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1.5</w:t>
            </w:r>
          </w:p>
        </w:tc>
        <w:tc>
          <w:tcPr>
            <w:tcW w:w="1417" w:type="dxa"/>
            <w:tcBorders>
              <w:top w:val="nil"/>
              <w:left w:val="nil"/>
              <w:right w:val="nil"/>
            </w:tcBorders>
            <w:shd w:val="clear" w:color="auto" w:fill="FFFF00"/>
            <w:vAlign w:val="center"/>
          </w:tcPr>
          <w:p w14:paraId="52B3D75E" w14:textId="77777777" w:rsidR="00E36553" w:rsidRPr="00135F6B" w:rsidRDefault="00DC1E7F"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1.5</w:t>
            </w:r>
          </w:p>
        </w:tc>
        <w:tc>
          <w:tcPr>
            <w:tcW w:w="1417" w:type="dxa"/>
            <w:tcBorders>
              <w:top w:val="nil"/>
              <w:left w:val="nil"/>
              <w:right w:val="nil"/>
            </w:tcBorders>
            <w:shd w:val="clear" w:color="auto" w:fill="FFFFFF"/>
            <w:vAlign w:val="center"/>
          </w:tcPr>
          <w:p w14:paraId="585A1BFF"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14.1</w:t>
            </w:r>
          </w:p>
        </w:tc>
        <w:tc>
          <w:tcPr>
            <w:tcW w:w="1278" w:type="dxa"/>
            <w:tcBorders>
              <w:top w:val="nil"/>
              <w:left w:val="nil"/>
              <w:right w:val="nil"/>
            </w:tcBorders>
            <w:shd w:val="clear" w:color="auto" w:fill="FFFFFF"/>
            <w:vAlign w:val="center"/>
          </w:tcPr>
          <w:p w14:paraId="13F0E03A"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eastAsia="Calibri" w:hAnsi="Calibri" w:cs="Calibri"/>
                <w:bCs/>
                <w:sz w:val="20"/>
                <w:szCs w:val="20"/>
                <w:lang w:eastAsia="en-IE"/>
              </w:rPr>
              <w:t>14.1</w:t>
            </w:r>
          </w:p>
        </w:tc>
      </w:tr>
      <w:tr w:rsidR="00E36553" w:rsidRPr="00135F6B" w14:paraId="758C5388" w14:textId="77777777" w:rsidTr="00013C6F">
        <w:trPr>
          <w:trHeight w:val="232"/>
        </w:trPr>
        <w:tc>
          <w:tcPr>
            <w:tcW w:w="4820" w:type="dxa"/>
            <w:shd w:val="clear" w:color="auto" w:fill="FFFFFF"/>
            <w:vAlign w:val="center"/>
          </w:tcPr>
          <w:p w14:paraId="3FB73892"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Jet fuel &amp; carbon derivative forward contracts</w:t>
            </w:r>
          </w:p>
        </w:tc>
        <w:tc>
          <w:tcPr>
            <w:tcW w:w="1417" w:type="dxa"/>
            <w:tcBorders>
              <w:top w:val="nil"/>
              <w:left w:val="nil"/>
              <w:right w:val="nil"/>
            </w:tcBorders>
            <w:shd w:val="clear" w:color="auto" w:fill="FFFF00"/>
            <w:vAlign w:val="center"/>
          </w:tcPr>
          <w:p w14:paraId="73020B02" w14:textId="77777777" w:rsidR="00E36553" w:rsidRPr="00135F6B" w:rsidRDefault="00DC1E7F"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42.6</w:t>
            </w:r>
          </w:p>
        </w:tc>
        <w:tc>
          <w:tcPr>
            <w:tcW w:w="1417" w:type="dxa"/>
            <w:tcBorders>
              <w:top w:val="nil"/>
              <w:left w:val="nil"/>
              <w:right w:val="nil"/>
            </w:tcBorders>
            <w:shd w:val="clear" w:color="auto" w:fill="FFFF00"/>
            <w:vAlign w:val="center"/>
          </w:tcPr>
          <w:p w14:paraId="306D40FE" w14:textId="77777777" w:rsidR="00E36553" w:rsidRPr="00135F6B" w:rsidRDefault="00DC1E7F"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42.6</w:t>
            </w:r>
          </w:p>
        </w:tc>
        <w:tc>
          <w:tcPr>
            <w:tcW w:w="1417" w:type="dxa"/>
            <w:tcBorders>
              <w:top w:val="nil"/>
              <w:left w:val="nil"/>
              <w:right w:val="nil"/>
            </w:tcBorders>
            <w:shd w:val="clear" w:color="auto" w:fill="FFFFFF"/>
            <w:vAlign w:val="center"/>
          </w:tcPr>
          <w:p w14:paraId="6A630E16"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49.6</w:t>
            </w:r>
          </w:p>
        </w:tc>
        <w:tc>
          <w:tcPr>
            <w:tcW w:w="1278" w:type="dxa"/>
            <w:tcBorders>
              <w:top w:val="nil"/>
              <w:left w:val="nil"/>
              <w:right w:val="nil"/>
            </w:tcBorders>
            <w:shd w:val="clear" w:color="auto" w:fill="FFFFFF"/>
            <w:vAlign w:val="center"/>
          </w:tcPr>
          <w:p w14:paraId="75205C92"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eastAsia="Calibri" w:hAnsi="Calibri" w:cs="Calibri"/>
                <w:bCs/>
                <w:sz w:val="20"/>
                <w:szCs w:val="20"/>
                <w:lang w:eastAsia="en-IE"/>
              </w:rPr>
              <w:t>49.6</w:t>
            </w:r>
          </w:p>
        </w:tc>
      </w:tr>
      <w:tr w:rsidR="00E36553" w:rsidRPr="00135F6B" w14:paraId="60551A8C" w14:textId="77777777" w:rsidTr="00013C6F">
        <w:trPr>
          <w:trHeight w:val="232"/>
        </w:trPr>
        <w:tc>
          <w:tcPr>
            <w:tcW w:w="4820" w:type="dxa"/>
            <w:shd w:val="clear" w:color="auto" w:fill="FFFFFF"/>
            <w:vAlign w:val="center"/>
            <w:hideMark/>
          </w:tcPr>
          <w:p w14:paraId="236D8A69"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Interest rate swaps</w:t>
            </w:r>
          </w:p>
        </w:tc>
        <w:tc>
          <w:tcPr>
            <w:tcW w:w="1417" w:type="dxa"/>
            <w:tcBorders>
              <w:left w:val="nil"/>
              <w:bottom w:val="single" w:sz="8" w:space="0" w:color="auto"/>
              <w:right w:val="nil"/>
            </w:tcBorders>
            <w:shd w:val="clear" w:color="auto" w:fill="FFFF00"/>
            <w:vAlign w:val="center"/>
          </w:tcPr>
          <w:p w14:paraId="3C639751" w14:textId="77777777" w:rsidR="00E36553" w:rsidRPr="00135F6B" w:rsidRDefault="00DC1E7F"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w:t>
            </w:r>
          </w:p>
        </w:tc>
        <w:tc>
          <w:tcPr>
            <w:tcW w:w="1417" w:type="dxa"/>
            <w:tcBorders>
              <w:left w:val="nil"/>
              <w:bottom w:val="single" w:sz="8" w:space="0" w:color="auto"/>
              <w:right w:val="nil"/>
            </w:tcBorders>
            <w:shd w:val="clear" w:color="auto" w:fill="FFFF00"/>
            <w:vAlign w:val="center"/>
          </w:tcPr>
          <w:p w14:paraId="53B0C89B" w14:textId="77777777" w:rsidR="00E36553" w:rsidRPr="00135F6B" w:rsidRDefault="00DC1E7F"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w:t>
            </w:r>
          </w:p>
        </w:tc>
        <w:tc>
          <w:tcPr>
            <w:tcW w:w="1417" w:type="dxa"/>
            <w:tcBorders>
              <w:left w:val="nil"/>
              <w:bottom w:val="single" w:sz="8" w:space="0" w:color="auto"/>
              <w:right w:val="nil"/>
            </w:tcBorders>
            <w:shd w:val="clear" w:color="auto" w:fill="FFFFFF"/>
            <w:vAlign w:val="center"/>
            <w:hideMark/>
          </w:tcPr>
          <w:p w14:paraId="400CB568"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2.2</w:t>
            </w:r>
          </w:p>
        </w:tc>
        <w:tc>
          <w:tcPr>
            <w:tcW w:w="1278" w:type="dxa"/>
            <w:tcBorders>
              <w:left w:val="nil"/>
              <w:bottom w:val="single" w:sz="8" w:space="0" w:color="auto"/>
              <w:right w:val="nil"/>
            </w:tcBorders>
            <w:shd w:val="clear" w:color="auto" w:fill="FFFFFF"/>
            <w:vAlign w:val="center"/>
            <w:hideMark/>
          </w:tcPr>
          <w:p w14:paraId="42981B1E"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2.2</w:t>
            </w:r>
          </w:p>
        </w:tc>
      </w:tr>
      <w:tr w:rsidR="00E36553" w:rsidRPr="00135F6B" w14:paraId="675A5E84" w14:textId="77777777" w:rsidTr="00013C6F">
        <w:trPr>
          <w:trHeight w:val="232"/>
        </w:trPr>
        <w:tc>
          <w:tcPr>
            <w:tcW w:w="4820" w:type="dxa"/>
            <w:shd w:val="clear" w:color="auto" w:fill="FFFFFF"/>
            <w:vAlign w:val="center"/>
            <w:hideMark/>
          </w:tcPr>
          <w:p w14:paraId="3BE86618"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shd w:val="clear" w:color="auto" w:fill="FFFF00"/>
            <w:vAlign w:val="center"/>
          </w:tcPr>
          <w:p w14:paraId="5DA17C83" w14:textId="77777777" w:rsidR="00E36553" w:rsidRPr="00135F6B" w:rsidRDefault="00DC1E7F"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149.5</w:t>
            </w:r>
          </w:p>
        </w:tc>
        <w:tc>
          <w:tcPr>
            <w:tcW w:w="1417" w:type="dxa"/>
            <w:shd w:val="clear" w:color="auto" w:fill="FFFF00"/>
            <w:vAlign w:val="center"/>
          </w:tcPr>
          <w:p w14:paraId="1732869C" w14:textId="77777777" w:rsidR="00E36553" w:rsidRPr="00135F6B" w:rsidRDefault="00DC1E7F"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149.5</w:t>
            </w:r>
          </w:p>
        </w:tc>
        <w:tc>
          <w:tcPr>
            <w:tcW w:w="1417" w:type="dxa"/>
            <w:shd w:val="clear" w:color="auto" w:fill="FFFFFF"/>
            <w:vAlign w:val="center"/>
            <w:hideMark/>
          </w:tcPr>
          <w:p w14:paraId="0862BA0F"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292.1</w:t>
            </w:r>
          </w:p>
        </w:tc>
        <w:tc>
          <w:tcPr>
            <w:tcW w:w="1278" w:type="dxa"/>
            <w:shd w:val="clear" w:color="auto" w:fill="FFFFFF"/>
            <w:vAlign w:val="center"/>
            <w:hideMark/>
          </w:tcPr>
          <w:p w14:paraId="4E888B71"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292.1</w:t>
            </w:r>
          </w:p>
        </w:tc>
      </w:tr>
      <w:tr w:rsidR="00E36553" w:rsidRPr="00135F6B" w14:paraId="59FBFC28" w14:textId="77777777" w:rsidTr="00013C6F">
        <w:trPr>
          <w:trHeight w:val="232"/>
        </w:trPr>
        <w:tc>
          <w:tcPr>
            <w:tcW w:w="4820" w:type="dxa"/>
            <w:shd w:val="clear" w:color="auto" w:fill="FFFFFF"/>
            <w:vAlign w:val="center"/>
            <w:hideMark/>
          </w:tcPr>
          <w:p w14:paraId="10E8E072"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Trade receivables*</w:t>
            </w:r>
          </w:p>
        </w:tc>
        <w:tc>
          <w:tcPr>
            <w:tcW w:w="1417" w:type="dxa"/>
            <w:shd w:val="clear" w:color="auto" w:fill="FFFF00"/>
            <w:vAlign w:val="center"/>
          </w:tcPr>
          <w:p w14:paraId="50F73DDE" w14:textId="77777777" w:rsidR="00E36553" w:rsidRPr="00CE3B2F" w:rsidRDefault="00DC1E7F" w:rsidP="00013C6F">
            <w:pPr>
              <w:ind w:left="-284" w:right="-2"/>
              <w:jc w:val="right"/>
              <w:rPr>
                <w:rFonts w:ascii="Calibri" w:hAnsi="Calibri" w:cs="Calibri"/>
                <w:b/>
                <w:color w:val="000000"/>
                <w:sz w:val="20"/>
                <w:szCs w:val="20"/>
                <w:lang w:eastAsia="en-IE"/>
              </w:rPr>
            </w:pPr>
            <w:r w:rsidRPr="00CE3B2F">
              <w:rPr>
                <w:rFonts w:ascii="Calibri" w:hAnsi="Calibri" w:cs="Calibri"/>
                <w:b/>
                <w:color w:val="000000"/>
                <w:sz w:val="20"/>
                <w:szCs w:val="20"/>
                <w:lang w:eastAsia="en-IE"/>
              </w:rPr>
              <w:t>76.5</w:t>
            </w:r>
          </w:p>
        </w:tc>
        <w:tc>
          <w:tcPr>
            <w:tcW w:w="1417" w:type="dxa"/>
            <w:shd w:val="clear" w:color="auto" w:fill="FFFF00"/>
            <w:vAlign w:val="center"/>
          </w:tcPr>
          <w:p w14:paraId="380D604A"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7433CD46"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59.7</w:t>
            </w:r>
          </w:p>
        </w:tc>
        <w:tc>
          <w:tcPr>
            <w:tcW w:w="1278" w:type="dxa"/>
            <w:shd w:val="clear" w:color="auto" w:fill="FFFFFF"/>
            <w:vAlign w:val="center"/>
            <w:hideMark/>
          </w:tcPr>
          <w:p w14:paraId="0256E0D5" w14:textId="77777777" w:rsidR="00E36553" w:rsidRPr="00AD66EB" w:rsidRDefault="00E36553" w:rsidP="00013C6F">
            <w:pPr>
              <w:ind w:left="-284" w:right="-2"/>
              <w:jc w:val="right"/>
              <w:rPr>
                <w:rFonts w:ascii="Calibri" w:hAnsi="Calibri" w:cs="Calibri"/>
                <w:bCs/>
                <w:color w:val="000000"/>
                <w:sz w:val="20"/>
                <w:szCs w:val="20"/>
                <w:lang w:eastAsia="en-IE"/>
              </w:rPr>
            </w:pPr>
          </w:p>
        </w:tc>
      </w:tr>
      <w:tr w:rsidR="00E36553" w:rsidRPr="00135F6B" w14:paraId="3285863F" w14:textId="77777777" w:rsidTr="00013C6F">
        <w:trPr>
          <w:trHeight w:val="232"/>
        </w:trPr>
        <w:tc>
          <w:tcPr>
            <w:tcW w:w="4820" w:type="dxa"/>
            <w:shd w:val="clear" w:color="auto" w:fill="FFFFFF"/>
            <w:vAlign w:val="center"/>
            <w:hideMark/>
          </w:tcPr>
          <w:p w14:paraId="33056DE4"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Cash and cash equivalents*</w:t>
            </w:r>
          </w:p>
        </w:tc>
        <w:tc>
          <w:tcPr>
            <w:tcW w:w="1417" w:type="dxa"/>
            <w:shd w:val="clear" w:color="auto" w:fill="FFFF00"/>
            <w:vAlign w:val="center"/>
          </w:tcPr>
          <w:p w14:paraId="725588C2" w14:textId="77777777" w:rsidR="00E36553" w:rsidRPr="00CE3B2F" w:rsidRDefault="00DC1E7F" w:rsidP="00013C6F">
            <w:pPr>
              <w:ind w:left="-284" w:right="-2"/>
              <w:jc w:val="right"/>
              <w:rPr>
                <w:rFonts w:ascii="Calibri" w:hAnsi="Calibri" w:cs="Calibri"/>
                <w:b/>
                <w:color w:val="000000"/>
                <w:sz w:val="20"/>
                <w:szCs w:val="20"/>
                <w:lang w:eastAsia="en-IE"/>
              </w:rPr>
            </w:pPr>
            <w:r w:rsidRPr="00CE3B2F">
              <w:rPr>
                <w:rFonts w:ascii="Calibri" w:hAnsi="Calibri" w:cs="Calibri"/>
                <w:b/>
                <w:color w:val="000000"/>
                <w:sz w:val="20"/>
                <w:szCs w:val="20"/>
                <w:lang w:eastAsia="en-IE"/>
              </w:rPr>
              <w:t>2,518.6</w:t>
            </w:r>
          </w:p>
        </w:tc>
        <w:tc>
          <w:tcPr>
            <w:tcW w:w="1417" w:type="dxa"/>
            <w:shd w:val="clear" w:color="auto" w:fill="FFFF00"/>
            <w:vAlign w:val="center"/>
          </w:tcPr>
          <w:p w14:paraId="566C7EE0"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1B4C2FB8"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3,599.3</w:t>
            </w:r>
          </w:p>
        </w:tc>
        <w:tc>
          <w:tcPr>
            <w:tcW w:w="1278" w:type="dxa"/>
            <w:shd w:val="clear" w:color="auto" w:fill="FFFFFF"/>
            <w:vAlign w:val="center"/>
            <w:hideMark/>
          </w:tcPr>
          <w:p w14:paraId="54CF5F3D" w14:textId="77777777" w:rsidR="00E36553" w:rsidRPr="00AD66EB" w:rsidRDefault="00E36553" w:rsidP="00013C6F">
            <w:pPr>
              <w:ind w:left="-284" w:right="-2"/>
              <w:jc w:val="right"/>
              <w:rPr>
                <w:rFonts w:ascii="Calibri" w:hAnsi="Calibri" w:cs="Calibri"/>
                <w:bCs/>
                <w:color w:val="000000"/>
                <w:sz w:val="20"/>
                <w:szCs w:val="20"/>
                <w:lang w:eastAsia="en-IE"/>
              </w:rPr>
            </w:pPr>
          </w:p>
        </w:tc>
      </w:tr>
      <w:tr w:rsidR="00E36553" w:rsidRPr="00135F6B" w14:paraId="1CE5FFD7" w14:textId="77777777" w:rsidTr="00013C6F">
        <w:trPr>
          <w:trHeight w:val="232"/>
        </w:trPr>
        <w:tc>
          <w:tcPr>
            <w:tcW w:w="4820" w:type="dxa"/>
            <w:shd w:val="clear" w:color="auto" w:fill="FFFFFF"/>
            <w:vAlign w:val="center"/>
            <w:hideMark/>
          </w:tcPr>
          <w:p w14:paraId="477BE59E"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Financial asset: cash &gt; 3 months*</w:t>
            </w:r>
          </w:p>
        </w:tc>
        <w:tc>
          <w:tcPr>
            <w:tcW w:w="1417" w:type="dxa"/>
            <w:shd w:val="clear" w:color="auto" w:fill="FFFF00"/>
            <w:vAlign w:val="center"/>
          </w:tcPr>
          <w:p w14:paraId="7724CA38" w14:textId="77777777" w:rsidR="00E36553" w:rsidRPr="00CE3B2F" w:rsidRDefault="00DC1E7F" w:rsidP="00013C6F">
            <w:pPr>
              <w:ind w:left="-284" w:right="-2"/>
              <w:jc w:val="right"/>
              <w:rPr>
                <w:rFonts w:ascii="Calibri" w:hAnsi="Calibri" w:cs="Calibri"/>
                <w:b/>
                <w:color w:val="000000"/>
                <w:sz w:val="20"/>
                <w:szCs w:val="20"/>
                <w:lang w:eastAsia="en-IE"/>
              </w:rPr>
            </w:pPr>
            <w:r w:rsidRPr="00CE3B2F">
              <w:rPr>
                <w:rFonts w:ascii="Calibri" w:hAnsi="Calibri" w:cs="Calibri"/>
                <w:b/>
                <w:color w:val="000000"/>
                <w:sz w:val="20"/>
                <w:szCs w:val="20"/>
                <w:lang w:eastAsia="en-IE"/>
              </w:rPr>
              <w:t>379.5</w:t>
            </w:r>
          </w:p>
        </w:tc>
        <w:tc>
          <w:tcPr>
            <w:tcW w:w="1417" w:type="dxa"/>
            <w:shd w:val="clear" w:color="auto" w:fill="FFFF00"/>
            <w:vAlign w:val="center"/>
          </w:tcPr>
          <w:p w14:paraId="596EAECB" w14:textId="77777777" w:rsidR="00E36553" w:rsidRPr="00135F6B" w:rsidRDefault="00E36553" w:rsidP="00013C6F">
            <w:pPr>
              <w:ind w:left="-284" w:right="-2"/>
              <w:jc w:val="right"/>
              <w:rPr>
                <w:rFonts w:ascii="Calibri" w:eastAsia="Calibri" w:hAnsi="Calibri" w:cs="Calibri"/>
                <w:b/>
                <w:sz w:val="20"/>
                <w:szCs w:val="20"/>
                <w:highlight w:val="yellow"/>
                <w:lang w:eastAsia="en-IE"/>
              </w:rPr>
            </w:pPr>
          </w:p>
        </w:tc>
        <w:tc>
          <w:tcPr>
            <w:tcW w:w="1417" w:type="dxa"/>
            <w:shd w:val="clear" w:color="auto" w:fill="FFFFFF"/>
            <w:vAlign w:val="center"/>
            <w:hideMark/>
          </w:tcPr>
          <w:p w14:paraId="063483AE"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1,056.2</w:t>
            </w:r>
          </w:p>
        </w:tc>
        <w:tc>
          <w:tcPr>
            <w:tcW w:w="1278" w:type="dxa"/>
            <w:shd w:val="clear" w:color="auto" w:fill="FFFFFF"/>
            <w:vAlign w:val="center"/>
            <w:hideMark/>
          </w:tcPr>
          <w:p w14:paraId="27AC6D33" w14:textId="77777777" w:rsidR="00E36553" w:rsidRPr="00AD66EB" w:rsidRDefault="00E36553" w:rsidP="00013C6F">
            <w:pPr>
              <w:ind w:left="-284" w:right="-2"/>
              <w:jc w:val="right"/>
              <w:rPr>
                <w:rFonts w:ascii="Calibri" w:hAnsi="Calibri" w:cs="Calibri"/>
                <w:bCs/>
                <w:color w:val="000000"/>
                <w:sz w:val="20"/>
                <w:szCs w:val="20"/>
                <w:lang w:eastAsia="en-IE"/>
              </w:rPr>
            </w:pPr>
          </w:p>
        </w:tc>
      </w:tr>
      <w:tr w:rsidR="00E36553" w:rsidRPr="00135F6B" w14:paraId="05A9FFEE" w14:textId="77777777" w:rsidTr="00013C6F">
        <w:trPr>
          <w:trHeight w:val="232"/>
        </w:trPr>
        <w:tc>
          <w:tcPr>
            <w:tcW w:w="4820" w:type="dxa"/>
            <w:shd w:val="clear" w:color="auto" w:fill="FFFFFF"/>
            <w:vAlign w:val="center"/>
            <w:hideMark/>
          </w:tcPr>
          <w:p w14:paraId="3E94AB6E"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Restricted cash*</w:t>
            </w:r>
          </w:p>
        </w:tc>
        <w:tc>
          <w:tcPr>
            <w:tcW w:w="1417" w:type="dxa"/>
            <w:tcBorders>
              <w:bottom w:val="single" w:sz="8" w:space="0" w:color="auto"/>
            </w:tcBorders>
            <w:shd w:val="clear" w:color="auto" w:fill="FFFF00"/>
            <w:vAlign w:val="center"/>
          </w:tcPr>
          <w:p w14:paraId="68816A02" w14:textId="77777777" w:rsidR="00E36553" w:rsidRPr="00CE3B2F" w:rsidRDefault="00DC1E7F" w:rsidP="00013C6F">
            <w:pPr>
              <w:ind w:left="-284" w:right="-2"/>
              <w:jc w:val="right"/>
              <w:rPr>
                <w:rFonts w:ascii="Calibri" w:hAnsi="Calibri" w:cs="Calibri"/>
                <w:b/>
                <w:color w:val="000000"/>
                <w:sz w:val="20"/>
                <w:szCs w:val="20"/>
                <w:lang w:eastAsia="en-IE"/>
              </w:rPr>
            </w:pPr>
            <w:r w:rsidRPr="00CE3B2F">
              <w:rPr>
                <w:rFonts w:ascii="Calibri" w:hAnsi="Calibri" w:cs="Calibri"/>
                <w:b/>
                <w:color w:val="000000"/>
                <w:sz w:val="20"/>
                <w:szCs w:val="20"/>
                <w:lang w:eastAsia="en-IE"/>
              </w:rPr>
              <w:t>20.8</w:t>
            </w:r>
          </w:p>
        </w:tc>
        <w:tc>
          <w:tcPr>
            <w:tcW w:w="1417" w:type="dxa"/>
            <w:tcBorders>
              <w:bottom w:val="single" w:sz="8" w:space="0" w:color="auto"/>
            </w:tcBorders>
            <w:shd w:val="clear" w:color="auto" w:fill="FFFF00"/>
            <w:vAlign w:val="center"/>
          </w:tcPr>
          <w:p w14:paraId="47CCC0C4" w14:textId="77777777" w:rsidR="00E36553" w:rsidRPr="00135F6B" w:rsidRDefault="00E36553" w:rsidP="00013C6F">
            <w:pPr>
              <w:ind w:left="-284" w:right="-2"/>
              <w:jc w:val="right"/>
              <w:rPr>
                <w:rFonts w:ascii="Calibri" w:eastAsia="Calibri" w:hAnsi="Calibri" w:cs="Calibri"/>
                <w:b/>
                <w:sz w:val="20"/>
                <w:szCs w:val="20"/>
                <w:highlight w:val="yellow"/>
                <w:lang w:eastAsia="en-IE"/>
              </w:rPr>
            </w:pPr>
          </w:p>
        </w:tc>
        <w:tc>
          <w:tcPr>
            <w:tcW w:w="1417" w:type="dxa"/>
            <w:tcBorders>
              <w:bottom w:val="single" w:sz="8" w:space="0" w:color="auto"/>
            </w:tcBorders>
            <w:shd w:val="clear" w:color="auto" w:fill="FFFFFF"/>
            <w:vAlign w:val="center"/>
            <w:hideMark/>
          </w:tcPr>
          <w:p w14:paraId="150C0A94"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19.5</w:t>
            </w:r>
          </w:p>
        </w:tc>
        <w:tc>
          <w:tcPr>
            <w:tcW w:w="1278" w:type="dxa"/>
            <w:tcBorders>
              <w:bottom w:val="single" w:sz="8" w:space="0" w:color="auto"/>
            </w:tcBorders>
            <w:shd w:val="clear" w:color="auto" w:fill="FFFFFF"/>
            <w:vAlign w:val="center"/>
            <w:hideMark/>
          </w:tcPr>
          <w:p w14:paraId="09FE8E69" w14:textId="77777777" w:rsidR="00E36553" w:rsidRPr="00AD66EB" w:rsidRDefault="00E36553" w:rsidP="00013C6F">
            <w:pPr>
              <w:ind w:left="-284" w:right="-2"/>
              <w:jc w:val="right"/>
              <w:rPr>
                <w:rFonts w:ascii="Calibri" w:hAnsi="Calibri" w:cs="Calibri"/>
                <w:bCs/>
                <w:color w:val="000000"/>
                <w:sz w:val="20"/>
                <w:szCs w:val="20"/>
                <w:lang w:eastAsia="en-IE"/>
              </w:rPr>
            </w:pPr>
          </w:p>
        </w:tc>
      </w:tr>
      <w:tr w:rsidR="00E36553" w:rsidRPr="00CB4DD8" w14:paraId="7370B908" w14:textId="77777777" w:rsidTr="00013C6F">
        <w:trPr>
          <w:trHeight w:val="232"/>
        </w:trPr>
        <w:tc>
          <w:tcPr>
            <w:tcW w:w="4820" w:type="dxa"/>
            <w:shd w:val="clear" w:color="auto" w:fill="FFFFFF"/>
            <w:vAlign w:val="center"/>
            <w:hideMark/>
          </w:tcPr>
          <w:p w14:paraId="65CC0043"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tcBorders>
              <w:top w:val="single" w:sz="8" w:space="0" w:color="auto"/>
              <w:left w:val="nil"/>
              <w:bottom w:val="single" w:sz="8" w:space="0" w:color="auto"/>
              <w:right w:val="nil"/>
            </w:tcBorders>
            <w:shd w:val="clear" w:color="auto" w:fill="FFFF00"/>
            <w:vAlign w:val="center"/>
          </w:tcPr>
          <w:p w14:paraId="5E32EA06" w14:textId="77777777" w:rsidR="00E36553" w:rsidRPr="00CE3B2F" w:rsidRDefault="00DC1E7F" w:rsidP="00013C6F">
            <w:pPr>
              <w:ind w:left="-284" w:right="-2"/>
              <w:jc w:val="right"/>
              <w:rPr>
                <w:rFonts w:ascii="Calibri" w:hAnsi="Calibri" w:cs="Calibri"/>
                <w:b/>
                <w:bCs/>
                <w:color w:val="000000"/>
                <w:sz w:val="20"/>
                <w:szCs w:val="20"/>
                <w:lang w:eastAsia="en-IE"/>
              </w:rPr>
            </w:pPr>
            <w:r w:rsidRPr="00CE3B2F">
              <w:rPr>
                <w:rFonts w:ascii="Calibri" w:hAnsi="Calibri" w:cs="Calibri"/>
                <w:b/>
                <w:bCs/>
                <w:color w:val="000000"/>
                <w:sz w:val="20"/>
                <w:szCs w:val="20"/>
                <w:lang w:eastAsia="en-IE"/>
              </w:rPr>
              <w:t>3,144.9</w:t>
            </w:r>
          </w:p>
        </w:tc>
        <w:tc>
          <w:tcPr>
            <w:tcW w:w="1417" w:type="dxa"/>
            <w:tcBorders>
              <w:top w:val="single" w:sz="8" w:space="0" w:color="auto"/>
              <w:left w:val="nil"/>
              <w:bottom w:val="single" w:sz="8" w:space="0" w:color="auto"/>
              <w:right w:val="nil"/>
            </w:tcBorders>
            <w:shd w:val="clear" w:color="auto" w:fill="FFFF00"/>
            <w:vAlign w:val="center"/>
          </w:tcPr>
          <w:p w14:paraId="6248C04B" w14:textId="77777777" w:rsidR="00E36553" w:rsidRPr="004E4E6E" w:rsidRDefault="00DC1E7F"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149.5</w:t>
            </w:r>
          </w:p>
        </w:tc>
        <w:tc>
          <w:tcPr>
            <w:tcW w:w="1417" w:type="dxa"/>
            <w:tcBorders>
              <w:top w:val="single" w:sz="8" w:space="0" w:color="auto"/>
              <w:left w:val="nil"/>
              <w:bottom w:val="single" w:sz="8" w:space="0" w:color="auto"/>
              <w:right w:val="nil"/>
            </w:tcBorders>
            <w:shd w:val="clear" w:color="auto" w:fill="FFFFFF"/>
            <w:vAlign w:val="center"/>
            <w:hideMark/>
          </w:tcPr>
          <w:p w14:paraId="1C05EE77"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5,026.8</w:t>
            </w:r>
          </w:p>
        </w:tc>
        <w:tc>
          <w:tcPr>
            <w:tcW w:w="1278" w:type="dxa"/>
            <w:tcBorders>
              <w:top w:val="single" w:sz="8" w:space="0" w:color="auto"/>
              <w:left w:val="nil"/>
              <w:bottom w:val="single" w:sz="8" w:space="0" w:color="auto"/>
              <w:right w:val="nil"/>
            </w:tcBorders>
            <w:shd w:val="clear" w:color="auto" w:fill="FFFFFF"/>
            <w:vAlign w:val="center"/>
            <w:hideMark/>
          </w:tcPr>
          <w:p w14:paraId="2A9A1051"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292.1</w:t>
            </w:r>
          </w:p>
        </w:tc>
      </w:tr>
      <w:tr w:rsidR="00E36553" w:rsidRPr="00CB4DD8" w14:paraId="799C7E1C" w14:textId="77777777" w:rsidTr="00013C6F">
        <w:trPr>
          <w:trHeight w:val="232"/>
        </w:trPr>
        <w:tc>
          <w:tcPr>
            <w:tcW w:w="4820" w:type="dxa"/>
            <w:shd w:val="clear" w:color="auto" w:fill="FFFFFF"/>
            <w:vAlign w:val="center"/>
            <w:hideMark/>
          </w:tcPr>
          <w:p w14:paraId="46775E4B"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Total financial assets</w:t>
            </w:r>
          </w:p>
        </w:tc>
        <w:tc>
          <w:tcPr>
            <w:tcW w:w="1417" w:type="dxa"/>
            <w:tcBorders>
              <w:top w:val="single" w:sz="8" w:space="0" w:color="auto"/>
              <w:left w:val="nil"/>
              <w:bottom w:val="single" w:sz="12" w:space="0" w:color="auto"/>
              <w:right w:val="nil"/>
            </w:tcBorders>
            <w:shd w:val="clear" w:color="auto" w:fill="FFFF00"/>
            <w:vAlign w:val="center"/>
          </w:tcPr>
          <w:p w14:paraId="6C693CC8" w14:textId="77777777" w:rsidR="00E36553" w:rsidRPr="00CE3B2F" w:rsidRDefault="00DC1E7F" w:rsidP="00013C6F">
            <w:pPr>
              <w:ind w:left="-284" w:right="-2"/>
              <w:jc w:val="right"/>
              <w:rPr>
                <w:rFonts w:ascii="Calibri" w:hAnsi="Calibri" w:cs="Calibri"/>
                <w:b/>
                <w:bCs/>
                <w:color w:val="000000"/>
                <w:sz w:val="20"/>
                <w:szCs w:val="20"/>
                <w:lang w:eastAsia="en-IE"/>
              </w:rPr>
            </w:pPr>
            <w:r w:rsidRPr="00CE3B2F">
              <w:rPr>
                <w:rFonts w:ascii="Calibri" w:hAnsi="Calibri" w:cs="Calibri"/>
                <w:b/>
                <w:bCs/>
                <w:color w:val="000000"/>
                <w:sz w:val="20"/>
                <w:szCs w:val="20"/>
                <w:lang w:eastAsia="en-IE"/>
              </w:rPr>
              <w:t>3,148.3</w:t>
            </w:r>
          </w:p>
        </w:tc>
        <w:tc>
          <w:tcPr>
            <w:tcW w:w="1417" w:type="dxa"/>
            <w:tcBorders>
              <w:top w:val="single" w:sz="8" w:space="0" w:color="auto"/>
              <w:left w:val="nil"/>
              <w:bottom w:val="single" w:sz="12" w:space="0" w:color="auto"/>
              <w:right w:val="nil"/>
            </w:tcBorders>
            <w:shd w:val="clear" w:color="auto" w:fill="FFFF00"/>
            <w:vAlign w:val="center"/>
          </w:tcPr>
          <w:p w14:paraId="1C4DC72F" w14:textId="77777777" w:rsidR="00E36553" w:rsidRPr="00135F6B" w:rsidRDefault="00DC1E7F" w:rsidP="00013C6F">
            <w:pPr>
              <w:ind w:left="-284" w:right="-2"/>
              <w:jc w:val="right"/>
              <w:rPr>
                <w:rFonts w:ascii="Calibri" w:hAnsi="Calibri" w:cs="Calibri"/>
                <w:b/>
                <w:bCs/>
                <w:color w:val="000000"/>
                <w:sz w:val="20"/>
                <w:szCs w:val="20"/>
                <w:highlight w:val="yellow"/>
                <w:lang w:eastAsia="en-IE"/>
              </w:rPr>
            </w:pPr>
            <w:r>
              <w:rPr>
                <w:rFonts w:ascii="Calibri" w:hAnsi="Calibri" w:cs="Calibri"/>
                <w:b/>
                <w:bCs/>
                <w:color w:val="000000"/>
                <w:sz w:val="20"/>
                <w:szCs w:val="20"/>
                <w:highlight w:val="yellow"/>
                <w:lang w:eastAsia="en-IE"/>
              </w:rPr>
              <w:t>152.9</w:t>
            </w:r>
          </w:p>
        </w:tc>
        <w:tc>
          <w:tcPr>
            <w:tcW w:w="1417" w:type="dxa"/>
            <w:tcBorders>
              <w:top w:val="single" w:sz="8" w:space="0" w:color="auto"/>
              <w:left w:val="nil"/>
              <w:bottom w:val="single" w:sz="12" w:space="0" w:color="auto"/>
              <w:right w:val="nil"/>
            </w:tcBorders>
            <w:shd w:val="clear" w:color="auto" w:fill="FFFFFF"/>
            <w:vAlign w:val="center"/>
            <w:hideMark/>
          </w:tcPr>
          <w:p w14:paraId="6EDF19BB"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5,081.4</w:t>
            </w:r>
          </w:p>
        </w:tc>
        <w:tc>
          <w:tcPr>
            <w:tcW w:w="1278" w:type="dxa"/>
            <w:tcBorders>
              <w:top w:val="single" w:sz="8" w:space="0" w:color="auto"/>
              <w:left w:val="nil"/>
              <w:bottom w:val="single" w:sz="12" w:space="0" w:color="auto"/>
              <w:right w:val="nil"/>
            </w:tcBorders>
            <w:shd w:val="clear" w:color="auto" w:fill="FFFFFF"/>
            <w:vAlign w:val="center"/>
            <w:hideMark/>
          </w:tcPr>
          <w:p w14:paraId="7FEB1BF5"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346.7</w:t>
            </w:r>
          </w:p>
        </w:tc>
      </w:tr>
      <w:tr w:rsidR="00E36553" w:rsidRPr="00135F6B" w14:paraId="10F63D05" w14:textId="77777777" w:rsidTr="00013C6F">
        <w:trPr>
          <w:trHeight w:val="232"/>
        </w:trPr>
        <w:tc>
          <w:tcPr>
            <w:tcW w:w="4820" w:type="dxa"/>
            <w:shd w:val="clear" w:color="auto" w:fill="FFFFFF"/>
            <w:vAlign w:val="center"/>
          </w:tcPr>
          <w:p w14:paraId="039EFEF9" w14:textId="77777777" w:rsidR="00E36553" w:rsidRPr="00156BD0" w:rsidRDefault="00E36553" w:rsidP="00013C6F">
            <w:pPr>
              <w:ind w:right="-2"/>
              <w:rPr>
                <w:rFonts w:ascii="Calibri" w:hAnsi="Calibri" w:cs="Calibri"/>
                <w:color w:val="000000"/>
                <w:sz w:val="20"/>
                <w:szCs w:val="20"/>
                <w:lang w:eastAsia="en-IE"/>
              </w:rPr>
            </w:pPr>
          </w:p>
        </w:tc>
        <w:tc>
          <w:tcPr>
            <w:tcW w:w="1417" w:type="dxa"/>
            <w:tcBorders>
              <w:top w:val="single" w:sz="12" w:space="0" w:color="auto"/>
            </w:tcBorders>
            <w:shd w:val="clear" w:color="auto" w:fill="FFFF00"/>
            <w:vAlign w:val="center"/>
          </w:tcPr>
          <w:p w14:paraId="05A8413F" w14:textId="77777777" w:rsidR="00E36553" w:rsidRPr="00135F6B" w:rsidRDefault="00E36553" w:rsidP="00013C6F">
            <w:pPr>
              <w:ind w:left="-284" w:right="-2"/>
              <w:jc w:val="right"/>
              <w:rPr>
                <w:rFonts w:ascii="Calibri" w:hAnsi="Calibri" w:cs="Calibri"/>
                <w:b/>
                <w:color w:val="000000"/>
                <w:sz w:val="20"/>
                <w:szCs w:val="20"/>
                <w:highlight w:val="yellow"/>
                <w:lang w:eastAsia="en-IE"/>
              </w:rPr>
            </w:pPr>
          </w:p>
        </w:tc>
        <w:tc>
          <w:tcPr>
            <w:tcW w:w="1417" w:type="dxa"/>
            <w:tcBorders>
              <w:top w:val="single" w:sz="12" w:space="0" w:color="auto"/>
            </w:tcBorders>
            <w:shd w:val="clear" w:color="auto" w:fill="FFFF00"/>
            <w:vAlign w:val="center"/>
          </w:tcPr>
          <w:p w14:paraId="22DBB680" w14:textId="77777777" w:rsidR="00E36553" w:rsidRPr="00135F6B" w:rsidRDefault="00E36553" w:rsidP="00013C6F">
            <w:pPr>
              <w:ind w:left="-284" w:right="-2"/>
              <w:jc w:val="right"/>
              <w:rPr>
                <w:rFonts w:ascii="Calibri" w:eastAsia="Calibri" w:hAnsi="Calibri" w:cs="Calibri"/>
                <w:b/>
                <w:sz w:val="20"/>
                <w:szCs w:val="20"/>
                <w:highlight w:val="yellow"/>
                <w:lang w:eastAsia="en-IE"/>
              </w:rPr>
            </w:pPr>
          </w:p>
        </w:tc>
        <w:tc>
          <w:tcPr>
            <w:tcW w:w="1417" w:type="dxa"/>
            <w:tcBorders>
              <w:top w:val="single" w:sz="12" w:space="0" w:color="auto"/>
            </w:tcBorders>
            <w:shd w:val="clear" w:color="auto" w:fill="FFFFFF"/>
            <w:vAlign w:val="center"/>
          </w:tcPr>
          <w:p w14:paraId="61F51135" w14:textId="77777777" w:rsidR="00E36553" w:rsidRPr="00135F6B" w:rsidRDefault="00E36553" w:rsidP="00013C6F">
            <w:pPr>
              <w:ind w:left="-284" w:right="-2"/>
              <w:jc w:val="right"/>
              <w:rPr>
                <w:rFonts w:ascii="Calibri" w:eastAsia="Calibri" w:hAnsi="Calibri" w:cs="Calibri"/>
                <w:sz w:val="20"/>
                <w:szCs w:val="20"/>
                <w:lang w:eastAsia="en-IE"/>
              </w:rPr>
            </w:pPr>
          </w:p>
        </w:tc>
        <w:tc>
          <w:tcPr>
            <w:tcW w:w="1278" w:type="dxa"/>
            <w:tcBorders>
              <w:top w:val="single" w:sz="12" w:space="0" w:color="auto"/>
            </w:tcBorders>
            <w:shd w:val="clear" w:color="auto" w:fill="FFFFFF"/>
            <w:vAlign w:val="center"/>
          </w:tcPr>
          <w:p w14:paraId="11A20DC0" w14:textId="77777777" w:rsidR="00E36553" w:rsidRPr="00135F6B" w:rsidRDefault="00E36553" w:rsidP="00013C6F">
            <w:pPr>
              <w:ind w:left="-284" w:right="-2"/>
              <w:jc w:val="right"/>
              <w:rPr>
                <w:rFonts w:ascii="Calibri" w:eastAsia="Calibri" w:hAnsi="Calibri" w:cs="Calibri"/>
                <w:sz w:val="20"/>
                <w:szCs w:val="20"/>
                <w:lang w:eastAsia="en-IE"/>
              </w:rPr>
            </w:pPr>
          </w:p>
        </w:tc>
      </w:tr>
      <w:tr w:rsidR="00E36553" w:rsidRPr="00135F6B" w14:paraId="687E0605" w14:textId="77777777" w:rsidTr="00013C6F">
        <w:trPr>
          <w:trHeight w:val="232"/>
        </w:trPr>
        <w:tc>
          <w:tcPr>
            <w:tcW w:w="4820" w:type="dxa"/>
            <w:shd w:val="clear" w:color="auto" w:fill="FFFFFF"/>
            <w:vAlign w:val="center"/>
            <w:hideMark/>
          </w:tcPr>
          <w:p w14:paraId="518F9A1E" w14:textId="77777777" w:rsidR="00E36553" w:rsidRPr="00156BD0" w:rsidRDefault="00E36553" w:rsidP="00013C6F">
            <w:pPr>
              <w:ind w:right="-2"/>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shd w:val="clear" w:color="auto" w:fill="FFFF00"/>
            <w:vAlign w:val="center"/>
            <w:hideMark/>
          </w:tcPr>
          <w:p w14:paraId="0D185EAC" w14:textId="77777777" w:rsidR="00E36553" w:rsidRPr="00135F6B" w:rsidRDefault="00E36553" w:rsidP="00013C6F">
            <w:pPr>
              <w:ind w:left="-284" w:right="-2"/>
              <w:jc w:val="right"/>
              <w:rPr>
                <w:rFonts w:ascii="Calibri" w:hAnsi="Calibri" w:cs="Calibri"/>
                <w:b/>
                <w:color w:val="000000"/>
                <w:sz w:val="20"/>
                <w:szCs w:val="20"/>
                <w:highlight w:val="yellow"/>
                <w:lang w:eastAsia="en-IE"/>
              </w:rPr>
            </w:pPr>
            <w:r w:rsidRPr="00135F6B">
              <w:rPr>
                <w:rFonts w:ascii="Calibri" w:hAnsi="Calibri" w:cs="Calibri"/>
                <w:b/>
                <w:bCs/>
                <w:color w:val="000000"/>
                <w:sz w:val="20"/>
                <w:szCs w:val="20"/>
                <w:highlight w:val="yellow"/>
                <w:lang w:eastAsia="en-IE"/>
              </w:rPr>
              <w:t xml:space="preserve">At </w:t>
            </w:r>
            <w:r w:rsidR="006A0488">
              <w:rPr>
                <w:rFonts w:ascii="Calibri" w:hAnsi="Calibri" w:cs="Calibri"/>
                <w:b/>
                <w:bCs/>
                <w:color w:val="000000"/>
                <w:sz w:val="20"/>
                <w:szCs w:val="20"/>
                <w:highlight w:val="yellow"/>
                <w:lang w:eastAsia="en-IE"/>
              </w:rPr>
              <w:t>Dec</w:t>
            </w:r>
            <w:r>
              <w:rPr>
                <w:rFonts w:ascii="Calibri" w:hAnsi="Calibri" w:cs="Calibri"/>
                <w:b/>
                <w:bCs/>
                <w:color w:val="000000"/>
                <w:sz w:val="20"/>
                <w:szCs w:val="20"/>
                <w:highlight w:val="yellow"/>
                <w:lang w:eastAsia="en-IE"/>
              </w:rPr>
              <w:t xml:space="preserve"> 3</w:t>
            </w:r>
            <w:r w:rsidR="006A0488">
              <w:rPr>
                <w:rFonts w:ascii="Calibri" w:hAnsi="Calibri" w:cs="Calibri"/>
                <w:b/>
                <w:bCs/>
                <w:color w:val="000000"/>
                <w:sz w:val="20"/>
                <w:szCs w:val="20"/>
                <w:highlight w:val="yellow"/>
                <w:lang w:eastAsia="en-IE"/>
              </w:rPr>
              <w:t>1</w:t>
            </w:r>
            <w:r w:rsidRPr="00135F6B">
              <w:rPr>
                <w:rFonts w:ascii="Calibri" w:hAnsi="Calibri" w:cs="Calibri"/>
                <w:b/>
                <w:bCs/>
                <w:color w:val="000000"/>
                <w:sz w:val="20"/>
                <w:szCs w:val="20"/>
                <w:highlight w:val="yellow"/>
                <w:lang w:eastAsia="en-IE"/>
              </w:rPr>
              <w:t>,</w:t>
            </w:r>
          </w:p>
        </w:tc>
        <w:tc>
          <w:tcPr>
            <w:tcW w:w="1417" w:type="dxa"/>
            <w:shd w:val="clear" w:color="auto" w:fill="FFFF00"/>
            <w:vAlign w:val="center"/>
            <w:hideMark/>
          </w:tcPr>
          <w:p w14:paraId="7AF4A3EE" w14:textId="77777777" w:rsidR="00E36553" w:rsidRPr="00135F6B" w:rsidRDefault="00E36553" w:rsidP="00013C6F">
            <w:pPr>
              <w:ind w:left="-284" w:right="-2"/>
              <w:jc w:val="right"/>
              <w:rPr>
                <w:rFonts w:ascii="Calibri" w:eastAsia="Calibri" w:hAnsi="Calibri" w:cs="Calibri"/>
                <w:b/>
                <w:sz w:val="20"/>
                <w:szCs w:val="20"/>
                <w:highlight w:val="yellow"/>
                <w:lang w:eastAsia="en-IE"/>
              </w:rPr>
            </w:pPr>
            <w:r w:rsidRPr="00135F6B">
              <w:rPr>
                <w:rFonts w:ascii="Calibri" w:hAnsi="Calibri" w:cs="Calibri"/>
                <w:b/>
                <w:bCs/>
                <w:color w:val="000000"/>
                <w:sz w:val="20"/>
                <w:szCs w:val="20"/>
                <w:highlight w:val="yellow"/>
                <w:lang w:eastAsia="en-IE"/>
              </w:rPr>
              <w:t xml:space="preserve">At </w:t>
            </w:r>
            <w:r w:rsidR="006A0488">
              <w:rPr>
                <w:rFonts w:ascii="Calibri" w:hAnsi="Calibri" w:cs="Calibri"/>
                <w:b/>
                <w:bCs/>
                <w:color w:val="000000"/>
                <w:sz w:val="20"/>
                <w:szCs w:val="20"/>
                <w:highlight w:val="yellow"/>
                <w:lang w:eastAsia="en-IE"/>
              </w:rPr>
              <w:t>Dec</w:t>
            </w:r>
            <w:r w:rsidR="00681645">
              <w:rPr>
                <w:rFonts w:ascii="Calibri" w:hAnsi="Calibri" w:cs="Calibri"/>
                <w:b/>
                <w:bCs/>
                <w:color w:val="000000"/>
                <w:sz w:val="20"/>
                <w:szCs w:val="20"/>
                <w:highlight w:val="yellow"/>
                <w:lang w:eastAsia="en-IE"/>
              </w:rPr>
              <w:t xml:space="preserve"> </w:t>
            </w:r>
            <w:r w:rsidR="006A0488">
              <w:rPr>
                <w:rFonts w:ascii="Calibri" w:hAnsi="Calibri" w:cs="Calibri"/>
                <w:b/>
                <w:bCs/>
                <w:color w:val="000000"/>
                <w:sz w:val="20"/>
                <w:szCs w:val="20"/>
                <w:highlight w:val="yellow"/>
                <w:lang w:eastAsia="en-IE"/>
              </w:rPr>
              <w:t>31</w:t>
            </w:r>
            <w:r w:rsidRPr="00135F6B">
              <w:rPr>
                <w:rFonts w:ascii="Calibri" w:hAnsi="Calibri" w:cs="Calibri"/>
                <w:b/>
                <w:bCs/>
                <w:color w:val="000000"/>
                <w:sz w:val="20"/>
                <w:szCs w:val="20"/>
                <w:highlight w:val="yellow"/>
                <w:lang w:eastAsia="en-IE"/>
              </w:rPr>
              <w:t>,</w:t>
            </w:r>
          </w:p>
        </w:tc>
        <w:tc>
          <w:tcPr>
            <w:tcW w:w="1417" w:type="dxa"/>
            <w:shd w:val="clear" w:color="auto" w:fill="FFFFFF"/>
            <w:vAlign w:val="center"/>
            <w:hideMark/>
          </w:tcPr>
          <w:p w14:paraId="1641CB30" w14:textId="77777777" w:rsidR="00E36553" w:rsidRPr="00135F6B" w:rsidRDefault="00E36553" w:rsidP="00013C6F">
            <w:pPr>
              <w:ind w:left="-284" w:right="-2"/>
              <w:jc w:val="right"/>
              <w:rPr>
                <w:rFonts w:ascii="Calibri" w:eastAsia="Calibri" w:hAnsi="Calibri" w:cs="Calibri"/>
                <w:sz w:val="20"/>
                <w:szCs w:val="20"/>
                <w:lang w:eastAsia="en-IE"/>
              </w:rPr>
            </w:pPr>
            <w:r w:rsidRPr="00135F6B">
              <w:rPr>
                <w:rFonts w:ascii="Calibri" w:hAnsi="Calibri" w:cs="Calibri"/>
                <w:b/>
                <w:bCs/>
                <w:color w:val="000000"/>
                <w:sz w:val="20"/>
                <w:szCs w:val="20"/>
                <w:lang w:eastAsia="en-IE"/>
              </w:rPr>
              <w:t>At Mar 31,</w:t>
            </w:r>
          </w:p>
        </w:tc>
        <w:tc>
          <w:tcPr>
            <w:tcW w:w="1278" w:type="dxa"/>
            <w:shd w:val="clear" w:color="auto" w:fill="FFFFFF"/>
            <w:vAlign w:val="center"/>
            <w:hideMark/>
          </w:tcPr>
          <w:p w14:paraId="751CAF4D" w14:textId="77777777" w:rsidR="00E36553" w:rsidRPr="00135F6B" w:rsidRDefault="00E36553" w:rsidP="00013C6F">
            <w:pPr>
              <w:ind w:left="-284" w:right="-2"/>
              <w:jc w:val="right"/>
              <w:rPr>
                <w:rFonts w:ascii="Calibri" w:eastAsia="Calibri" w:hAnsi="Calibri" w:cs="Calibri"/>
                <w:sz w:val="20"/>
                <w:szCs w:val="20"/>
                <w:lang w:eastAsia="en-IE"/>
              </w:rPr>
            </w:pPr>
            <w:r w:rsidRPr="00135F6B">
              <w:rPr>
                <w:rFonts w:ascii="Calibri" w:hAnsi="Calibri" w:cs="Calibri"/>
                <w:b/>
                <w:bCs/>
                <w:color w:val="000000"/>
                <w:sz w:val="20"/>
                <w:szCs w:val="20"/>
                <w:lang w:eastAsia="en-IE"/>
              </w:rPr>
              <w:t>At Mar 31,</w:t>
            </w:r>
          </w:p>
        </w:tc>
      </w:tr>
      <w:tr w:rsidR="00E36553" w:rsidRPr="00135F6B" w14:paraId="5CFA07B9" w14:textId="77777777" w:rsidTr="00013C6F">
        <w:trPr>
          <w:trHeight w:val="232"/>
        </w:trPr>
        <w:tc>
          <w:tcPr>
            <w:tcW w:w="4820" w:type="dxa"/>
            <w:shd w:val="clear" w:color="auto" w:fill="FFFFFF"/>
            <w:vAlign w:val="center"/>
            <w:hideMark/>
          </w:tcPr>
          <w:p w14:paraId="45B9E122" w14:textId="77777777" w:rsidR="00E36553" w:rsidRPr="00156BD0" w:rsidRDefault="00E36553" w:rsidP="00013C6F">
            <w:pPr>
              <w:ind w:right="-2"/>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shd w:val="clear" w:color="auto" w:fill="FFFF00"/>
            <w:vAlign w:val="center"/>
          </w:tcPr>
          <w:p w14:paraId="06FE9DBC"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highlight w:val="yellow"/>
                <w:lang w:eastAsia="en-IE"/>
              </w:rPr>
              <w:t>202</w:t>
            </w:r>
            <w:r>
              <w:rPr>
                <w:rFonts w:ascii="Calibri" w:hAnsi="Calibri" w:cs="Calibri"/>
                <w:b/>
                <w:bCs/>
                <w:color w:val="000000"/>
                <w:sz w:val="20"/>
                <w:szCs w:val="20"/>
                <w:highlight w:val="yellow"/>
                <w:lang w:eastAsia="en-IE"/>
              </w:rPr>
              <w:t>3</w:t>
            </w:r>
          </w:p>
        </w:tc>
        <w:tc>
          <w:tcPr>
            <w:tcW w:w="1417" w:type="dxa"/>
            <w:shd w:val="clear" w:color="auto" w:fill="FFFF00"/>
            <w:vAlign w:val="center"/>
          </w:tcPr>
          <w:p w14:paraId="70F5FA9A"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highlight w:val="yellow"/>
                <w:lang w:eastAsia="en-IE"/>
              </w:rPr>
              <w:t>202</w:t>
            </w:r>
            <w:r>
              <w:rPr>
                <w:rFonts w:ascii="Calibri" w:hAnsi="Calibri" w:cs="Calibri"/>
                <w:b/>
                <w:bCs/>
                <w:color w:val="000000"/>
                <w:sz w:val="20"/>
                <w:szCs w:val="20"/>
                <w:highlight w:val="yellow"/>
                <w:lang w:eastAsia="en-IE"/>
              </w:rPr>
              <w:t>3</w:t>
            </w:r>
          </w:p>
        </w:tc>
        <w:tc>
          <w:tcPr>
            <w:tcW w:w="1417" w:type="dxa"/>
            <w:shd w:val="clear" w:color="auto" w:fill="FFFFFF"/>
            <w:vAlign w:val="center"/>
          </w:tcPr>
          <w:p w14:paraId="279BE6D3"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c>
          <w:tcPr>
            <w:tcW w:w="1278" w:type="dxa"/>
            <w:shd w:val="clear" w:color="auto" w:fill="FFFFFF"/>
            <w:vAlign w:val="center"/>
          </w:tcPr>
          <w:p w14:paraId="22F2F051"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202</w:t>
            </w:r>
            <w:r>
              <w:rPr>
                <w:rFonts w:ascii="Calibri" w:hAnsi="Calibri" w:cs="Calibri"/>
                <w:b/>
                <w:bCs/>
                <w:color w:val="000000"/>
                <w:sz w:val="20"/>
                <w:szCs w:val="20"/>
                <w:lang w:eastAsia="en-IE"/>
              </w:rPr>
              <w:t>3</w:t>
            </w:r>
          </w:p>
        </w:tc>
      </w:tr>
      <w:tr w:rsidR="00E36553" w:rsidRPr="00135F6B" w14:paraId="59C0A680" w14:textId="77777777" w:rsidTr="00013C6F">
        <w:trPr>
          <w:trHeight w:val="232"/>
        </w:trPr>
        <w:tc>
          <w:tcPr>
            <w:tcW w:w="4820" w:type="dxa"/>
            <w:shd w:val="clear" w:color="auto" w:fill="FFFFFF"/>
            <w:vAlign w:val="center"/>
            <w:hideMark/>
          </w:tcPr>
          <w:p w14:paraId="7F073C2A" w14:textId="77777777" w:rsidR="00E36553" w:rsidRPr="00156BD0" w:rsidRDefault="00E36553" w:rsidP="00013C6F">
            <w:pPr>
              <w:ind w:right="-2"/>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shd w:val="clear" w:color="auto" w:fill="FFFF00"/>
            <w:vAlign w:val="center"/>
          </w:tcPr>
          <w:p w14:paraId="539C100B"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highlight w:val="yellow"/>
                <w:lang w:eastAsia="en-IE"/>
              </w:rPr>
              <w:t>Carrying</w:t>
            </w:r>
          </w:p>
        </w:tc>
        <w:tc>
          <w:tcPr>
            <w:tcW w:w="1417" w:type="dxa"/>
            <w:shd w:val="clear" w:color="auto" w:fill="FFFF00"/>
            <w:vAlign w:val="center"/>
          </w:tcPr>
          <w:p w14:paraId="25204858"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highlight w:val="yellow"/>
                <w:lang w:eastAsia="en-IE"/>
              </w:rPr>
              <w:t>Fair</w:t>
            </w:r>
          </w:p>
        </w:tc>
        <w:tc>
          <w:tcPr>
            <w:tcW w:w="1417" w:type="dxa"/>
            <w:shd w:val="clear" w:color="auto" w:fill="FFFFFF"/>
            <w:vAlign w:val="center"/>
          </w:tcPr>
          <w:p w14:paraId="62842358"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Carrying</w:t>
            </w:r>
          </w:p>
        </w:tc>
        <w:tc>
          <w:tcPr>
            <w:tcW w:w="1278" w:type="dxa"/>
            <w:shd w:val="clear" w:color="auto" w:fill="FFFFFF"/>
            <w:vAlign w:val="center"/>
          </w:tcPr>
          <w:p w14:paraId="024CDCD6"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Fair</w:t>
            </w:r>
          </w:p>
        </w:tc>
      </w:tr>
      <w:tr w:rsidR="00E36553" w:rsidRPr="00135F6B" w14:paraId="6407A6DA" w14:textId="77777777" w:rsidTr="00013C6F">
        <w:trPr>
          <w:trHeight w:val="232"/>
        </w:trPr>
        <w:tc>
          <w:tcPr>
            <w:tcW w:w="4820" w:type="dxa"/>
            <w:shd w:val="clear" w:color="auto" w:fill="FFFFFF"/>
            <w:vAlign w:val="center"/>
            <w:hideMark/>
          </w:tcPr>
          <w:p w14:paraId="4EC07583" w14:textId="77777777" w:rsidR="00E36553" w:rsidRPr="00156BD0" w:rsidRDefault="00E36553" w:rsidP="00013C6F">
            <w:pPr>
              <w:ind w:right="-2"/>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tcBorders>
              <w:bottom w:val="single" w:sz="8" w:space="0" w:color="auto"/>
            </w:tcBorders>
            <w:shd w:val="clear" w:color="auto" w:fill="FFFF00"/>
            <w:vAlign w:val="center"/>
          </w:tcPr>
          <w:p w14:paraId="4868FA7B"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highlight w:val="yellow"/>
                <w:lang w:eastAsia="en-IE"/>
              </w:rPr>
              <w:t>Amount</w:t>
            </w:r>
          </w:p>
        </w:tc>
        <w:tc>
          <w:tcPr>
            <w:tcW w:w="1417" w:type="dxa"/>
            <w:tcBorders>
              <w:bottom w:val="single" w:sz="8" w:space="0" w:color="auto"/>
            </w:tcBorders>
            <w:shd w:val="clear" w:color="auto" w:fill="FFFF00"/>
            <w:vAlign w:val="center"/>
          </w:tcPr>
          <w:p w14:paraId="7E5E1CFE"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highlight w:val="yellow"/>
                <w:lang w:eastAsia="en-IE"/>
              </w:rPr>
              <w:t>Value</w:t>
            </w:r>
          </w:p>
        </w:tc>
        <w:tc>
          <w:tcPr>
            <w:tcW w:w="1417" w:type="dxa"/>
            <w:tcBorders>
              <w:bottom w:val="single" w:sz="8" w:space="0" w:color="auto"/>
            </w:tcBorders>
            <w:shd w:val="clear" w:color="auto" w:fill="FFFFFF"/>
            <w:vAlign w:val="center"/>
          </w:tcPr>
          <w:p w14:paraId="7B8B3415"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Amount</w:t>
            </w:r>
          </w:p>
        </w:tc>
        <w:tc>
          <w:tcPr>
            <w:tcW w:w="1278" w:type="dxa"/>
            <w:tcBorders>
              <w:bottom w:val="single" w:sz="8" w:space="0" w:color="auto"/>
            </w:tcBorders>
            <w:shd w:val="clear" w:color="auto" w:fill="FFFFFF"/>
            <w:vAlign w:val="center"/>
          </w:tcPr>
          <w:p w14:paraId="2659F48E" w14:textId="77777777" w:rsidR="00E36553" w:rsidRPr="00135F6B" w:rsidRDefault="00E36553" w:rsidP="00013C6F">
            <w:pPr>
              <w:ind w:left="-284" w:right="-2"/>
              <w:jc w:val="right"/>
              <w:rPr>
                <w:rFonts w:ascii="Calibri" w:hAnsi="Calibri" w:cs="Calibri"/>
                <w:b/>
                <w:bCs/>
                <w:color w:val="000000"/>
                <w:sz w:val="20"/>
                <w:szCs w:val="20"/>
                <w:lang w:eastAsia="en-IE"/>
              </w:rPr>
            </w:pPr>
            <w:r w:rsidRPr="00135F6B">
              <w:rPr>
                <w:rFonts w:ascii="Calibri" w:hAnsi="Calibri" w:cs="Calibri"/>
                <w:b/>
                <w:bCs/>
                <w:color w:val="000000"/>
                <w:sz w:val="20"/>
                <w:szCs w:val="20"/>
                <w:lang w:eastAsia="en-IE"/>
              </w:rPr>
              <w:t>Value</w:t>
            </w:r>
          </w:p>
        </w:tc>
      </w:tr>
      <w:tr w:rsidR="00E36553" w:rsidRPr="00135F6B" w14:paraId="058F80D2" w14:textId="77777777" w:rsidTr="00013C6F">
        <w:trPr>
          <w:trHeight w:val="232"/>
        </w:trPr>
        <w:tc>
          <w:tcPr>
            <w:tcW w:w="4820" w:type="dxa"/>
            <w:shd w:val="clear" w:color="auto" w:fill="FFFFFF"/>
            <w:vAlign w:val="center"/>
            <w:hideMark/>
          </w:tcPr>
          <w:p w14:paraId="1498ED0A" w14:textId="77777777" w:rsidR="00E36553" w:rsidRPr="00156BD0" w:rsidRDefault="00E36553" w:rsidP="00013C6F">
            <w:pPr>
              <w:ind w:right="-2" w:hanging="105"/>
              <w:rPr>
                <w:rFonts w:ascii="Calibri" w:hAnsi="Calibri" w:cs="Calibri"/>
                <w:b/>
                <w:bCs/>
                <w:color w:val="000000"/>
                <w:sz w:val="20"/>
                <w:szCs w:val="20"/>
                <w:lang w:eastAsia="en-IE"/>
              </w:rPr>
            </w:pPr>
            <w:r w:rsidRPr="00156BD0">
              <w:rPr>
                <w:rFonts w:ascii="Calibri" w:hAnsi="Calibri" w:cs="Calibri"/>
                <w:b/>
                <w:bCs/>
                <w:color w:val="000000"/>
                <w:sz w:val="20"/>
                <w:szCs w:val="20"/>
                <w:lang w:eastAsia="en-IE"/>
              </w:rPr>
              <w:t>Non-current financial liabilities</w:t>
            </w:r>
          </w:p>
        </w:tc>
        <w:tc>
          <w:tcPr>
            <w:tcW w:w="1417" w:type="dxa"/>
            <w:tcBorders>
              <w:top w:val="single" w:sz="8" w:space="0" w:color="auto"/>
              <w:left w:val="nil"/>
              <w:right w:val="nil"/>
            </w:tcBorders>
            <w:shd w:val="clear" w:color="auto" w:fill="FFFF00"/>
            <w:vAlign w:val="center"/>
          </w:tcPr>
          <w:p w14:paraId="49CA4511"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u w:val="single"/>
                <w:lang w:eastAsia="en-IE"/>
              </w:rPr>
              <w:t>€M</w:t>
            </w:r>
          </w:p>
        </w:tc>
        <w:tc>
          <w:tcPr>
            <w:tcW w:w="1417" w:type="dxa"/>
            <w:tcBorders>
              <w:top w:val="single" w:sz="8" w:space="0" w:color="auto"/>
              <w:left w:val="nil"/>
              <w:right w:val="nil"/>
            </w:tcBorders>
            <w:shd w:val="clear" w:color="auto" w:fill="FFFF00"/>
            <w:vAlign w:val="center"/>
          </w:tcPr>
          <w:p w14:paraId="6FC86BFF" w14:textId="77777777" w:rsidR="00E36553" w:rsidRPr="00135F6B" w:rsidRDefault="00E36553" w:rsidP="00013C6F">
            <w:pPr>
              <w:ind w:left="-284" w:right="-2"/>
              <w:jc w:val="right"/>
              <w:rPr>
                <w:rFonts w:ascii="Calibri" w:hAnsi="Calibri" w:cs="Calibri"/>
                <w:b/>
                <w:bCs/>
                <w:color w:val="000000"/>
                <w:sz w:val="20"/>
                <w:szCs w:val="20"/>
                <w:highlight w:val="yellow"/>
                <w:lang w:eastAsia="en-IE"/>
              </w:rPr>
            </w:pPr>
            <w:r w:rsidRPr="00135F6B">
              <w:rPr>
                <w:rFonts w:ascii="Calibri" w:hAnsi="Calibri" w:cs="Calibri"/>
                <w:b/>
                <w:bCs/>
                <w:color w:val="000000"/>
                <w:sz w:val="20"/>
                <w:szCs w:val="20"/>
                <w:u w:val="single"/>
                <w:lang w:eastAsia="en-IE"/>
              </w:rPr>
              <w:t>€M</w:t>
            </w:r>
          </w:p>
        </w:tc>
        <w:tc>
          <w:tcPr>
            <w:tcW w:w="1417" w:type="dxa"/>
            <w:tcBorders>
              <w:top w:val="single" w:sz="8" w:space="0" w:color="auto"/>
              <w:left w:val="nil"/>
              <w:right w:val="nil"/>
            </w:tcBorders>
            <w:shd w:val="clear" w:color="auto" w:fill="FFFFFF"/>
            <w:vAlign w:val="center"/>
          </w:tcPr>
          <w:p w14:paraId="76E41922" w14:textId="77777777" w:rsidR="00E36553" w:rsidRPr="00AD66EB" w:rsidRDefault="00E36553" w:rsidP="00013C6F">
            <w:pPr>
              <w:ind w:left="-284" w:right="-2"/>
              <w:jc w:val="right"/>
              <w:rPr>
                <w:rFonts w:ascii="Calibri" w:hAnsi="Calibri" w:cs="Calibri"/>
                <w:b/>
                <w:bCs/>
                <w:color w:val="000000"/>
                <w:sz w:val="20"/>
                <w:szCs w:val="20"/>
                <w:lang w:eastAsia="en-IE"/>
              </w:rPr>
            </w:pPr>
            <w:r w:rsidRPr="00AD66EB">
              <w:rPr>
                <w:rFonts w:ascii="Calibri" w:hAnsi="Calibri" w:cs="Calibri"/>
                <w:b/>
                <w:bCs/>
                <w:color w:val="000000"/>
                <w:sz w:val="20"/>
                <w:szCs w:val="20"/>
                <w:u w:val="single"/>
                <w:lang w:eastAsia="en-IE"/>
              </w:rPr>
              <w:t>€M</w:t>
            </w:r>
          </w:p>
        </w:tc>
        <w:tc>
          <w:tcPr>
            <w:tcW w:w="1278" w:type="dxa"/>
            <w:tcBorders>
              <w:top w:val="single" w:sz="8" w:space="0" w:color="auto"/>
              <w:left w:val="nil"/>
              <w:right w:val="nil"/>
            </w:tcBorders>
            <w:shd w:val="clear" w:color="auto" w:fill="FFFFFF"/>
            <w:vAlign w:val="center"/>
          </w:tcPr>
          <w:p w14:paraId="27A5252A" w14:textId="77777777" w:rsidR="00E36553" w:rsidRPr="00AD66EB" w:rsidRDefault="00E36553" w:rsidP="00013C6F">
            <w:pPr>
              <w:ind w:left="-284" w:right="-2"/>
              <w:jc w:val="right"/>
              <w:rPr>
                <w:rFonts w:ascii="Calibri" w:hAnsi="Calibri" w:cs="Calibri"/>
                <w:b/>
                <w:bCs/>
                <w:color w:val="000000"/>
                <w:sz w:val="20"/>
                <w:szCs w:val="20"/>
                <w:lang w:eastAsia="en-IE"/>
              </w:rPr>
            </w:pPr>
            <w:r w:rsidRPr="00AD66EB">
              <w:rPr>
                <w:rFonts w:ascii="Calibri" w:hAnsi="Calibri" w:cs="Calibri"/>
                <w:b/>
                <w:bCs/>
                <w:color w:val="000000"/>
                <w:sz w:val="20"/>
                <w:szCs w:val="20"/>
                <w:u w:val="single"/>
                <w:lang w:eastAsia="en-IE"/>
              </w:rPr>
              <w:t>€M</w:t>
            </w:r>
          </w:p>
        </w:tc>
      </w:tr>
      <w:tr w:rsidR="00E36553" w:rsidRPr="00135F6B" w14:paraId="40112506" w14:textId="77777777" w:rsidTr="00013C6F">
        <w:trPr>
          <w:trHeight w:val="232"/>
        </w:trPr>
        <w:tc>
          <w:tcPr>
            <w:tcW w:w="4820" w:type="dxa"/>
            <w:shd w:val="clear" w:color="auto" w:fill="FFFFFF"/>
            <w:vAlign w:val="center"/>
            <w:hideMark/>
          </w:tcPr>
          <w:p w14:paraId="6D4DB37B"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Derivative financial instruments:</w:t>
            </w:r>
          </w:p>
        </w:tc>
        <w:tc>
          <w:tcPr>
            <w:tcW w:w="1417" w:type="dxa"/>
            <w:shd w:val="clear" w:color="auto" w:fill="FFFF00"/>
            <w:vAlign w:val="center"/>
            <w:hideMark/>
          </w:tcPr>
          <w:p w14:paraId="58EB628E" w14:textId="77777777" w:rsidR="00E36553" w:rsidRPr="00135F6B" w:rsidRDefault="00E36553" w:rsidP="00013C6F">
            <w:pPr>
              <w:ind w:left="-284" w:right="-2"/>
              <w:jc w:val="right"/>
              <w:rPr>
                <w:rFonts w:ascii="Calibri" w:hAnsi="Calibri" w:cs="Calibri"/>
                <w:b/>
                <w:color w:val="000000"/>
                <w:sz w:val="20"/>
                <w:szCs w:val="20"/>
                <w:lang w:eastAsia="en-IE"/>
              </w:rPr>
            </w:pPr>
          </w:p>
        </w:tc>
        <w:tc>
          <w:tcPr>
            <w:tcW w:w="1417" w:type="dxa"/>
            <w:shd w:val="clear" w:color="auto" w:fill="FFFF00"/>
            <w:vAlign w:val="center"/>
            <w:hideMark/>
          </w:tcPr>
          <w:p w14:paraId="5930B894"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3D25DB2F" w14:textId="77777777" w:rsidR="00E36553" w:rsidRPr="00135F6B" w:rsidRDefault="00E36553" w:rsidP="00013C6F">
            <w:pPr>
              <w:ind w:left="-284" w:right="-2"/>
              <w:jc w:val="right"/>
              <w:rPr>
                <w:rFonts w:ascii="Calibri" w:eastAsia="Calibri" w:hAnsi="Calibri" w:cs="Calibri"/>
                <w:sz w:val="20"/>
                <w:szCs w:val="20"/>
                <w:lang w:eastAsia="en-IE"/>
              </w:rPr>
            </w:pPr>
          </w:p>
        </w:tc>
        <w:tc>
          <w:tcPr>
            <w:tcW w:w="1278" w:type="dxa"/>
            <w:shd w:val="clear" w:color="auto" w:fill="FFFFFF"/>
            <w:vAlign w:val="center"/>
            <w:hideMark/>
          </w:tcPr>
          <w:p w14:paraId="7056769C" w14:textId="77777777" w:rsidR="00E36553" w:rsidRPr="00135F6B" w:rsidRDefault="00E36553" w:rsidP="00013C6F">
            <w:pPr>
              <w:ind w:left="-284" w:right="-2"/>
              <w:jc w:val="right"/>
              <w:rPr>
                <w:rFonts w:ascii="Calibri" w:eastAsia="Calibri" w:hAnsi="Calibri" w:cs="Calibri"/>
                <w:sz w:val="20"/>
                <w:szCs w:val="20"/>
                <w:lang w:eastAsia="en-IE"/>
              </w:rPr>
            </w:pPr>
          </w:p>
        </w:tc>
      </w:tr>
      <w:tr w:rsidR="00E36553" w:rsidRPr="00135F6B" w14:paraId="53665D0D" w14:textId="77777777" w:rsidTr="00013C6F">
        <w:trPr>
          <w:trHeight w:val="232"/>
        </w:trPr>
        <w:tc>
          <w:tcPr>
            <w:tcW w:w="4820" w:type="dxa"/>
            <w:shd w:val="clear" w:color="auto" w:fill="FFFFFF"/>
            <w:vAlign w:val="center"/>
          </w:tcPr>
          <w:p w14:paraId="6CC635D0"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Jet fuel &amp; carbon derivative contracts</w:t>
            </w:r>
          </w:p>
        </w:tc>
        <w:tc>
          <w:tcPr>
            <w:tcW w:w="1417" w:type="dxa"/>
            <w:shd w:val="clear" w:color="auto" w:fill="FFFF00"/>
            <w:vAlign w:val="center"/>
          </w:tcPr>
          <w:p w14:paraId="0B0B5637" w14:textId="77777777" w:rsidR="00E36553" w:rsidRPr="00135F6B" w:rsidRDefault="00E727A3"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34.3</w:t>
            </w:r>
          </w:p>
        </w:tc>
        <w:tc>
          <w:tcPr>
            <w:tcW w:w="1417" w:type="dxa"/>
            <w:shd w:val="clear" w:color="auto" w:fill="FFFF00"/>
            <w:vAlign w:val="center"/>
          </w:tcPr>
          <w:p w14:paraId="4CF733F4" w14:textId="77777777" w:rsidR="00E36553" w:rsidRPr="00135F6B" w:rsidRDefault="00E727A3"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34.3</w:t>
            </w:r>
          </w:p>
        </w:tc>
        <w:tc>
          <w:tcPr>
            <w:tcW w:w="1417" w:type="dxa"/>
            <w:shd w:val="clear" w:color="auto" w:fill="FFFFFF"/>
            <w:vAlign w:val="center"/>
          </w:tcPr>
          <w:p w14:paraId="4290E56B"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hAnsi="Calibri" w:cs="Calibri"/>
                <w:bCs/>
                <w:color w:val="000000"/>
                <w:sz w:val="20"/>
                <w:szCs w:val="20"/>
                <w:lang w:eastAsia="en-IE"/>
              </w:rPr>
              <w:t>8.1</w:t>
            </w:r>
          </w:p>
        </w:tc>
        <w:tc>
          <w:tcPr>
            <w:tcW w:w="1278" w:type="dxa"/>
            <w:shd w:val="clear" w:color="auto" w:fill="FFFFFF"/>
            <w:vAlign w:val="center"/>
          </w:tcPr>
          <w:p w14:paraId="4BBE022D"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eastAsia="Calibri" w:hAnsi="Calibri" w:cs="Calibri"/>
                <w:bCs/>
                <w:sz w:val="20"/>
                <w:szCs w:val="20"/>
                <w:lang w:eastAsia="en-IE"/>
              </w:rPr>
              <w:t>8.1</w:t>
            </w:r>
          </w:p>
        </w:tc>
      </w:tr>
      <w:tr w:rsidR="00E36553" w:rsidRPr="00135F6B" w14:paraId="1D48E555" w14:textId="77777777" w:rsidTr="00013C6F">
        <w:trPr>
          <w:trHeight w:val="232"/>
        </w:trPr>
        <w:tc>
          <w:tcPr>
            <w:tcW w:w="4820" w:type="dxa"/>
            <w:shd w:val="clear" w:color="auto" w:fill="FFFFFF"/>
            <w:vAlign w:val="center"/>
            <w:hideMark/>
          </w:tcPr>
          <w:p w14:paraId="190C9A5C"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U.S. dollar currency forward contracts</w:t>
            </w:r>
          </w:p>
        </w:tc>
        <w:tc>
          <w:tcPr>
            <w:tcW w:w="1417" w:type="dxa"/>
            <w:tcBorders>
              <w:bottom w:val="single" w:sz="8" w:space="0" w:color="auto"/>
            </w:tcBorders>
            <w:shd w:val="clear" w:color="auto" w:fill="FFFF00"/>
            <w:vAlign w:val="center"/>
          </w:tcPr>
          <w:p w14:paraId="138A7EB6" w14:textId="77777777" w:rsidR="00E36553" w:rsidRPr="00135F6B" w:rsidRDefault="00E727A3"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14.5</w:t>
            </w:r>
          </w:p>
        </w:tc>
        <w:tc>
          <w:tcPr>
            <w:tcW w:w="1417" w:type="dxa"/>
            <w:tcBorders>
              <w:bottom w:val="single" w:sz="8" w:space="0" w:color="auto"/>
            </w:tcBorders>
            <w:shd w:val="clear" w:color="auto" w:fill="FFFF00"/>
            <w:vAlign w:val="center"/>
          </w:tcPr>
          <w:p w14:paraId="432BC3F0" w14:textId="77777777" w:rsidR="00E36553" w:rsidRPr="00135F6B" w:rsidRDefault="00E727A3"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14.5</w:t>
            </w:r>
          </w:p>
        </w:tc>
        <w:tc>
          <w:tcPr>
            <w:tcW w:w="1417" w:type="dxa"/>
            <w:tcBorders>
              <w:bottom w:val="single" w:sz="8" w:space="0" w:color="auto"/>
            </w:tcBorders>
            <w:shd w:val="clear" w:color="auto" w:fill="FFFFFF"/>
            <w:vAlign w:val="center"/>
          </w:tcPr>
          <w:p w14:paraId="0108B465"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3.1</w:t>
            </w:r>
          </w:p>
        </w:tc>
        <w:tc>
          <w:tcPr>
            <w:tcW w:w="1278" w:type="dxa"/>
            <w:tcBorders>
              <w:bottom w:val="single" w:sz="8" w:space="0" w:color="auto"/>
            </w:tcBorders>
            <w:shd w:val="clear" w:color="auto" w:fill="FFFFFF"/>
            <w:vAlign w:val="center"/>
          </w:tcPr>
          <w:p w14:paraId="45FD30E0"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3.1</w:t>
            </w:r>
          </w:p>
        </w:tc>
      </w:tr>
      <w:tr w:rsidR="00E36553" w:rsidRPr="00135F6B" w14:paraId="1EAF724E" w14:textId="77777777" w:rsidTr="00013C6F">
        <w:trPr>
          <w:trHeight w:val="232"/>
        </w:trPr>
        <w:tc>
          <w:tcPr>
            <w:tcW w:w="4820" w:type="dxa"/>
            <w:shd w:val="clear" w:color="auto" w:fill="FFFFFF"/>
            <w:vAlign w:val="center"/>
            <w:hideMark/>
          </w:tcPr>
          <w:p w14:paraId="1092B8A9"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tcBorders>
              <w:top w:val="single" w:sz="8" w:space="0" w:color="auto"/>
              <w:left w:val="nil"/>
              <w:bottom w:val="single" w:sz="8" w:space="0" w:color="auto"/>
              <w:right w:val="nil"/>
            </w:tcBorders>
            <w:shd w:val="clear" w:color="auto" w:fill="FFFF00"/>
            <w:vAlign w:val="center"/>
          </w:tcPr>
          <w:p w14:paraId="67C2E982" w14:textId="77777777" w:rsidR="00E36553" w:rsidRPr="00135F6B" w:rsidRDefault="00E727A3"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48.8</w:t>
            </w:r>
          </w:p>
        </w:tc>
        <w:tc>
          <w:tcPr>
            <w:tcW w:w="1417" w:type="dxa"/>
            <w:tcBorders>
              <w:top w:val="single" w:sz="8" w:space="0" w:color="auto"/>
              <w:left w:val="nil"/>
              <w:bottom w:val="single" w:sz="8" w:space="0" w:color="auto"/>
              <w:right w:val="nil"/>
            </w:tcBorders>
            <w:shd w:val="clear" w:color="auto" w:fill="FFFF00"/>
            <w:vAlign w:val="center"/>
          </w:tcPr>
          <w:p w14:paraId="3B851052" w14:textId="77777777" w:rsidR="00E36553" w:rsidRPr="00135F6B" w:rsidRDefault="00E727A3"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48.8</w:t>
            </w:r>
          </w:p>
        </w:tc>
        <w:tc>
          <w:tcPr>
            <w:tcW w:w="1417" w:type="dxa"/>
            <w:tcBorders>
              <w:top w:val="single" w:sz="8" w:space="0" w:color="auto"/>
              <w:left w:val="nil"/>
              <w:bottom w:val="single" w:sz="8" w:space="0" w:color="auto"/>
              <w:right w:val="nil"/>
            </w:tcBorders>
            <w:shd w:val="clear" w:color="auto" w:fill="FFFFFF"/>
            <w:vAlign w:val="center"/>
          </w:tcPr>
          <w:p w14:paraId="7ACFE96F"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11.2</w:t>
            </w:r>
          </w:p>
        </w:tc>
        <w:tc>
          <w:tcPr>
            <w:tcW w:w="1278" w:type="dxa"/>
            <w:tcBorders>
              <w:top w:val="single" w:sz="8" w:space="0" w:color="auto"/>
              <w:left w:val="nil"/>
              <w:bottom w:val="single" w:sz="8" w:space="0" w:color="auto"/>
              <w:right w:val="nil"/>
            </w:tcBorders>
            <w:shd w:val="clear" w:color="auto" w:fill="FFFFFF"/>
            <w:vAlign w:val="center"/>
          </w:tcPr>
          <w:p w14:paraId="153B4AC0"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11.2</w:t>
            </w:r>
          </w:p>
        </w:tc>
      </w:tr>
      <w:tr w:rsidR="00E36553" w:rsidRPr="00135F6B" w14:paraId="572B407B" w14:textId="77777777" w:rsidTr="00013C6F">
        <w:trPr>
          <w:trHeight w:val="232"/>
        </w:trPr>
        <w:tc>
          <w:tcPr>
            <w:tcW w:w="4820" w:type="dxa"/>
            <w:shd w:val="clear" w:color="auto" w:fill="FFFFFF"/>
            <w:vAlign w:val="center"/>
          </w:tcPr>
          <w:p w14:paraId="4BC0E9E9"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Non-current maturities of debt</w:t>
            </w:r>
          </w:p>
        </w:tc>
        <w:tc>
          <w:tcPr>
            <w:tcW w:w="1417" w:type="dxa"/>
            <w:shd w:val="clear" w:color="auto" w:fill="FFFF00"/>
            <w:vAlign w:val="center"/>
          </w:tcPr>
          <w:p w14:paraId="42DA65BD" w14:textId="77777777" w:rsidR="00E36553" w:rsidRPr="00135F6B" w:rsidRDefault="00E36553" w:rsidP="00013C6F">
            <w:pPr>
              <w:ind w:left="-284" w:right="-2"/>
              <w:jc w:val="right"/>
              <w:rPr>
                <w:rFonts w:ascii="Calibri" w:hAnsi="Calibri" w:cs="Calibri"/>
                <w:b/>
                <w:color w:val="000000"/>
                <w:sz w:val="20"/>
                <w:szCs w:val="20"/>
                <w:lang w:eastAsia="en-IE"/>
              </w:rPr>
            </w:pPr>
          </w:p>
        </w:tc>
        <w:tc>
          <w:tcPr>
            <w:tcW w:w="1417" w:type="dxa"/>
            <w:shd w:val="clear" w:color="auto" w:fill="FFFF00"/>
            <w:vAlign w:val="center"/>
          </w:tcPr>
          <w:p w14:paraId="4F7DD22F"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tcPr>
          <w:p w14:paraId="28F53CB4" w14:textId="77777777" w:rsidR="00E36553" w:rsidRPr="00AD66EB" w:rsidRDefault="00E36553" w:rsidP="00013C6F">
            <w:pPr>
              <w:ind w:left="-284" w:right="-2"/>
              <w:jc w:val="right"/>
              <w:rPr>
                <w:rFonts w:ascii="Calibri" w:hAnsi="Calibri" w:cs="Calibri"/>
                <w:bCs/>
                <w:color w:val="000000"/>
                <w:sz w:val="20"/>
                <w:szCs w:val="20"/>
                <w:lang w:eastAsia="en-IE"/>
              </w:rPr>
            </w:pPr>
          </w:p>
        </w:tc>
        <w:tc>
          <w:tcPr>
            <w:tcW w:w="1278" w:type="dxa"/>
            <w:shd w:val="clear" w:color="auto" w:fill="FFFFFF"/>
            <w:vAlign w:val="center"/>
          </w:tcPr>
          <w:p w14:paraId="632680E2" w14:textId="77777777" w:rsidR="00E36553" w:rsidRPr="00AD66EB" w:rsidRDefault="00E36553" w:rsidP="00013C6F">
            <w:pPr>
              <w:ind w:left="-284" w:right="-2"/>
              <w:jc w:val="right"/>
              <w:rPr>
                <w:rFonts w:ascii="Calibri" w:eastAsia="Calibri" w:hAnsi="Calibri" w:cs="Calibri"/>
                <w:bCs/>
                <w:sz w:val="20"/>
                <w:szCs w:val="20"/>
                <w:lang w:eastAsia="en-IE"/>
              </w:rPr>
            </w:pPr>
          </w:p>
        </w:tc>
      </w:tr>
      <w:tr w:rsidR="00E36553" w:rsidRPr="00135F6B" w14:paraId="37F1E064" w14:textId="77777777" w:rsidTr="00013C6F">
        <w:trPr>
          <w:trHeight w:val="232"/>
        </w:trPr>
        <w:tc>
          <w:tcPr>
            <w:tcW w:w="4820" w:type="dxa"/>
            <w:shd w:val="clear" w:color="auto" w:fill="FFFFFF"/>
            <w:vAlign w:val="center"/>
            <w:hideMark/>
          </w:tcPr>
          <w:p w14:paraId="31559B7B"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Long-term debt</w:t>
            </w:r>
          </w:p>
        </w:tc>
        <w:tc>
          <w:tcPr>
            <w:tcW w:w="1417" w:type="dxa"/>
            <w:shd w:val="clear" w:color="auto" w:fill="FFFF00"/>
            <w:vAlign w:val="center"/>
          </w:tcPr>
          <w:p w14:paraId="3C3A8DA2" w14:textId="77777777" w:rsidR="00E36553" w:rsidRPr="00032915" w:rsidRDefault="00E727A3"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488.7</w:t>
            </w:r>
          </w:p>
        </w:tc>
        <w:tc>
          <w:tcPr>
            <w:tcW w:w="1417" w:type="dxa"/>
            <w:shd w:val="clear" w:color="auto" w:fill="FFFF00"/>
            <w:vAlign w:val="center"/>
          </w:tcPr>
          <w:p w14:paraId="2D58526D" w14:textId="77777777" w:rsidR="00E36553" w:rsidRPr="00032915" w:rsidRDefault="00E727A3"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488.7</w:t>
            </w:r>
          </w:p>
        </w:tc>
        <w:tc>
          <w:tcPr>
            <w:tcW w:w="1417" w:type="dxa"/>
            <w:shd w:val="clear" w:color="auto" w:fill="FFFFFF"/>
            <w:vAlign w:val="center"/>
            <w:hideMark/>
          </w:tcPr>
          <w:p w14:paraId="305ED985"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812.3</w:t>
            </w:r>
          </w:p>
        </w:tc>
        <w:tc>
          <w:tcPr>
            <w:tcW w:w="1278" w:type="dxa"/>
            <w:shd w:val="clear" w:color="auto" w:fill="FFFFFF"/>
            <w:vAlign w:val="center"/>
            <w:hideMark/>
          </w:tcPr>
          <w:p w14:paraId="41CB8674"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812.3</w:t>
            </w:r>
          </w:p>
        </w:tc>
      </w:tr>
      <w:tr w:rsidR="00E36553" w:rsidRPr="00135F6B" w14:paraId="3995BDFD" w14:textId="77777777" w:rsidTr="00D1667B">
        <w:trPr>
          <w:trHeight w:val="232"/>
        </w:trPr>
        <w:tc>
          <w:tcPr>
            <w:tcW w:w="4820" w:type="dxa"/>
            <w:shd w:val="clear" w:color="auto" w:fill="FFFFFF"/>
            <w:vAlign w:val="center"/>
            <w:hideMark/>
          </w:tcPr>
          <w:p w14:paraId="553A2468"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Bonds</w:t>
            </w:r>
          </w:p>
        </w:tc>
        <w:tc>
          <w:tcPr>
            <w:tcW w:w="1417" w:type="dxa"/>
            <w:tcBorders>
              <w:top w:val="nil"/>
              <w:left w:val="nil"/>
              <w:bottom w:val="single" w:sz="8" w:space="0" w:color="auto"/>
              <w:right w:val="nil"/>
            </w:tcBorders>
            <w:shd w:val="clear" w:color="auto" w:fill="FFFF00"/>
            <w:vAlign w:val="center"/>
          </w:tcPr>
          <w:p w14:paraId="32939FF2" w14:textId="77777777" w:rsidR="00E36553" w:rsidRPr="00032915" w:rsidRDefault="00E727A3"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2,043.3</w:t>
            </w:r>
          </w:p>
        </w:tc>
        <w:tc>
          <w:tcPr>
            <w:tcW w:w="1417" w:type="dxa"/>
            <w:tcBorders>
              <w:top w:val="nil"/>
              <w:left w:val="nil"/>
              <w:bottom w:val="single" w:sz="8" w:space="0" w:color="auto"/>
              <w:right w:val="nil"/>
            </w:tcBorders>
            <w:shd w:val="clear" w:color="auto" w:fill="FFFF00"/>
            <w:vAlign w:val="center"/>
          </w:tcPr>
          <w:p w14:paraId="646BCB8C" w14:textId="77777777" w:rsidR="00E36553" w:rsidRPr="00032915" w:rsidRDefault="00E727A3"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1,971.2</w:t>
            </w:r>
          </w:p>
        </w:tc>
        <w:tc>
          <w:tcPr>
            <w:tcW w:w="1417" w:type="dxa"/>
            <w:tcBorders>
              <w:top w:val="nil"/>
              <w:left w:val="nil"/>
              <w:bottom w:val="single" w:sz="8" w:space="0" w:color="auto"/>
              <w:right w:val="nil"/>
            </w:tcBorders>
            <w:shd w:val="clear" w:color="auto" w:fill="FFFFFF"/>
            <w:vAlign w:val="center"/>
            <w:hideMark/>
          </w:tcPr>
          <w:p w14:paraId="166CA263"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2,040.9</w:t>
            </w:r>
          </w:p>
        </w:tc>
        <w:tc>
          <w:tcPr>
            <w:tcW w:w="1278" w:type="dxa"/>
            <w:tcBorders>
              <w:top w:val="nil"/>
              <w:left w:val="nil"/>
              <w:bottom w:val="single" w:sz="8" w:space="0" w:color="auto"/>
              <w:right w:val="nil"/>
            </w:tcBorders>
            <w:shd w:val="clear" w:color="auto" w:fill="FFFFFF"/>
            <w:vAlign w:val="center"/>
            <w:hideMark/>
          </w:tcPr>
          <w:p w14:paraId="609E725A"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1,928.4</w:t>
            </w:r>
          </w:p>
        </w:tc>
      </w:tr>
      <w:tr w:rsidR="00E36553" w:rsidRPr="00135F6B" w14:paraId="524DA05F" w14:textId="77777777" w:rsidTr="00D1667B">
        <w:trPr>
          <w:trHeight w:val="232"/>
        </w:trPr>
        <w:tc>
          <w:tcPr>
            <w:tcW w:w="4820" w:type="dxa"/>
            <w:shd w:val="clear" w:color="auto" w:fill="FFFFFF"/>
            <w:vAlign w:val="center"/>
          </w:tcPr>
          <w:p w14:paraId="40A65DD7" w14:textId="77777777" w:rsidR="00E36553" w:rsidRPr="00156BD0" w:rsidRDefault="00E36553" w:rsidP="00013C6F">
            <w:pPr>
              <w:ind w:right="-2" w:hanging="105"/>
              <w:rPr>
                <w:rFonts w:ascii="Calibri" w:hAnsi="Calibri" w:cs="Calibri"/>
                <w:color w:val="000000"/>
                <w:sz w:val="20"/>
                <w:szCs w:val="20"/>
                <w:lang w:eastAsia="en-IE"/>
              </w:rPr>
            </w:pPr>
          </w:p>
        </w:tc>
        <w:tc>
          <w:tcPr>
            <w:tcW w:w="1417" w:type="dxa"/>
            <w:tcBorders>
              <w:top w:val="single" w:sz="8" w:space="0" w:color="auto"/>
              <w:left w:val="nil"/>
              <w:bottom w:val="single" w:sz="4" w:space="0" w:color="auto"/>
              <w:right w:val="nil"/>
            </w:tcBorders>
            <w:shd w:val="clear" w:color="auto" w:fill="FFFF00"/>
            <w:vAlign w:val="center"/>
          </w:tcPr>
          <w:p w14:paraId="496ACD28" w14:textId="77777777" w:rsidR="00E36553" w:rsidRPr="004370DF" w:rsidRDefault="00E727A3"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2,532.0</w:t>
            </w:r>
          </w:p>
        </w:tc>
        <w:tc>
          <w:tcPr>
            <w:tcW w:w="1417" w:type="dxa"/>
            <w:tcBorders>
              <w:top w:val="single" w:sz="8" w:space="0" w:color="auto"/>
              <w:left w:val="nil"/>
              <w:bottom w:val="single" w:sz="4" w:space="0" w:color="auto"/>
              <w:right w:val="nil"/>
            </w:tcBorders>
            <w:shd w:val="clear" w:color="auto" w:fill="FFFF00"/>
            <w:vAlign w:val="center"/>
          </w:tcPr>
          <w:p w14:paraId="214D5F62" w14:textId="77777777" w:rsidR="00E36553" w:rsidRPr="00C71C28" w:rsidRDefault="00E727A3"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2,459.9</w:t>
            </w:r>
          </w:p>
        </w:tc>
        <w:tc>
          <w:tcPr>
            <w:tcW w:w="1417" w:type="dxa"/>
            <w:tcBorders>
              <w:top w:val="single" w:sz="8" w:space="0" w:color="auto"/>
              <w:left w:val="nil"/>
              <w:bottom w:val="single" w:sz="4" w:space="0" w:color="auto"/>
              <w:right w:val="nil"/>
            </w:tcBorders>
            <w:shd w:val="clear" w:color="auto" w:fill="FFFFFF"/>
            <w:vAlign w:val="center"/>
          </w:tcPr>
          <w:p w14:paraId="30510300"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2,853.2</w:t>
            </w:r>
          </w:p>
        </w:tc>
        <w:tc>
          <w:tcPr>
            <w:tcW w:w="1278" w:type="dxa"/>
            <w:tcBorders>
              <w:top w:val="single" w:sz="8" w:space="0" w:color="auto"/>
              <w:left w:val="nil"/>
              <w:bottom w:val="single" w:sz="4" w:space="0" w:color="auto"/>
              <w:right w:val="nil"/>
            </w:tcBorders>
            <w:shd w:val="clear" w:color="auto" w:fill="FFFFFF"/>
            <w:vAlign w:val="center"/>
          </w:tcPr>
          <w:p w14:paraId="2EECED05"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eastAsia="Calibri" w:hAnsi="Calibri" w:cs="Calibri"/>
                <w:bCs/>
                <w:sz w:val="20"/>
                <w:szCs w:val="20"/>
                <w:lang w:eastAsia="en-IE"/>
              </w:rPr>
              <w:t>2,740.7</w:t>
            </w:r>
          </w:p>
        </w:tc>
      </w:tr>
      <w:tr w:rsidR="00E36553" w:rsidRPr="00135F6B" w14:paraId="3812D4F7" w14:textId="77777777" w:rsidTr="00D1667B">
        <w:trPr>
          <w:trHeight w:val="232"/>
        </w:trPr>
        <w:tc>
          <w:tcPr>
            <w:tcW w:w="4820" w:type="dxa"/>
            <w:shd w:val="clear" w:color="auto" w:fill="FFFFFF"/>
            <w:vAlign w:val="bottom"/>
            <w:hideMark/>
          </w:tcPr>
          <w:p w14:paraId="070E4843"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tcBorders>
              <w:top w:val="single" w:sz="4" w:space="0" w:color="auto"/>
              <w:left w:val="nil"/>
              <w:bottom w:val="single" w:sz="8" w:space="0" w:color="auto"/>
              <w:right w:val="nil"/>
            </w:tcBorders>
            <w:shd w:val="clear" w:color="auto" w:fill="FFFF00"/>
            <w:vAlign w:val="center"/>
          </w:tcPr>
          <w:p w14:paraId="49F6ED75" w14:textId="77777777" w:rsidR="00E36553" w:rsidRPr="00957A6F" w:rsidRDefault="00E727A3"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2,580.8</w:t>
            </w:r>
          </w:p>
        </w:tc>
        <w:tc>
          <w:tcPr>
            <w:tcW w:w="1417" w:type="dxa"/>
            <w:tcBorders>
              <w:top w:val="single" w:sz="4" w:space="0" w:color="auto"/>
              <w:left w:val="nil"/>
              <w:bottom w:val="single" w:sz="8" w:space="0" w:color="auto"/>
              <w:right w:val="nil"/>
            </w:tcBorders>
            <w:shd w:val="clear" w:color="auto" w:fill="FFFF00"/>
            <w:vAlign w:val="center"/>
          </w:tcPr>
          <w:p w14:paraId="21008769" w14:textId="77777777" w:rsidR="00E36553" w:rsidRPr="00957A6F" w:rsidRDefault="00E727A3"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2,508.7</w:t>
            </w:r>
          </w:p>
        </w:tc>
        <w:tc>
          <w:tcPr>
            <w:tcW w:w="1417" w:type="dxa"/>
            <w:tcBorders>
              <w:top w:val="single" w:sz="4" w:space="0" w:color="auto"/>
              <w:left w:val="nil"/>
              <w:bottom w:val="single" w:sz="8" w:space="0" w:color="auto"/>
              <w:right w:val="nil"/>
            </w:tcBorders>
            <w:shd w:val="clear" w:color="auto" w:fill="FFFFFF"/>
            <w:vAlign w:val="center"/>
            <w:hideMark/>
          </w:tcPr>
          <w:p w14:paraId="2C577BD2"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2,864.4</w:t>
            </w:r>
          </w:p>
        </w:tc>
        <w:tc>
          <w:tcPr>
            <w:tcW w:w="1278" w:type="dxa"/>
            <w:tcBorders>
              <w:top w:val="single" w:sz="4" w:space="0" w:color="auto"/>
              <w:left w:val="nil"/>
              <w:bottom w:val="single" w:sz="8" w:space="0" w:color="auto"/>
              <w:right w:val="nil"/>
            </w:tcBorders>
            <w:shd w:val="clear" w:color="auto" w:fill="FFFFFF"/>
            <w:vAlign w:val="center"/>
            <w:hideMark/>
          </w:tcPr>
          <w:p w14:paraId="3335F55E"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2,751.9</w:t>
            </w:r>
          </w:p>
        </w:tc>
      </w:tr>
      <w:tr w:rsidR="00E36553" w:rsidRPr="00135F6B" w14:paraId="65273AF7" w14:textId="77777777" w:rsidTr="00E36553">
        <w:trPr>
          <w:trHeight w:val="232"/>
        </w:trPr>
        <w:tc>
          <w:tcPr>
            <w:tcW w:w="4820" w:type="dxa"/>
            <w:shd w:val="clear" w:color="auto" w:fill="FFFFFF"/>
            <w:vAlign w:val="center"/>
            <w:hideMark/>
          </w:tcPr>
          <w:p w14:paraId="4580DBF3" w14:textId="77777777" w:rsidR="00E36553" w:rsidRPr="00156BD0" w:rsidRDefault="00E36553" w:rsidP="00013C6F">
            <w:pPr>
              <w:ind w:right="-2" w:hanging="105"/>
              <w:rPr>
                <w:rFonts w:ascii="Calibri" w:hAnsi="Calibri" w:cs="Calibri"/>
                <w:b/>
                <w:bCs/>
                <w:color w:val="000000"/>
                <w:sz w:val="20"/>
                <w:szCs w:val="20"/>
                <w:lang w:eastAsia="en-IE"/>
              </w:rPr>
            </w:pPr>
            <w:r w:rsidRPr="00156BD0">
              <w:rPr>
                <w:rFonts w:ascii="Calibri" w:hAnsi="Calibri" w:cs="Calibri"/>
                <w:b/>
                <w:bCs/>
                <w:color w:val="000000"/>
                <w:sz w:val="20"/>
                <w:szCs w:val="20"/>
                <w:lang w:eastAsia="en-IE"/>
              </w:rPr>
              <w:t>Current financial liabilities</w:t>
            </w:r>
          </w:p>
        </w:tc>
        <w:tc>
          <w:tcPr>
            <w:tcW w:w="1417" w:type="dxa"/>
            <w:shd w:val="clear" w:color="auto" w:fill="FFFF00"/>
            <w:vAlign w:val="center"/>
          </w:tcPr>
          <w:p w14:paraId="7B82D968" w14:textId="77777777" w:rsidR="00E36553" w:rsidRPr="00135F6B" w:rsidRDefault="00E36553" w:rsidP="00013C6F">
            <w:pPr>
              <w:ind w:left="-284" w:right="-2"/>
              <w:jc w:val="right"/>
              <w:rPr>
                <w:rFonts w:ascii="Calibri" w:hAnsi="Calibri" w:cs="Calibri"/>
                <w:b/>
                <w:bCs/>
                <w:color w:val="000000"/>
                <w:sz w:val="20"/>
                <w:szCs w:val="20"/>
                <w:lang w:eastAsia="en-IE"/>
              </w:rPr>
            </w:pPr>
          </w:p>
        </w:tc>
        <w:tc>
          <w:tcPr>
            <w:tcW w:w="1417" w:type="dxa"/>
            <w:shd w:val="clear" w:color="auto" w:fill="FFFF00"/>
            <w:vAlign w:val="center"/>
          </w:tcPr>
          <w:p w14:paraId="65DB6CB4"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2DE63465" w14:textId="77777777" w:rsidR="00E36553" w:rsidRPr="00AD66EB" w:rsidRDefault="00E36553" w:rsidP="00013C6F">
            <w:pPr>
              <w:ind w:left="-284" w:right="-2"/>
              <w:jc w:val="right"/>
              <w:rPr>
                <w:rFonts w:ascii="Calibri" w:eastAsia="Calibri" w:hAnsi="Calibri" w:cs="Calibri"/>
                <w:bCs/>
                <w:sz w:val="20"/>
                <w:szCs w:val="20"/>
                <w:lang w:eastAsia="en-IE"/>
              </w:rPr>
            </w:pPr>
          </w:p>
        </w:tc>
        <w:tc>
          <w:tcPr>
            <w:tcW w:w="1278" w:type="dxa"/>
            <w:shd w:val="clear" w:color="auto" w:fill="FFFFFF"/>
            <w:vAlign w:val="center"/>
            <w:hideMark/>
          </w:tcPr>
          <w:p w14:paraId="7374DBF5" w14:textId="77777777" w:rsidR="00E36553" w:rsidRPr="00AD66EB" w:rsidRDefault="00E36553" w:rsidP="00013C6F">
            <w:pPr>
              <w:ind w:left="-284" w:right="-2"/>
              <w:jc w:val="right"/>
              <w:rPr>
                <w:rFonts w:ascii="Calibri" w:eastAsia="Calibri" w:hAnsi="Calibri" w:cs="Calibri"/>
                <w:bCs/>
                <w:sz w:val="20"/>
                <w:szCs w:val="20"/>
                <w:lang w:eastAsia="en-IE"/>
              </w:rPr>
            </w:pPr>
          </w:p>
        </w:tc>
      </w:tr>
      <w:tr w:rsidR="00E36553" w:rsidRPr="00135F6B" w14:paraId="557A9F3C" w14:textId="77777777" w:rsidTr="00E36553">
        <w:trPr>
          <w:trHeight w:val="232"/>
        </w:trPr>
        <w:tc>
          <w:tcPr>
            <w:tcW w:w="4820" w:type="dxa"/>
            <w:shd w:val="clear" w:color="auto" w:fill="FFFFFF"/>
            <w:vAlign w:val="center"/>
            <w:hideMark/>
          </w:tcPr>
          <w:p w14:paraId="2D0E0467"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Derivative financial instruments:</w:t>
            </w:r>
          </w:p>
        </w:tc>
        <w:tc>
          <w:tcPr>
            <w:tcW w:w="1417" w:type="dxa"/>
            <w:shd w:val="clear" w:color="auto" w:fill="FFFF00"/>
            <w:vAlign w:val="center"/>
          </w:tcPr>
          <w:p w14:paraId="0DCBA1C3" w14:textId="77777777" w:rsidR="00E36553" w:rsidRPr="00135F6B" w:rsidRDefault="00E36553" w:rsidP="00013C6F">
            <w:pPr>
              <w:ind w:left="-284" w:right="-2"/>
              <w:jc w:val="right"/>
              <w:rPr>
                <w:rFonts w:ascii="Calibri" w:hAnsi="Calibri" w:cs="Calibri"/>
                <w:b/>
                <w:color w:val="000000"/>
                <w:sz w:val="20"/>
                <w:szCs w:val="20"/>
                <w:lang w:eastAsia="en-IE"/>
              </w:rPr>
            </w:pPr>
          </w:p>
        </w:tc>
        <w:tc>
          <w:tcPr>
            <w:tcW w:w="1417" w:type="dxa"/>
            <w:shd w:val="clear" w:color="auto" w:fill="FFFF00"/>
            <w:vAlign w:val="center"/>
          </w:tcPr>
          <w:p w14:paraId="58096E1C"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7CD211D1" w14:textId="77777777" w:rsidR="00E36553" w:rsidRPr="00AD66EB" w:rsidRDefault="00E36553" w:rsidP="00013C6F">
            <w:pPr>
              <w:ind w:left="-284" w:right="-2"/>
              <w:jc w:val="right"/>
              <w:rPr>
                <w:rFonts w:ascii="Calibri" w:eastAsia="Calibri" w:hAnsi="Calibri" w:cs="Calibri"/>
                <w:bCs/>
                <w:sz w:val="20"/>
                <w:szCs w:val="20"/>
                <w:lang w:eastAsia="en-IE"/>
              </w:rPr>
            </w:pPr>
          </w:p>
        </w:tc>
        <w:tc>
          <w:tcPr>
            <w:tcW w:w="1278" w:type="dxa"/>
            <w:shd w:val="clear" w:color="auto" w:fill="FFFFFF"/>
            <w:vAlign w:val="center"/>
            <w:hideMark/>
          </w:tcPr>
          <w:p w14:paraId="2202837A" w14:textId="77777777" w:rsidR="00E36553" w:rsidRPr="00AD66EB" w:rsidRDefault="00E36553" w:rsidP="00013C6F">
            <w:pPr>
              <w:ind w:left="-284" w:right="-2"/>
              <w:jc w:val="right"/>
              <w:rPr>
                <w:rFonts w:ascii="Calibri" w:eastAsia="Calibri" w:hAnsi="Calibri" w:cs="Calibri"/>
                <w:bCs/>
                <w:sz w:val="20"/>
                <w:szCs w:val="20"/>
                <w:lang w:eastAsia="en-IE"/>
              </w:rPr>
            </w:pPr>
          </w:p>
        </w:tc>
      </w:tr>
      <w:tr w:rsidR="00E36553" w:rsidRPr="00135F6B" w14:paraId="1C116B76" w14:textId="77777777" w:rsidTr="00013C6F">
        <w:trPr>
          <w:trHeight w:val="232"/>
        </w:trPr>
        <w:tc>
          <w:tcPr>
            <w:tcW w:w="4820" w:type="dxa"/>
            <w:shd w:val="clear" w:color="auto" w:fill="FFFFFF"/>
            <w:vAlign w:val="center"/>
            <w:hideMark/>
          </w:tcPr>
          <w:p w14:paraId="5C3B9850"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Jet fuel &amp; carbon derivative contracts</w:t>
            </w:r>
          </w:p>
        </w:tc>
        <w:tc>
          <w:tcPr>
            <w:tcW w:w="1417" w:type="dxa"/>
            <w:shd w:val="clear" w:color="auto" w:fill="FFFF00"/>
            <w:vAlign w:val="center"/>
          </w:tcPr>
          <w:p w14:paraId="754F14E5" w14:textId="77777777" w:rsidR="00E36553" w:rsidRPr="00135F6B" w:rsidRDefault="00E727A3"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142.3</w:t>
            </w:r>
          </w:p>
        </w:tc>
        <w:tc>
          <w:tcPr>
            <w:tcW w:w="1417" w:type="dxa"/>
            <w:shd w:val="clear" w:color="auto" w:fill="FFFF00"/>
            <w:vAlign w:val="center"/>
          </w:tcPr>
          <w:p w14:paraId="75E17B3E" w14:textId="77777777" w:rsidR="00E36553" w:rsidRPr="00135F6B" w:rsidRDefault="00E727A3"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142.3</w:t>
            </w:r>
          </w:p>
        </w:tc>
        <w:tc>
          <w:tcPr>
            <w:tcW w:w="1417" w:type="dxa"/>
            <w:shd w:val="clear" w:color="auto" w:fill="FFFFFF"/>
            <w:vAlign w:val="center"/>
            <w:hideMark/>
          </w:tcPr>
          <w:p w14:paraId="6641E2A5"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341.7</w:t>
            </w:r>
          </w:p>
        </w:tc>
        <w:tc>
          <w:tcPr>
            <w:tcW w:w="1278" w:type="dxa"/>
            <w:shd w:val="clear" w:color="auto" w:fill="FFFFFF"/>
            <w:vAlign w:val="center"/>
            <w:hideMark/>
          </w:tcPr>
          <w:p w14:paraId="08A0CE27"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341.7</w:t>
            </w:r>
          </w:p>
        </w:tc>
      </w:tr>
      <w:tr w:rsidR="00E36553" w:rsidRPr="00135F6B" w14:paraId="3B32F5AB" w14:textId="77777777" w:rsidTr="00013C6F">
        <w:trPr>
          <w:trHeight w:val="232"/>
        </w:trPr>
        <w:tc>
          <w:tcPr>
            <w:tcW w:w="4820" w:type="dxa"/>
            <w:shd w:val="clear" w:color="auto" w:fill="FFFFFF"/>
            <w:vAlign w:val="center"/>
            <w:hideMark/>
          </w:tcPr>
          <w:p w14:paraId="635457AB"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U.S. dollar currency forward contracts</w:t>
            </w:r>
          </w:p>
        </w:tc>
        <w:tc>
          <w:tcPr>
            <w:tcW w:w="1417" w:type="dxa"/>
            <w:shd w:val="clear" w:color="auto" w:fill="FFFF00"/>
            <w:vAlign w:val="center"/>
          </w:tcPr>
          <w:p w14:paraId="35B4381A" w14:textId="77777777" w:rsidR="00E36553" w:rsidRPr="00135F6B" w:rsidRDefault="00E727A3"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25.5</w:t>
            </w:r>
          </w:p>
        </w:tc>
        <w:tc>
          <w:tcPr>
            <w:tcW w:w="1417" w:type="dxa"/>
            <w:shd w:val="clear" w:color="auto" w:fill="FFFF00"/>
            <w:vAlign w:val="center"/>
          </w:tcPr>
          <w:p w14:paraId="5DD91662" w14:textId="77777777" w:rsidR="00E36553" w:rsidRPr="00135F6B" w:rsidRDefault="00E727A3"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25.5</w:t>
            </w:r>
          </w:p>
        </w:tc>
        <w:tc>
          <w:tcPr>
            <w:tcW w:w="1417" w:type="dxa"/>
            <w:shd w:val="clear" w:color="auto" w:fill="FFFFFF"/>
            <w:vAlign w:val="center"/>
            <w:hideMark/>
          </w:tcPr>
          <w:p w14:paraId="6C3C9EBE"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44.9</w:t>
            </w:r>
          </w:p>
        </w:tc>
        <w:tc>
          <w:tcPr>
            <w:tcW w:w="1278" w:type="dxa"/>
            <w:shd w:val="clear" w:color="auto" w:fill="FFFFFF"/>
            <w:vAlign w:val="center"/>
            <w:hideMark/>
          </w:tcPr>
          <w:p w14:paraId="6CA2C380"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44.9</w:t>
            </w:r>
          </w:p>
        </w:tc>
      </w:tr>
      <w:tr w:rsidR="00E36553" w:rsidRPr="00135F6B" w14:paraId="340278AD" w14:textId="77777777" w:rsidTr="00013C6F">
        <w:trPr>
          <w:trHeight w:val="232"/>
        </w:trPr>
        <w:tc>
          <w:tcPr>
            <w:tcW w:w="4820" w:type="dxa"/>
            <w:shd w:val="clear" w:color="auto" w:fill="FFFFFF"/>
            <w:vAlign w:val="center"/>
            <w:hideMark/>
          </w:tcPr>
          <w:p w14:paraId="2D0777D1"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tcBorders>
              <w:top w:val="single" w:sz="8" w:space="0" w:color="auto"/>
              <w:left w:val="nil"/>
              <w:bottom w:val="nil"/>
              <w:right w:val="nil"/>
            </w:tcBorders>
            <w:shd w:val="clear" w:color="auto" w:fill="FFFF00"/>
            <w:vAlign w:val="center"/>
          </w:tcPr>
          <w:p w14:paraId="128C4679" w14:textId="77777777" w:rsidR="00E36553" w:rsidRPr="00135F6B" w:rsidRDefault="00E727A3"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167.8</w:t>
            </w:r>
          </w:p>
        </w:tc>
        <w:tc>
          <w:tcPr>
            <w:tcW w:w="1417" w:type="dxa"/>
            <w:tcBorders>
              <w:top w:val="single" w:sz="8" w:space="0" w:color="auto"/>
              <w:left w:val="nil"/>
              <w:bottom w:val="nil"/>
              <w:right w:val="nil"/>
            </w:tcBorders>
            <w:shd w:val="clear" w:color="auto" w:fill="FFFF00"/>
            <w:vAlign w:val="center"/>
          </w:tcPr>
          <w:p w14:paraId="2A78569E" w14:textId="77777777" w:rsidR="00E36553" w:rsidRPr="00135F6B" w:rsidRDefault="00E727A3"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167.8</w:t>
            </w:r>
          </w:p>
        </w:tc>
        <w:tc>
          <w:tcPr>
            <w:tcW w:w="1417" w:type="dxa"/>
            <w:tcBorders>
              <w:top w:val="single" w:sz="8" w:space="0" w:color="auto"/>
              <w:left w:val="nil"/>
              <w:bottom w:val="nil"/>
              <w:right w:val="nil"/>
            </w:tcBorders>
            <w:shd w:val="clear" w:color="auto" w:fill="FFFFFF"/>
            <w:vAlign w:val="center"/>
            <w:hideMark/>
          </w:tcPr>
          <w:p w14:paraId="659FA9E3"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386.6</w:t>
            </w:r>
          </w:p>
        </w:tc>
        <w:tc>
          <w:tcPr>
            <w:tcW w:w="1278" w:type="dxa"/>
            <w:tcBorders>
              <w:top w:val="single" w:sz="8" w:space="0" w:color="auto"/>
              <w:left w:val="nil"/>
              <w:bottom w:val="nil"/>
              <w:right w:val="nil"/>
            </w:tcBorders>
            <w:shd w:val="clear" w:color="auto" w:fill="FFFFFF"/>
            <w:vAlign w:val="center"/>
            <w:hideMark/>
          </w:tcPr>
          <w:p w14:paraId="39455609"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386.6</w:t>
            </w:r>
          </w:p>
        </w:tc>
      </w:tr>
      <w:tr w:rsidR="00E36553" w:rsidRPr="00135F6B" w14:paraId="4CF90D79" w14:textId="77777777" w:rsidTr="00013C6F">
        <w:trPr>
          <w:trHeight w:val="232"/>
        </w:trPr>
        <w:tc>
          <w:tcPr>
            <w:tcW w:w="4820" w:type="dxa"/>
            <w:shd w:val="clear" w:color="auto" w:fill="FFFFFF"/>
            <w:vAlign w:val="center"/>
            <w:hideMark/>
          </w:tcPr>
          <w:p w14:paraId="5DDC63C8" w14:textId="77777777" w:rsidR="00E36553" w:rsidRPr="00156BD0" w:rsidRDefault="00E36553" w:rsidP="00013C6F">
            <w:pPr>
              <w:ind w:right="-2" w:hanging="105"/>
              <w:rPr>
                <w:rFonts w:ascii="Calibri" w:hAnsi="Calibri" w:cs="Calibri"/>
                <w:color w:val="000000"/>
                <w:sz w:val="20"/>
                <w:szCs w:val="20"/>
                <w:lang w:eastAsia="en-IE"/>
              </w:rPr>
            </w:pPr>
          </w:p>
        </w:tc>
        <w:tc>
          <w:tcPr>
            <w:tcW w:w="1417" w:type="dxa"/>
            <w:shd w:val="clear" w:color="auto" w:fill="FFFF00"/>
            <w:vAlign w:val="center"/>
          </w:tcPr>
          <w:p w14:paraId="6AECCED0" w14:textId="77777777" w:rsidR="00E36553" w:rsidRPr="00135F6B" w:rsidRDefault="00E36553" w:rsidP="00013C6F">
            <w:pPr>
              <w:ind w:left="-284" w:right="-2"/>
              <w:jc w:val="right"/>
              <w:rPr>
                <w:rFonts w:ascii="Calibri" w:hAnsi="Calibri" w:cs="Calibri"/>
                <w:b/>
                <w:color w:val="000000"/>
                <w:sz w:val="20"/>
                <w:szCs w:val="20"/>
                <w:lang w:eastAsia="en-IE"/>
              </w:rPr>
            </w:pPr>
          </w:p>
        </w:tc>
        <w:tc>
          <w:tcPr>
            <w:tcW w:w="1417" w:type="dxa"/>
            <w:shd w:val="clear" w:color="auto" w:fill="FFFF00"/>
            <w:vAlign w:val="center"/>
          </w:tcPr>
          <w:p w14:paraId="19C6F5A1"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tcPr>
          <w:p w14:paraId="00C9E2E8" w14:textId="77777777" w:rsidR="00E36553" w:rsidRPr="00AD66EB" w:rsidRDefault="00E36553" w:rsidP="00013C6F">
            <w:pPr>
              <w:ind w:left="-284" w:right="-2"/>
              <w:jc w:val="right"/>
              <w:rPr>
                <w:rFonts w:ascii="Calibri" w:hAnsi="Calibri" w:cs="Calibri"/>
                <w:bCs/>
                <w:color w:val="000000"/>
                <w:sz w:val="20"/>
                <w:szCs w:val="20"/>
                <w:lang w:eastAsia="en-IE"/>
              </w:rPr>
            </w:pPr>
          </w:p>
        </w:tc>
        <w:tc>
          <w:tcPr>
            <w:tcW w:w="1278" w:type="dxa"/>
            <w:shd w:val="clear" w:color="auto" w:fill="FFFFFF"/>
            <w:vAlign w:val="center"/>
          </w:tcPr>
          <w:p w14:paraId="5C128159" w14:textId="77777777" w:rsidR="00E36553" w:rsidRPr="00AD66EB" w:rsidRDefault="00E36553" w:rsidP="00013C6F">
            <w:pPr>
              <w:ind w:left="-284" w:right="-2"/>
              <w:jc w:val="right"/>
              <w:rPr>
                <w:rFonts w:ascii="Calibri" w:hAnsi="Calibri" w:cs="Calibri"/>
                <w:bCs/>
                <w:color w:val="000000"/>
                <w:sz w:val="20"/>
                <w:szCs w:val="20"/>
                <w:lang w:eastAsia="en-IE"/>
              </w:rPr>
            </w:pPr>
          </w:p>
        </w:tc>
      </w:tr>
      <w:tr w:rsidR="00E36553" w:rsidRPr="00135F6B" w14:paraId="24260ED9" w14:textId="77777777" w:rsidTr="00013C6F">
        <w:trPr>
          <w:trHeight w:val="232"/>
        </w:trPr>
        <w:tc>
          <w:tcPr>
            <w:tcW w:w="4820" w:type="dxa"/>
            <w:shd w:val="clear" w:color="auto" w:fill="FFFFFF"/>
            <w:vAlign w:val="center"/>
          </w:tcPr>
          <w:p w14:paraId="0986AD9B"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Current maturities of debt:</w:t>
            </w:r>
          </w:p>
        </w:tc>
        <w:tc>
          <w:tcPr>
            <w:tcW w:w="1417" w:type="dxa"/>
            <w:shd w:val="clear" w:color="auto" w:fill="FFFF00"/>
            <w:vAlign w:val="center"/>
          </w:tcPr>
          <w:p w14:paraId="0EBED433" w14:textId="77777777" w:rsidR="00E36553" w:rsidRPr="00135F6B" w:rsidRDefault="00E36553" w:rsidP="00013C6F">
            <w:pPr>
              <w:ind w:left="-284" w:right="-2"/>
              <w:jc w:val="right"/>
              <w:rPr>
                <w:rFonts w:ascii="Calibri" w:hAnsi="Calibri" w:cs="Calibri"/>
                <w:b/>
                <w:color w:val="000000"/>
                <w:sz w:val="20"/>
                <w:szCs w:val="20"/>
                <w:lang w:eastAsia="en-IE"/>
              </w:rPr>
            </w:pPr>
          </w:p>
        </w:tc>
        <w:tc>
          <w:tcPr>
            <w:tcW w:w="1417" w:type="dxa"/>
            <w:shd w:val="clear" w:color="auto" w:fill="FFFF00"/>
            <w:vAlign w:val="center"/>
          </w:tcPr>
          <w:p w14:paraId="49DF678B"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tcPr>
          <w:p w14:paraId="1A94101F" w14:textId="77777777" w:rsidR="00E36553" w:rsidRPr="00AD66EB" w:rsidRDefault="00E36553" w:rsidP="00013C6F">
            <w:pPr>
              <w:ind w:left="-284" w:right="-2"/>
              <w:jc w:val="right"/>
              <w:rPr>
                <w:rFonts w:ascii="Calibri" w:hAnsi="Calibri" w:cs="Calibri"/>
                <w:bCs/>
                <w:color w:val="000000"/>
                <w:sz w:val="20"/>
                <w:szCs w:val="20"/>
                <w:lang w:eastAsia="en-IE"/>
              </w:rPr>
            </w:pPr>
          </w:p>
        </w:tc>
        <w:tc>
          <w:tcPr>
            <w:tcW w:w="1278" w:type="dxa"/>
            <w:shd w:val="clear" w:color="auto" w:fill="FFFFFF"/>
            <w:vAlign w:val="center"/>
          </w:tcPr>
          <w:p w14:paraId="3D3B39D2" w14:textId="77777777" w:rsidR="00E36553" w:rsidRPr="00AD66EB" w:rsidRDefault="00E36553" w:rsidP="00013C6F">
            <w:pPr>
              <w:ind w:left="-284" w:right="-2"/>
              <w:jc w:val="right"/>
              <w:rPr>
                <w:rFonts w:ascii="Calibri" w:eastAsia="Calibri" w:hAnsi="Calibri" w:cs="Calibri"/>
                <w:bCs/>
                <w:sz w:val="20"/>
                <w:szCs w:val="20"/>
                <w:lang w:eastAsia="en-IE"/>
              </w:rPr>
            </w:pPr>
          </w:p>
        </w:tc>
      </w:tr>
      <w:tr w:rsidR="00E36553" w:rsidRPr="00135F6B" w14:paraId="1ED2E8C4" w14:textId="77777777" w:rsidTr="00013C6F">
        <w:trPr>
          <w:trHeight w:val="232"/>
        </w:trPr>
        <w:tc>
          <w:tcPr>
            <w:tcW w:w="4820" w:type="dxa"/>
            <w:shd w:val="clear" w:color="auto" w:fill="FFFFFF"/>
            <w:vAlign w:val="center"/>
          </w:tcPr>
          <w:p w14:paraId="63146156"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Short-term debt</w:t>
            </w:r>
          </w:p>
        </w:tc>
        <w:tc>
          <w:tcPr>
            <w:tcW w:w="1417" w:type="dxa"/>
            <w:shd w:val="clear" w:color="auto" w:fill="FFFF00"/>
            <w:vAlign w:val="center"/>
          </w:tcPr>
          <w:p w14:paraId="1FE71D86" w14:textId="77777777" w:rsidR="00E36553" w:rsidRPr="00135F6B" w:rsidRDefault="00E727A3"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69.9</w:t>
            </w:r>
          </w:p>
        </w:tc>
        <w:tc>
          <w:tcPr>
            <w:tcW w:w="1417" w:type="dxa"/>
            <w:shd w:val="clear" w:color="auto" w:fill="FFFF00"/>
            <w:vAlign w:val="center"/>
          </w:tcPr>
          <w:p w14:paraId="00646C22" w14:textId="77777777" w:rsidR="00E36553" w:rsidRPr="00135F6B" w:rsidRDefault="00E727A3"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69.9</w:t>
            </w:r>
          </w:p>
        </w:tc>
        <w:tc>
          <w:tcPr>
            <w:tcW w:w="1417" w:type="dxa"/>
            <w:shd w:val="clear" w:color="auto" w:fill="FFFFFF"/>
            <w:vAlign w:val="center"/>
          </w:tcPr>
          <w:p w14:paraId="27950EA6"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76.8</w:t>
            </w:r>
          </w:p>
        </w:tc>
        <w:tc>
          <w:tcPr>
            <w:tcW w:w="1278" w:type="dxa"/>
            <w:shd w:val="clear" w:color="auto" w:fill="FFFFFF"/>
            <w:vAlign w:val="center"/>
          </w:tcPr>
          <w:p w14:paraId="1C5FB5EC"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eastAsia="Calibri" w:hAnsi="Calibri" w:cs="Calibri"/>
                <w:bCs/>
                <w:sz w:val="20"/>
                <w:szCs w:val="20"/>
                <w:lang w:eastAsia="en-IE"/>
              </w:rPr>
              <w:t>76.8</w:t>
            </w:r>
          </w:p>
        </w:tc>
      </w:tr>
      <w:tr w:rsidR="00E36553" w:rsidRPr="00135F6B" w14:paraId="6EA95E02" w14:textId="77777777" w:rsidTr="00013C6F">
        <w:trPr>
          <w:trHeight w:val="232"/>
        </w:trPr>
        <w:tc>
          <w:tcPr>
            <w:tcW w:w="4820" w:type="dxa"/>
            <w:shd w:val="clear" w:color="auto" w:fill="FFFFFF"/>
            <w:vAlign w:val="center"/>
          </w:tcPr>
          <w:p w14:paraId="1C386C5D"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Promissory notes</w:t>
            </w:r>
            <w:r>
              <w:rPr>
                <w:rFonts w:ascii="Calibri" w:hAnsi="Calibri" w:cs="Calibri"/>
                <w:color w:val="000000"/>
                <w:sz w:val="20"/>
                <w:szCs w:val="20"/>
                <w:lang w:eastAsia="en-IE"/>
              </w:rPr>
              <w:t>**</w:t>
            </w:r>
          </w:p>
        </w:tc>
        <w:tc>
          <w:tcPr>
            <w:tcW w:w="1417" w:type="dxa"/>
            <w:shd w:val="clear" w:color="auto" w:fill="FFFF00"/>
            <w:vAlign w:val="center"/>
          </w:tcPr>
          <w:p w14:paraId="3BA1F85D" w14:textId="77777777" w:rsidR="00E36553" w:rsidRPr="00135F6B" w:rsidRDefault="00E727A3"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w:t>
            </w:r>
          </w:p>
        </w:tc>
        <w:tc>
          <w:tcPr>
            <w:tcW w:w="1417" w:type="dxa"/>
            <w:shd w:val="clear" w:color="auto" w:fill="FFFF00"/>
            <w:vAlign w:val="center"/>
          </w:tcPr>
          <w:p w14:paraId="4FC1D3B0" w14:textId="77777777" w:rsidR="00E36553" w:rsidRPr="00DC4303" w:rsidRDefault="00E727A3"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w:t>
            </w:r>
          </w:p>
        </w:tc>
        <w:tc>
          <w:tcPr>
            <w:tcW w:w="1417" w:type="dxa"/>
            <w:shd w:val="clear" w:color="auto" w:fill="FFFFFF"/>
            <w:vAlign w:val="center"/>
          </w:tcPr>
          <w:p w14:paraId="59E2E0DA"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230.6</w:t>
            </w:r>
          </w:p>
        </w:tc>
        <w:tc>
          <w:tcPr>
            <w:tcW w:w="1278" w:type="dxa"/>
            <w:shd w:val="clear" w:color="auto" w:fill="FFFFFF"/>
            <w:vAlign w:val="center"/>
          </w:tcPr>
          <w:p w14:paraId="6FD8E3D5" w14:textId="77777777" w:rsidR="00E36553" w:rsidRPr="00AD66EB" w:rsidRDefault="00E36553" w:rsidP="00013C6F">
            <w:pPr>
              <w:ind w:left="-284" w:right="-2"/>
              <w:jc w:val="right"/>
              <w:rPr>
                <w:rFonts w:ascii="Calibri" w:eastAsia="Calibri" w:hAnsi="Calibri" w:cs="Calibri"/>
                <w:bCs/>
                <w:sz w:val="20"/>
                <w:szCs w:val="20"/>
                <w:lang w:eastAsia="en-IE"/>
              </w:rPr>
            </w:pPr>
            <w:r w:rsidRPr="00AD66EB">
              <w:rPr>
                <w:rFonts w:ascii="Calibri" w:eastAsia="Calibri" w:hAnsi="Calibri" w:cs="Calibri"/>
                <w:bCs/>
                <w:sz w:val="20"/>
                <w:szCs w:val="20"/>
                <w:lang w:eastAsia="en-IE"/>
              </w:rPr>
              <w:t>230.6</w:t>
            </w:r>
          </w:p>
        </w:tc>
      </w:tr>
      <w:tr w:rsidR="00E36553" w:rsidRPr="00135F6B" w14:paraId="42EE06A6" w14:textId="77777777" w:rsidTr="00013C6F">
        <w:trPr>
          <w:trHeight w:val="232"/>
        </w:trPr>
        <w:tc>
          <w:tcPr>
            <w:tcW w:w="4820" w:type="dxa"/>
            <w:shd w:val="clear" w:color="auto" w:fill="FFFFFF"/>
            <w:vAlign w:val="center"/>
            <w:hideMark/>
          </w:tcPr>
          <w:p w14:paraId="728867D6"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Bonds</w:t>
            </w:r>
          </w:p>
        </w:tc>
        <w:tc>
          <w:tcPr>
            <w:tcW w:w="1417" w:type="dxa"/>
            <w:tcBorders>
              <w:bottom w:val="single" w:sz="8" w:space="0" w:color="auto"/>
            </w:tcBorders>
            <w:shd w:val="clear" w:color="auto" w:fill="FFFF00"/>
            <w:vAlign w:val="center"/>
          </w:tcPr>
          <w:p w14:paraId="76047958" w14:textId="77777777" w:rsidR="00E36553" w:rsidRPr="00E727A3" w:rsidRDefault="00E727A3" w:rsidP="00013C6F">
            <w:pPr>
              <w:ind w:left="-284" w:right="-2"/>
              <w:jc w:val="right"/>
              <w:rPr>
                <w:rFonts w:ascii="Calibri" w:hAnsi="Calibri" w:cs="Calibri"/>
                <w:b/>
                <w:color w:val="000000"/>
                <w:sz w:val="20"/>
                <w:szCs w:val="20"/>
                <w:lang w:eastAsia="en-IE"/>
              </w:rPr>
            </w:pPr>
            <w:r w:rsidRPr="00E727A3">
              <w:rPr>
                <w:rFonts w:ascii="Calibri" w:hAnsi="Calibri" w:cs="Calibri"/>
                <w:b/>
                <w:color w:val="000000"/>
                <w:sz w:val="20"/>
                <w:szCs w:val="20"/>
                <w:lang w:eastAsia="en-IE"/>
              </w:rPr>
              <w:t>-</w:t>
            </w:r>
          </w:p>
        </w:tc>
        <w:tc>
          <w:tcPr>
            <w:tcW w:w="1417" w:type="dxa"/>
            <w:tcBorders>
              <w:bottom w:val="single" w:sz="8" w:space="0" w:color="auto"/>
            </w:tcBorders>
            <w:shd w:val="clear" w:color="auto" w:fill="FFFF00"/>
            <w:vAlign w:val="center"/>
          </w:tcPr>
          <w:p w14:paraId="24B027DF" w14:textId="77777777" w:rsidR="00E36553" w:rsidRPr="00DC4303" w:rsidRDefault="00E727A3"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w:t>
            </w:r>
          </w:p>
        </w:tc>
        <w:tc>
          <w:tcPr>
            <w:tcW w:w="1417" w:type="dxa"/>
            <w:tcBorders>
              <w:bottom w:val="single" w:sz="8" w:space="0" w:color="auto"/>
            </w:tcBorders>
            <w:shd w:val="clear" w:color="auto" w:fill="FFFFFF"/>
            <w:vAlign w:val="center"/>
            <w:hideMark/>
          </w:tcPr>
          <w:p w14:paraId="14F65614"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749.3</w:t>
            </w:r>
          </w:p>
        </w:tc>
        <w:tc>
          <w:tcPr>
            <w:tcW w:w="1278" w:type="dxa"/>
            <w:tcBorders>
              <w:bottom w:val="single" w:sz="8" w:space="0" w:color="auto"/>
            </w:tcBorders>
            <w:shd w:val="clear" w:color="auto" w:fill="FFFFFF"/>
            <w:vAlign w:val="center"/>
            <w:hideMark/>
          </w:tcPr>
          <w:p w14:paraId="4950FC5B"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744.3</w:t>
            </w:r>
          </w:p>
        </w:tc>
      </w:tr>
      <w:tr w:rsidR="00E36553" w:rsidRPr="00135F6B" w14:paraId="175C4213" w14:textId="77777777" w:rsidTr="00013C6F">
        <w:trPr>
          <w:trHeight w:val="232"/>
        </w:trPr>
        <w:tc>
          <w:tcPr>
            <w:tcW w:w="4820" w:type="dxa"/>
            <w:shd w:val="clear" w:color="auto" w:fill="FFFFFF"/>
            <w:vAlign w:val="center"/>
          </w:tcPr>
          <w:p w14:paraId="4081F51B" w14:textId="77777777" w:rsidR="00E36553" w:rsidRPr="00156BD0" w:rsidRDefault="00E36553" w:rsidP="00013C6F">
            <w:pPr>
              <w:ind w:right="-2" w:hanging="105"/>
              <w:rPr>
                <w:rFonts w:ascii="Calibri" w:hAnsi="Calibri" w:cs="Calibri"/>
                <w:color w:val="000000"/>
                <w:sz w:val="20"/>
                <w:szCs w:val="20"/>
                <w:lang w:eastAsia="en-IE"/>
              </w:rPr>
            </w:pPr>
          </w:p>
        </w:tc>
        <w:tc>
          <w:tcPr>
            <w:tcW w:w="1417" w:type="dxa"/>
            <w:tcBorders>
              <w:top w:val="single" w:sz="8" w:space="0" w:color="auto"/>
            </w:tcBorders>
            <w:shd w:val="clear" w:color="auto" w:fill="FFFF00"/>
            <w:vAlign w:val="center"/>
          </w:tcPr>
          <w:p w14:paraId="54A4EEBD" w14:textId="77777777" w:rsidR="00E36553" w:rsidRPr="00E727A3" w:rsidRDefault="00E727A3" w:rsidP="00013C6F">
            <w:pPr>
              <w:ind w:left="-284" w:right="-2"/>
              <w:jc w:val="right"/>
              <w:rPr>
                <w:rFonts w:ascii="Calibri" w:hAnsi="Calibri" w:cs="Calibri"/>
                <w:b/>
                <w:color w:val="000000"/>
                <w:sz w:val="20"/>
                <w:szCs w:val="20"/>
                <w:lang w:eastAsia="en-IE"/>
              </w:rPr>
            </w:pPr>
            <w:r w:rsidRPr="00E727A3">
              <w:rPr>
                <w:rFonts w:ascii="Calibri" w:hAnsi="Calibri" w:cs="Calibri"/>
                <w:b/>
                <w:color w:val="000000"/>
                <w:sz w:val="20"/>
                <w:szCs w:val="20"/>
                <w:lang w:eastAsia="en-IE"/>
              </w:rPr>
              <w:t>69.9</w:t>
            </w:r>
          </w:p>
        </w:tc>
        <w:tc>
          <w:tcPr>
            <w:tcW w:w="1417" w:type="dxa"/>
            <w:tcBorders>
              <w:top w:val="single" w:sz="8" w:space="0" w:color="auto"/>
            </w:tcBorders>
            <w:shd w:val="clear" w:color="auto" w:fill="FFFF00"/>
            <w:vAlign w:val="center"/>
          </w:tcPr>
          <w:p w14:paraId="5667B202" w14:textId="77777777" w:rsidR="00E36553" w:rsidRPr="00DC4303" w:rsidRDefault="00E727A3" w:rsidP="00013C6F">
            <w:pPr>
              <w:ind w:left="-284" w:right="-2"/>
              <w:jc w:val="right"/>
              <w:rPr>
                <w:rFonts w:ascii="Calibri" w:eastAsia="Calibri" w:hAnsi="Calibri" w:cs="Calibri"/>
                <w:b/>
                <w:sz w:val="20"/>
                <w:szCs w:val="20"/>
                <w:lang w:eastAsia="en-IE"/>
              </w:rPr>
            </w:pPr>
            <w:r>
              <w:rPr>
                <w:rFonts w:ascii="Calibri" w:eastAsia="Calibri" w:hAnsi="Calibri" w:cs="Calibri"/>
                <w:b/>
                <w:sz w:val="20"/>
                <w:szCs w:val="20"/>
                <w:lang w:eastAsia="en-IE"/>
              </w:rPr>
              <w:t>69.9</w:t>
            </w:r>
          </w:p>
        </w:tc>
        <w:tc>
          <w:tcPr>
            <w:tcW w:w="1417" w:type="dxa"/>
            <w:tcBorders>
              <w:top w:val="single" w:sz="8" w:space="0" w:color="auto"/>
            </w:tcBorders>
            <w:shd w:val="clear" w:color="auto" w:fill="FFFFFF"/>
            <w:vAlign w:val="center"/>
          </w:tcPr>
          <w:p w14:paraId="6324DF66"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1,056.7</w:t>
            </w:r>
          </w:p>
        </w:tc>
        <w:tc>
          <w:tcPr>
            <w:tcW w:w="1278" w:type="dxa"/>
            <w:tcBorders>
              <w:top w:val="single" w:sz="8" w:space="0" w:color="auto"/>
            </w:tcBorders>
            <w:shd w:val="clear" w:color="auto" w:fill="FFFFFF"/>
            <w:vAlign w:val="center"/>
          </w:tcPr>
          <w:p w14:paraId="189B42BE"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eastAsia="Calibri" w:hAnsi="Calibri" w:cs="Calibri"/>
                <w:bCs/>
                <w:sz w:val="20"/>
                <w:szCs w:val="20"/>
                <w:lang w:eastAsia="en-IE"/>
              </w:rPr>
              <w:t>1,051.7</w:t>
            </w:r>
          </w:p>
        </w:tc>
      </w:tr>
      <w:tr w:rsidR="00E36553" w:rsidRPr="00135F6B" w14:paraId="416F0396" w14:textId="77777777" w:rsidTr="00013C6F">
        <w:trPr>
          <w:trHeight w:val="232"/>
        </w:trPr>
        <w:tc>
          <w:tcPr>
            <w:tcW w:w="4820" w:type="dxa"/>
            <w:shd w:val="clear" w:color="auto" w:fill="FFFFFF"/>
            <w:vAlign w:val="center"/>
            <w:hideMark/>
          </w:tcPr>
          <w:p w14:paraId="495F9E94"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Trade payables*</w:t>
            </w:r>
          </w:p>
        </w:tc>
        <w:tc>
          <w:tcPr>
            <w:tcW w:w="1417" w:type="dxa"/>
            <w:shd w:val="clear" w:color="auto" w:fill="FFFF00"/>
            <w:vAlign w:val="center"/>
          </w:tcPr>
          <w:p w14:paraId="74537F23" w14:textId="77777777" w:rsidR="00E36553" w:rsidRPr="00854ED6" w:rsidRDefault="00FB0280" w:rsidP="00013C6F">
            <w:pPr>
              <w:ind w:left="-284" w:right="-2"/>
              <w:jc w:val="right"/>
              <w:rPr>
                <w:rFonts w:ascii="Calibri" w:hAnsi="Calibri" w:cs="Calibri"/>
                <w:b/>
                <w:color w:val="000000"/>
                <w:sz w:val="20"/>
                <w:szCs w:val="20"/>
                <w:highlight w:val="green"/>
                <w:lang w:eastAsia="en-IE"/>
              </w:rPr>
            </w:pPr>
            <w:r w:rsidRPr="00E6113C">
              <w:rPr>
                <w:rFonts w:ascii="Calibri" w:hAnsi="Calibri" w:cs="Calibri"/>
                <w:b/>
                <w:color w:val="000000"/>
                <w:sz w:val="20"/>
                <w:szCs w:val="20"/>
                <w:lang w:eastAsia="en-IE"/>
              </w:rPr>
              <w:t>808.3</w:t>
            </w:r>
          </w:p>
        </w:tc>
        <w:tc>
          <w:tcPr>
            <w:tcW w:w="1417" w:type="dxa"/>
            <w:shd w:val="clear" w:color="auto" w:fill="FFFF00"/>
            <w:vAlign w:val="center"/>
          </w:tcPr>
          <w:p w14:paraId="424146B8" w14:textId="77777777" w:rsidR="00E36553" w:rsidRPr="00135F6B" w:rsidRDefault="00E36553" w:rsidP="00013C6F">
            <w:pPr>
              <w:ind w:left="-284" w:right="-2"/>
              <w:jc w:val="right"/>
              <w:rPr>
                <w:rFonts w:ascii="Calibri" w:eastAsia="Calibri" w:hAnsi="Calibri" w:cs="Calibri"/>
                <w:b/>
                <w:sz w:val="20"/>
                <w:szCs w:val="20"/>
                <w:lang w:eastAsia="en-IE"/>
              </w:rPr>
            </w:pPr>
          </w:p>
        </w:tc>
        <w:tc>
          <w:tcPr>
            <w:tcW w:w="1417" w:type="dxa"/>
            <w:shd w:val="clear" w:color="auto" w:fill="FFFFFF"/>
            <w:vAlign w:val="center"/>
            <w:hideMark/>
          </w:tcPr>
          <w:p w14:paraId="5D42D4FD"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1,065.5</w:t>
            </w:r>
          </w:p>
        </w:tc>
        <w:tc>
          <w:tcPr>
            <w:tcW w:w="1278" w:type="dxa"/>
            <w:shd w:val="clear" w:color="auto" w:fill="FFFFFF"/>
            <w:vAlign w:val="center"/>
            <w:hideMark/>
          </w:tcPr>
          <w:p w14:paraId="67F1C713" w14:textId="77777777" w:rsidR="00E36553" w:rsidRPr="00AD66EB" w:rsidRDefault="00E36553" w:rsidP="00013C6F">
            <w:pPr>
              <w:ind w:left="-284" w:right="-2"/>
              <w:jc w:val="right"/>
              <w:rPr>
                <w:rFonts w:ascii="Calibri" w:hAnsi="Calibri" w:cs="Calibri"/>
                <w:bCs/>
                <w:color w:val="000000"/>
                <w:sz w:val="20"/>
                <w:szCs w:val="20"/>
                <w:lang w:eastAsia="en-IE"/>
              </w:rPr>
            </w:pPr>
          </w:p>
        </w:tc>
      </w:tr>
      <w:tr w:rsidR="00E36553" w:rsidRPr="00135F6B" w14:paraId="79DCBBD8" w14:textId="77777777" w:rsidTr="00013C6F">
        <w:trPr>
          <w:trHeight w:val="232"/>
        </w:trPr>
        <w:tc>
          <w:tcPr>
            <w:tcW w:w="4820" w:type="dxa"/>
            <w:shd w:val="clear" w:color="auto" w:fill="FFFFFF"/>
            <w:vAlign w:val="center"/>
            <w:hideMark/>
          </w:tcPr>
          <w:p w14:paraId="5AE9699B"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Accrued expenses*</w:t>
            </w:r>
          </w:p>
        </w:tc>
        <w:tc>
          <w:tcPr>
            <w:tcW w:w="1417" w:type="dxa"/>
            <w:tcBorders>
              <w:top w:val="nil"/>
              <w:left w:val="nil"/>
              <w:bottom w:val="single" w:sz="8" w:space="0" w:color="auto"/>
              <w:right w:val="nil"/>
            </w:tcBorders>
            <w:shd w:val="clear" w:color="auto" w:fill="FFFF00"/>
          </w:tcPr>
          <w:p w14:paraId="47855086" w14:textId="77777777" w:rsidR="00E36553" w:rsidRPr="00AF77E1" w:rsidRDefault="00D84873" w:rsidP="00013C6F">
            <w:pPr>
              <w:ind w:left="-284" w:right="-2"/>
              <w:jc w:val="right"/>
              <w:rPr>
                <w:rFonts w:ascii="Calibri" w:hAnsi="Calibri" w:cs="Calibri"/>
                <w:b/>
                <w:color w:val="000000"/>
                <w:sz w:val="20"/>
                <w:szCs w:val="20"/>
                <w:lang w:eastAsia="en-IE"/>
              </w:rPr>
            </w:pPr>
            <w:r>
              <w:rPr>
                <w:rFonts w:ascii="Calibri" w:hAnsi="Calibri" w:cs="Calibri"/>
                <w:b/>
                <w:color w:val="000000"/>
                <w:sz w:val="20"/>
                <w:szCs w:val="20"/>
                <w:lang w:eastAsia="en-IE"/>
              </w:rPr>
              <w:t>1,4</w:t>
            </w:r>
            <w:r w:rsidR="00F62D01">
              <w:rPr>
                <w:rFonts w:ascii="Calibri" w:hAnsi="Calibri" w:cs="Calibri"/>
                <w:b/>
                <w:color w:val="000000"/>
                <w:sz w:val="20"/>
                <w:szCs w:val="20"/>
                <w:lang w:eastAsia="en-IE"/>
              </w:rPr>
              <w:t>74</w:t>
            </w:r>
            <w:r>
              <w:rPr>
                <w:rFonts w:ascii="Calibri" w:hAnsi="Calibri" w:cs="Calibri"/>
                <w:b/>
                <w:color w:val="000000"/>
                <w:sz w:val="20"/>
                <w:szCs w:val="20"/>
                <w:lang w:eastAsia="en-IE"/>
              </w:rPr>
              <w:t>.</w:t>
            </w:r>
            <w:r w:rsidR="00F62D01">
              <w:rPr>
                <w:rFonts w:ascii="Calibri" w:hAnsi="Calibri" w:cs="Calibri"/>
                <w:b/>
                <w:color w:val="000000"/>
                <w:sz w:val="20"/>
                <w:szCs w:val="20"/>
                <w:lang w:eastAsia="en-IE"/>
              </w:rPr>
              <w:t>8</w:t>
            </w:r>
          </w:p>
        </w:tc>
        <w:tc>
          <w:tcPr>
            <w:tcW w:w="1417" w:type="dxa"/>
            <w:tcBorders>
              <w:top w:val="nil"/>
              <w:left w:val="nil"/>
              <w:bottom w:val="single" w:sz="8" w:space="0" w:color="auto"/>
              <w:right w:val="nil"/>
            </w:tcBorders>
            <w:shd w:val="clear" w:color="auto" w:fill="FFFF00"/>
            <w:vAlign w:val="center"/>
          </w:tcPr>
          <w:p w14:paraId="606F1020" w14:textId="77777777" w:rsidR="00E36553" w:rsidRPr="00861CB3" w:rsidRDefault="00E36553" w:rsidP="00013C6F">
            <w:pPr>
              <w:ind w:left="-284" w:right="-2"/>
              <w:jc w:val="right"/>
              <w:rPr>
                <w:rFonts w:ascii="Calibri" w:eastAsia="Calibri" w:hAnsi="Calibri" w:cs="Calibri"/>
                <w:b/>
                <w:sz w:val="20"/>
                <w:szCs w:val="20"/>
                <w:highlight w:val="green"/>
                <w:lang w:eastAsia="en-IE"/>
              </w:rPr>
            </w:pPr>
          </w:p>
        </w:tc>
        <w:tc>
          <w:tcPr>
            <w:tcW w:w="1417" w:type="dxa"/>
            <w:tcBorders>
              <w:top w:val="nil"/>
              <w:left w:val="nil"/>
              <w:bottom w:val="single" w:sz="8" w:space="0" w:color="auto"/>
              <w:right w:val="nil"/>
            </w:tcBorders>
            <w:shd w:val="clear" w:color="auto" w:fill="FFFFFF"/>
            <w:vAlign w:val="center"/>
            <w:hideMark/>
          </w:tcPr>
          <w:p w14:paraId="1FCA8799"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1,276.6</w:t>
            </w:r>
          </w:p>
        </w:tc>
        <w:tc>
          <w:tcPr>
            <w:tcW w:w="1278" w:type="dxa"/>
            <w:tcBorders>
              <w:top w:val="nil"/>
              <w:left w:val="nil"/>
              <w:bottom w:val="single" w:sz="8" w:space="0" w:color="auto"/>
              <w:right w:val="nil"/>
            </w:tcBorders>
            <w:shd w:val="clear" w:color="auto" w:fill="FFFFFF"/>
            <w:vAlign w:val="center"/>
            <w:hideMark/>
          </w:tcPr>
          <w:p w14:paraId="37C0C89B" w14:textId="77777777" w:rsidR="00E36553" w:rsidRPr="00AD66EB" w:rsidRDefault="00E36553" w:rsidP="00013C6F">
            <w:pPr>
              <w:ind w:left="-284" w:right="-2"/>
              <w:jc w:val="right"/>
              <w:rPr>
                <w:rFonts w:ascii="Calibri" w:hAnsi="Calibri" w:cs="Calibri"/>
                <w:bCs/>
                <w:color w:val="000000"/>
                <w:sz w:val="20"/>
                <w:szCs w:val="20"/>
                <w:lang w:eastAsia="en-IE"/>
              </w:rPr>
            </w:pPr>
          </w:p>
        </w:tc>
      </w:tr>
      <w:tr w:rsidR="00E36553" w:rsidRPr="00135F6B" w14:paraId="13EFD5F3" w14:textId="77777777" w:rsidTr="00013C6F">
        <w:trPr>
          <w:trHeight w:val="232"/>
        </w:trPr>
        <w:tc>
          <w:tcPr>
            <w:tcW w:w="4820" w:type="dxa"/>
            <w:shd w:val="clear" w:color="auto" w:fill="FFFFFF"/>
            <w:vAlign w:val="center"/>
            <w:hideMark/>
          </w:tcPr>
          <w:p w14:paraId="241F4FFF"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 </w:t>
            </w:r>
          </w:p>
        </w:tc>
        <w:tc>
          <w:tcPr>
            <w:tcW w:w="1417" w:type="dxa"/>
            <w:tcBorders>
              <w:top w:val="nil"/>
              <w:left w:val="nil"/>
              <w:bottom w:val="single" w:sz="8" w:space="0" w:color="auto"/>
              <w:right w:val="nil"/>
            </w:tcBorders>
            <w:shd w:val="clear" w:color="auto" w:fill="FFFF00"/>
          </w:tcPr>
          <w:p w14:paraId="604CAD4C" w14:textId="77777777" w:rsidR="00E36553" w:rsidRPr="00AF77E1" w:rsidRDefault="00F62D01"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2,520.8</w:t>
            </w:r>
          </w:p>
        </w:tc>
        <w:tc>
          <w:tcPr>
            <w:tcW w:w="1417" w:type="dxa"/>
            <w:tcBorders>
              <w:top w:val="nil"/>
              <w:left w:val="nil"/>
              <w:bottom w:val="single" w:sz="8" w:space="0" w:color="auto"/>
              <w:right w:val="nil"/>
            </w:tcBorders>
            <w:shd w:val="clear" w:color="auto" w:fill="FFFF00"/>
            <w:vAlign w:val="center"/>
          </w:tcPr>
          <w:p w14:paraId="78A11745" w14:textId="77777777" w:rsidR="00E36553" w:rsidRPr="00E727A3" w:rsidRDefault="00E727A3" w:rsidP="00013C6F">
            <w:pPr>
              <w:ind w:left="-284" w:right="-2"/>
              <w:jc w:val="right"/>
              <w:rPr>
                <w:rFonts w:ascii="Calibri" w:hAnsi="Calibri" w:cs="Calibri"/>
                <w:b/>
                <w:bCs/>
                <w:color w:val="000000"/>
                <w:sz w:val="20"/>
                <w:szCs w:val="20"/>
                <w:lang w:eastAsia="en-IE"/>
              </w:rPr>
            </w:pPr>
            <w:r w:rsidRPr="00E727A3">
              <w:rPr>
                <w:rFonts w:ascii="Calibri" w:hAnsi="Calibri" w:cs="Calibri"/>
                <w:b/>
                <w:bCs/>
                <w:color w:val="000000"/>
                <w:sz w:val="20"/>
                <w:szCs w:val="20"/>
                <w:lang w:eastAsia="en-IE"/>
              </w:rPr>
              <w:t>237.7</w:t>
            </w:r>
          </w:p>
        </w:tc>
        <w:tc>
          <w:tcPr>
            <w:tcW w:w="1417" w:type="dxa"/>
            <w:tcBorders>
              <w:top w:val="nil"/>
              <w:left w:val="nil"/>
              <w:bottom w:val="single" w:sz="8" w:space="0" w:color="auto"/>
              <w:right w:val="nil"/>
            </w:tcBorders>
            <w:shd w:val="clear" w:color="auto" w:fill="FFFFFF"/>
            <w:vAlign w:val="center"/>
            <w:hideMark/>
          </w:tcPr>
          <w:p w14:paraId="5706AA07"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3,785.4</w:t>
            </w:r>
          </w:p>
        </w:tc>
        <w:tc>
          <w:tcPr>
            <w:tcW w:w="1278" w:type="dxa"/>
            <w:tcBorders>
              <w:top w:val="nil"/>
              <w:left w:val="nil"/>
              <w:bottom w:val="single" w:sz="8" w:space="0" w:color="auto"/>
              <w:right w:val="nil"/>
            </w:tcBorders>
            <w:shd w:val="clear" w:color="auto" w:fill="FFFFFF"/>
            <w:vAlign w:val="center"/>
            <w:hideMark/>
          </w:tcPr>
          <w:p w14:paraId="35B5A10A"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1,438.3</w:t>
            </w:r>
          </w:p>
        </w:tc>
      </w:tr>
      <w:tr w:rsidR="00E36553" w:rsidRPr="00135F6B" w14:paraId="6CAEF325" w14:textId="77777777" w:rsidTr="00013C6F">
        <w:trPr>
          <w:trHeight w:val="232"/>
        </w:trPr>
        <w:tc>
          <w:tcPr>
            <w:tcW w:w="4820" w:type="dxa"/>
            <w:shd w:val="clear" w:color="auto" w:fill="FFFFFF"/>
            <w:vAlign w:val="center"/>
            <w:hideMark/>
          </w:tcPr>
          <w:p w14:paraId="72EF9288" w14:textId="77777777" w:rsidR="00E36553" w:rsidRPr="00156BD0" w:rsidRDefault="00E36553" w:rsidP="00013C6F">
            <w:pPr>
              <w:ind w:right="-2" w:hanging="105"/>
              <w:rPr>
                <w:rFonts w:ascii="Calibri" w:hAnsi="Calibri" w:cs="Calibri"/>
                <w:color w:val="000000"/>
                <w:sz w:val="20"/>
                <w:szCs w:val="20"/>
                <w:lang w:eastAsia="en-IE"/>
              </w:rPr>
            </w:pPr>
            <w:r w:rsidRPr="00156BD0">
              <w:rPr>
                <w:rFonts w:ascii="Calibri" w:hAnsi="Calibri" w:cs="Calibri"/>
                <w:color w:val="000000"/>
                <w:sz w:val="20"/>
                <w:szCs w:val="20"/>
                <w:lang w:eastAsia="en-IE"/>
              </w:rPr>
              <w:t>Total financial liabilities</w:t>
            </w:r>
          </w:p>
        </w:tc>
        <w:tc>
          <w:tcPr>
            <w:tcW w:w="1417" w:type="dxa"/>
            <w:tcBorders>
              <w:top w:val="single" w:sz="8" w:space="0" w:color="auto"/>
              <w:left w:val="nil"/>
              <w:bottom w:val="single" w:sz="12" w:space="0" w:color="auto"/>
              <w:right w:val="nil"/>
            </w:tcBorders>
            <w:shd w:val="clear" w:color="auto" w:fill="FFFF00"/>
          </w:tcPr>
          <w:p w14:paraId="6BD561A4" w14:textId="77777777" w:rsidR="00E36553" w:rsidRPr="00AF77E1" w:rsidRDefault="00F62D01" w:rsidP="00013C6F">
            <w:pPr>
              <w:ind w:left="-284" w:right="-2"/>
              <w:jc w:val="right"/>
              <w:rPr>
                <w:rFonts w:ascii="Calibri" w:hAnsi="Calibri" w:cs="Calibri"/>
                <w:b/>
                <w:bCs/>
                <w:color w:val="000000"/>
                <w:sz w:val="20"/>
                <w:szCs w:val="20"/>
                <w:lang w:eastAsia="en-IE"/>
              </w:rPr>
            </w:pPr>
            <w:r>
              <w:rPr>
                <w:rFonts w:ascii="Calibri" w:hAnsi="Calibri" w:cs="Calibri"/>
                <w:b/>
                <w:bCs/>
                <w:color w:val="000000"/>
                <w:sz w:val="20"/>
                <w:szCs w:val="20"/>
                <w:lang w:eastAsia="en-IE"/>
              </w:rPr>
              <w:t>5,101.6</w:t>
            </w:r>
          </w:p>
        </w:tc>
        <w:tc>
          <w:tcPr>
            <w:tcW w:w="1417" w:type="dxa"/>
            <w:tcBorders>
              <w:top w:val="single" w:sz="8" w:space="0" w:color="auto"/>
              <w:left w:val="nil"/>
              <w:bottom w:val="single" w:sz="12" w:space="0" w:color="auto"/>
              <w:right w:val="nil"/>
            </w:tcBorders>
            <w:shd w:val="clear" w:color="auto" w:fill="FFFF00"/>
            <w:vAlign w:val="center"/>
          </w:tcPr>
          <w:p w14:paraId="740FC2B1" w14:textId="77777777" w:rsidR="00E36553" w:rsidRPr="00E727A3" w:rsidRDefault="00E727A3" w:rsidP="00013C6F">
            <w:pPr>
              <w:ind w:left="-284" w:right="-2"/>
              <w:jc w:val="right"/>
              <w:rPr>
                <w:rFonts w:ascii="Calibri" w:hAnsi="Calibri" w:cs="Calibri"/>
                <w:b/>
                <w:bCs/>
                <w:color w:val="000000"/>
                <w:sz w:val="20"/>
                <w:szCs w:val="20"/>
                <w:lang w:eastAsia="en-IE"/>
              </w:rPr>
            </w:pPr>
            <w:r w:rsidRPr="00E727A3">
              <w:rPr>
                <w:rFonts w:ascii="Calibri" w:hAnsi="Calibri" w:cs="Calibri"/>
                <w:b/>
                <w:bCs/>
                <w:color w:val="000000"/>
                <w:sz w:val="20"/>
                <w:szCs w:val="20"/>
                <w:lang w:eastAsia="en-IE"/>
              </w:rPr>
              <w:t>2,746.4</w:t>
            </w:r>
          </w:p>
        </w:tc>
        <w:tc>
          <w:tcPr>
            <w:tcW w:w="1417" w:type="dxa"/>
            <w:tcBorders>
              <w:top w:val="single" w:sz="8" w:space="0" w:color="auto"/>
              <w:left w:val="nil"/>
              <w:bottom w:val="single" w:sz="12" w:space="0" w:color="auto"/>
              <w:right w:val="nil"/>
            </w:tcBorders>
            <w:shd w:val="clear" w:color="auto" w:fill="FFFFFF"/>
            <w:vAlign w:val="center"/>
            <w:hideMark/>
          </w:tcPr>
          <w:p w14:paraId="1BACF2B8"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6,649.8</w:t>
            </w:r>
          </w:p>
        </w:tc>
        <w:tc>
          <w:tcPr>
            <w:tcW w:w="1278" w:type="dxa"/>
            <w:tcBorders>
              <w:top w:val="single" w:sz="8" w:space="0" w:color="auto"/>
              <w:left w:val="nil"/>
              <w:bottom w:val="single" w:sz="12" w:space="0" w:color="auto"/>
              <w:right w:val="nil"/>
            </w:tcBorders>
            <w:shd w:val="clear" w:color="auto" w:fill="FFFFFF"/>
            <w:vAlign w:val="center"/>
            <w:hideMark/>
          </w:tcPr>
          <w:p w14:paraId="54E83E68" w14:textId="77777777" w:rsidR="00E36553" w:rsidRPr="00AD66EB" w:rsidRDefault="00E36553" w:rsidP="00013C6F">
            <w:pPr>
              <w:ind w:left="-284" w:right="-2"/>
              <w:jc w:val="right"/>
              <w:rPr>
                <w:rFonts w:ascii="Calibri" w:hAnsi="Calibri" w:cs="Calibri"/>
                <w:bCs/>
                <w:color w:val="000000"/>
                <w:sz w:val="20"/>
                <w:szCs w:val="20"/>
                <w:lang w:eastAsia="en-IE"/>
              </w:rPr>
            </w:pPr>
            <w:r w:rsidRPr="00AD66EB">
              <w:rPr>
                <w:rFonts w:ascii="Calibri" w:hAnsi="Calibri" w:cs="Calibri"/>
                <w:bCs/>
                <w:color w:val="000000"/>
                <w:sz w:val="20"/>
                <w:szCs w:val="20"/>
                <w:lang w:eastAsia="en-IE"/>
              </w:rPr>
              <w:t>4,190.2</w:t>
            </w:r>
          </w:p>
        </w:tc>
      </w:tr>
      <w:bookmarkEnd w:id="26"/>
    </w:tbl>
    <w:p w14:paraId="0EB2CAB4" w14:textId="77777777" w:rsidR="001B6BEE" w:rsidRPr="001B6BEE" w:rsidRDefault="001B6BEE">
      <w:pPr>
        <w:rPr>
          <w:sz w:val="8"/>
          <w:szCs w:val="8"/>
        </w:rPr>
      </w:pPr>
    </w:p>
    <w:p w14:paraId="7C172365" w14:textId="77777777" w:rsidR="00D04268" w:rsidRPr="00E6113C" w:rsidRDefault="00D04268" w:rsidP="00370D1D">
      <w:pPr>
        <w:spacing w:after="240" w:line="300" w:lineRule="exact"/>
        <w:ind w:right="-2"/>
        <w:jc w:val="both"/>
        <w:rPr>
          <w:rFonts w:ascii="Calibri" w:hAnsi="Calibri" w:cs="Calibri"/>
          <w:i/>
          <w:sz w:val="18"/>
          <w:szCs w:val="18"/>
        </w:rPr>
      </w:pPr>
      <w:r w:rsidRPr="00E6113C">
        <w:rPr>
          <w:rFonts w:ascii="Calibri" w:hAnsi="Calibri" w:cs="Calibri"/>
          <w:i/>
          <w:sz w:val="18"/>
          <w:szCs w:val="18"/>
        </w:rPr>
        <w:t>*The fair value of each of these financial instruments approximate their carrying values due to the short-term nature of the instruments</w:t>
      </w:r>
      <w:r w:rsidR="00FC5F2C" w:rsidRPr="00E6113C">
        <w:rPr>
          <w:rFonts w:ascii="Calibri" w:hAnsi="Calibri" w:cs="Calibri"/>
          <w:i/>
          <w:sz w:val="18"/>
          <w:szCs w:val="18"/>
        </w:rPr>
        <w:t>.</w:t>
      </w:r>
    </w:p>
    <w:p w14:paraId="1EB5C8E3" w14:textId="77777777" w:rsidR="00370D1D" w:rsidRPr="0081763F" w:rsidRDefault="00370D1D" w:rsidP="006B5B97">
      <w:pPr>
        <w:widowControl w:val="0"/>
        <w:ind w:left="-284" w:right="-428" w:firstLine="284"/>
        <w:jc w:val="both"/>
        <w:rPr>
          <w:rFonts w:ascii="Calibri" w:eastAsia="Calibri" w:hAnsi="Calibri" w:cs="Calibri"/>
          <w:sz w:val="18"/>
          <w:szCs w:val="18"/>
          <w:lang w:eastAsia="en-IE"/>
        </w:rPr>
      </w:pPr>
      <w:r w:rsidRPr="00E6113C">
        <w:rPr>
          <w:rFonts w:ascii="Calibri" w:eastAsia="Calibri" w:hAnsi="Calibri" w:cs="Calibri"/>
          <w:sz w:val="18"/>
          <w:szCs w:val="18"/>
          <w:lang w:eastAsia="en-IE"/>
        </w:rPr>
        <w:t>**</w:t>
      </w:r>
      <w:r w:rsidRPr="00E6113C">
        <w:rPr>
          <w:rFonts w:ascii="Calibri" w:hAnsi="Calibri" w:cs="Calibri"/>
          <w:i/>
          <w:iCs/>
          <w:color w:val="000000"/>
          <w:sz w:val="18"/>
          <w:szCs w:val="18"/>
        </w:rPr>
        <w:t xml:space="preserve">During the </w:t>
      </w:r>
      <w:r w:rsidR="00681645" w:rsidRPr="00E6113C">
        <w:rPr>
          <w:rFonts w:ascii="Calibri" w:hAnsi="Calibri" w:cs="Calibri"/>
          <w:i/>
          <w:iCs/>
          <w:color w:val="000000"/>
          <w:sz w:val="18"/>
          <w:szCs w:val="18"/>
        </w:rPr>
        <w:t xml:space="preserve">nine months </w:t>
      </w:r>
      <w:r w:rsidR="00502376" w:rsidRPr="00E6113C">
        <w:rPr>
          <w:rFonts w:ascii="Calibri" w:hAnsi="Calibri" w:cs="Calibri"/>
          <w:i/>
          <w:iCs/>
          <w:color w:val="000000"/>
          <w:sz w:val="18"/>
          <w:szCs w:val="18"/>
        </w:rPr>
        <w:t xml:space="preserve">ended </w:t>
      </w:r>
      <w:r w:rsidR="00681645" w:rsidRPr="00E6113C">
        <w:rPr>
          <w:rFonts w:ascii="Calibri" w:hAnsi="Calibri" w:cs="Calibri"/>
          <w:i/>
          <w:iCs/>
          <w:color w:val="000000"/>
          <w:sz w:val="18"/>
          <w:szCs w:val="18"/>
        </w:rPr>
        <w:t>December 31</w:t>
      </w:r>
      <w:r w:rsidR="00502376" w:rsidRPr="00E6113C">
        <w:rPr>
          <w:rFonts w:ascii="Calibri" w:hAnsi="Calibri" w:cs="Calibri"/>
          <w:i/>
          <w:iCs/>
          <w:color w:val="000000"/>
          <w:sz w:val="18"/>
          <w:szCs w:val="18"/>
        </w:rPr>
        <w:t>, 2023,</w:t>
      </w:r>
      <w:r w:rsidRPr="00E6113C">
        <w:rPr>
          <w:rFonts w:ascii="Calibri" w:hAnsi="Calibri" w:cs="Calibri"/>
          <w:i/>
          <w:iCs/>
          <w:color w:val="000000"/>
          <w:sz w:val="18"/>
          <w:szCs w:val="18"/>
        </w:rPr>
        <w:t xml:space="preserve"> €0.2BN promissory notes were settled.</w:t>
      </w:r>
    </w:p>
    <w:p w14:paraId="3EE87538" w14:textId="77777777" w:rsidR="006B5B97" w:rsidRPr="00E6113C" w:rsidRDefault="00E6113C" w:rsidP="00DB0428">
      <w:pPr>
        <w:ind w:right="-142"/>
        <w:jc w:val="both"/>
        <w:rPr>
          <w:rFonts w:ascii="Calibri" w:hAnsi="Calibri" w:cs="Calibri"/>
          <w:sz w:val="22"/>
          <w:szCs w:val="22"/>
          <w:lang w:val="en-US"/>
        </w:rPr>
      </w:pPr>
      <w:r>
        <w:rPr>
          <w:rFonts w:ascii="Calibri" w:hAnsi="Calibri" w:cs="Calibri"/>
          <w:color w:val="333333"/>
          <w:sz w:val="22"/>
          <w:szCs w:val="22"/>
          <w:shd w:val="clear" w:color="auto" w:fill="FFFFFF"/>
        </w:rPr>
        <w:br w:type="page"/>
      </w:r>
      <w:r w:rsidR="006B5B97" w:rsidRPr="00E6113C">
        <w:rPr>
          <w:rFonts w:ascii="Calibri" w:hAnsi="Calibri" w:cs="Calibri"/>
          <w:color w:val="333333"/>
          <w:sz w:val="22"/>
          <w:szCs w:val="22"/>
          <w:shd w:val="clear" w:color="auto" w:fill="FFFFFF"/>
        </w:rPr>
        <w:t xml:space="preserve">During May 2023 the Group converted its unsecured €750m syndicated term loan into a revolving credit facility (at a lower margin) with an extended maturity to May 2028 (previously 2024). </w:t>
      </w:r>
      <w:r w:rsidR="006B5B97" w:rsidRPr="00E6113C">
        <w:rPr>
          <w:rFonts w:ascii="Calibri" w:hAnsi="Calibri" w:cs="Calibri"/>
          <w:sz w:val="22"/>
          <w:szCs w:val="22"/>
        </w:rPr>
        <w:t>During August 2023 the Group repaid a maturing €750M bond</w:t>
      </w:r>
      <w:r w:rsidR="00E94A24" w:rsidRPr="00E6113C">
        <w:rPr>
          <w:rFonts w:ascii="Calibri" w:hAnsi="Calibri" w:cs="Calibri"/>
          <w:sz w:val="22"/>
          <w:szCs w:val="22"/>
        </w:rPr>
        <w:t xml:space="preserve"> and paid down €260M of its revolving credit facility</w:t>
      </w:r>
      <w:r w:rsidR="006B5B97" w:rsidRPr="00E6113C">
        <w:rPr>
          <w:rFonts w:ascii="Calibri" w:hAnsi="Calibri" w:cs="Calibri"/>
          <w:sz w:val="22"/>
          <w:szCs w:val="22"/>
        </w:rPr>
        <w:t>.</w:t>
      </w:r>
    </w:p>
    <w:p w14:paraId="76E5CD7E" w14:textId="77777777" w:rsidR="006B5B97" w:rsidRPr="00E6113C" w:rsidRDefault="006B5B97" w:rsidP="006B5B97">
      <w:pPr>
        <w:rPr>
          <w:lang w:val="en-US"/>
        </w:rPr>
      </w:pPr>
    </w:p>
    <w:p w14:paraId="6909470B" w14:textId="77777777" w:rsidR="00554AC2" w:rsidRPr="00E6113C" w:rsidRDefault="00097571" w:rsidP="009C5CA5">
      <w:pPr>
        <w:ind w:right="-143"/>
        <w:jc w:val="both"/>
        <w:rPr>
          <w:rFonts w:ascii="Calibri" w:hAnsi="Calibri" w:cs="Calibri"/>
          <w:b/>
          <w:sz w:val="22"/>
          <w:szCs w:val="22"/>
        </w:rPr>
      </w:pPr>
      <w:r w:rsidRPr="00E6113C">
        <w:rPr>
          <w:rFonts w:ascii="Calibri" w:hAnsi="Calibri" w:cs="Calibri"/>
          <w:b/>
          <w:sz w:val="22"/>
          <w:szCs w:val="22"/>
        </w:rPr>
        <w:t>1</w:t>
      </w:r>
      <w:r w:rsidR="00AF34EE" w:rsidRPr="00E6113C">
        <w:rPr>
          <w:rFonts w:ascii="Calibri" w:hAnsi="Calibri" w:cs="Calibri"/>
          <w:b/>
          <w:sz w:val="22"/>
          <w:szCs w:val="22"/>
        </w:rPr>
        <w:t>1</w:t>
      </w:r>
      <w:r w:rsidRPr="00E6113C">
        <w:rPr>
          <w:rFonts w:ascii="Calibri" w:hAnsi="Calibri" w:cs="Calibri"/>
          <w:b/>
          <w:sz w:val="22"/>
          <w:szCs w:val="22"/>
        </w:rPr>
        <w:t xml:space="preserve">. </w:t>
      </w:r>
      <w:r w:rsidRPr="00E6113C">
        <w:rPr>
          <w:rFonts w:ascii="Calibri" w:hAnsi="Calibri" w:cs="Calibri"/>
          <w:b/>
          <w:sz w:val="22"/>
          <w:szCs w:val="22"/>
        </w:rPr>
        <w:tab/>
      </w:r>
      <w:r w:rsidR="00AA6714" w:rsidRPr="00E6113C">
        <w:rPr>
          <w:rFonts w:ascii="Calibri" w:hAnsi="Calibri" w:cs="Calibri"/>
          <w:b/>
          <w:sz w:val="22"/>
          <w:szCs w:val="22"/>
        </w:rPr>
        <w:t>Shareholders</w:t>
      </w:r>
      <w:r w:rsidR="008519CB" w:rsidRPr="00E6113C">
        <w:rPr>
          <w:rFonts w:ascii="Calibri" w:hAnsi="Calibri" w:cs="Calibri"/>
          <w:b/>
          <w:sz w:val="22"/>
          <w:szCs w:val="22"/>
        </w:rPr>
        <w:t>’</w:t>
      </w:r>
      <w:r w:rsidR="00AA6714" w:rsidRPr="00E6113C">
        <w:rPr>
          <w:rFonts w:ascii="Calibri" w:hAnsi="Calibri" w:cs="Calibri"/>
          <w:b/>
          <w:sz w:val="22"/>
          <w:szCs w:val="22"/>
        </w:rPr>
        <w:t xml:space="preserve"> equity and shareholder</w:t>
      </w:r>
      <w:r w:rsidR="00264E71" w:rsidRPr="00E6113C">
        <w:rPr>
          <w:rFonts w:ascii="Calibri" w:hAnsi="Calibri" w:cs="Calibri"/>
          <w:b/>
          <w:sz w:val="22"/>
          <w:szCs w:val="22"/>
        </w:rPr>
        <w:t>s’</w:t>
      </w:r>
      <w:r w:rsidR="00AA6714" w:rsidRPr="00E6113C">
        <w:rPr>
          <w:rFonts w:ascii="Calibri" w:hAnsi="Calibri" w:cs="Calibri"/>
          <w:b/>
          <w:sz w:val="22"/>
          <w:szCs w:val="22"/>
        </w:rPr>
        <w:t xml:space="preserve"> returns</w:t>
      </w:r>
    </w:p>
    <w:p w14:paraId="23F75CF8" w14:textId="77777777" w:rsidR="00984744" w:rsidRPr="00E6113C" w:rsidRDefault="00984744" w:rsidP="009C5CA5">
      <w:pPr>
        <w:pStyle w:val="NormalWeb"/>
        <w:spacing w:before="0" w:beforeAutospacing="0" w:after="0" w:afterAutospacing="0"/>
        <w:ind w:right="-143"/>
        <w:jc w:val="both"/>
        <w:rPr>
          <w:rFonts w:ascii="Calibri" w:hAnsi="Calibri" w:cs="Calibri"/>
          <w:color w:val="000000"/>
          <w:sz w:val="22"/>
          <w:szCs w:val="22"/>
        </w:rPr>
      </w:pPr>
    </w:p>
    <w:p w14:paraId="63B6661E" w14:textId="77777777" w:rsidR="00097571" w:rsidRPr="00613E06" w:rsidRDefault="00717D05" w:rsidP="009C5CA5">
      <w:pPr>
        <w:pStyle w:val="NormalWeb"/>
        <w:spacing w:before="0" w:beforeAutospacing="0" w:after="0" w:afterAutospacing="0"/>
        <w:ind w:right="-143"/>
        <w:jc w:val="both"/>
        <w:rPr>
          <w:rFonts w:ascii="Calibri" w:hAnsi="Calibri" w:cs="Calibri"/>
          <w:color w:val="000000"/>
          <w:sz w:val="22"/>
          <w:szCs w:val="22"/>
        </w:rPr>
      </w:pPr>
      <w:r w:rsidRPr="001C4A45">
        <w:rPr>
          <w:rFonts w:ascii="Calibri" w:hAnsi="Calibri" w:cs="Calibri"/>
          <w:color w:val="000000"/>
          <w:sz w:val="22"/>
          <w:szCs w:val="22"/>
        </w:rPr>
        <w:t xml:space="preserve">During the </w:t>
      </w:r>
      <w:r w:rsidR="006A0488" w:rsidRPr="001C4A45">
        <w:rPr>
          <w:rFonts w:ascii="Calibri" w:hAnsi="Calibri" w:cs="Calibri"/>
          <w:color w:val="000000"/>
          <w:sz w:val="22"/>
          <w:szCs w:val="22"/>
        </w:rPr>
        <w:t>nine</w:t>
      </w:r>
      <w:r w:rsidR="00681645" w:rsidRPr="001C4A45">
        <w:rPr>
          <w:rFonts w:ascii="Calibri" w:hAnsi="Calibri" w:cs="Calibri"/>
          <w:color w:val="000000"/>
          <w:sz w:val="22"/>
          <w:szCs w:val="22"/>
        </w:rPr>
        <w:t xml:space="preserve"> </w:t>
      </w:r>
      <w:r w:rsidR="006A0488" w:rsidRPr="001C4A45">
        <w:rPr>
          <w:rFonts w:ascii="Calibri" w:hAnsi="Calibri" w:cs="Calibri"/>
          <w:color w:val="000000"/>
          <w:sz w:val="22"/>
          <w:szCs w:val="22"/>
        </w:rPr>
        <w:t>months</w:t>
      </w:r>
      <w:r w:rsidR="003262C4" w:rsidRPr="001C4A45">
        <w:rPr>
          <w:rFonts w:ascii="Calibri" w:hAnsi="Calibri" w:cs="Calibri"/>
          <w:color w:val="000000"/>
          <w:sz w:val="22"/>
          <w:szCs w:val="22"/>
        </w:rPr>
        <w:t xml:space="preserve"> ended </w:t>
      </w:r>
      <w:r w:rsidR="006A0488" w:rsidRPr="001C4A45">
        <w:rPr>
          <w:rFonts w:ascii="Calibri" w:hAnsi="Calibri" w:cs="Calibri"/>
          <w:color w:val="000000"/>
          <w:sz w:val="22"/>
          <w:szCs w:val="22"/>
        </w:rPr>
        <w:t>December 31</w:t>
      </w:r>
      <w:r w:rsidR="003262C4" w:rsidRPr="001C4A45">
        <w:rPr>
          <w:rFonts w:ascii="Calibri" w:hAnsi="Calibri" w:cs="Calibri"/>
          <w:color w:val="000000"/>
          <w:sz w:val="22"/>
          <w:szCs w:val="22"/>
        </w:rPr>
        <w:t>, 202</w:t>
      </w:r>
      <w:r w:rsidR="00AF34EE" w:rsidRPr="001C4A45">
        <w:rPr>
          <w:rFonts w:ascii="Calibri" w:hAnsi="Calibri" w:cs="Calibri"/>
          <w:color w:val="000000"/>
          <w:sz w:val="22"/>
          <w:szCs w:val="22"/>
        </w:rPr>
        <w:t>3</w:t>
      </w:r>
      <w:r w:rsidR="0058230A" w:rsidRPr="001C4A45">
        <w:rPr>
          <w:rFonts w:ascii="Calibri" w:hAnsi="Calibri" w:cs="Calibri"/>
          <w:color w:val="000000"/>
          <w:sz w:val="22"/>
          <w:szCs w:val="22"/>
        </w:rPr>
        <w:t>,</w:t>
      </w:r>
      <w:r w:rsidRPr="001C4A45">
        <w:rPr>
          <w:rFonts w:ascii="Calibri" w:hAnsi="Calibri" w:cs="Calibri"/>
          <w:color w:val="000000"/>
          <w:sz w:val="22"/>
          <w:szCs w:val="22"/>
        </w:rPr>
        <w:t xml:space="preserve"> </w:t>
      </w:r>
      <w:r w:rsidR="00E004FF" w:rsidRPr="001C4A45">
        <w:rPr>
          <w:rFonts w:ascii="Calibri" w:hAnsi="Calibri" w:cs="Calibri"/>
          <w:color w:val="000000"/>
          <w:sz w:val="22"/>
          <w:szCs w:val="22"/>
        </w:rPr>
        <w:t>1.1</w:t>
      </w:r>
      <w:r w:rsidRPr="001C4A45">
        <w:rPr>
          <w:rFonts w:ascii="Calibri" w:hAnsi="Calibri" w:cs="Calibri"/>
          <w:color w:val="000000"/>
          <w:sz w:val="22"/>
          <w:szCs w:val="22"/>
        </w:rPr>
        <w:t xml:space="preserve">M ordinary shares were issued at </w:t>
      </w:r>
      <w:r w:rsidR="0084083C" w:rsidRPr="001C4A45">
        <w:rPr>
          <w:rFonts w:ascii="Calibri" w:hAnsi="Calibri" w:cs="Calibri"/>
          <w:color w:val="000000"/>
          <w:sz w:val="22"/>
          <w:szCs w:val="22"/>
        </w:rPr>
        <w:t xml:space="preserve">a </w:t>
      </w:r>
      <w:r w:rsidRPr="001C4A45">
        <w:rPr>
          <w:rFonts w:ascii="Calibri" w:hAnsi="Calibri" w:cs="Calibri"/>
          <w:color w:val="000000"/>
          <w:sz w:val="22"/>
          <w:szCs w:val="22"/>
        </w:rPr>
        <w:t>strike price</w:t>
      </w:r>
      <w:r w:rsidR="0084083C" w:rsidRPr="001C4A45">
        <w:rPr>
          <w:rFonts w:ascii="Calibri" w:hAnsi="Calibri" w:cs="Calibri"/>
          <w:color w:val="000000"/>
          <w:sz w:val="22"/>
          <w:szCs w:val="22"/>
        </w:rPr>
        <w:t xml:space="preserve"> of</w:t>
      </w:r>
      <w:r w:rsidRPr="001C4A45">
        <w:rPr>
          <w:rFonts w:ascii="Calibri" w:hAnsi="Calibri" w:cs="Calibri"/>
          <w:color w:val="000000"/>
          <w:sz w:val="22"/>
          <w:szCs w:val="22"/>
        </w:rPr>
        <w:t xml:space="preserve"> </w:t>
      </w:r>
      <w:r w:rsidR="003A4569" w:rsidRPr="001C4A45">
        <w:rPr>
          <w:rFonts w:ascii="Calibri" w:hAnsi="Calibri" w:cs="Calibri"/>
          <w:color w:val="000000"/>
          <w:sz w:val="22"/>
          <w:szCs w:val="22"/>
        </w:rPr>
        <w:t>€</w:t>
      </w:r>
      <w:r w:rsidR="00E004FF" w:rsidRPr="001C4A45">
        <w:rPr>
          <w:rFonts w:ascii="Calibri" w:hAnsi="Calibri" w:cs="Calibri"/>
          <w:color w:val="000000"/>
          <w:sz w:val="22"/>
          <w:szCs w:val="22"/>
        </w:rPr>
        <w:t>12</w:t>
      </w:r>
      <w:r w:rsidR="003A4569" w:rsidRPr="001C4A45">
        <w:rPr>
          <w:rFonts w:ascii="Calibri" w:hAnsi="Calibri" w:cs="Calibri"/>
          <w:color w:val="000000"/>
          <w:sz w:val="22"/>
          <w:szCs w:val="22"/>
        </w:rPr>
        <w:t xml:space="preserve"> </w:t>
      </w:r>
      <w:r w:rsidRPr="001C4A45">
        <w:rPr>
          <w:rFonts w:ascii="Calibri" w:hAnsi="Calibri" w:cs="Calibri"/>
          <w:color w:val="000000"/>
          <w:sz w:val="22"/>
          <w:szCs w:val="22"/>
        </w:rPr>
        <w:t xml:space="preserve">per share following the exercise of vested </w:t>
      </w:r>
      <w:r w:rsidR="00E94A24" w:rsidRPr="001C4A45">
        <w:rPr>
          <w:rFonts w:ascii="Calibri" w:hAnsi="Calibri" w:cs="Calibri"/>
          <w:color w:val="000000"/>
          <w:sz w:val="22"/>
          <w:szCs w:val="22"/>
        </w:rPr>
        <w:t xml:space="preserve">share </w:t>
      </w:r>
      <w:r w:rsidRPr="001C4A45">
        <w:rPr>
          <w:rFonts w:ascii="Calibri" w:hAnsi="Calibri" w:cs="Calibri"/>
          <w:color w:val="000000"/>
          <w:sz w:val="22"/>
          <w:szCs w:val="22"/>
        </w:rPr>
        <w:t>options</w:t>
      </w:r>
      <w:r w:rsidR="00C81442" w:rsidRPr="001C4A45">
        <w:rPr>
          <w:rFonts w:ascii="Calibri" w:hAnsi="Calibri" w:cs="Calibri"/>
          <w:color w:val="000000"/>
          <w:sz w:val="22"/>
          <w:szCs w:val="22"/>
        </w:rPr>
        <w:t xml:space="preserve"> for proceeds of €</w:t>
      </w:r>
      <w:r w:rsidR="00ED7EEC" w:rsidRPr="001C4A45">
        <w:rPr>
          <w:rFonts w:ascii="Calibri" w:hAnsi="Calibri" w:cs="Calibri"/>
          <w:color w:val="000000"/>
          <w:sz w:val="22"/>
          <w:szCs w:val="22"/>
        </w:rPr>
        <w:t>1</w:t>
      </w:r>
      <w:r w:rsidR="00433F00">
        <w:rPr>
          <w:rFonts w:ascii="Calibri" w:hAnsi="Calibri" w:cs="Calibri"/>
          <w:color w:val="000000"/>
          <w:sz w:val="22"/>
          <w:szCs w:val="22"/>
        </w:rPr>
        <w:t>4</w:t>
      </w:r>
      <w:r w:rsidR="00C81442" w:rsidRPr="001C4A45">
        <w:rPr>
          <w:rFonts w:ascii="Calibri" w:hAnsi="Calibri" w:cs="Calibri"/>
          <w:color w:val="000000"/>
          <w:sz w:val="22"/>
          <w:szCs w:val="22"/>
        </w:rPr>
        <w:t>M</w:t>
      </w:r>
      <w:r w:rsidR="00637A25" w:rsidRPr="001C4A45">
        <w:rPr>
          <w:rFonts w:ascii="Calibri" w:hAnsi="Calibri" w:cs="Calibri"/>
          <w:color w:val="000000"/>
          <w:sz w:val="22"/>
          <w:szCs w:val="22"/>
        </w:rPr>
        <w:t>.</w:t>
      </w:r>
      <w:r w:rsidRPr="001C4A45">
        <w:rPr>
          <w:rFonts w:ascii="Calibri" w:hAnsi="Calibri" w:cs="Calibri"/>
          <w:color w:val="000000"/>
          <w:sz w:val="22"/>
          <w:szCs w:val="22"/>
        </w:rPr>
        <w:t xml:space="preserve"> </w:t>
      </w:r>
      <w:r w:rsidR="003602C7" w:rsidRPr="001C4A45">
        <w:rPr>
          <w:rFonts w:ascii="Calibri" w:hAnsi="Calibri" w:cs="Calibri"/>
          <w:color w:val="000000"/>
          <w:sz w:val="22"/>
          <w:szCs w:val="22"/>
        </w:rPr>
        <w:t xml:space="preserve">There were no shareholder returns </w:t>
      </w:r>
      <w:r w:rsidR="003602C7" w:rsidRPr="00613E06">
        <w:rPr>
          <w:rFonts w:ascii="Calibri" w:hAnsi="Calibri" w:cs="Calibri"/>
          <w:color w:val="000000"/>
          <w:sz w:val="22"/>
          <w:szCs w:val="22"/>
        </w:rPr>
        <w:t>during the nine months ended December 31, 2023.</w:t>
      </w:r>
    </w:p>
    <w:p w14:paraId="67786670" w14:textId="77777777" w:rsidR="00861314" w:rsidRPr="00613E06" w:rsidRDefault="00861314" w:rsidP="009C5CA5">
      <w:pPr>
        <w:pStyle w:val="NormalWeb"/>
        <w:spacing w:before="0" w:beforeAutospacing="0" w:after="0" w:afterAutospacing="0"/>
        <w:ind w:right="-143"/>
        <w:jc w:val="both"/>
        <w:rPr>
          <w:rFonts w:ascii="Calibri" w:hAnsi="Calibri" w:cs="Calibri"/>
          <w:color w:val="000000"/>
          <w:sz w:val="22"/>
          <w:szCs w:val="22"/>
        </w:rPr>
      </w:pPr>
    </w:p>
    <w:p w14:paraId="10FEB2DA" w14:textId="77777777" w:rsidR="00861314" w:rsidRPr="00613E06" w:rsidRDefault="00CD0909" w:rsidP="00CD0909">
      <w:pPr>
        <w:pStyle w:val="NormalWeb"/>
        <w:spacing w:before="0" w:beforeAutospacing="0" w:after="0" w:afterAutospacing="0"/>
        <w:ind w:right="-143"/>
        <w:jc w:val="both"/>
        <w:rPr>
          <w:rFonts w:ascii="Calibri" w:hAnsi="Calibri" w:cs="Calibri"/>
          <w:color w:val="000000"/>
          <w:sz w:val="22"/>
          <w:szCs w:val="22"/>
        </w:rPr>
      </w:pPr>
      <w:r w:rsidRPr="00613E06">
        <w:rPr>
          <w:rFonts w:ascii="Calibri" w:hAnsi="Calibri" w:cs="Calibri"/>
          <w:color w:val="000000"/>
          <w:sz w:val="22"/>
          <w:szCs w:val="22"/>
        </w:rPr>
        <w:t>In November 2023, the Board announced the Group’s</w:t>
      </w:r>
      <w:r w:rsidR="00BF24EA">
        <w:rPr>
          <w:rFonts w:ascii="Calibri" w:hAnsi="Calibri" w:cs="Calibri"/>
          <w:color w:val="000000"/>
          <w:sz w:val="22"/>
          <w:szCs w:val="22"/>
        </w:rPr>
        <w:t xml:space="preserve"> new D</w:t>
      </w:r>
      <w:r w:rsidRPr="00613E06">
        <w:rPr>
          <w:rFonts w:ascii="Calibri" w:hAnsi="Calibri" w:cs="Calibri"/>
          <w:color w:val="000000"/>
          <w:sz w:val="22"/>
          <w:szCs w:val="22"/>
        </w:rPr>
        <w:t xml:space="preserve">ividend </w:t>
      </w:r>
      <w:r w:rsidR="00BF24EA">
        <w:rPr>
          <w:rFonts w:ascii="Calibri" w:hAnsi="Calibri" w:cs="Calibri"/>
          <w:color w:val="000000"/>
          <w:sz w:val="22"/>
          <w:szCs w:val="22"/>
        </w:rPr>
        <w:t>P</w:t>
      </w:r>
      <w:r w:rsidRPr="00613E06">
        <w:rPr>
          <w:rFonts w:ascii="Calibri" w:hAnsi="Calibri" w:cs="Calibri"/>
          <w:color w:val="000000"/>
          <w:sz w:val="22"/>
          <w:szCs w:val="22"/>
        </w:rPr>
        <w:t>olicy. In line with this policy, an interim dividend of €0.175 per share will be paid on February 28, 2024 (</w:t>
      </w:r>
      <w:r w:rsidR="00BF24EA">
        <w:rPr>
          <w:rFonts w:ascii="Calibri" w:hAnsi="Calibri" w:cs="Calibri"/>
          <w:color w:val="000000"/>
          <w:sz w:val="22"/>
          <w:szCs w:val="22"/>
        </w:rPr>
        <w:t>R</w:t>
      </w:r>
      <w:r w:rsidRPr="00613E06">
        <w:rPr>
          <w:rFonts w:ascii="Calibri" w:hAnsi="Calibri" w:cs="Calibri"/>
          <w:color w:val="000000"/>
          <w:sz w:val="22"/>
          <w:szCs w:val="22"/>
        </w:rPr>
        <w:t xml:space="preserve">ecord </w:t>
      </w:r>
      <w:r w:rsidR="00BF24EA">
        <w:rPr>
          <w:rFonts w:ascii="Calibri" w:hAnsi="Calibri" w:cs="Calibri"/>
          <w:color w:val="000000"/>
          <w:sz w:val="22"/>
          <w:szCs w:val="22"/>
        </w:rPr>
        <w:t>D</w:t>
      </w:r>
      <w:r w:rsidRPr="00613E06">
        <w:rPr>
          <w:rFonts w:ascii="Calibri" w:hAnsi="Calibri" w:cs="Calibri"/>
          <w:color w:val="000000"/>
          <w:sz w:val="22"/>
          <w:szCs w:val="22"/>
        </w:rPr>
        <w:t xml:space="preserve">ate: January 19, 2024). </w:t>
      </w:r>
    </w:p>
    <w:p w14:paraId="162018B5" w14:textId="77777777" w:rsidR="00947EBA" w:rsidRPr="00613E06" w:rsidRDefault="00947EBA" w:rsidP="009C5CA5">
      <w:pPr>
        <w:pStyle w:val="NormalWeb"/>
        <w:spacing w:before="0" w:beforeAutospacing="0" w:after="0" w:afterAutospacing="0"/>
        <w:ind w:right="-143"/>
        <w:jc w:val="both"/>
        <w:rPr>
          <w:rFonts w:ascii="Calibri" w:hAnsi="Calibri" w:cs="Calibri"/>
          <w:color w:val="000000"/>
          <w:sz w:val="22"/>
          <w:szCs w:val="22"/>
        </w:rPr>
      </w:pPr>
    </w:p>
    <w:p w14:paraId="6860A47A" w14:textId="77777777" w:rsidR="00097571" w:rsidRPr="00613E06" w:rsidRDefault="00097571" w:rsidP="009C5CA5">
      <w:pPr>
        <w:ind w:right="-143"/>
        <w:jc w:val="both"/>
        <w:rPr>
          <w:rFonts w:ascii="Calibri" w:hAnsi="Calibri" w:cs="Calibri"/>
          <w:b/>
          <w:sz w:val="22"/>
          <w:szCs w:val="22"/>
        </w:rPr>
      </w:pPr>
      <w:r w:rsidRPr="00613E06">
        <w:rPr>
          <w:rFonts w:ascii="Calibri" w:hAnsi="Calibri" w:cs="Calibri"/>
          <w:b/>
          <w:sz w:val="22"/>
          <w:szCs w:val="22"/>
        </w:rPr>
        <w:t>1</w:t>
      </w:r>
      <w:r w:rsidR="004A6FF0" w:rsidRPr="00613E06">
        <w:rPr>
          <w:rFonts w:ascii="Calibri" w:hAnsi="Calibri" w:cs="Calibri"/>
          <w:b/>
          <w:sz w:val="22"/>
          <w:szCs w:val="22"/>
        </w:rPr>
        <w:t>2</w:t>
      </w:r>
      <w:r w:rsidRPr="00613E06">
        <w:rPr>
          <w:rFonts w:ascii="Calibri" w:hAnsi="Calibri" w:cs="Calibri"/>
          <w:b/>
          <w:sz w:val="22"/>
          <w:szCs w:val="22"/>
        </w:rPr>
        <w:t>.</w:t>
      </w:r>
      <w:r w:rsidRPr="00613E06">
        <w:rPr>
          <w:rFonts w:ascii="Calibri" w:hAnsi="Calibri" w:cs="Calibri"/>
          <w:b/>
          <w:sz w:val="22"/>
          <w:szCs w:val="22"/>
        </w:rPr>
        <w:tab/>
        <w:t>Post balance sheet events</w:t>
      </w:r>
      <w:r w:rsidR="00FC2CE9" w:rsidRPr="00613E06">
        <w:rPr>
          <w:rFonts w:ascii="Calibri" w:hAnsi="Calibri" w:cs="Calibri"/>
          <w:b/>
          <w:sz w:val="22"/>
          <w:szCs w:val="22"/>
        </w:rPr>
        <w:t xml:space="preserve"> </w:t>
      </w:r>
    </w:p>
    <w:p w14:paraId="5E92DC85" w14:textId="77777777" w:rsidR="00984744" w:rsidRPr="00613E06" w:rsidRDefault="00984744" w:rsidP="009C5CA5">
      <w:pPr>
        <w:ind w:left="-284" w:right="-143" w:firstLine="284"/>
        <w:jc w:val="both"/>
        <w:rPr>
          <w:rFonts w:ascii="Calibri" w:hAnsi="Calibri" w:cs="Calibri"/>
          <w:sz w:val="22"/>
          <w:szCs w:val="22"/>
        </w:rPr>
      </w:pPr>
    </w:p>
    <w:bookmarkEnd w:id="17"/>
    <w:p w14:paraId="4322D25A" w14:textId="77777777" w:rsidR="003602C7" w:rsidRPr="0081763F" w:rsidRDefault="00613E06" w:rsidP="003602C7">
      <w:pPr>
        <w:pStyle w:val="NormalWeb"/>
        <w:spacing w:before="0" w:beforeAutospacing="0" w:after="0" w:afterAutospacing="0"/>
        <w:ind w:right="-143"/>
        <w:jc w:val="both"/>
        <w:rPr>
          <w:rFonts w:ascii="Calibri" w:hAnsi="Calibri" w:cs="Calibri"/>
          <w:color w:val="000000"/>
          <w:sz w:val="22"/>
          <w:szCs w:val="22"/>
        </w:rPr>
      </w:pPr>
      <w:r w:rsidRPr="00613E06">
        <w:rPr>
          <w:rFonts w:ascii="Calibri" w:hAnsi="Calibri" w:cs="Calibri"/>
          <w:color w:val="000000"/>
          <w:sz w:val="22"/>
          <w:szCs w:val="22"/>
        </w:rPr>
        <w:t>There were no post balance sheet events</w:t>
      </w:r>
      <w:r w:rsidR="003602C7" w:rsidRPr="00613E06">
        <w:rPr>
          <w:rFonts w:ascii="Calibri" w:hAnsi="Calibri" w:cs="Calibri"/>
          <w:color w:val="000000"/>
          <w:sz w:val="22"/>
          <w:szCs w:val="22"/>
        </w:rPr>
        <w:t>.</w:t>
      </w:r>
    </w:p>
    <w:p w14:paraId="29ECA016" w14:textId="77777777" w:rsidR="00C4085D" w:rsidRPr="00AB1DD8" w:rsidRDefault="00C4085D" w:rsidP="003602C7">
      <w:pPr>
        <w:pStyle w:val="NormalWeb"/>
        <w:spacing w:before="0" w:beforeAutospacing="0" w:after="0" w:afterAutospacing="0"/>
        <w:ind w:right="-143"/>
        <w:jc w:val="both"/>
        <w:rPr>
          <w:rFonts w:ascii="Calibri" w:hAnsi="Calibri" w:cs="Calibri"/>
          <w:color w:val="000000"/>
          <w:sz w:val="22"/>
          <w:szCs w:val="22"/>
        </w:rPr>
      </w:pPr>
    </w:p>
    <w:sectPr w:rsidR="00C4085D" w:rsidRPr="00AB1DD8" w:rsidSect="00892846">
      <w:headerReference w:type="default" r:id="rId15"/>
      <w:footerReference w:type="default" r:id="rId16"/>
      <w:pgSz w:w="11906" w:h="16838" w:code="9"/>
      <w:pgMar w:top="567" w:right="1133" w:bottom="993" w:left="56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D4E7" w14:textId="77777777" w:rsidR="008B51D9" w:rsidRDefault="008B51D9" w:rsidP="00AA167C">
      <w:r>
        <w:separator/>
      </w:r>
    </w:p>
  </w:endnote>
  <w:endnote w:type="continuationSeparator" w:id="0">
    <w:p w14:paraId="102932B5" w14:textId="77777777" w:rsidR="008B51D9" w:rsidRDefault="008B51D9" w:rsidP="00AA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C4EA" w14:textId="77777777" w:rsidR="008905DD" w:rsidRPr="00DB7576" w:rsidRDefault="008905DD" w:rsidP="00691043">
    <w:pPr>
      <w:pStyle w:val="Footer"/>
      <w:jc w:val="center"/>
      <w:rPr>
        <w:rFonts w:ascii="Calibri" w:hAnsi="Calibri" w:cs="Calibri"/>
        <w:sz w:val="21"/>
        <w:szCs w:val="21"/>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3A70" w14:textId="77777777" w:rsidR="003609FA" w:rsidRDefault="003609FA">
    <w:pPr>
      <w:pStyle w:val="Footer"/>
      <w:jc w:val="center"/>
    </w:pPr>
    <w:r>
      <w:fldChar w:fldCharType="begin"/>
    </w:r>
    <w:r>
      <w:instrText xml:space="preserve"> PAGE   \* MERGEFORMAT </w:instrText>
    </w:r>
    <w:r>
      <w:fldChar w:fldCharType="separate"/>
    </w:r>
    <w:r>
      <w:rPr>
        <w:noProof/>
      </w:rPr>
      <w:t>2</w:t>
    </w:r>
    <w:r>
      <w:rPr>
        <w:noProof/>
      </w:rPr>
      <w:fldChar w:fldCharType="end"/>
    </w:r>
  </w:p>
  <w:p w14:paraId="35A598A7" w14:textId="77777777" w:rsidR="00D92BEA" w:rsidRPr="00DB7576" w:rsidRDefault="00D92BEA" w:rsidP="00691043">
    <w:pPr>
      <w:pStyle w:val="Footer"/>
      <w:jc w:val="center"/>
      <w:rPr>
        <w:rFonts w:ascii="Calibri" w:hAnsi="Calibri" w:cs="Calibri"/>
        <w:sz w:val="21"/>
        <w:szCs w:val="21"/>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0CA5" w14:textId="77777777" w:rsidR="00892846" w:rsidRPr="00892846" w:rsidRDefault="00892846">
    <w:pPr>
      <w:pStyle w:val="Footer"/>
      <w:jc w:val="center"/>
      <w:rPr>
        <w:rFonts w:ascii="Calibri" w:hAnsi="Calibri" w:cs="Calibri"/>
        <w:sz w:val="21"/>
        <w:szCs w:val="21"/>
      </w:rPr>
    </w:pPr>
    <w:r w:rsidRPr="00892846">
      <w:rPr>
        <w:rFonts w:ascii="Calibri" w:hAnsi="Calibri" w:cs="Calibri"/>
        <w:sz w:val="21"/>
        <w:szCs w:val="21"/>
      </w:rPr>
      <w:fldChar w:fldCharType="begin"/>
    </w:r>
    <w:r w:rsidRPr="00892846">
      <w:rPr>
        <w:rFonts w:ascii="Calibri" w:hAnsi="Calibri" w:cs="Calibri"/>
        <w:sz w:val="21"/>
        <w:szCs w:val="21"/>
      </w:rPr>
      <w:instrText xml:space="preserve"> PAGE   \* MERGEFORMAT </w:instrText>
    </w:r>
    <w:r w:rsidRPr="00892846">
      <w:rPr>
        <w:rFonts w:ascii="Calibri" w:hAnsi="Calibri" w:cs="Calibri"/>
        <w:sz w:val="21"/>
        <w:szCs w:val="21"/>
      </w:rPr>
      <w:fldChar w:fldCharType="separate"/>
    </w:r>
    <w:r w:rsidRPr="00892846">
      <w:rPr>
        <w:rFonts w:ascii="Calibri" w:hAnsi="Calibri" w:cs="Calibri"/>
        <w:noProof/>
        <w:sz w:val="21"/>
        <w:szCs w:val="21"/>
      </w:rPr>
      <w:t>2</w:t>
    </w:r>
    <w:r w:rsidRPr="00892846">
      <w:rPr>
        <w:rFonts w:ascii="Calibri" w:hAnsi="Calibri" w:cs="Calibri"/>
        <w:noProof/>
        <w:sz w:val="21"/>
        <w:szCs w:val="21"/>
      </w:rPr>
      <w:fldChar w:fldCharType="end"/>
    </w:r>
  </w:p>
  <w:p w14:paraId="7E8000C9" w14:textId="77777777" w:rsidR="008C60F6" w:rsidRPr="00DB7576" w:rsidRDefault="008C60F6" w:rsidP="00691043">
    <w:pPr>
      <w:pStyle w:val="Footer"/>
      <w:jc w:val="center"/>
      <w:rPr>
        <w:rFonts w:ascii="Calibri" w:hAnsi="Calibri" w:cs="Calibri"/>
        <w:sz w:val="21"/>
        <w:szCs w:val="21"/>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4218" w14:textId="77777777" w:rsidR="008B51D9" w:rsidRDefault="008B51D9" w:rsidP="00AA167C">
      <w:r>
        <w:separator/>
      </w:r>
    </w:p>
  </w:footnote>
  <w:footnote w:type="continuationSeparator" w:id="0">
    <w:p w14:paraId="14F85135" w14:textId="77777777" w:rsidR="008B51D9" w:rsidRDefault="008B51D9" w:rsidP="00AA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168B" w14:textId="77777777" w:rsidR="00892846" w:rsidRDefault="00892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00C"/>
    <w:multiLevelType w:val="hybridMultilevel"/>
    <w:tmpl w:val="5D4698C2"/>
    <w:lvl w:ilvl="0" w:tplc="7AD0D956">
      <w:start w:val="33"/>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E47D69"/>
    <w:multiLevelType w:val="hybridMultilevel"/>
    <w:tmpl w:val="13060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642A33"/>
    <w:multiLevelType w:val="hybridMultilevel"/>
    <w:tmpl w:val="59D833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09A0607"/>
    <w:multiLevelType w:val="multilevel"/>
    <w:tmpl w:val="44A284A6"/>
    <w:lvl w:ilvl="0">
      <w:start w:val="1"/>
      <w:numFmt w:val="decimal"/>
      <w:lvlText w:val="%1."/>
      <w:lvlJc w:val="left"/>
      <w:pPr>
        <w:tabs>
          <w:tab w:val="num" w:pos="2705"/>
        </w:tabs>
        <w:ind w:left="1985" w:firstLine="0"/>
      </w:pPr>
      <w:rPr>
        <w:rFonts w:hint="default"/>
        <w:b/>
        <w:i w:val="0"/>
        <w:caps w:val="0"/>
        <w:smallCaps w:val="0"/>
        <w:strike w:val="0"/>
        <w:dstrike w:val="0"/>
        <w:vanish w:val="0"/>
        <w:color w:val="auto"/>
        <w:u w:val="none"/>
        <w:effect w:val="none"/>
        <w:vertAlign w:val="baseline"/>
      </w:rPr>
    </w:lvl>
    <w:lvl w:ilvl="1">
      <w:start w:val="1"/>
      <w:numFmt w:val="lowerLetter"/>
      <w:lvlText w:val="(%2)"/>
      <w:lvlJc w:val="left"/>
      <w:pPr>
        <w:tabs>
          <w:tab w:val="num" w:pos="-839"/>
        </w:tabs>
        <w:ind w:left="-839" w:hanging="720"/>
      </w:pPr>
      <w:rPr>
        <w:rFonts w:hint="default"/>
        <w:b/>
        <w:i w:val="0"/>
        <w:caps w:val="0"/>
        <w:strike w:val="0"/>
        <w:dstrike w:val="0"/>
        <w:vanish w:val="0"/>
        <w:color w:val="auto"/>
        <w:u w:val="none"/>
        <w:effect w:val="none"/>
        <w:vertAlign w:val="baseline"/>
      </w:rPr>
    </w:lvl>
    <w:lvl w:ilvl="2">
      <w:start w:val="1"/>
      <w:numFmt w:val="lowerRoman"/>
      <w:lvlText w:val="(%3)"/>
      <w:lvlJc w:val="left"/>
      <w:pPr>
        <w:tabs>
          <w:tab w:val="num" w:pos="601"/>
        </w:tabs>
        <w:ind w:left="601" w:hanging="720"/>
      </w:pPr>
      <w:rPr>
        <w:rFonts w:hint="default"/>
        <w:b w:val="0"/>
        <w:i w:val="0"/>
        <w:caps w:val="0"/>
        <w:strike w:val="0"/>
        <w:dstrike w:val="0"/>
        <w:vanish w:val="0"/>
        <w:color w:val="auto"/>
        <w:sz w:val="20"/>
        <w:u w:val="none"/>
        <w:effect w:val="none"/>
        <w:vertAlign w:val="baseline"/>
      </w:rPr>
    </w:lvl>
    <w:lvl w:ilvl="3">
      <w:start w:val="1"/>
      <w:numFmt w:val="lowerRoman"/>
      <w:lvlText w:val="(%4)"/>
      <w:lvlJc w:val="left"/>
      <w:pPr>
        <w:tabs>
          <w:tab w:val="num" w:pos="-119"/>
        </w:tabs>
        <w:ind w:left="-119" w:hanging="720"/>
      </w:pPr>
      <w:rPr>
        <w:rFonts w:hint="default"/>
        <w:b w:val="0"/>
        <w:i w:val="0"/>
        <w:caps w:val="0"/>
        <w:strike w:val="0"/>
        <w:dstrike w:val="0"/>
        <w:vanish w:val="0"/>
        <w:color w:val="auto"/>
        <w:u w:val="none"/>
        <w:effect w:val="none"/>
        <w:vertAlign w:val="baseline"/>
      </w:rPr>
    </w:lvl>
    <w:lvl w:ilvl="4">
      <w:start w:val="1"/>
      <w:numFmt w:val="lowerLetter"/>
      <w:lvlText w:val="(%5)"/>
      <w:lvlJc w:val="left"/>
      <w:pPr>
        <w:tabs>
          <w:tab w:val="num" w:pos="-119"/>
        </w:tabs>
        <w:ind w:left="-119" w:hanging="720"/>
      </w:pPr>
      <w:rPr>
        <w:rFonts w:hint="default"/>
        <w:b w:val="0"/>
        <w:i w:val="0"/>
        <w:caps w:val="0"/>
        <w:color w:val="auto"/>
        <w:u w:val="none"/>
      </w:rPr>
    </w:lvl>
    <w:lvl w:ilvl="5">
      <w:start w:val="1"/>
      <w:numFmt w:val="lowerRoman"/>
      <w:lvlText w:val="(%6)"/>
      <w:lvlJc w:val="left"/>
      <w:pPr>
        <w:tabs>
          <w:tab w:val="num" w:pos="601"/>
        </w:tabs>
        <w:ind w:left="601" w:hanging="360"/>
      </w:pPr>
      <w:rPr>
        <w:rFonts w:hint="default"/>
      </w:rPr>
    </w:lvl>
    <w:lvl w:ilvl="6">
      <w:start w:val="1"/>
      <w:numFmt w:val="decimal"/>
      <w:lvlText w:val="%7."/>
      <w:lvlJc w:val="left"/>
      <w:pPr>
        <w:tabs>
          <w:tab w:val="num" w:pos="961"/>
        </w:tabs>
        <w:ind w:left="961" w:hanging="360"/>
      </w:pPr>
      <w:rPr>
        <w:rFonts w:hint="default"/>
      </w:rPr>
    </w:lvl>
    <w:lvl w:ilvl="7">
      <w:start w:val="1"/>
      <w:numFmt w:val="lowerLetter"/>
      <w:lvlText w:val="%8."/>
      <w:lvlJc w:val="left"/>
      <w:pPr>
        <w:tabs>
          <w:tab w:val="num" w:pos="1321"/>
        </w:tabs>
        <w:ind w:left="1321" w:hanging="360"/>
      </w:pPr>
      <w:rPr>
        <w:rFonts w:hint="default"/>
      </w:rPr>
    </w:lvl>
    <w:lvl w:ilvl="8">
      <w:start w:val="1"/>
      <w:numFmt w:val="lowerRoman"/>
      <w:lvlText w:val="%9."/>
      <w:lvlJc w:val="left"/>
      <w:pPr>
        <w:tabs>
          <w:tab w:val="num" w:pos="1681"/>
        </w:tabs>
        <w:ind w:left="1681" w:hanging="360"/>
      </w:pPr>
      <w:rPr>
        <w:rFonts w:hint="default"/>
      </w:rPr>
    </w:lvl>
  </w:abstractNum>
  <w:abstractNum w:abstractNumId="4" w15:restartNumberingAfterBreak="0">
    <w:nsid w:val="14A527D3"/>
    <w:multiLevelType w:val="multilevel"/>
    <w:tmpl w:val="2C54F186"/>
    <w:lvl w:ilvl="0">
      <w:start w:val="1"/>
      <w:numFmt w:val="bullet"/>
      <w:lvlText w:val="●"/>
      <w:lvlJc w:val="left"/>
      <w:pPr>
        <w:ind w:left="1077" w:hanging="360"/>
      </w:pPr>
      <w:rPr>
        <w:rFonts w:ascii="Calibri" w:eastAsia="Calibri" w:hAnsi="Calibri" w:cs="Calibri"/>
        <w:i w:val="0"/>
        <w:sz w:val="22"/>
        <w:szCs w:val="22"/>
      </w:rPr>
    </w:lvl>
    <w:lvl w:ilvl="1">
      <w:start w:val="1"/>
      <w:numFmt w:val="bullet"/>
      <w:lvlText w:val="o"/>
      <w:lvlJc w:val="left"/>
      <w:pPr>
        <w:ind w:left="1797" w:hanging="360"/>
      </w:pPr>
    </w:lvl>
    <w:lvl w:ilvl="2">
      <w:start w:val="1"/>
      <w:numFmt w:val="bullet"/>
      <w:lvlText w:val="§"/>
      <w:lvlJc w:val="left"/>
      <w:pPr>
        <w:ind w:left="2517" w:hanging="360"/>
      </w:pPr>
    </w:lvl>
    <w:lvl w:ilvl="3">
      <w:start w:val="1"/>
      <w:numFmt w:val="bullet"/>
      <w:lvlText w:val="·"/>
      <w:lvlJc w:val="left"/>
      <w:pPr>
        <w:ind w:left="3237" w:hanging="360"/>
      </w:pPr>
    </w:lvl>
    <w:lvl w:ilvl="4">
      <w:start w:val="1"/>
      <w:numFmt w:val="bullet"/>
      <w:lvlText w:val="o"/>
      <w:lvlJc w:val="left"/>
      <w:pPr>
        <w:ind w:left="3957" w:hanging="360"/>
      </w:pPr>
    </w:lvl>
    <w:lvl w:ilvl="5">
      <w:start w:val="1"/>
      <w:numFmt w:val="bullet"/>
      <w:lvlText w:val="§"/>
      <w:lvlJc w:val="left"/>
      <w:pPr>
        <w:ind w:left="4677" w:hanging="360"/>
      </w:pPr>
    </w:lvl>
    <w:lvl w:ilvl="6">
      <w:start w:val="1"/>
      <w:numFmt w:val="bullet"/>
      <w:lvlText w:val="·"/>
      <w:lvlJc w:val="left"/>
      <w:pPr>
        <w:ind w:left="5397" w:hanging="360"/>
      </w:pPr>
    </w:lvl>
    <w:lvl w:ilvl="7">
      <w:start w:val="1"/>
      <w:numFmt w:val="bullet"/>
      <w:lvlText w:val="o"/>
      <w:lvlJc w:val="left"/>
      <w:pPr>
        <w:ind w:left="6117" w:hanging="360"/>
      </w:pPr>
    </w:lvl>
    <w:lvl w:ilvl="8">
      <w:start w:val="1"/>
      <w:numFmt w:val="bullet"/>
      <w:lvlText w:val="§"/>
      <w:lvlJc w:val="left"/>
      <w:pPr>
        <w:ind w:left="6837" w:hanging="360"/>
      </w:pPr>
    </w:lvl>
  </w:abstractNum>
  <w:abstractNum w:abstractNumId="5" w15:restartNumberingAfterBreak="0">
    <w:nsid w:val="1AA864C6"/>
    <w:multiLevelType w:val="singleLevel"/>
    <w:tmpl w:val="5A944884"/>
    <w:lvl w:ilvl="0">
      <w:start w:val="1"/>
      <w:numFmt w:val="bullet"/>
      <w:pStyle w:val="CG-Bullet"/>
      <w:lvlText w:val=""/>
      <w:lvlJc w:val="left"/>
      <w:pPr>
        <w:tabs>
          <w:tab w:val="num" w:pos="1353"/>
        </w:tabs>
        <w:ind w:left="1353" w:hanging="360"/>
      </w:pPr>
      <w:rPr>
        <w:rFonts w:ascii="Symbol" w:hAnsi="Symbol" w:cs="Times New Roman" w:hint="default"/>
      </w:rPr>
    </w:lvl>
  </w:abstractNum>
  <w:abstractNum w:abstractNumId="6" w15:restartNumberingAfterBreak="0">
    <w:nsid w:val="23830248"/>
    <w:multiLevelType w:val="singleLevel"/>
    <w:tmpl w:val="E736B5E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2DB11349"/>
    <w:multiLevelType w:val="hybridMultilevel"/>
    <w:tmpl w:val="11AEBFC8"/>
    <w:lvl w:ilvl="0" w:tplc="7AD0D956">
      <w:start w:val="33"/>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0131090"/>
    <w:multiLevelType w:val="hybridMultilevel"/>
    <w:tmpl w:val="325E9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A6775"/>
    <w:multiLevelType w:val="hybridMultilevel"/>
    <w:tmpl w:val="8E524DAC"/>
    <w:lvl w:ilvl="0" w:tplc="E736B5E2">
      <w:start w:val="1"/>
      <w:numFmt w:val="bullet"/>
      <w:lvlText w:val=""/>
      <w:lvlJc w:val="left"/>
      <w:pPr>
        <w:ind w:left="720" w:hanging="360"/>
      </w:pPr>
      <w:rPr>
        <w:rFonts w:ascii="Symbol" w:hAnsi="Symbol" w:hint="default"/>
        <w:color w:val="auto"/>
        <w:sz w:val="22"/>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1D735A9"/>
    <w:multiLevelType w:val="hybridMultilevel"/>
    <w:tmpl w:val="69124078"/>
    <w:lvl w:ilvl="0" w:tplc="8740491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D6D4273"/>
    <w:multiLevelType w:val="multilevel"/>
    <w:tmpl w:val="E3C6E9F6"/>
    <w:lvl w:ilvl="0">
      <w:start w:val="1"/>
      <w:numFmt w:val="decimal"/>
      <w:pStyle w:val="Outline3L1"/>
      <w:lvlText w:val="%1."/>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lowerLetter"/>
      <w:pStyle w:val="Outline3L2"/>
      <w:lvlText w:val="(%2)"/>
      <w:lvlJc w:val="left"/>
      <w:pPr>
        <w:tabs>
          <w:tab w:val="num" w:pos="-839"/>
        </w:tabs>
        <w:ind w:left="-839" w:hanging="720"/>
      </w:pPr>
      <w:rPr>
        <w:b/>
        <w:i w:val="0"/>
        <w:caps w:val="0"/>
        <w:strike w:val="0"/>
        <w:dstrike w:val="0"/>
        <w:vanish w:val="0"/>
        <w:color w:val="auto"/>
        <w:u w:val="none"/>
        <w:effect w:val="none"/>
        <w:vertAlign w:val="baseline"/>
      </w:rPr>
    </w:lvl>
    <w:lvl w:ilvl="2">
      <w:start w:val="1"/>
      <w:numFmt w:val="lowerRoman"/>
      <w:pStyle w:val="Outline3L3"/>
      <w:lvlText w:val="(%3)"/>
      <w:lvlJc w:val="left"/>
      <w:pPr>
        <w:tabs>
          <w:tab w:val="num" w:pos="601"/>
        </w:tabs>
        <w:ind w:left="601" w:hanging="720"/>
      </w:pPr>
      <w:rPr>
        <w:b w:val="0"/>
        <w:i/>
        <w:caps w:val="0"/>
        <w:strike w:val="0"/>
        <w:dstrike w:val="0"/>
        <w:vanish w:val="0"/>
        <w:color w:val="auto"/>
        <w:u w:val="none"/>
        <w:effect w:val="none"/>
        <w:vertAlign w:val="baseline"/>
      </w:rPr>
    </w:lvl>
    <w:lvl w:ilvl="3">
      <w:start w:val="1"/>
      <w:numFmt w:val="lowerRoman"/>
      <w:pStyle w:val="Outline3L4"/>
      <w:lvlText w:val="(%4)"/>
      <w:lvlJc w:val="left"/>
      <w:pPr>
        <w:tabs>
          <w:tab w:val="num" w:pos="-119"/>
        </w:tabs>
        <w:ind w:left="-119" w:hanging="720"/>
      </w:pPr>
      <w:rPr>
        <w:b w:val="0"/>
        <w:i w:val="0"/>
        <w:caps w:val="0"/>
        <w:strike w:val="0"/>
        <w:dstrike w:val="0"/>
        <w:vanish w:val="0"/>
        <w:color w:val="auto"/>
        <w:u w:val="none"/>
        <w:effect w:val="none"/>
        <w:vertAlign w:val="baseline"/>
      </w:rPr>
    </w:lvl>
    <w:lvl w:ilvl="4">
      <w:start w:val="1"/>
      <w:numFmt w:val="lowerLetter"/>
      <w:pStyle w:val="Outline3L5"/>
      <w:lvlText w:val="(%5)"/>
      <w:lvlJc w:val="left"/>
      <w:pPr>
        <w:tabs>
          <w:tab w:val="num" w:pos="-119"/>
        </w:tabs>
        <w:ind w:left="-119" w:hanging="720"/>
      </w:pPr>
      <w:rPr>
        <w:b w:val="0"/>
        <w:i w:val="0"/>
        <w:caps w:val="0"/>
        <w:color w:val="auto"/>
        <w:u w:val="none"/>
      </w:rPr>
    </w:lvl>
    <w:lvl w:ilvl="5">
      <w:start w:val="1"/>
      <w:numFmt w:val="lowerRoman"/>
      <w:lvlText w:val="(%6)"/>
      <w:lvlJc w:val="left"/>
      <w:pPr>
        <w:tabs>
          <w:tab w:val="num" w:pos="601"/>
        </w:tabs>
        <w:ind w:left="601" w:hanging="360"/>
      </w:pPr>
    </w:lvl>
    <w:lvl w:ilvl="6">
      <w:start w:val="1"/>
      <w:numFmt w:val="decimal"/>
      <w:lvlText w:val="%7."/>
      <w:lvlJc w:val="left"/>
      <w:pPr>
        <w:tabs>
          <w:tab w:val="num" w:pos="961"/>
        </w:tabs>
        <w:ind w:left="961" w:hanging="360"/>
      </w:pPr>
    </w:lvl>
    <w:lvl w:ilvl="7">
      <w:start w:val="1"/>
      <w:numFmt w:val="lowerLetter"/>
      <w:lvlText w:val="%8."/>
      <w:lvlJc w:val="left"/>
      <w:pPr>
        <w:tabs>
          <w:tab w:val="num" w:pos="1321"/>
        </w:tabs>
        <w:ind w:left="1321" w:hanging="360"/>
      </w:pPr>
    </w:lvl>
    <w:lvl w:ilvl="8">
      <w:start w:val="1"/>
      <w:numFmt w:val="lowerRoman"/>
      <w:lvlText w:val="%9."/>
      <w:lvlJc w:val="left"/>
      <w:pPr>
        <w:tabs>
          <w:tab w:val="num" w:pos="1681"/>
        </w:tabs>
        <w:ind w:left="1681" w:hanging="360"/>
      </w:pPr>
    </w:lvl>
  </w:abstractNum>
  <w:abstractNum w:abstractNumId="12" w15:restartNumberingAfterBreak="0">
    <w:nsid w:val="48203452"/>
    <w:multiLevelType w:val="hybridMultilevel"/>
    <w:tmpl w:val="82D83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44D46C0"/>
    <w:multiLevelType w:val="hybridMultilevel"/>
    <w:tmpl w:val="04D0E6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60C4783"/>
    <w:multiLevelType w:val="hybridMultilevel"/>
    <w:tmpl w:val="A33258B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1B60C2"/>
    <w:multiLevelType w:val="hybridMultilevel"/>
    <w:tmpl w:val="9D8C9F92"/>
    <w:lvl w:ilvl="0" w:tplc="E2C688D2">
      <w:start w:val="1"/>
      <w:numFmt w:val="bullet"/>
      <w:lvlText w:val=""/>
      <w:lvlJc w:val="left"/>
      <w:pPr>
        <w:ind w:left="720" w:hanging="360"/>
      </w:pPr>
      <w:rPr>
        <w:rFonts w:ascii="Symbol" w:hAnsi="Symbol" w:hint="default"/>
        <w:color w:val="000000"/>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4334578"/>
    <w:multiLevelType w:val="hybridMultilevel"/>
    <w:tmpl w:val="7A8274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9E9555B"/>
    <w:multiLevelType w:val="hybridMultilevel"/>
    <w:tmpl w:val="B188482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6AC00838"/>
    <w:multiLevelType w:val="multilevel"/>
    <w:tmpl w:val="8E4A1446"/>
    <w:lvl w:ilvl="0">
      <w:start w:val="1"/>
      <w:numFmt w:val="bullet"/>
      <w:lvlText w:val="●"/>
      <w:lvlJc w:val="left"/>
      <w:pPr>
        <w:ind w:left="720" w:hanging="360"/>
      </w:pPr>
      <w:rPr>
        <w:rFonts w:ascii="Calibri" w:hAnsi="Calibri" w:cs="Calibri" w:hint="default"/>
        <w:sz w:val="22"/>
        <w:szCs w:val="22"/>
        <w:u w:val="none"/>
      </w:rPr>
    </w:lvl>
    <w:lvl w:ilvl="1">
      <w:start w:val="1"/>
      <w:numFmt w:val="bullet"/>
      <w:pStyle w:val="Heading4Char"/>
      <w:lvlText w:val="○"/>
      <w:lvlJc w:val="left"/>
      <w:pPr>
        <w:ind w:left="1440" w:hanging="360"/>
      </w:pPr>
      <w:rPr>
        <w:u w:val="none"/>
      </w:rPr>
    </w:lvl>
    <w:lvl w:ilvl="2">
      <w:start w:val="1"/>
      <w:numFmt w:val="bullet"/>
      <w:pStyle w:val="Hyperlink"/>
      <w:lvlText w:val="■"/>
      <w:lvlJc w:val="left"/>
      <w:pPr>
        <w:ind w:left="2160" w:hanging="360"/>
      </w:pPr>
      <w:rPr>
        <w:u w:val="none"/>
      </w:rPr>
    </w:lvl>
    <w:lvl w:ilvl="3">
      <w:start w:val="1"/>
      <w:numFmt w:val="bullet"/>
      <w:pStyle w:val="Header"/>
      <w:lvlText w:val="●"/>
      <w:lvlJc w:val="left"/>
      <w:pPr>
        <w:ind w:left="2880" w:hanging="360"/>
      </w:pPr>
      <w:rPr>
        <w:u w:val="none"/>
      </w:rPr>
    </w:lvl>
    <w:lvl w:ilvl="4">
      <w:start w:val="1"/>
      <w:numFmt w:val="bullet"/>
      <w:pStyle w:val="HeaderChar"/>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C4B4B0B"/>
    <w:multiLevelType w:val="hybridMultilevel"/>
    <w:tmpl w:val="023E6E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6D93D50"/>
    <w:multiLevelType w:val="hybridMultilevel"/>
    <w:tmpl w:val="0AB885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EE864C6"/>
    <w:multiLevelType w:val="multilevel"/>
    <w:tmpl w:val="19C62E62"/>
    <w:lvl w:ilvl="0">
      <w:start w:val="1"/>
      <w:numFmt w:val="bullet"/>
      <w:lvlText w:val="●"/>
      <w:lvlJc w:val="left"/>
      <w:pPr>
        <w:ind w:left="1077" w:hanging="360"/>
      </w:pPr>
      <w:rPr>
        <w:rFonts w:ascii="Calibri Light" w:eastAsia="Noto Sans" w:hAnsi="Calibri Light" w:cs="Calibri Light" w:hint="default"/>
        <w:i w:val="0"/>
        <w:sz w:val="22"/>
        <w:szCs w:val="22"/>
      </w:rPr>
    </w:lvl>
    <w:lvl w:ilvl="1">
      <w:start w:val="1"/>
      <w:numFmt w:val="bullet"/>
      <w:pStyle w:val="ListBullet2"/>
      <w:lvlText w:val="o"/>
      <w:lvlJc w:val="left"/>
      <w:pPr>
        <w:ind w:left="1797" w:hanging="360"/>
      </w:pPr>
    </w:lvl>
    <w:lvl w:ilvl="2">
      <w:start w:val="1"/>
      <w:numFmt w:val="bullet"/>
      <w:pStyle w:val="ListBullet3"/>
      <w:lvlText w:val="§"/>
      <w:lvlJc w:val="left"/>
      <w:pPr>
        <w:ind w:left="2517" w:hanging="360"/>
      </w:pPr>
    </w:lvl>
    <w:lvl w:ilvl="3">
      <w:start w:val="1"/>
      <w:numFmt w:val="bullet"/>
      <w:pStyle w:val="ListBullet4"/>
      <w:lvlText w:val="·"/>
      <w:lvlJc w:val="left"/>
      <w:pPr>
        <w:ind w:left="3237" w:hanging="360"/>
      </w:pPr>
    </w:lvl>
    <w:lvl w:ilvl="4">
      <w:start w:val="1"/>
      <w:numFmt w:val="bullet"/>
      <w:pStyle w:val="ListBullet5"/>
      <w:lvlText w:val="o"/>
      <w:lvlJc w:val="left"/>
      <w:pPr>
        <w:ind w:left="3957" w:hanging="360"/>
      </w:pPr>
    </w:lvl>
    <w:lvl w:ilvl="5">
      <w:start w:val="1"/>
      <w:numFmt w:val="bullet"/>
      <w:lvlText w:val="§"/>
      <w:lvlJc w:val="left"/>
      <w:pPr>
        <w:ind w:left="4677" w:hanging="360"/>
      </w:pPr>
    </w:lvl>
    <w:lvl w:ilvl="6">
      <w:start w:val="1"/>
      <w:numFmt w:val="bullet"/>
      <w:lvlText w:val="·"/>
      <w:lvlJc w:val="left"/>
      <w:pPr>
        <w:ind w:left="5397" w:hanging="360"/>
      </w:pPr>
    </w:lvl>
    <w:lvl w:ilvl="7">
      <w:start w:val="1"/>
      <w:numFmt w:val="bullet"/>
      <w:lvlText w:val="o"/>
      <w:lvlJc w:val="left"/>
      <w:pPr>
        <w:ind w:left="6117" w:hanging="360"/>
      </w:pPr>
    </w:lvl>
    <w:lvl w:ilvl="8">
      <w:start w:val="1"/>
      <w:numFmt w:val="bullet"/>
      <w:lvlText w:val="§"/>
      <w:lvlJc w:val="left"/>
      <w:pPr>
        <w:ind w:left="6837" w:hanging="360"/>
      </w:pPr>
    </w:lvl>
  </w:abstractNum>
  <w:abstractNum w:abstractNumId="22" w15:restartNumberingAfterBreak="0">
    <w:nsid w:val="7F08277F"/>
    <w:multiLevelType w:val="hybridMultilevel"/>
    <w:tmpl w:val="BB36A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6451010">
    <w:abstractNumId w:val="11"/>
  </w:num>
  <w:num w:numId="2" w16cid:durableId="928655651">
    <w:abstractNumId w:val="5"/>
  </w:num>
  <w:num w:numId="3" w16cid:durableId="1848978296">
    <w:abstractNumId w:val="6"/>
  </w:num>
  <w:num w:numId="4" w16cid:durableId="1654672868">
    <w:abstractNumId w:val="22"/>
  </w:num>
  <w:num w:numId="5" w16cid:durableId="1469931162">
    <w:abstractNumId w:val="12"/>
  </w:num>
  <w:num w:numId="6" w16cid:durableId="2135515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7323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5242600">
    <w:abstractNumId w:val="17"/>
    <w:lvlOverride w:ilvl="0"/>
    <w:lvlOverride w:ilvl="1"/>
    <w:lvlOverride w:ilvl="2"/>
    <w:lvlOverride w:ilvl="3"/>
    <w:lvlOverride w:ilvl="4"/>
    <w:lvlOverride w:ilvl="5"/>
    <w:lvlOverride w:ilvl="6"/>
    <w:lvlOverride w:ilvl="7"/>
    <w:lvlOverride w:ilvl="8"/>
  </w:num>
  <w:num w:numId="9" w16cid:durableId="2017413745">
    <w:abstractNumId w:val="2"/>
  </w:num>
  <w:num w:numId="10" w16cid:durableId="121656700">
    <w:abstractNumId w:val="20"/>
  </w:num>
  <w:num w:numId="11" w16cid:durableId="1160343049">
    <w:abstractNumId w:val="15"/>
  </w:num>
  <w:num w:numId="12" w16cid:durableId="594167073">
    <w:abstractNumId w:val="9"/>
    <w:lvlOverride w:ilvl="0"/>
    <w:lvlOverride w:ilvl="1"/>
    <w:lvlOverride w:ilvl="2"/>
    <w:lvlOverride w:ilvl="3"/>
    <w:lvlOverride w:ilvl="4"/>
    <w:lvlOverride w:ilvl="5"/>
    <w:lvlOverride w:ilvl="6"/>
    <w:lvlOverride w:ilvl="7"/>
    <w:lvlOverride w:ilvl="8"/>
  </w:num>
  <w:num w:numId="13" w16cid:durableId="967322378">
    <w:abstractNumId w:val="21"/>
  </w:num>
  <w:num w:numId="14" w16cid:durableId="1536189660">
    <w:abstractNumId w:val="18"/>
  </w:num>
  <w:num w:numId="15" w16cid:durableId="351346079">
    <w:abstractNumId w:val="10"/>
  </w:num>
  <w:num w:numId="16" w16cid:durableId="16733684">
    <w:abstractNumId w:val="16"/>
  </w:num>
  <w:num w:numId="17" w16cid:durableId="844169411">
    <w:abstractNumId w:val="19"/>
  </w:num>
  <w:num w:numId="18" w16cid:durableId="1988588548">
    <w:abstractNumId w:val="3"/>
  </w:num>
  <w:num w:numId="19" w16cid:durableId="358315627">
    <w:abstractNumId w:val="4"/>
  </w:num>
  <w:num w:numId="20" w16cid:durableId="1164468480">
    <w:abstractNumId w:val="8"/>
  </w:num>
  <w:num w:numId="21" w16cid:durableId="1985890808">
    <w:abstractNumId w:val="13"/>
  </w:num>
  <w:num w:numId="22" w16cid:durableId="1980113886">
    <w:abstractNumId w:val="11"/>
  </w:num>
  <w:num w:numId="23" w16cid:durableId="811601730">
    <w:abstractNumId w:val="11"/>
  </w:num>
  <w:num w:numId="24" w16cid:durableId="2007005475">
    <w:abstractNumId w:val="0"/>
  </w:num>
  <w:num w:numId="25" w16cid:durableId="2073499733">
    <w:abstractNumId w:val="1"/>
  </w:num>
  <w:num w:numId="26" w16cid:durableId="443037601">
    <w:abstractNumId w:val="7"/>
  </w:num>
  <w:num w:numId="27" w16cid:durableId="159563253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7C"/>
    <w:rsid w:val="000013B8"/>
    <w:rsid w:val="000015D3"/>
    <w:rsid w:val="00001702"/>
    <w:rsid w:val="00001ABF"/>
    <w:rsid w:val="00001E6E"/>
    <w:rsid w:val="00002B73"/>
    <w:rsid w:val="00003198"/>
    <w:rsid w:val="000037EA"/>
    <w:rsid w:val="00003847"/>
    <w:rsid w:val="0000429A"/>
    <w:rsid w:val="000060D4"/>
    <w:rsid w:val="0000621F"/>
    <w:rsid w:val="0000651C"/>
    <w:rsid w:val="000065C3"/>
    <w:rsid w:val="000066F8"/>
    <w:rsid w:val="0000670E"/>
    <w:rsid w:val="00007F65"/>
    <w:rsid w:val="00010595"/>
    <w:rsid w:val="00010AC5"/>
    <w:rsid w:val="00010B1C"/>
    <w:rsid w:val="00010D54"/>
    <w:rsid w:val="0001159C"/>
    <w:rsid w:val="00011BE7"/>
    <w:rsid w:val="00011DBD"/>
    <w:rsid w:val="000120BF"/>
    <w:rsid w:val="00012906"/>
    <w:rsid w:val="00012C7C"/>
    <w:rsid w:val="000132F7"/>
    <w:rsid w:val="000135BC"/>
    <w:rsid w:val="0001384A"/>
    <w:rsid w:val="00013ACF"/>
    <w:rsid w:val="00013C6F"/>
    <w:rsid w:val="0001408F"/>
    <w:rsid w:val="00014100"/>
    <w:rsid w:val="00014394"/>
    <w:rsid w:val="00014900"/>
    <w:rsid w:val="00015495"/>
    <w:rsid w:val="000157E3"/>
    <w:rsid w:val="00015EA4"/>
    <w:rsid w:val="000166EB"/>
    <w:rsid w:val="00016C8A"/>
    <w:rsid w:val="00016FBD"/>
    <w:rsid w:val="0001782C"/>
    <w:rsid w:val="00017906"/>
    <w:rsid w:val="00017D3F"/>
    <w:rsid w:val="00020836"/>
    <w:rsid w:val="00020CB3"/>
    <w:rsid w:val="00020E67"/>
    <w:rsid w:val="00020F6F"/>
    <w:rsid w:val="00022A1C"/>
    <w:rsid w:val="00023178"/>
    <w:rsid w:val="000239A3"/>
    <w:rsid w:val="000239FA"/>
    <w:rsid w:val="00023A12"/>
    <w:rsid w:val="00023B16"/>
    <w:rsid w:val="00024C27"/>
    <w:rsid w:val="000254F7"/>
    <w:rsid w:val="000259D9"/>
    <w:rsid w:val="00025E87"/>
    <w:rsid w:val="0002602C"/>
    <w:rsid w:val="00026AF0"/>
    <w:rsid w:val="00027B66"/>
    <w:rsid w:val="00030024"/>
    <w:rsid w:val="00030041"/>
    <w:rsid w:val="000301ED"/>
    <w:rsid w:val="0003106A"/>
    <w:rsid w:val="00031E92"/>
    <w:rsid w:val="00032273"/>
    <w:rsid w:val="0003277F"/>
    <w:rsid w:val="00032964"/>
    <w:rsid w:val="000330C6"/>
    <w:rsid w:val="000331AE"/>
    <w:rsid w:val="00033919"/>
    <w:rsid w:val="0003476E"/>
    <w:rsid w:val="0003495C"/>
    <w:rsid w:val="00034A4E"/>
    <w:rsid w:val="00035F53"/>
    <w:rsid w:val="00036007"/>
    <w:rsid w:val="000371F4"/>
    <w:rsid w:val="000400DD"/>
    <w:rsid w:val="00040CED"/>
    <w:rsid w:val="00040D17"/>
    <w:rsid w:val="00040EB7"/>
    <w:rsid w:val="00041334"/>
    <w:rsid w:val="00041511"/>
    <w:rsid w:val="000421C1"/>
    <w:rsid w:val="00042424"/>
    <w:rsid w:val="0004298F"/>
    <w:rsid w:val="00042B4B"/>
    <w:rsid w:val="00042CAC"/>
    <w:rsid w:val="00042D0C"/>
    <w:rsid w:val="00042F87"/>
    <w:rsid w:val="00043186"/>
    <w:rsid w:val="00043B4D"/>
    <w:rsid w:val="00043E7B"/>
    <w:rsid w:val="00043F7D"/>
    <w:rsid w:val="000445DB"/>
    <w:rsid w:val="0004478F"/>
    <w:rsid w:val="00045B4B"/>
    <w:rsid w:val="00045D1A"/>
    <w:rsid w:val="000464AF"/>
    <w:rsid w:val="00046619"/>
    <w:rsid w:val="00046CA8"/>
    <w:rsid w:val="00047371"/>
    <w:rsid w:val="0005035A"/>
    <w:rsid w:val="0005071B"/>
    <w:rsid w:val="000509D3"/>
    <w:rsid w:val="00050A8C"/>
    <w:rsid w:val="00050B2F"/>
    <w:rsid w:val="00050C1D"/>
    <w:rsid w:val="00050F2A"/>
    <w:rsid w:val="00051976"/>
    <w:rsid w:val="00051CC2"/>
    <w:rsid w:val="00051E0C"/>
    <w:rsid w:val="00052151"/>
    <w:rsid w:val="000521E1"/>
    <w:rsid w:val="000525D6"/>
    <w:rsid w:val="00052791"/>
    <w:rsid w:val="00052A33"/>
    <w:rsid w:val="00052A9F"/>
    <w:rsid w:val="00053FF5"/>
    <w:rsid w:val="0005445F"/>
    <w:rsid w:val="000546F2"/>
    <w:rsid w:val="00054960"/>
    <w:rsid w:val="00054ABC"/>
    <w:rsid w:val="000556FE"/>
    <w:rsid w:val="00055B0B"/>
    <w:rsid w:val="00055C8A"/>
    <w:rsid w:val="00055E0A"/>
    <w:rsid w:val="000567AF"/>
    <w:rsid w:val="00056B2A"/>
    <w:rsid w:val="00056DAA"/>
    <w:rsid w:val="000575C5"/>
    <w:rsid w:val="00057828"/>
    <w:rsid w:val="00057CA1"/>
    <w:rsid w:val="0006006C"/>
    <w:rsid w:val="00061136"/>
    <w:rsid w:val="000612DD"/>
    <w:rsid w:val="00061313"/>
    <w:rsid w:val="000618DD"/>
    <w:rsid w:val="00061AA5"/>
    <w:rsid w:val="00062384"/>
    <w:rsid w:val="000623DD"/>
    <w:rsid w:val="000626DB"/>
    <w:rsid w:val="0006284D"/>
    <w:rsid w:val="00063735"/>
    <w:rsid w:val="0006373F"/>
    <w:rsid w:val="00063A4D"/>
    <w:rsid w:val="000642A8"/>
    <w:rsid w:val="00064E9C"/>
    <w:rsid w:val="00065346"/>
    <w:rsid w:val="00065782"/>
    <w:rsid w:val="0006578F"/>
    <w:rsid w:val="00065D64"/>
    <w:rsid w:val="00065DA8"/>
    <w:rsid w:val="00066082"/>
    <w:rsid w:val="000664B0"/>
    <w:rsid w:val="000666E6"/>
    <w:rsid w:val="00067177"/>
    <w:rsid w:val="00067426"/>
    <w:rsid w:val="000677CD"/>
    <w:rsid w:val="00067B54"/>
    <w:rsid w:val="00067CD0"/>
    <w:rsid w:val="00070427"/>
    <w:rsid w:val="0007045D"/>
    <w:rsid w:val="00070811"/>
    <w:rsid w:val="00071504"/>
    <w:rsid w:val="0007183D"/>
    <w:rsid w:val="00072726"/>
    <w:rsid w:val="0007282E"/>
    <w:rsid w:val="00072A05"/>
    <w:rsid w:val="00072DBC"/>
    <w:rsid w:val="00074C6E"/>
    <w:rsid w:val="00074E1D"/>
    <w:rsid w:val="00076125"/>
    <w:rsid w:val="00076395"/>
    <w:rsid w:val="0007714B"/>
    <w:rsid w:val="00077A6C"/>
    <w:rsid w:val="00077EB8"/>
    <w:rsid w:val="00077EC6"/>
    <w:rsid w:val="00080150"/>
    <w:rsid w:val="00080683"/>
    <w:rsid w:val="000807CC"/>
    <w:rsid w:val="00080F70"/>
    <w:rsid w:val="00081054"/>
    <w:rsid w:val="000810C7"/>
    <w:rsid w:val="000811A1"/>
    <w:rsid w:val="00081505"/>
    <w:rsid w:val="00081598"/>
    <w:rsid w:val="00081BAF"/>
    <w:rsid w:val="0008295E"/>
    <w:rsid w:val="00082F73"/>
    <w:rsid w:val="0008346D"/>
    <w:rsid w:val="00083AA4"/>
    <w:rsid w:val="00084ACD"/>
    <w:rsid w:val="0008505E"/>
    <w:rsid w:val="000856DC"/>
    <w:rsid w:val="000856DE"/>
    <w:rsid w:val="00085B51"/>
    <w:rsid w:val="00085C11"/>
    <w:rsid w:val="00086086"/>
    <w:rsid w:val="00086435"/>
    <w:rsid w:val="00086609"/>
    <w:rsid w:val="00086981"/>
    <w:rsid w:val="00086C0B"/>
    <w:rsid w:val="00087051"/>
    <w:rsid w:val="0008777B"/>
    <w:rsid w:val="000877E9"/>
    <w:rsid w:val="00090104"/>
    <w:rsid w:val="00090C62"/>
    <w:rsid w:val="00091001"/>
    <w:rsid w:val="00091254"/>
    <w:rsid w:val="000917D9"/>
    <w:rsid w:val="00091CC8"/>
    <w:rsid w:val="00091E81"/>
    <w:rsid w:val="00092191"/>
    <w:rsid w:val="0009236F"/>
    <w:rsid w:val="00092C0D"/>
    <w:rsid w:val="00092F37"/>
    <w:rsid w:val="00094197"/>
    <w:rsid w:val="0009422F"/>
    <w:rsid w:val="0009498C"/>
    <w:rsid w:val="00094F6D"/>
    <w:rsid w:val="00095275"/>
    <w:rsid w:val="00095CFC"/>
    <w:rsid w:val="00095E9D"/>
    <w:rsid w:val="00095F3E"/>
    <w:rsid w:val="000964F0"/>
    <w:rsid w:val="00096B50"/>
    <w:rsid w:val="000974A1"/>
    <w:rsid w:val="00097571"/>
    <w:rsid w:val="00097BF2"/>
    <w:rsid w:val="00097F24"/>
    <w:rsid w:val="000A01A8"/>
    <w:rsid w:val="000A0859"/>
    <w:rsid w:val="000A0A39"/>
    <w:rsid w:val="000A1C0D"/>
    <w:rsid w:val="000A1EB4"/>
    <w:rsid w:val="000A1EBC"/>
    <w:rsid w:val="000A3874"/>
    <w:rsid w:val="000A3F6F"/>
    <w:rsid w:val="000A482F"/>
    <w:rsid w:val="000A5057"/>
    <w:rsid w:val="000A5602"/>
    <w:rsid w:val="000A59FD"/>
    <w:rsid w:val="000A5A8F"/>
    <w:rsid w:val="000A6151"/>
    <w:rsid w:val="000A6403"/>
    <w:rsid w:val="000A6725"/>
    <w:rsid w:val="000A77A2"/>
    <w:rsid w:val="000A7A13"/>
    <w:rsid w:val="000A7B0A"/>
    <w:rsid w:val="000A7B70"/>
    <w:rsid w:val="000A7EE4"/>
    <w:rsid w:val="000B02C9"/>
    <w:rsid w:val="000B057E"/>
    <w:rsid w:val="000B0616"/>
    <w:rsid w:val="000B12E6"/>
    <w:rsid w:val="000B23F7"/>
    <w:rsid w:val="000B2618"/>
    <w:rsid w:val="000B268D"/>
    <w:rsid w:val="000B2CAD"/>
    <w:rsid w:val="000B3232"/>
    <w:rsid w:val="000B3311"/>
    <w:rsid w:val="000B3616"/>
    <w:rsid w:val="000B364B"/>
    <w:rsid w:val="000B38A8"/>
    <w:rsid w:val="000B3F37"/>
    <w:rsid w:val="000B3F86"/>
    <w:rsid w:val="000B43EE"/>
    <w:rsid w:val="000B45DF"/>
    <w:rsid w:val="000B4900"/>
    <w:rsid w:val="000B4A69"/>
    <w:rsid w:val="000B5370"/>
    <w:rsid w:val="000B5445"/>
    <w:rsid w:val="000B547D"/>
    <w:rsid w:val="000B57F7"/>
    <w:rsid w:val="000B5C28"/>
    <w:rsid w:val="000B5D76"/>
    <w:rsid w:val="000B6343"/>
    <w:rsid w:val="000B6355"/>
    <w:rsid w:val="000B64FA"/>
    <w:rsid w:val="000B6864"/>
    <w:rsid w:val="000B6E69"/>
    <w:rsid w:val="000B6FB1"/>
    <w:rsid w:val="000B7069"/>
    <w:rsid w:val="000B7198"/>
    <w:rsid w:val="000B796D"/>
    <w:rsid w:val="000B7B85"/>
    <w:rsid w:val="000C0B9E"/>
    <w:rsid w:val="000C0F4D"/>
    <w:rsid w:val="000C1147"/>
    <w:rsid w:val="000C1E7B"/>
    <w:rsid w:val="000C2545"/>
    <w:rsid w:val="000C26C1"/>
    <w:rsid w:val="000C3129"/>
    <w:rsid w:val="000C32BE"/>
    <w:rsid w:val="000C375A"/>
    <w:rsid w:val="000C3978"/>
    <w:rsid w:val="000C4636"/>
    <w:rsid w:val="000C4A67"/>
    <w:rsid w:val="000C52EE"/>
    <w:rsid w:val="000C55CB"/>
    <w:rsid w:val="000C57A6"/>
    <w:rsid w:val="000C59CA"/>
    <w:rsid w:val="000C5CF4"/>
    <w:rsid w:val="000C5D7D"/>
    <w:rsid w:val="000C69D9"/>
    <w:rsid w:val="000C6A22"/>
    <w:rsid w:val="000C6E4B"/>
    <w:rsid w:val="000C708A"/>
    <w:rsid w:val="000C7443"/>
    <w:rsid w:val="000C7578"/>
    <w:rsid w:val="000C7581"/>
    <w:rsid w:val="000C7E33"/>
    <w:rsid w:val="000C7E9B"/>
    <w:rsid w:val="000D16BC"/>
    <w:rsid w:val="000D20CF"/>
    <w:rsid w:val="000D2586"/>
    <w:rsid w:val="000D2B47"/>
    <w:rsid w:val="000D2BC4"/>
    <w:rsid w:val="000D3950"/>
    <w:rsid w:val="000D415E"/>
    <w:rsid w:val="000D440B"/>
    <w:rsid w:val="000D4762"/>
    <w:rsid w:val="000D5760"/>
    <w:rsid w:val="000D586B"/>
    <w:rsid w:val="000D59B2"/>
    <w:rsid w:val="000D59D2"/>
    <w:rsid w:val="000D602D"/>
    <w:rsid w:val="000D7205"/>
    <w:rsid w:val="000E0081"/>
    <w:rsid w:val="000E1472"/>
    <w:rsid w:val="000E1605"/>
    <w:rsid w:val="000E183A"/>
    <w:rsid w:val="000E29A1"/>
    <w:rsid w:val="000E2DC5"/>
    <w:rsid w:val="000E3203"/>
    <w:rsid w:val="000E32E9"/>
    <w:rsid w:val="000E354F"/>
    <w:rsid w:val="000E3ED1"/>
    <w:rsid w:val="000E43DA"/>
    <w:rsid w:val="000E4588"/>
    <w:rsid w:val="000E50EE"/>
    <w:rsid w:val="000E5129"/>
    <w:rsid w:val="000E5149"/>
    <w:rsid w:val="000E5228"/>
    <w:rsid w:val="000E54E4"/>
    <w:rsid w:val="000E553A"/>
    <w:rsid w:val="000E5AA9"/>
    <w:rsid w:val="000E5D07"/>
    <w:rsid w:val="000E70E8"/>
    <w:rsid w:val="000E73B3"/>
    <w:rsid w:val="000E77C4"/>
    <w:rsid w:val="000E7FE9"/>
    <w:rsid w:val="000F0132"/>
    <w:rsid w:val="000F065B"/>
    <w:rsid w:val="000F09D9"/>
    <w:rsid w:val="000F1951"/>
    <w:rsid w:val="000F1C0B"/>
    <w:rsid w:val="000F255E"/>
    <w:rsid w:val="000F463A"/>
    <w:rsid w:val="000F482C"/>
    <w:rsid w:val="000F4DFE"/>
    <w:rsid w:val="000F4E22"/>
    <w:rsid w:val="000F535C"/>
    <w:rsid w:val="000F560A"/>
    <w:rsid w:val="000F5895"/>
    <w:rsid w:val="000F5CA8"/>
    <w:rsid w:val="000F5FA0"/>
    <w:rsid w:val="000F6569"/>
    <w:rsid w:val="000F72E9"/>
    <w:rsid w:val="000F74AE"/>
    <w:rsid w:val="001002E8"/>
    <w:rsid w:val="001007A6"/>
    <w:rsid w:val="001009AD"/>
    <w:rsid w:val="00100F3A"/>
    <w:rsid w:val="0010104D"/>
    <w:rsid w:val="00101CC4"/>
    <w:rsid w:val="00101D2C"/>
    <w:rsid w:val="0010215D"/>
    <w:rsid w:val="00102370"/>
    <w:rsid w:val="00102C8A"/>
    <w:rsid w:val="00102DA4"/>
    <w:rsid w:val="00102F10"/>
    <w:rsid w:val="00103D56"/>
    <w:rsid w:val="00104198"/>
    <w:rsid w:val="001041D4"/>
    <w:rsid w:val="001044F4"/>
    <w:rsid w:val="00104787"/>
    <w:rsid w:val="00104B07"/>
    <w:rsid w:val="00104FE0"/>
    <w:rsid w:val="001053BD"/>
    <w:rsid w:val="001066D4"/>
    <w:rsid w:val="0010688E"/>
    <w:rsid w:val="00106AA7"/>
    <w:rsid w:val="00110102"/>
    <w:rsid w:val="00110181"/>
    <w:rsid w:val="00111060"/>
    <w:rsid w:val="0011273B"/>
    <w:rsid w:val="0011285F"/>
    <w:rsid w:val="00112B55"/>
    <w:rsid w:val="001134A6"/>
    <w:rsid w:val="001134D8"/>
    <w:rsid w:val="0011357E"/>
    <w:rsid w:val="001137EC"/>
    <w:rsid w:val="00113A56"/>
    <w:rsid w:val="001148AA"/>
    <w:rsid w:val="001151AE"/>
    <w:rsid w:val="00115CFD"/>
    <w:rsid w:val="00115E0F"/>
    <w:rsid w:val="00115E46"/>
    <w:rsid w:val="001167DD"/>
    <w:rsid w:val="00116E39"/>
    <w:rsid w:val="00117852"/>
    <w:rsid w:val="00117924"/>
    <w:rsid w:val="00117A3D"/>
    <w:rsid w:val="00117DAD"/>
    <w:rsid w:val="001201ED"/>
    <w:rsid w:val="00120964"/>
    <w:rsid w:val="001216ED"/>
    <w:rsid w:val="0012210C"/>
    <w:rsid w:val="00122B33"/>
    <w:rsid w:val="00122B53"/>
    <w:rsid w:val="00122C02"/>
    <w:rsid w:val="00123593"/>
    <w:rsid w:val="00123936"/>
    <w:rsid w:val="0012398D"/>
    <w:rsid w:val="00123DC9"/>
    <w:rsid w:val="00124645"/>
    <w:rsid w:val="00125303"/>
    <w:rsid w:val="00125412"/>
    <w:rsid w:val="00125D6A"/>
    <w:rsid w:val="00125EBE"/>
    <w:rsid w:val="00126390"/>
    <w:rsid w:val="001267CB"/>
    <w:rsid w:val="00126D61"/>
    <w:rsid w:val="001276CC"/>
    <w:rsid w:val="0013005D"/>
    <w:rsid w:val="001302E6"/>
    <w:rsid w:val="00130514"/>
    <w:rsid w:val="00131419"/>
    <w:rsid w:val="00131514"/>
    <w:rsid w:val="00131BF7"/>
    <w:rsid w:val="00132109"/>
    <w:rsid w:val="0013269B"/>
    <w:rsid w:val="001327FE"/>
    <w:rsid w:val="00132A7E"/>
    <w:rsid w:val="00132ABE"/>
    <w:rsid w:val="00132F6F"/>
    <w:rsid w:val="00132FBC"/>
    <w:rsid w:val="001333B6"/>
    <w:rsid w:val="00133B6B"/>
    <w:rsid w:val="00133C7F"/>
    <w:rsid w:val="00133DBF"/>
    <w:rsid w:val="00134FF4"/>
    <w:rsid w:val="00135413"/>
    <w:rsid w:val="0013573F"/>
    <w:rsid w:val="0013602F"/>
    <w:rsid w:val="00136DF6"/>
    <w:rsid w:val="00136FEB"/>
    <w:rsid w:val="00137B8B"/>
    <w:rsid w:val="00140712"/>
    <w:rsid w:val="00140B56"/>
    <w:rsid w:val="00140CF1"/>
    <w:rsid w:val="001411AE"/>
    <w:rsid w:val="00141512"/>
    <w:rsid w:val="00141DBF"/>
    <w:rsid w:val="00142346"/>
    <w:rsid w:val="001423D1"/>
    <w:rsid w:val="00142B43"/>
    <w:rsid w:val="00142CE6"/>
    <w:rsid w:val="0014421A"/>
    <w:rsid w:val="0014445C"/>
    <w:rsid w:val="001448FE"/>
    <w:rsid w:val="00145183"/>
    <w:rsid w:val="001456A8"/>
    <w:rsid w:val="0014574C"/>
    <w:rsid w:val="00145CC5"/>
    <w:rsid w:val="001462B4"/>
    <w:rsid w:val="00146658"/>
    <w:rsid w:val="001468DB"/>
    <w:rsid w:val="00146971"/>
    <w:rsid w:val="0014718A"/>
    <w:rsid w:val="00147514"/>
    <w:rsid w:val="001476B9"/>
    <w:rsid w:val="001476FF"/>
    <w:rsid w:val="0014779F"/>
    <w:rsid w:val="00150489"/>
    <w:rsid w:val="00150793"/>
    <w:rsid w:val="001508C0"/>
    <w:rsid w:val="0015092C"/>
    <w:rsid w:val="0015097D"/>
    <w:rsid w:val="001509AE"/>
    <w:rsid w:val="0015134B"/>
    <w:rsid w:val="00151B73"/>
    <w:rsid w:val="0015211D"/>
    <w:rsid w:val="00152364"/>
    <w:rsid w:val="00152B03"/>
    <w:rsid w:val="001531D9"/>
    <w:rsid w:val="001537BD"/>
    <w:rsid w:val="00153977"/>
    <w:rsid w:val="00153EAF"/>
    <w:rsid w:val="00154EC5"/>
    <w:rsid w:val="001550D0"/>
    <w:rsid w:val="00155687"/>
    <w:rsid w:val="001557F6"/>
    <w:rsid w:val="00156159"/>
    <w:rsid w:val="001563A2"/>
    <w:rsid w:val="00156510"/>
    <w:rsid w:val="00157389"/>
    <w:rsid w:val="00157582"/>
    <w:rsid w:val="0015779B"/>
    <w:rsid w:val="00157990"/>
    <w:rsid w:val="00157E96"/>
    <w:rsid w:val="0016005B"/>
    <w:rsid w:val="001603A7"/>
    <w:rsid w:val="00160E27"/>
    <w:rsid w:val="00161450"/>
    <w:rsid w:val="00161A1D"/>
    <w:rsid w:val="00161D3B"/>
    <w:rsid w:val="0016235B"/>
    <w:rsid w:val="001626F8"/>
    <w:rsid w:val="001633C6"/>
    <w:rsid w:val="001639F4"/>
    <w:rsid w:val="00163A44"/>
    <w:rsid w:val="00163A83"/>
    <w:rsid w:val="0016558B"/>
    <w:rsid w:val="00165A50"/>
    <w:rsid w:val="00165C6B"/>
    <w:rsid w:val="00165FA0"/>
    <w:rsid w:val="0016629F"/>
    <w:rsid w:val="001662F9"/>
    <w:rsid w:val="00166C36"/>
    <w:rsid w:val="00167524"/>
    <w:rsid w:val="0016757D"/>
    <w:rsid w:val="00167633"/>
    <w:rsid w:val="001676E2"/>
    <w:rsid w:val="0016783C"/>
    <w:rsid w:val="00167C28"/>
    <w:rsid w:val="00170199"/>
    <w:rsid w:val="00170EA4"/>
    <w:rsid w:val="0017127D"/>
    <w:rsid w:val="00171329"/>
    <w:rsid w:val="00171501"/>
    <w:rsid w:val="0017305A"/>
    <w:rsid w:val="00173217"/>
    <w:rsid w:val="00173963"/>
    <w:rsid w:val="00173A34"/>
    <w:rsid w:val="001744E2"/>
    <w:rsid w:val="0017469F"/>
    <w:rsid w:val="00174BF6"/>
    <w:rsid w:val="00174E3B"/>
    <w:rsid w:val="00175064"/>
    <w:rsid w:val="00175417"/>
    <w:rsid w:val="001756EF"/>
    <w:rsid w:val="00175C1B"/>
    <w:rsid w:val="00175E87"/>
    <w:rsid w:val="00176AA4"/>
    <w:rsid w:val="001770DD"/>
    <w:rsid w:val="00177246"/>
    <w:rsid w:val="0017778F"/>
    <w:rsid w:val="00180879"/>
    <w:rsid w:val="001810A4"/>
    <w:rsid w:val="0018114B"/>
    <w:rsid w:val="00181A68"/>
    <w:rsid w:val="00181B77"/>
    <w:rsid w:val="00181EFC"/>
    <w:rsid w:val="00182316"/>
    <w:rsid w:val="0018262D"/>
    <w:rsid w:val="001828A0"/>
    <w:rsid w:val="001835F2"/>
    <w:rsid w:val="00183A48"/>
    <w:rsid w:val="00183DC5"/>
    <w:rsid w:val="0018416E"/>
    <w:rsid w:val="001842A8"/>
    <w:rsid w:val="0018490D"/>
    <w:rsid w:val="00184DAE"/>
    <w:rsid w:val="00184DFC"/>
    <w:rsid w:val="00184E75"/>
    <w:rsid w:val="001856F2"/>
    <w:rsid w:val="00185884"/>
    <w:rsid w:val="00185E74"/>
    <w:rsid w:val="001862CE"/>
    <w:rsid w:val="00187361"/>
    <w:rsid w:val="00187548"/>
    <w:rsid w:val="001875BF"/>
    <w:rsid w:val="00187AB3"/>
    <w:rsid w:val="00190CF6"/>
    <w:rsid w:val="001912C3"/>
    <w:rsid w:val="00191AF4"/>
    <w:rsid w:val="00191C25"/>
    <w:rsid w:val="0019338D"/>
    <w:rsid w:val="00193AFE"/>
    <w:rsid w:val="00194256"/>
    <w:rsid w:val="00194D2B"/>
    <w:rsid w:val="00195133"/>
    <w:rsid w:val="00195183"/>
    <w:rsid w:val="001959A2"/>
    <w:rsid w:val="00195FF6"/>
    <w:rsid w:val="001963ED"/>
    <w:rsid w:val="00196640"/>
    <w:rsid w:val="00196AB4"/>
    <w:rsid w:val="001972B0"/>
    <w:rsid w:val="001975CA"/>
    <w:rsid w:val="0019799F"/>
    <w:rsid w:val="001A027D"/>
    <w:rsid w:val="001A04B7"/>
    <w:rsid w:val="001A0F9E"/>
    <w:rsid w:val="001A1529"/>
    <w:rsid w:val="001A17AF"/>
    <w:rsid w:val="001A23CC"/>
    <w:rsid w:val="001A3606"/>
    <w:rsid w:val="001A3B9E"/>
    <w:rsid w:val="001A3C29"/>
    <w:rsid w:val="001A443A"/>
    <w:rsid w:val="001A445A"/>
    <w:rsid w:val="001A5020"/>
    <w:rsid w:val="001A50D3"/>
    <w:rsid w:val="001A52FE"/>
    <w:rsid w:val="001A587A"/>
    <w:rsid w:val="001A5E8C"/>
    <w:rsid w:val="001A69A7"/>
    <w:rsid w:val="001A6AEE"/>
    <w:rsid w:val="001A6BD7"/>
    <w:rsid w:val="001A6ECC"/>
    <w:rsid w:val="001A728A"/>
    <w:rsid w:val="001A788A"/>
    <w:rsid w:val="001A79E0"/>
    <w:rsid w:val="001A7A25"/>
    <w:rsid w:val="001A7E23"/>
    <w:rsid w:val="001A7EB5"/>
    <w:rsid w:val="001B0293"/>
    <w:rsid w:val="001B05DA"/>
    <w:rsid w:val="001B0AB6"/>
    <w:rsid w:val="001B0DE2"/>
    <w:rsid w:val="001B0E9D"/>
    <w:rsid w:val="001B11F9"/>
    <w:rsid w:val="001B13F5"/>
    <w:rsid w:val="001B17BC"/>
    <w:rsid w:val="001B1D29"/>
    <w:rsid w:val="001B35FF"/>
    <w:rsid w:val="001B3731"/>
    <w:rsid w:val="001B3FEA"/>
    <w:rsid w:val="001B405A"/>
    <w:rsid w:val="001B4221"/>
    <w:rsid w:val="001B423E"/>
    <w:rsid w:val="001B44AF"/>
    <w:rsid w:val="001B4A13"/>
    <w:rsid w:val="001B4A57"/>
    <w:rsid w:val="001B4AA3"/>
    <w:rsid w:val="001B516A"/>
    <w:rsid w:val="001B5514"/>
    <w:rsid w:val="001B60AC"/>
    <w:rsid w:val="001B62F8"/>
    <w:rsid w:val="001B64EF"/>
    <w:rsid w:val="001B6772"/>
    <w:rsid w:val="001B6945"/>
    <w:rsid w:val="001B6BEE"/>
    <w:rsid w:val="001B7256"/>
    <w:rsid w:val="001B7BE0"/>
    <w:rsid w:val="001C0638"/>
    <w:rsid w:val="001C0886"/>
    <w:rsid w:val="001C0CA7"/>
    <w:rsid w:val="001C13FE"/>
    <w:rsid w:val="001C1BC9"/>
    <w:rsid w:val="001C2681"/>
    <w:rsid w:val="001C2BA0"/>
    <w:rsid w:val="001C2C8C"/>
    <w:rsid w:val="001C360F"/>
    <w:rsid w:val="001C3B4B"/>
    <w:rsid w:val="001C4A45"/>
    <w:rsid w:val="001C521C"/>
    <w:rsid w:val="001C521D"/>
    <w:rsid w:val="001C5897"/>
    <w:rsid w:val="001C5D99"/>
    <w:rsid w:val="001C6214"/>
    <w:rsid w:val="001C6628"/>
    <w:rsid w:val="001C6671"/>
    <w:rsid w:val="001C6B59"/>
    <w:rsid w:val="001C6E5A"/>
    <w:rsid w:val="001C724A"/>
    <w:rsid w:val="001C72C9"/>
    <w:rsid w:val="001C72D4"/>
    <w:rsid w:val="001C73F2"/>
    <w:rsid w:val="001D0448"/>
    <w:rsid w:val="001D1076"/>
    <w:rsid w:val="001D123A"/>
    <w:rsid w:val="001D1654"/>
    <w:rsid w:val="001D21CA"/>
    <w:rsid w:val="001D2236"/>
    <w:rsid w:val="001D2325"/>
    <w:rsid w:val="001D2CA7"/>
    <w:rsid w:val="001D2DE2"/>
    <w:rsid w:val="001D2ECB"/>
    <w:rsid w:val="001D336E"/>
    <w:rsid w:val="001D3661"/>
    <w:rsid w:val="001D402A"/>
    <w:rsid w:val="001D4642"/>
    <w:rsid w:val="001D502A"/>
    <w:rsid w:val="001D5046"/>
    <w:rsid w:val="001D51D4"/>
    <w:rsid w:val="001D5301"/>
    <w:rsid w:val="001D55A1"/>
    <w:rsid w:val="001D5902"/>
    <w:rsid w:val="001D5D4D"/>
    <w:rsid w:val="001D6026"/>
    <w:rsid w:val="001D6087"/>
    <w:rsid w:val="001D6310"/>
    <w:rsid w:val="001D6311"/>
    <w:rsid w:val="001D662E"/>
    <w:rsid w:val="001D66FC"/>
    <w:rsid w:val="001D72C0"/>
    <w:rsid w:val="001D7CA9"/>
    <w:rsid w:val="001D7CE7"/>
    <w:rsid w:val="001D7CEA"/>
    <w:rsid w:val="001E039E"/>
    <w:rsid w:val="001E0559"/>
    <w:rsid w:val="001E0A07"/>
    <w:rsid w:val="001E0B42"/>
    <w:rsid w:val="001E12FD"/>
    <w:rsid w:val="001E161C"/>
    <w:rsid w:val="001E37A0"/>
    <w:rsid w:val="001E40E9"/>
    <w:rsid w:val="001E42FB"/>
    <w:rsid w:val="001E4300"/>
    <w:rsid w:val="001E4590"/>
    <w:rsid w:val="001E4722"/>
    <w:rsid w:val="001E603D"/>
    <w:rsid w:val="001E6315"/>
    <w:rsid w:val="001E6515"/>
    <w:rsid w:val="001E6D53"/>
    <w:rsid w:val="001E76CD"/>
    <w:rsid w:val="001E7B52"/>
    <w:rsid w:val="001E7CA8"/>
    <w:rsid w:val="001E7FB5"/>
    <w:rsid w:val="001F0960"/>
    <w:rsid w:val="001F1076"/>
    <w:rsid w:val="001F1532"/>
    <w:rsid w:val="001F15CA"/>
    <w:rsid w:val="001F1F72"/>
    <w:rsid w:val="001F2A56"/>
    <w:rsid w:val="001F2CE9"/>
    <w:rsid w:val="001F3072"/>
    <w:rsid w:val="001F3862"/>
    <w:rsid w:val="001F3929"/>
    <w:rsid w:val="001F3C3B"/>
    <w:rsid w:val="001F4325"/>
    <w:rsid w:val="001F544B"/>
    <w:rsid w:val="001F5610"/>
    <w:rsid w:val="001F678A"/>
    <w:rsid w:val="001F6D24"/>
    <w:rsid w:val="001F7499"/>
    <w:rsid w:val="001F7832"/>
    <w:rsid w:val="00200313"/>
    <w:rsid w:val="0020051A"/>
    <w:rsid w:val="00200B82"/>
    <w:rsid w:val="00200DCF"/>
    <w:rsid w:val="002010B0"/>
    <w:rsid w:val="002015D1"/>
    <w:rsid w:val="00201743"/>
    <w:rsid w:val="00201A01"/>
    <w:rsid w:val="00201ABE"/>
    <w:rsid w:val="002026C2"/>
    <w:rsid w:val="002026DD"/>
    <w:rsid w:val="0020282D"/>
    <w:rsid w:val="00202EF5"/>
    <w:rsid w:val="00202EFD"/>
    <w:rsid w:val="00203784"/>
    <w:rsid w:val="002039CD"/>
    <w:rsid w:val="00203C37"/>
    <w:rsid w:val="00204153"/>
    <w:rsid w:val="002049B3"/>
    <w:rsid w:val="00204F37"/>
    <w:rsid w:val="0020531F"/>
    <w:rsid w:val="002059C1"/>
    <w:rsid w:val="00205BC6"/>
    <w:rsid w:val="00206510"/>
    <w:rsid w:val="002066C9"/>
    <w:rsid w:val="002069AB"/>
    <w:rsid w:val="00206A20"/>
    <w:rsid w:val="00206E04"/>
    <w:rsid w:val="0020715B"/>
    <w:rsid w:val="0020732D"/>
    <w:rsid w:val="002075E8"/>
    <w:rsid w:val="00210205"/>
    <w:rsid w:val="002109EC"/>
    <w:rsid w:val="00210B1C"/>
    <w:rsid w:val="00211637"/>
    <w:rsid w:val="00211BF3"/>
    <w:rsid w:val="00212634"/>
    <w:rsid w:val="00213104"/>
    <w:rsid w:val="002134FF"/>
    <w:rsid w:val="00213C02"/>
    <w:rsid w:val="00214730"/>
    <w:rsid w:val="00215563"/>
    <w:rsid w:val="00215603"/>
    <w:rsid w:val="00215A09"/>
    <w:rsid w:val="00215FA8"/>
    <w:rsid w:val="002163FD"/>
    <w:rsid w:val="00216D89"/>
    <w:rsid w:val="00217075"/>
    <w:rsid w:val="002170FF"/>
    <w:rsid w:val="00217435"/>
    <w:rsid w:val="0021775D"/>
    <w:rsid w:val="00217AD7"/>
    <w:rsid w:val="00217AF9"/>
    <w:rsid w:val="002202B2"/>
    <w:rsid w:val="002202FB"/>
    <w:rsid w:val="00220498"/>
    <w:rsid w:val="00221287"/>
    <w:rsid w:val="002215F2"/>
    <w:rsid w:val="00221656"/>
    <w:rsid w:val="002218EC"/>
    <w:rsid w:val="00221A6C"/>
    <w:rsid w:val="00221C09"/>
    <w:rsid w:val="00221FE6"/>
    <w:rsid w:val="00222595"/>
    <w:rsid w:val="002225BB"/>
    <w:rsid w:val="00222969"/>
    <w:rsid w:val="00222B92"/>
    <w:rsid w:val="002234B7"/>
    <w:rsid w:val="002234C6"/>
    <w:rsid w:val="00223B7B"/>
    <w:rsid w:val="00225483"/>
    <w:rsid w:val="00225B34"/>
    <w:rsid w:val="00225DF6"/>
    <w:rsid w:val="00225E44"/>
    <w:rsid w:val="00226255"/>
    <w:rsid w:val="00226455"/>
    <w:rsid w:val="00226D7D"/>
    <w:rsid w:val="00227218"/>
    <w:rsid w:val="00227375"/>
    <w:rsid w:val="0023003D"/>
    <w:rsid w:val="0023015C"/>
    <w:rsid w:val="0023034A"/>
    <w:rsid w:val="00230CD8"/>
    <w:rsid w:val="00230EBF"/>
    <w:rsid w:val="00230F82"/>
    <w:rsid w:val="00231A1C"/>
    <w:rsid w:val="00231A99"/>
    <w:rsid w:val="00232AA1"/>
    <w:rsid w:val="0023352B"/>
    <w:rsid w:val="0023358E"/>
    <w:rsid w:val="00233A67"/>
    <w:rsid w:val="00233D7F"/>
    <w:rsid w:val="00234656"/>
    <w:rsid w:val="00235045"/>
    <w:rsid w:val="00235420"/>
    <w:rsid w:val="00235709"/>
    <w:rsid w:val="00235CFF"/>
    <w:rsid w:val="00235DAB"/>
    <w:rsid w:val="00235FB4"/>
    <w:rsid w:val="0023619E"/>
    <w:rsid w:val="002361FA"/>
    <w:rsid w:val="0023625B"/>
    <w:rsid w:val="00236287"/>
    <w:rsid w:val="00236492"/>
    <w:rsid w:val="002364B9"/>
    <w:rsid w:val="00236889"/>
    <w:rsid w:val="00236910"/>
    <w:rsid w:val="00236AD6"/>
    <w:rsid w:val="00237847"/>
    <w:rsid w:val="00237937"/>
    <w:rsid w:val="00237FCE"/>
    <w:rsid w:val="0024030F"/>
    <w:rsid w:val="002409DC"/>
    <w:rsid w:val="00240EC0"/>
    <w:rsid w:val="00241223"/>
    <w:rsid w:val="00241501"/>
    <w:rsid w:val="0024179C"/>
    <w:rsid w:val="002419CA"/>
    <w:rsid w:val="00241A21"/>
    <w:rsid w:val="00241DA7"/>
    <w:rsid w:val="00241DBB"/>
    <w:rsid w:val="00242DBC"/>
    <w:rsid w:val="00242E1F"/>
    <w:rsid w:val="00242F24"/>
    <w:rsid w:val="0024343B"/>
    <w:rsid w:val="0024411C"/>
    <w:rsid w:val="0024494E"/>
    <w:rsid w:val="002449FC"/>
    <w:rsid w:val="00246D57"/>
    <w:rsid w:val="002470DA"/>
    <w:rsid w:val="0024763A"/>
    <w:rsid w:val="002477BB"/>
    <w:rsid w:val="0024793B"/>
    <w:rsid w:val="00247C24"/>
    <w:rsid w:val="00250FAA"/>
    <w:rsid w:val="00251037"/>
    <w:rsid w:val="00251789"/>
    <w:rsid w:val="00251AAB"/>
    <w:rsid w:val="00251D6A"/>
    <w:rsid w:val="002520D2"/>
    <w:rsid w:val="0025273E"/>
    <w:rsid w:val="00252FEE"/>
    <w:rsid w:val="00253576"/>
    <w:rsid w:val="00253D5C"/>
    <w:rsid w:val="002540D0"/>
    <w:rsid w:val="00254D2C"/>
    <w:rsid w:val="00254F91"/>
    <w:rsid w:val="002554EF"/>
    <w:rsid w:val="00255559"/>
    <w:rsid w:val="002555ED"/>
    <w:rsid w:val="002557B9"/>
    <w:rsid w:val="00255D97"/>
    <w:rsid w:val="002560B2"/>
    <w:rsid w:val="00256490"/>
    <w:rsid w:val="002569E7"/>
    <w:rsid w:val="00256AFF"/>
    <w:rsid w:val="00256B1F"/>
    <w:rsid w:val="00257063"/>
    <w:rsid w:val="00257340"/>
    <w:rsid w:val="00257D7D"/>
    <w:rsid w:val="0026071C"/>
    <w:rsid w:val="00260730"/>
    <w:rsid w:val="00260973"/>
    <w:rsid w:val="00260CAF"/>
    <w:rsid w:val="002610DF"/>
    <w:rsid w:val="0026148D"/>
    <w:rsid w:val="00261A08"/>
    <w:rsid w:val="00261B5E"/>
    <w:rsid w:val="002626EF"/>
    <w:rsid w:val="00262835"/>
    <w:rsid w:val="00262998"/>
    <w:rsid w:val="00262AF5"/>
    <w:rsid w:val="002631BC"/>
    <w:rsid w:val="00263566"/>
    <w:rsid w:val="00263C27"/>
    <w:rsid w:val="002640BD"/>
    <w:rsid w:val="0026426D"/>
    <w:rsid w:val="002644AF"/>
    <w:rsid w:val="00264E71"/>
    <w:rsid w:val="00265562"/>
    <w:rsid w:val="00265600"/>
    <w:rsid w:val="002660BE"/>
    <w:rsid w:val="002662AE"/>
    <w:rsid w:val="0026679E"/>
    <w:rsid w:val="00266C13"/>
    <w:rsid w:val="00267281"/>
    <w:rsid w:val="00267315"/>
    <w:rsid w:val="0026785C"/>
    <w:rsid w:val="00270746"/>
    <w:rsid w:val="00270C8C"/>
    <w:rsid w:val="002715B9"/>
    <w:rsid w:val="002716F3"/>
    <w:rsid w:val="00271B3D"/>
    <w:rsid w:val="00273379"/>
    <w:rsid w:val="00273F9A"/>
    <w:rsid w:val="0027412F"/>
    <w:rsid w:val="0027460A"/>
    <w:rsid w:val="00274D87"/>
    <w:rsid w:val="00274DEB"/>
    <w:rsid w:val="00275457"/>
    <w:rsid w:val="002754ED"/>
    <w:rsid w:val="0027682D"/>
    <w:rsid w:val="002769CA"/>
    <w:rsid w:val="00276AF3"/>
    <w:rsid w:val="00276EF1"/>
    <w:rsid w:val="0027733B"/>
    <w:rsid w:val="0027760A"/>
    <w:rsid w:val="002807D7"/>
    <w:rsid w:val="00280DFF"/>
    <w:rsid w:val="0028122A"/>
    <w:rsid w:val="0028178C"/>
    <w:rsid w:val="00281CB0"/>
    <w:rsid w:val="0028240A"/>
    <w:rsid w:val="002825BB"/>
    <w:rsid w:val="00282E85"/>
    <w:rsid w:val="002833EE"/>
    <w:rsid w:val="002841DD"/>
    <w:rsid w:val="00284843"/>
    <w:rsid w:val="00284C85"/>
    <w:rsid w:val="00284C9D"/>
    <w:rsid w:val="00285263"/>
    <w:rsid w:val="00285AB3"/>
    <w:rsid w:val="00285AE0"/>
    <w:rsid w:val="00285C08"/>
    <w:rsid w:val="00285DEC"/>
    <w:rsid w:val="00285F2E"/>
    <w:rsid w:val="00286056"/>
    <w:rsid w:val="002862C1"/>
    <w:rsid w:val="00286352"/>
    <w:rsid w:val="00287081"/>
    <w:rsid w:val="002875A8"/>
    <w:rsid w:val="00287B2F"/>
    <w:rsid w:val="0029003C"/>
    <w:rsid w:val="002900B1"/>
    <w:rsid w:val="00290218"/>
    <w:rsid w:val="00290357"/>
    <w:rsid w:val="0029063E"/>
    <w:rsid w:val="00290779"/>
    <w:rsid w:val="0029114D"/>
    <w:rsid w:val="002911CB"/>
    <w:rsid w:val="0029174E"/>
    <w:rsid w:val="00291D34"/>
    <w:rsid w:val="00292095"/>
    <w:rsid w:val="00292527"/>
    <w:rsid w:val="0029279F"/>
    <w:rsid w:val="00292A77"/>
    <w:rsid w:val="002938CE"/>
    <w:rsid w:val="00294710"/>
    <w:rsid w:val="00294874"/>
    <w:rsid w:val="0029530A"/>
    <w:rsid w:val="00295C56"/>
    <w:rsid w:val="002960B1"/>
    <w:rsid w:val="00296AC8"/>
    <w:rsid w:val="00297033"/>
    <w:rsid w:val="0029760E"/>
    <w:rsid w:val="00297E7F"/>
    <w:rsid w:val="002A01E1"/>
    <w:rsid w:val="002A0F1A"/>
    <w:rsid w:val="002A1A4A"/>
    <w:rsid w:val="002A1F7D"/>
    <w:rsid w:val="002A2090"/>
    <w:rsid w:val="002A35A4"/>
    <w:rsid w:val="002A3F71"/>
    <w:rsid w:val="002A4A8C"/>
    <w:rsid w:val="002A4BB4"/>
    <w:rsid w:val="002A4D5B"/>
    <w:rsid w:val="002A4D5C"/>
    <w:rsid w:val="002A52CE"/>
    <w:rsid w:val="002A534A"/>
    <w:rsid w:val="002A5885"/>
    <w:rsid w:val="002A6191"/>
    <w:rsid w:val="002A6ADD"/>
    <w:rsid w:val="002A705A"/>
    <w:rsid w:val="002A7829"/>
    <w:rsid w:val="002B0020"/>
    <w:rsid w:val="002B0064"/>
    <w:rsid w:val="002B05A5"/>
    <w:rsid w:val="002B0E29"/>
    <w:rsid w:val="002B142B"/>
    <w:rsid w:val="002B148A"/>
    <w:rsid w:val="002B1830"/>
    <w:rsid w:val="002B1940"/>
    <w:rsid w:val="002B1E29"/>
    <w:rsid w:val="002B2BD0"/>
    <w:rsid w:val="002B322F"/>
    <w:rsid w:val="002B37AE"/>
    <w:rsid w:val="002B41C8"/>
    <w:rsid w:val="002B4A65"/>
    <w:rsid w:val="002B4C6B"/>
    <w:rsid w:val="002B609C"/>
    <w:rsid w:val="002B67AD"/>
    <w:rsid w:val="002B6865"/>
    <w:rsid w:val="002B70AC"/>
    <w:rsid w:val="002B74E7"/>
    <w:rsid w:val="002B75E1"/>
    <w:rsid w:val="002B79DC"/>
    <w:rsid w:val="002C0087"/>
    <w:rsid w:val="002C0B10"/>
    <w:rsid w:val="002C1052"/>
    <w:rsid w:val="002C121A"/>
    <w:rsid w:val="002C13D9"/>
    <w:rsid w:val="002C1D70"/>
    <w:rsid w:val="002C24A7"/>
    <w:rsid w:val="002C3B49"/>
    <w:rsid w:val="002C49A8"/>
    <w:rsid w:val="002C503A"/>
    <w:rsid w:val="002C5812"/>
    <w:rsid w:val="002C60E0"/>
    <w:rsid w:val="002C74E5"/>
    <w:rsid w:val="002C763A"/>
    <w:rsid w:val="002C7CD6"/>
    <w:rsid w:val="002D0214"/>
    <w:rsid w:val="002D068D"/>
    <w:rsid w:val="002D100D"/>
    <w:rsid w:val="002D142D"/>
    <w:rsid w:val="002D14CE"/>
    <w:rsid w:val="002D1601"/>
    <w:rsid w:val="002D24BB"/>
    <w:rsid w:val="002D2D1B"/>
    <w:rsid w:val="002D30EA"/>
    <w:rsid w:val="002D3565"/>
    <w:rsid w:val="002D3783"/>
    <w:rsid w:val="002D3BDD"/>
    <w:rsid w:val="002D452B"/>
    <w:rsid w:val="002D4A49"/>
    <w:rsid w:val="002D4B0B"/>
    <w:rsid w:val="002D4F9C"/>
    <w:rsid w:val="002D618B"/>
    <w:rsid w:val="002D61C2"/>
    <w:rsid w:val="002D663A"/>
    <w:rsid w:val="002D7495"/>
    <w:rsid w:val="002D76E6"/>
    <w:rsid w:val="002D7832"/>
    <w:rsid w:val="002D7B3D"/>
    <w:rsid w:val="002E017E"/>
    <w:rsid w:val="002E0A13"/>
    <w:rsid w:val="002E0A98"/>
    <w:rsid w:val="002E1850"/>
    <w:rsid w:val="002E3127"/>
    <w:rsid w:val="002E32AD"/>
    <w:rsid w:val="002E32B5"/>
    <w:rsid w:val="002E337B"/>
    <w:rsid w:val="002E34D9"/>
    <w:rsid w:val="002E3CDF"/>
    <w:rsid w:val="002E3DB4"/>
    <w:rsid w:val="002E4009"/>
    <w:rsid w:val="002E449D"/>
    <w:rsid w:val="002E483C"/>
    <w:rsid w:val="002E4C30"/>
    <w:rsid w:val="002E53DE"/>
    <w:rsid w:val="002E597B"/>
    <w:rsid w:val="002E5E84"/>
    <w:rsid w:val="002E6411"/>
    <w:rsid w:val="002E66B6"/>
    <w:rsid w:val="002E6EB1"/>
    <w:rsid w:val="002E722C"/>
    <w:rsid w:val="002E798D"/>
    <w:rsid w:val="002F02F2"/>
    <w:rsid w:val="002F041D"/>
    <w:rsid w:val="002F0D5C"/>
    <w:rsid w:val="002F15EB"/>
    <w:rsid w:val="002F16A7"/>
    <w:rsid w:val="002F1713"/>
    <w:rsid w:val="002F1D83"/>
    <w:rsid w:val="002F2637"/>
    <w:rsid w:val="002F33BC"/>
    <w:rsid w:val="002F3470"/>
    <w:rsid w:val="002F3BCD"/>
    <w:rsid w:val="002F402C"/>
    <w:rsid w:val="002F4040"/>
    <w:rsid w:val="002F4734"/>
    <w:rsid w:val="002F4FE6"/>
    <w:rsid w:val="002F5111"/>
    <w:rsid w:val="002F53BB"/>
    <w:rsid w:val="002F53CD"/>
    <w:rsid w:val="002F5613"/>
    <w:rsid w:val="002F5E25"/>
    <w:rsid w:val="002F6284"/>
    <w:rsid w:val="002F68FF"/>
    <w:rsid w:val="002F765A"/>
    <w:rsid w:val="00300BF1"/>
    <w:rsid w:val="00301584"/>
    <w:rsid w:val="00301F76"/>
    <w:rsid w:val="003022F1"/>
    <w:rsid w:val="00302BD1"/>
    <w:rsid w:val="00302C52"/>
    <w:rsid w:val="00302D58"/>
    <w:rsid w:val="00302E48"/>
    <w:rsid w:val="0030345C"/>
    <w:rsid w:val="00303788"/>
    <w:rsid w:val="00303943"/>
    <w:rsid w:val="00303A92"/>
    <w:rsid w:val="00304E78"/>
    <w:rsid w:val="00305198"/>
    <w:rsid w:val="00305D60"/>
    <w:rsid w:val="00307508"/>
    <w:rsid w:val="00307939"/>
    <w:rsid w:val="0030795D"/>
    <w:rsid w:val="00307A4D"/>
    <w:rsid w:val="00307DD9"/>
    <w:rsid w:val="003115FA"/>
    <w:rsid w:val="0031176D"/>
    <w:rsid w:val="00311853"/>
    <w:rsid w:val="00311B12"/>
    <w:rsid w:val="003120D4"/>
    <w:rsid w:val="0031224E"/>
    <w:rsid w:val="003122D3"/>
    <w:rsid w:val="00312800"/>
    <w:rsid w:val="003128C8"/>
    <w:rsid w:val="00312C33"/>
    <w:rsid w:val="00312E96"/>
    <w:rsid w:val="00313819"/>
    <w:rsid w:val="00313D4D"/>
    <w:rsid w:val="0031509D"/>
    <w:rsid w:val="00315108"/>
    <w:rsid w:val="0031568E"/>
    <w:rsid w:val="0031595F"/>
    <w:rsid w:val="00315BF0"/>
    <w:rsid w:val="0031669B"/>
    <w:rsid w:val="00316D67"/>
    <w:rsid w:val="00316D76"/>
    <w:rsid w:val="00316E2B"/>
    <w:rsid w:val="00317234"/>
    <w:rsid w:val="0031733B"/>
    <w:rsid w:val="003177B6"/>
    <w:rsid w:val="00317CEA"/>
    <w:rsid w:val="00317F0C"/>
    <w:rsid w:val="003208B3"/>
    <w:rsid w:val="00320D16"/>
    <w:rsid w:val="00321E11"/>
    <w:rsid w:val="00322784"/>
    <w:rsid w:val="00322BC9"/>
    <w:rsid w:val="003232EC"/>
    <w:rsid w:val="00323A35"/>
    <w:rsid w:val="00323ACF"/>
    <w:rsid w:val="00323B7B"/>
    <w:rsid w:val="00323BDA"/>
    <w:rsid w:val="003254E0"/>
    <w:rsid w:val="0032591C"/>
    <w:rsid w:val="00325BC0"/>
    <w:rsid w:val="00325D42"/>
    <w:rsid w:val="003262C4"/>
    <w:rsid w:val="003262CE"/>
    <w:rsid w:val="00326D92"/>
    <w:rsid w:val="0032734C"/>
    <w:rsid w:val="00327B21"/>
    <w:rsid w:val="00327E59"/>
    <w:rsid w:val="0033022B"/>
    <w:rsid w:val="003308C7"/>
    <w:rsid w:val="003308FA"/>
    <w:rsid w:val="003309E1"/>
    <w:rsid w:val="00330A9E"/>
    <w:rsid w:val="003312AA"/>
    <w:rsid w:val="00332E43"/>
    <w:rsid w:val="00332F48"/>
    <w:rsid w:val="003332F4"/>
    <w:rsid w:val="00333393"/>
    <w:rsid w:val="00333640"/>
    <w:rsid w:val="00333681"/>
    <w:rsid w:val="00334455"/>
    <w:rsid w:val="0033489D"/>
    <w:rsid w:val="00334F2F"/>
    <w:rsid w:val="003352B3"/>
    <w:rsid w:val="00335449"/>
    <w:rsid w:val="00336273"/>
    <w:rsid w:val="003363CA"/>
    <w:rsid w:val="003372B4"/>
    <w:rsid w:val="00337AA3"/>
    <w:rsid w:val="0034044F"/>
    <w:rsid w:val="00340D20"/>
    <w:rsid w:val="00340F22"/>
    <w:rsid w:val="003414FD"/>
    <w:rsid w:val="003418F1"/>
    <w:rsid w:val="00341F66"/>
    <w:rsid w:val="00342321"/>
    <w:rsid w:val="00342772"/>
    <w:rsid w:val="00342D91"/>
    <w:rsid w:val="00343160"/>
    <w:rsid w:val="0034486D"/>
    <w:rsid w:val="003448E2"/>
    <w:rsid w:val="00345236"/>
    <w:rsid w:val="00345316"/>
    <w:rsid w:val="00345949"/>
    <w:rsid w:val="00345AE3"/>
    <w:rsid w:val="00345BDC"/>
    <w:rsid w:val="0034603D"/>
    <w:rsid w:val="003465E6"/>
    <w:rsid w:val="00346E22"/>
    <w:rsid w:val="00347069"/>
    <w:rsid w:val="003478A0"/>
    <w:rsid w:val="00347906"/>
    <w:rsid w:val="0034796B"/>
    <w:rsid w:val="00347AFD"/>
    <w:rsid w:val="00347BD6"/>
    <w:rsid w:val="0035032F"/>
    <w:rsid w:val="003503BE"/>
    <w:rsid w:val="003507A4"/>
    <w:rsid w:val="00350AE0"/>
    <w:rsid w:val="00350BFF"/>
    <w:rsid w:val="00350F5C"/>
    <w:rsid w:val="003510F3"/>
    <w:rsid w:val="0035136A"/>
    <w:rsid w:val="00351A07"/>
    <w:rsid w:val="00351DF9"/>
    <w:rsid w:val="00352471"/>
    <w:rsid w:val="00352628"/>
    <w:rsid w:val="00352A44"/>
    <w:rsid w:val="00353BE7"/>
    <w:rsid w:val="003542A7"/>
    <w:rsid w:val="00354EDC"/>
    <w:rsid w:val="0035558E"/>
    <w:rsid w:val="00355AF0"/>
    <w:rsid w:val="00355C90"/>
    <w:rsid w:val="00355F32"/>
    <w:rsid w:val="00356FE3"/>
    <w:rsid w:val="0035753F"/>
    <w:rsid w:val="00357694"/>
    <w:rsid w:val="00357765"/>
    <w:rsid w:val="0035799B"/>
    <w:rsid w:val="00357C48"/>
    <w:rsid w:val="003602C7"/>
    <w:rsid w:val="0036052E"/>
    <w:rsid w:val="003609FA"/>
    <w:rsid w:val="00360AA5"/>
    <w:rsid w:val="00360AC8"/>
    <w:rsid w:val="00360BD9"/>
    <w:rsid w:val="00360C69"/>
    <w:rsid w:val="00360D31"/>
    <w:rsid w:val="00361FA6"/>
    <w:rsid w:val="00363AD2"/>
    <w:rsid w:val="00363CC1"/>
    <w:rsid w:val="00363D01"/>
    <w:rsid w:val="00363FF3"/>
    <w:rsid w:val="0036404F"/>
    <w:rsid w:val="003646A3"/>
    <w:rsid w:val="00364DDB"/>
    <w:rsid w:val="00364FAC"/>
    <w:rsid w:val="003652F5"/>
    <w:rsid w:val="00365DAA"/>
    <w:rsid w:val="00366F31"/>
    <w:rsid w:val="0036737F"/>
    <w:rsid w:val="00367F8D"/>
    <w:rsid w:val="003701DE"/>
    <w:rsid w:val="003708B2"/>
    <w:rsid w:val="00370AA1"/>
    <w:rsid w:val="00370D1D"/>
    <w:rsid w:val="00370D77"/>
    <w:rsid w:val="00370F24"/>
    <w:rsid w:val="0037155E"/>
    <w:rsid w:val="0037188A"/>
    <w:rsid w:val="00371F05"/>
    <w:rsid w:val="0037233C"/>
    <w:rsid w:val="003725C9"/>
    <w:rsid w:val="00372681"/>
    <w:rsid w:val="0037297E"/>
    <w:rsid w:val="003732F8"/>
    <w:rsid w:val="00373A08"/>
    <w:rsid w:val="00373C06"/>
    <w:rsid w:val="00373D71"/>
    <w:rsid w:val="00374513"/>
    <w:rsid w:val="00374E29"/>
    <w:rsid w:val="00375738"/>
    <w:rsid w:val="00376651"/>
    <w:rsid w:val="00376763"/>
    <w:rsid w:val="00376900"/>
    <w:rsid w:val="0037692F"/>
    <w:rsid w:val="00376939"/>
    <w:rsid w:val="00376BEB"/>
    <w:rsid w:val="00376FE6"/>
    <w:rsid w:val="00377377"/>
    <w:rsid w:val="00377CF8"/>
    <w:rsid w:val="00377D9C"/>
    <w:rsid w:val="00380992"/>
    <w:rsid w:val="003809F6"/>
    <w:rsid w:val="00380C1B"/>
    <w:rsid w:val="00380D81"/>
    <w:rsid w:val="00380D85"/>
    <w:rsid w:val="00380FF1"/>
    <w:rsid w:val="00382400"/>
    <w:rsid w:val="0038241C"/>
    <w:rsid w:val="0038259A"/>
    <w:rsid w:val="003826D5"/>
    <w:rsid w:val="00382B13"/>
    <w:rsid w:val="00382B8C"/>
    <w:rsid w:val="00383C43"/>
    <w:rsid w:val="00383D77"/>
    <w:rsid w:val="00383EC3"/>
    <w:rsid w:val="0038406D"/>
    <w:rsid w:val="00384DAF"/>
    <w:rsid w:val="00385295"/>
    <w:rsid w:val="00385B48"/>
    <w:rsid w:val="00385E30"/>
    <w:rsid w:val="0038612F"/>
    <w:rsid w:val="003861E2"/>
    <w:rsid w:val="00386274"/>
    <w:rsid w:val="00386593"/>
    <w:rsid w:val="00386774"/>
    <w:rsid w:val="00386AEA"/>
    <w:rsid w:val="00386B7C"/>
    <w:rsid w:val="00386C16"/>
    <w:rsid w:val="0038718B"/>
    <w:rsid w:val="00387281"/>
    <w:rsid w:val="003874A3"/>
    <w:rsid w:val="00387AB8"/>
    <w:rsid w:val="00387F30"/>
    <w:rsid w:val="003906AD"/>
    <w:rsid w:val="00390B46"/>
    <w:rsid w:val="00390B57"/>
    <w:rsid w:val="00390FF8"/>
    <w:rsid w:val="003910D1"/>
    <w:rsid w:val="0039141C"/>
    <w:rsid w:val="00391F59"/>
    <w:rsid w:val="003924FD"/>
    <w:rsid w:val="003930AA"/>
    <w:rsid w:val="0039322D"/>
    <w:rsid w:val="003934FE"/>
    <w:rsid w:val="00393896"/>
    <w:rsid w:val="00393971"/>
    <w:rsid w:val="0039438E"/>
    <w:rsid w:val="00394836"/>
    <w:rsid w:val="00394B63"/>
    <w:rsid w:val="00395EB6"/>
    <w:rsid w:val="0039644E"/>
    <w:rsid w:val="003968F7"/>
    <w:rsid w:val="003969D1"/>
    <w:rsid w:val="00397539"/>
    <w:rsid w:val="00397577"/>
    <w:rsid w:val="00397D1F"/>
    <w:rsid w:val="003A066A"/>
    <w:rsid w:val="003A077C"/>
    <w:rsid w:val="003A08B0"/>
    <w:rsid w:val="003A0B3A"/>
    <w:rsid w:val="003A12C8"/>
    <w:rsid w:val="003A1624"/>
    <w:rsid w:val="003A17DF"/>
    <w:rsid w:val="003A17FB"/>
    <w:rsid w:val="003A1B45"/>
    <w:rsid w:val="003A1C91"/>
    <w:rsid w:val="003A1E07"/>
    <w:rsid w:val="003A1E23"/>
    <w:rsid w:val="003A2442"/>
    <w:rsid w:val="003A30C0"/>
    <w:rsid w:val="003A342F"/>
    <w:rsid w:val="003A35CB"/>
    <w:rsid w:val="003A3CF6"/>
    <w:rsid w:val="003A3DC3"/>
    <w:rsid w:val="003A3FF8"/>
    <w:rsid w:val="003A4000"/>
    <w:rsid w:val="003A428B"/>
    <w:rsid w:val="003A42AE"/>
    <w:rsid w:val="003A4333"/>
    <w:rsid w:val="003A4567"/>
    <w:rsid w:val="003A4569"/>
    <w:rsid w:val="003A46B4"/>
    <w:rsid w:val="003A46CB"/>
    <w:rsid w:val="003A4F69"/>
    <w:rsid w:val="003A5640"/>
    <w:rsid w:val="003A62D4"/>
    <w:rsid w:val="003A63E0"/>
    <w:rsid w:val="003A6D5B"/>
    <w:rsid w:val="003A6EE3"/>
    <w:rsid w:val="003A7B13"/>
    <w:rsid w:val="003A7CB4"/>
    <w:rsid w:val="003A7E37"/>
    <w:rsid w:val="003B0423"/>
    <w:rsid w:val="003B0543"/>
    <w:rsid w:val="003B05D4"/>
    <w:rsid w:val="003B0732"/>
    <w:rsid w:val="003B08B9"/>
    <w:rsid w:val="003B1484"/>
    <w:rsid w:val="003B16C3"/>
    <w:rsid w:val="003B1952"/>
    <w:rsid w:val="003B1CC6"/>
    <w:rsid w:val="003B216F"/>
    <w:rsid w:val="003B228B"/>
    <w:rsid w:val="003B278A"/>
    <w:rsid w:val="003B2813"/>
    <w:rsid w:val="003B2AF5"/>
    <w:rsid w:val="003B3130"/>
    <w:rsid w:val="003B37A0"/>
    <w:rsid w:val="003B39F9"/>
    <w:rsid w:val="003B3C9E"/>
    <w:rsid w:val="003B3DCD"/>
    <w:rsid w:val="003B3F78"/>
    <w:rsid w:val="003B4111"/>
    <w:rsid w:val="003B52D2"/>
    <w:rsid w:val="003B5B83"/>
    <w:rsid w:val="003B5BEA"/>
    <w:rsid w:val="003B6636"/>
    <w:rsid w:val="003B66DC"/>
    <w:rsid w:val="003B69C9"/>
    <w:rsid w:val="003B6F21"/>
    <w:rsid w:val="003B7833"/>
    <w:rsid w:val="003B7849"/>
    <w:rsid w:val="003B7CD4"/>
    <w:rsid w:val="003C049B"/>
    <w:rsid w:val="003C0588"/>
    <w:rsid w:val="003C05F6"/>
    <w:rsid w:val="003C0CF0"/>
    <w:rsid w:val="003C0E2F"/>
    <w:rsid w:val="003C1354"/>
    <w:rsid w:val="003C16C7"/>
    <w:rsid w:val="003C1CD1"/>
    <w:rsid w:val="003C1CF2"/>
    <w:rsid w:val="003C2251"/>
    <w:rsid w:val="003C2AA1"/>
    <w:rsid w:val="003C330F"/>
    <w:rsid w:val="003C35CB"/>
    <w:rsid w:val="003C3D03"/>
    <w:rsid w:val="003C3E32"/>
    <w:rsid w:val="003C4F61"/>
    <w:rsid w:val="003C515A"/>
    <w:rsid w:val="003C5802"/>
    <w:rsid w:val="003C5CA3"/>
    <w:rsid w:val="003C63D4"/>
    <w:rsid w:val="003C659C"/>
    <w:rsid w:val="003C65FC"/>
    <w:rsid w:val="003C6842"/>
    <w:rsid w:val="003C6C50"/>
    <w:rsid w:val="003C733D"/>
    <w:rsid w:val="003D05FE"/>
    <w:rsid w:val="003D07C2"/>
    <w:rsid w:val="003D1242"/>
    <w:rsid w:val="003D161D"/>
    <w:rsid w:val="003D1BE0"/>
    <w:rsid w:val="003D1BF9"/>
    <w:rsid w:val="003D26B9"/>
    <w:rsid w:val="003D3D5E"/>
    <w:rsid w:val="003D4830"/>
    <w:rsid w:val="003D5803"/>
    <w:rsid w:val="003D595E"/>
    <w:rsid w:val="003D5B9F"/>
    <w:rsid w:val="003D5BF3"/>
    <w:rsid w:val="003D5EE4"/>
    <w:rsid w:val="003D600A"/>
    <w:rsid w:val="003D6055"/>
    <w:rsid w:val="003D6537"/>
    <w:rsid w:val="003D6B7B"/>
    <w:rsid w:val="003D6F1F"/>
    <w:rsid w:val="003D7311"/>
    <w:rsid w:val="003D76AF"/>
    <w:rsid w:val="003E082D"/>
    <w:rsid w:val="003E1181"/>
    <w:rsid w:val="003E11A0"/>
    <w:rsid w:val="003E16A4"/>
    <w:rsid w:val="003E16D9"/>
    <w:rsid w:val="003E1D9C"/>
    <w:rsid w:val="003E22AB"/>
    <w:rsid w:val="003E30F3"/>
    <w:rsid w:val="003E420B"/>
    <w:rsid w:val="003E48A8"/>
    <w:rsid w:val="003E4E79"/>
    <w:rsid w:val="003E4F4E"/>
    <w:rsid w:val="003E4F4F"/>
    <w:rsid w:val="003E5093"/>
    <w:rsid w:val="003E6179"/>
    <w:rsid w:val="003E69D7"/>
    <w:rsid w:val="003E6C78"/>
    <w:rsid w:val="003E702C"/>
    <w:rsid w:val="003E72CB"/>
    <w:rsid w:val="003E77D0"/>
    <w:rsid w:val="003E7DBE"/>
    <w:rsid w:val="003F08B3"/>
    <w:rsid w:val="003F0900"/>
    <w:rsid w:val="003F0B85"/>
    <w:rsid w:val="003F0BF6"/>
    <w:rsid w:val="003F1218"/>
    <w:rsid w:val="003F1A22"/>
    <w:rsid w:val="003F214A"/>
    <w:rsid w:val="003F27E5"/>
    <w:rsid w:val="003F2DEE"/>
    <w:rsid w:val="003F3033"/>
    <w:rsid w:val="003F3C54"/>
    <w:rsid w:val="003F3C7F"/>
    <w:rsid w:val="003F3F2C"/>
    <w:rsid w:val="003F40F2"/>
    <w:rsid w:val="003F486D"/>
    <w:rsid w:val="003F4AAE"/>
    <w:rsid w:val="003F4D86"/>
    <w:rsid w:val="003F502E"/>
    <w:rsid w:val="003F5487"/>
    <w:rsid w:val="003F55BE"/>
    <w:rsid w:val="003F5738"/>
    <w:rsid w:val="003F5A70"/>
    <w:rsid w:val="003F5B39"/>
    <w:rsid w:val="003F5C6B"/>
    <w:rsid w:val="003F6244"/>
    <w:rsid w:val="003F628C"/>
    <w:rsid w:val="003F6353"/>
    <w:rsid w:val="003F6D46"/>
    <w:rsid w:val="003F700F"/>
    <w:rsid w:val="004001E7"/>
    <w:rsid w:val="004002C1"/>
    <w:rsid w:val="0040116B"/>
    <w:rsid w:val="004019DC"/>
    <w:rsid w:val="00402306"/>
    <w:rsid w:val="00402D79"/>
    <w:rsid w:val="00402E1B"/>
    <w:rsid w:val="00403515"/>
    <w:rsid w:val="00403978"/>
    <w:rsid w:val="00403CA4"/>
    <w:rsid w:val="00404232"/>
    <w:rsid w:val="00404DFD"/>
    <w:rsid w:val="00404FB4"/>
    <w:rsid w:val="004053F2"/>
    <w:rsid w:val="00405AB4"/>
    <w:rsid w:val="00405F38"/>
    <w:rsid w:val="00406778"/>
    <w:rsid w:val="00406BEF"/>
    <w:rsid w:val="00406D02"/>
    <w:rsid w:val="00407A35"/>
    <w:rsid w:val="00410051"/>
    <w:rsid w:val="00410148"/>
    <w:rsid w:val="0041021D"/>
    <w:rsid w:val="00410479"/>
    <w:rsid w:val="004108DF"/>
    <w:rsid w:val="00410B38"/>
    <w:rsid w:val="00410C60"/>
    <w:rsid w:val="004110EB"/>
    <w:rsid w:val="00411553"/>
    <w:rsid w:val="0041157A"/>
    <w:rsid w:val="0041191A"/>
    <w:rsid w:val="00411A3F"/>
    <w:rsid w:val="00411B8B"/>
    <w:rsid w:val="0041426E"/>
    <w:rsid w:val="004143F6"/>
    <w:rsid w:val="00414ADB"/>
    <w:rsid w:val="00414CAE"/>
    <w:rsid w:val="0041570F"/>
    <w:rsid w:val="00415B2F"/>
    <w:rsid w:val="00416542"/>
    <w:rsid w:val="0041701E"/>
    <w:rsid w:val="00417856"/>
    <w:rsid w:val="00417B0D"/>
    <w:rsid w:val="004202DE"/>
    <w:rsid w:val="004206A6"/>
    <w:rsid w:val="0042150E"/>
    <w:rsid w:val="00421A6D"/>
    <w:rsid w:val="00421B1A"/>
    <w:rsid w:val="00421FB1"/>
    <w:rsid w:val="00422593"/>
    <w:rsid w:val="00422BFD"/>
    <w:rsid w:val="00422E11"/>
    <w:rsid w:val="0042309B"/>
    <w:rsid w:val="00423853"/>
    <w:rsid w:val="004244C8"/>
    <w:rsid w:val="00424A9E"/>
    <w:rsid w:val="00424F62"/>
    <w:rsid w:val="0042509D"/>
    <w:rsid w:val="00425269"/>
    <w:rsid w:val="0042535E"/>
    <w:rsid w:val="00425B07"/>
    <w:rsid w:val="00426934"/>
    <w:rsid w:val="00426DA4"/>
    <w:rsid w:val="0042705A"/>
    <w:rsid w:val="004278ED"/>
    <w:rsid w:val="00427BDE"/>
    <w:rsid w:val="00430EC3"/>
    <w:rsid w:val="0043152B"/>
    <w:rsid w:val="00431679"/>
    <w:rsid w:val="00431B94"/>
    <w:rsid w:val="0043257B"/>
    <w:rsid w:val="004326A5"/>
    <w:rsid w:val="00433050"/>
    <w:rsid w:val="004338AF"/>
    <w:rsid w:val="00433E88"/>
    <w:rsid w:val="00433F00"/>
    <w:rsid w:val="00434278"/>
    <w:rsid w:val="0043434C"/>
    <w:rsid w:val="00435348"/>
    <w:rsid w:val="00435505"/>
    <w:rsid w:val="00436524"/>
    <w:rsid w:val="00436A7D"/>
    <w:rsid w:val="00437773"/>
    <w:rsid w:val="00437C86"/>
    <w:rsid w:val="00440793"/>
    <w:rsid w:val="00440CD1"/>
    <w:rsid w:val="00442366"/>
    <w:rsid w:val="00442786"/>
    <w:rsid w:val="004427E1"/>
    <w:rsid w:val="004438B1"/>
    <w:rsid w:val="0044395A"/>
    <w:rsid w:val="00443A51"/>
    <w:rsid w:val="00444211"/>
    <w:rsid w:val="0044436A"/>
    <w:rsid w:val="0044457A"/>
    <w:rsid w:val="00445EF1"/>
    <w:rsid w:val="00445F87"/>
    <w:rsid w:val="00445FFA"/>
    <w:rsid w:val="00447281"/>
    <w:rsid w:val="00447463"/>
    <w:rsid w:val="004474E7"/>
    <w:rsid w:val="00447632"/>
    <w:rsid w:val="00447634"/>
    <w:rsid w:val="00447BD3"/>
    <w:rsid w:val="00447E9B"/>
    <w:rsid w:val="004508E6"/>
    <w:rsid w:val="00452827"/>
    <w:rsid w:val="004528CD"/>
    <w:rsid w:val="004529AE"/>
    <w:rsid w:val="00452A5E"/>
    <w:rsid w:val="00452A90"/>
    <w:rsid w:val="004530E1"/>
    <w:rsid w:val="00453352"/>
    <w:rsid w:val="0045349E"/>
    <w:rsid w:val="00453C35"/>
    <w:rsid w:val="00453E98"/>
    <w:rsid w:val="0045424E"/>
    <w:rsid w:val="004544F8"/>
    <w:rsid w:val="0045466E"/>
    <w:rsid w:val="00455F43"/>
    <w:rsid w:val="00456043"/>
    <w:rsid w:val="004567F6"/>
    <w:rsid w:val="00456BC6"/>
    <w:rsid w:val="004577F6"/>
    <w:rsid w:val="004604A3"/>
    <w:rsid w:val="004606B8"/>
    <w:rsid w:val="00460BE7"/>
    <w:rsid w:val="00460E69"/>
    <w:rsid w:val="004610AE"/>
    <w:rsid w:val="0046117B"/>
    <w:rsid w:val="004611A9"/>
    <w:rsid w:val="004613D3"/>
    <w:rsid w:val="0046141E"/>
    <w:rsid w:val="00461452"/>
    <w:rsid w:val="00461A9A"/>
    <w:rsid w:val="00461C8C"/>
    <w:rsid w:val="00461E22"/>
    <w:rsid w:val="00461FB9"/>
    <w:rsid w:val="004620A8"/>
    <w:rsid w:val="00462240"/>
    <w:rsid w:val="0046249D"/>
    <w:rsid w:val="00462F52"/>
    <w:rsid w:val="00463166"/>
    <w:rsid w:val="004635C6"/>
    <w:rsid w:val="0046389A"/>
    <w:rsid w:val="004638D3"/>
    <w:rsid w:val="0046470A"/>
    <w:rsid w:val="004655CC"/>
    <w:rsid w:val="00465A7E"/>
    <w:rsid w:val="00465CA2"/>
    <w:rsid w:val="0046637E"/>
    <w:rsid w:val="00466731"/>
    <w:rsid w:val="00466B30"/>
    <w:rsid w:val="00466E75"/>
    <w:rsid w:val="00466EAB"/>
    <w:rsid w:val="00470A9A"/>
    <w:rsid w:val="00470E8F"/>
    <w:rsid w:val="00471135"/>
    <w:rsid w:val="00471A6E"/>
    <w:rsid w:val="00471A71"/>
    <w:rsid w:val="004722A1"/>
    <w:rsid w:val="00473391"/>
    <w:rsid w:val="004735DB"/>
    <w:rsid w:val="004739DA"/>
    <w:rsid w:val="00474723"/>
    <w:rsid w:val="00474D5D"/>
    <w:rsid w:val="00475018"/>
    <w:rsid w:val="004750B1"/>
    <w:rsid w:val="00475941"/>
    <w:rsid w:val="00475D28"/>
    <w:rsid w:val="00475DCD"/>
    <w:rsid w:val="00475E4E"/>
    <w:rsid w:val="0047643B"/>
    <w:rsid w:val="004768D1"/>
    <w:rsid w:val="00476B1E"/>
    <w:rsid w:val="00476CC6"/>
    <w:rsid w:val="00477908"/>
    <w:rsid w:val="00477932"/>
    <w:rsid w:val="00477BD7"/>
    <w:rsid w:val="0048003D"/>
    <w:rsid w:val="00480316"/>
    <w:rsid w:val="0048052E"/>
    <w:rsid w:val="00480792"/>
    <w:rsid w:val="00480AE8"/>
    <w:rsid w:val="00480D62"/>
    <w:rsid w:val="0048284A"/>
    <w:rsid w:val="0048298B"/>
    <w:rsid w:val="00482F80"/>
    <w:rsid w:val="004832C6"/>
    <w:rsid w:val="00483429"/>
    <w:rsid w:val="004838F5"/>
    <w:rsid w:val="004838FB"/>
    <w:rsid w:val="00483B9C"/>
    <w:rsid w:val="00483EF4"/>
    <w:rsid w:val="0048421A"/>
    <w:rsid w:val="00484422"/>
    <w:rsid w:val="00484D40"/>
    <w:rsid w:val="00486048"/>
    <w:rsid w:val="00486B2F"/>
    <w:rsid w:val="00487DCC"/>
    <w:rsid w:val="00487ED6"/>
    <w:rsid w:val="00487EEB"/>
    <w:rsid w:val="00491B4C"/>
    <w:rsid w:val="0049212F"/>
    <w:rsid w:val="00492205"/>
    <w:rsid w:val="00492244"/>
    <w:rsid w:val="00492249"/>
    <w:rsid w:val="00493099"/>
    <w:rsid w:val="0049365B"/>
    <w:rsid w:val="00493686"/>
    <w:rsid w:val="00493758"/>
    <w:rsid w:val="004940DC"/>
    <w:rsid w:val="00494A9D"/>
    <w:rsid w:val="0049509B"/>
    <w:rsid w:val="004952C9"/>
    <w:rsid w:val="00495825"/>
    <w:rsid w:val="00495EC8"/>
    <w:rsid w:val="00496492"/>
    <w:rsid w:val="00496A61"/>
    <w:rsid w:val="00497A1E"/>
    <w:rsid w:val="00497C17"/>
    <w:rsid w:val="00497CD3"/>
    <w:rsid w:val="004A0038"/>
    <w:rsid w:val="004A02E5"/>
    <w:rsid w:val="004A0590"/>
    <w:rsid w:val="004A0732"/>
    <w:rsid w:val="004A08D0"/>
    <w:rsid w:val="004A0BA8"/>
    <w:rsid w:val="004A0F39"/>
    <w:rsid w:val="004A178D"/>
    <w:rsid w:val="004A1F50"/>
    <w:rsid w:val="004A2481"/>
    <w:rsid w:val="004A279D"/>
    <w:rsid w:val="004A2EF9"/>
    <w:rsid w:val="004A39F5"/>
    <w:rsid w:val="004A41C5"/>
    <w:rsid w:val="004A533F"/>
    <w:rsid w:val="004A56EC"/>
    <w:rsid w:val="004A5B42"/>
    <w:rsid w:val="004A65A6"/>
    <w:rsid w:val="004A6FAA"/>
    <w:rsid w:val="004A6FF0"/>
    <w:rsid w:val="004A74F5"/>
    <w:rsid w:val="004A7678"/>
    <w:rsid w:val="004A7D6F"/>
    <w:rsid w:val="004B05CA"/>
    <w:rsid w:val="004B0676"/>
    <w:rsid w:val="004B1610"/>
    <w:rsid w:val="004B1B3E"/>
    <w:rsid w:val="004B1B5C"/>
    <w:rsid w:val="004B1CA3"/>
    <w:rsid w:val="004B2037"/>
    <w:rsid w:val="004B2E20"/>
    <w:rsid w:val="004B3833"/>
    <w:rsid w:val="004B3F4A"/>
    <w:rsid w:val="004B405F"/>
    <w:rsid w:val="004B41C5"/>
    <w:rsid w:val="004B44C4"/>
    <w:rsid w:val="004B457B"/>
    <w:rsid w:val="004B4DF6"/>
    <w:rsid w:val="004B535E"/>
    <w:rsid w:val="004B5C68"/>
    <w:rsid w:val="004B75FC"/>
    <w:rsid w:val="004B7852"/>
    <w:rsid w:val="004B7DC6"/>
    <w:rsid w:val="004B7EA7"/>
    <w:rsid w:val="004B7F96"/>
    <w:rsid w:val="004C1B72"/>
    <w:rsid w:val="004C1E84"/>
    <w:rsid w:val="004C208C"/>
    <w:rsid w:val="004C2240"/>
    <w:rsid w:val="004C2F21"/>
    <w:rsid w:val="004C300D"/>
    <w:rsid w:val="004C4AAE"/>
    <w:rsid w:val="004C4DD3"/>
    <w:rsid w:val="004C5231"/>
    <w:rsid w:val="004C533E"/>
    <w:rsid w:val="004C54C2"/>
    <w:rsid w:val="004C58D6"/>
    <w:rsid w:val="004C5A0D"/>
    <w:rsid w:val="004C5C09"/>
    <w:rsid w:val="004C621C"/>
    <w:rsid w:val="004C719C"/>
    <w:rsid w:val="004C7254"/>
    <w:rsid w:val="004C74E4"/>
    <w:rsid w:val="004C781F"/>
    <w:rsid w:val="004C7EB1"/>
    <w:rsid w:val="004D0003"/>
    <w:rsid w:val="004D0BEB"/>
    <w:rsid w:val="004D0CAB"/>
    <w:rsid w:val="004D1237"/>
    <w:rsid w:val="004D19B1"/>
    <w:rsid w:val="004D1C10"/>
    <w:rsid w:val="004D2308"/>
    <w:rsid w:val="004D2594"/>
    <w:rsid w:val="004D2BD1"/>
    <w:rsid w:val="004D3083"/>
    <w:rsid w:val="004D33BA"/>
    <w:rsid w:val="004D3F7D"/>
    <w:rsid w:val="004D413C"/>
    <w:rsid w:val="004D434E"/>
    <w:rsid w:val="004D49D8"/>
    <w:rsid w:val="004D4FA1"/>
    <w:rsid w:val="004D5346"/>
    <w:rsid w:val="004D5C05"/>
    <w:rsid w:val="004D6194"/>
    <w:rsid w:val="004D664E"/>
    <w:rsid w:val="004D66CC"/>
    <w:rsid w:val="004D7012"/>
    <w:rsid w:val="004D7A07"/>
    <w:rsid w:val="004D7B49"/>
    <w:rsid w:val="004D7C23"/>
    <w:rsid w:val="004E04EF"/>
    <w:rsid w:val="004E0568"/>
    <w:rsid w:val="004E0A04"/>
    <w:rsid w:val="004E1115"/>
    <w:rsid w:val="004E11CD"/>
    <w:rsid w:val="004E1A23"/>
    <w:rsid w:val="004E223B"/>
    <w:rsid w:val="004E27E0"/>
    <w:rsid w:val="004E2EF9"/>
    <w:rsid w:val="004E337B"/>
    <w:rsid w:val="004E38A2"/>
    <w:rsid w:val="004E3EC3"/>
    <w:rsid w:val="004E4001"/>
    <w:rsid w:val="004E4CA5"/>
    <w:rsid w:val="004E54CC"/>
    <w:rsid w:val="004E5B06"/>
    <w:rsid w:val="004E5BF6"/>
    <w:rsid w:val="004E5FF8"/>
    <w:rsid w:val="004E6BE4"/>
    <w:rsid w:val="004E6C0E"/>
    <w:rsid w:val="004E7A37"/>
    <w:rsid w:val="004E7CBD"/>
    <w:rsid w:val="004E7E8A"/>
    <w:rsid w:val="004F01E2"/>
    <w:rsid w:val="004F0630"/>
    <w:rsid w:val="004F0950"/>
    <w:rsid w:val="004F0A06"/>
    <w:rsid w:val="004F0E24"/>
    <w:rsid w:val="004F1B64"/>
    <w:rsid w:val="004F1D2C"/>
    <w:rsid w:val="004F1EF3"/>
    <w:rsid w:val="004F2329"/>
    <w:rsid w:val="004F266C"/>
    <w:rsid w:val="004F26D3"/>
    <w:rsid w:val="004F2854"/>
    <w:rsid w:val="004F2AC6"/>
    <w:rsid w:val="004F2B95"/>
    <w:rsid w:val="004F30E5"/>
    <w:rsid w:val="004F33D5"/>
    <w:rsid w:val="004F4270"/>
    <w:rsid w:val="004F43CA"/>
    <w:rsid w:val="004F46CB"/>
    <w:rsid w:val="004F4715"/>
    <w:rsid w:val="004F493A"/>
    <w:rsid w:val="004F55EF"/>
    <w:rsid w:val="004F5659"/>
    <w:rsid w:val="004F5C40"/>
    <w:rsid w:val="004F6A8B"/>
    <w:rsid w:val="004F6EE7"/>
    <w:rsid w:val="004F7357"/>
    <w:rsid w:val="004F7CB9"/>
    <w:rsid w:val="005014AB"/>
    <w:rsid w:val="005015AD"/>
    <w:rsid w:val="00501D8D"/>
    <w:rsid w:val="00501DFC"/>
    <w:rsid w:val="005022C0"/>
    <w:rsid w:val="005022F7"/>
    <w:rsid w:val="00502376"/>
    <w:rsid w:val="005027CD"/>
    <w:rsid w:val="00502966"/>
    <w:rsid w:val="00502DBE"/>
    <w:rsid w:val="00503131"/>
    <w:rsid w:val="00503302"/>
    <w:rsid w:val="005035A4"/>
    <w:rsid w:val="005039B9"/>
    <w:rsid w:val="00504265"/>
    <w:rsid w:val="005049F0"/>
    <w:rsid w:val="00504DD3"/>
    <w:rsid w:val="0050542D"/>
    <w:rsid w:val="00505482"/>
    <w:rsid w:val="005056E2"/>
    <w:rsid w:val="0050581A"/>
    <w:rsid w:val="00505B36"/>
    <w:rsid w:val="00506AB1"/>
    <w:rsid w:val="00506AF6"/>
    <w:rsid w:val="00507174"/>
    <w:rsid w:val="0050718F"/>
    <w:rsid w:val="00507772"/>
    <w:rsid w:val="00507823"/>
    <w:rsid w:val="00507E05"/>
    <w:rsid w:val="00510BA3"/>
    <w:rsid w:val="00510D5F"/>
    <w:rsid w:val="005110F2"/>
    <w:rsid w:val="00511CE6"/>
    <w:rsid w:val="005121DB"/>
    <w:rsid w:val="00512210"/>
    <w:rsid w:val="00512285"/>
    <w:rsid w:val="005124A4"/>
    <w:rsid w:val="005125D8"/>
    <w:rsid w:val="00512A7F"/>
    <w:rsid w:val="00512CFE"/>
    <w:rsid w:val="00513025"/>
    <w:rsid w:val="00513580"/>
    <w:rsid w:val="00513B47"/>
    <w:rsid w:val="0051417C"/>
    <w:rsid w:val="00515299"/>
    <w:rsid w:val="00515CF5"/>
    <w:rsid w:val="00516132"/>
    <w:rsid w:val="005162FF"/>
    <w:rsid w:val="00516C17"/>
    <w:rsid w:val="005178DD"/>
    <w:rsid w:val="005200F6"/>
    <w:rsid w:val="00520156"/>
    <w:rsid w:val="00520347"/>
    <w:rsid w:val="0052087E"/>
    <w:rsid w:val="00520AB5"/>
    <w:rsid w:val="00520EB8"/>
    <w:rsid w:val="005219D5"/>
    <w:rsid w:val="00521E2C"/>
    <w:rsid w:val="005222DF"/>
    <w:rsid w:val="005224BB"/>
    <w:rsid w:val="00522544"/>
    <w:rsid w:val="00522598"/>
    <w:rsid w:val="005226B6"/>
    <w:rsid w:val="0052270B"/>
    <w:rsid w:val="00522EDF"/>
    <w:rsid w:val="00522F4A"/>
    <w:rsid w:val="005230FA"/>
    <w:rsid w:val="005238A6"/>
    <w:rsid w:val="0052399C"/>
    <w:rsid w:val="00523ADA"/>
    <w:rsid w:val="00523FF2"/>
    <w:rsid w:val="00524265"/>
    <w:rsid w:val="0052426E"/>
    <w:rsid w:val="0052434C"/>
    <w:rsid w:val="005246A1"/>
    <w:rsid w:val="005254B4"/>
    <w:rsid w:val="005255A3"/>
    <w:rsid w:val="005256F0"/>
    <w:rsid w:val="00525E84"/>
    <w:rsid w:val="0052618D"/>
    <w:rsid w:val="005276CE"/>
    <w:rsid w:val="00527A54"/>
    <w:rsid w:val="00527CC7"/>
    <w:rsid w:val="00530539"/>
    <w:rsid w:val="005314A5"/>
    <w:rsid w:val="00531716"/>
    <w:rsid w:val="005317A8"/>
    <w:rsid w:val="00531AB4"/>
    <w:rsid w:val="005327D8"/>
    <w:rsid w:val="0053295A"/>
    <w:rsid w:val="00532F71"/>
    <w:rsid w:val="00533463"/>
    <w:rsid w:val="00533F58"/>
    <w:rsid w:val="0053520F"/>
    <w:rsid w:val="00535588"/>
    <w:rsid w:val="005357F4"/>
    <w:rsid w:val="00536CD9"/>
    <w:rsid w:val="00537083"/>
    <w:rsid w:val="0053708B"/>
    <w:rsid w:val="005373AD"/>
    <w:rsid w:val="005379B7"/>
    <w:rsid w:val="00537A4D"/>
    <w:rsid w:val="00537EB2"/>
    <w:rsid w:val="00537F83"/>
    <w:rsid w:val="0054028A"/>
    <w:rsid w:val="0054161F"/>
    <w:rsid w:val="005421EC"/>
    <w:rsid w:val="00542297"/>
    <w:rsid w:val="00542802"/>
    <w:rsid w:val="0054358A"/>
    <w:rsid w:val="005438C7"/>
    <w:rsid w:val="00543FEC"/>
    <w:rsid w:val="005453BD"/>
    <w:rsid w:val="005453EC"/>
    <w:rsid w:val="005454B4"/>
    <w:rsid w:val="0054591A"/>
    <w:rsid w:val="00545DB5"/>
    <w:rsid w:val="00546032"/>
    <w:rsid w:val="00546486"/>
    <w:rsid w:val="00546648"/>
    <w:rsid w:val="0054687A"/>
    <w:rsid w:val="00546B78"/>
    <w:rsid w:val="00547B43"/>
    <w:rsid w:val="00550437"/>
    <w:rsid w:val="00550DE3"/>
    <w:rsid w:val="00551784"/>
    <w:rsid w:val="00551E64"/>
    <w:rsid w:val="00551FD8"/>
    <w:rsid w:val="005522FD"/>
    <w:rsid w:val="00552A81"/>
    <w:rsid w:val="00552EB3"/>
    <w:rsid w:val="00552F10"/>
    <w:rsid w:val="005530B5"/>
    <w:rsid w:val="00553411"/>
    <w:rsid w:val="0055344D"/>
    <w:rsid w:val="005537E3"/>
    <w:rsid w:val="00553853"/>
    <w:rsid w:val="00553884"/>
    <w:rsid w:val="005540A9"/>
    <w:rsid w:val="00554861"/>
    <w:rsid w:val="0055491C"/>
    <w:rsid w:val="00554AC2"/>
    <w:rsid w:val="00554B47"/>
    <w:rsid w:val="005551BB"/>
    <w:rsid w:val="005556CC"/>
    <w:rsid w:val="00555BFB"/>
    <w:rsid w:val="00555D43"/>
    <w:rsid w:val="00556E6A"/>
    <w:rsid w:val="005570A3"/>
    <w:rsid w:val="005570F2"/>
    <w:rsid w:val="005606A7"/>
    <w:rsid w:val="00560AC5"/>
    <w:rsid w:val="00561554"/>
    <w:rsid w:val="00561894"/>
    <w:rsid w:val="00561A2E"/>
    <w:rsid w:val="00562769"/>
    <w:rsid w:val="005638AA"/>
    <w:rsid w:val="00563C32"/>
    <w:rsid w:val="005644FE"/>
    <w:rsid w:val="0056476B"/>
    <w:rsid w:val="00564CD0"/>
    <w:rsid w:val="005654C4"/>
    <w:rsid w:val="005656C6"/>
    <w:rsid w:val="005657C1"/>
    <w:rsid w:val="00565932"/>
    <w:rsid w:val="00565FCB"/>
    <w:rsid w:val="0056605E"/>
    <w:rsid w:val="00566633"/>
    <w:rsid w:val="00566655"/>
    <w:rsid w:val="00566B69"/>
    <w:rsid w:val="00566FF5"/>
    <w:rsid w:val="00567192"/>
    <w:rsid w:val="00567D3A"/>
    <w:rsid w:val="005709BD"/>
    <w:rsid w:val="00570D1F"/>
    <w:rsid w:val="00571327"/>
    <w:rsid w:val="00571E45"/>
    <w:rsid w:val="00572175"/>
    <w:rsid w:val="005725DD"/>
    <w:rsid w:val="00572AC7"/>
    <w:rsid w:val="00572E22"/>
    <w:rsid w:val="0057305B"/>
    <w:rsid w:val="00573D61"/>
    <w:rsid w:val="005744E1"/>
    <w:rsid w:val="00574844"/>
    <w:rsid w:val="00575232"/>
    <w:rsid w:val="005757BA"/>
    <w:rsid w:val="00575EB7"/>
    <w:rsid w:val="00576773"/>
    <w:rsid w:val="005769FD"/>
    <w:rsid w:val="00576BB7"/>
    <w:rsid w:val="005776F3"/>
    <w:rsid w:val="005779A6"/>
    <w:rsid w:val="005800A7"/>
    <w:rsid w:val="00580734"/>
    <w:rsid w:val="00581130"/>
    <w:rsid w:val="005814BA"/>
    <w:rsid w:val="005818A4"/>
    <w:rsid w:val="005819F0"/>
    <w:rsid w:val="0058230A"/>
    <w:rsid w:val="005824A6"/>
    <w:rsid w:val="00582CE6"/>
    <w:rsid w:val="00582F21"/>
    <w:rsid w:val="0058312F"/>
    <w:rsid w:val="005837BF"/>
    <w:rsid w:val="005839AB"/>
    <w:rsid w:val="00584169"/>
    <w:rsid w:val="00584824"/>
    <w:rsid w:val="00584A54"/>
    <w:rsid w:val="00584DBC"/>
    <w:rsid w:val="005855F5"/>
    <w:rsid w:val="00585A26"/>
    <w:rsid w:val="005868CC"/>
    <w:rsid w:val="00586A7F"/>
    <w:rsid w:val="00586C4D"/>
    <w:rsid w:val="00587002"/>
    <w:rsid w:val="005872E1"/>
    <w:rsid w:val="005873ED"/>
    <w:rsid w:val="00587718"/>
    <w:rsid w:val="00587974"/>
    <w:rsid w:val="00587A7D"/>
    <w:rsid w:val="00587CFD"/>
    <w:rsid w:val="00590341"/>
    <w:rsid w:val="005912DB"/>
    <w:rsid w:val="00591739"/>
    <w:rsid w:val="00591CEB"/>
    <w:rsid w:val="005925F1"/>
    <w:rsid w:val="00592F12"/>
    <w:rsid w:val="00593E68"/>
    <w:rsid w:val="00593F9C"/>
    <w:rsid w:val="00594B9B"/>
    <w:rsid w:val="00594BD6"/>
    <w:rsid w:val="005952BC"/>
    <w:rsid w:val="00595610"/>
    <w:rsid w:val="005958F6"/>
    <w:rsid w:val="00595C21"/>
    <w:rsid w:val="00595CDB"/>
    <w:rsid w:val="005960AF"/>
    <w:rsid w:val="00596159"/>
    <w:rsid w:val="005967D2"/>
    <w:rsid w:val="005967FD"/>
    <w:rsid w:val="005A0821"/>
    <w:rsid w:val="005A1634"/>
    <w:rsid w:val="005A1D5F"/>
    <w:rsid w:val="005A2179"/>
    <w:rsid w:val="005A2439"/>
    <w:rsid w:val="005A2567"/>
    <w:rsid w:val="005A2B7E"/>
    <w:rsid w:val="005A3CE0"/>
    <w:rsid w:val="005A3EB3"/>
    <w:rsid w:val="005A4309"/>
    <w:rsid w:val="005A4950"/>
    <w:rsid w:val="005A4B5E"/>
    <w:rsid w:val="005A530B"/>
    <w:rsid w:val="005A5328"/>
    <w:rsid w:val="005A653C"/>
    <w:rsid w:val="005A6D5C"/>
    <w:rsid w:val="005A739C"/>
    <w:rsid w:val="005A7ECF"/>
    <w:rsid w:val="005A7F28"/>
    <w:rsid w:val="005B098E"/>
    <w:rsid w:val="005B1002"/>
    <w:rsid w:val="005B114C"/>
    <w:rsid w:val="005B12C0"/>
    <w:rsid w:val="005B15E6"/>
    <w:rsid w:val="005B1AE4"/>
    <w:rsid w:val="005B2591"/>
    <w:rsid w:val="005B354B"/>
    <w:rsid w:val="005B3ACB"/>
    <w:rsid w:val="005B4039"/>
    <w:rsid w:val="005B4C7D"/>
    <w:rsid w:val="005B4EF6"/>
    <w:rsid w:val="005B510B"/>
    <w:rsid w:val="005B6E11"/>
    <w:rsid w:val="005B7495"/>
    <w:rsid w:val="005B7C6B"/>
    <w:rsid w:val="005B7EF9"/>
    <w:rsid w:val="005C0750"/>
    <w:rsid w:val="005C0BEE"/>
    <w:rsid w:val="005C1BD2"/>
    <w:rsid w:val="005C22A6"/>
    <w:rsid w:val="005C22DA"/>
    <w:rsid w:val="005C2D09"/>
    <w:rsid w:val="005C302E"/>
    <w:rsid w:val="005C3498"/>
    <w:rsid w:val="005C3A2A"/>
    <w:rsid w:val="005C4064"/>
    <w:rsid w:val="005C4102"/>
    <w:rsid w:val="005C423E"/>
    <w:rsid w:val="005C5087"/>
    <w:rsid w:val="005C5104"/>
    <w:rsid w:val="005C5357"/>
    <w:rsid w:val="005C5A8E"/>
    <w:rsid w:val="005C5B22"/>
    <w:rsid w:val="005C5DF3"/>
    <w:rsid w:val="005C6039"/>
    <w:rsid w:val="005C6072"/>
    <w:rsid w:val="005C60FB"/>
    <w:rsid w:val="005C6697"/>
    <w:rsid w:val="005C70A6"/>
    <w:rsid w:val="005C70F9"/>
    <w:rsid w:val="005C7212"/>
    <w:rsid w:val="005D0308"/>
    <w:rsid w:val="005D0368"/>
    <w:rsid w:val="005D0424"/>
    <w:rsid w:val="005D0427"/>
    <w:rsid w:val="005D04A6"/>
    <w:rsid w:val="005D0BC1"/>
    <w:rsid w:val="005D1052"/>
    <w:rsid w:val="005D1965"/>
    <w:rsid w:val="005D19A1"/>
    <w:rsid w:val="005D1F50"/>
    <w:rsid w:val="005D2083"/>
    <w:rsid w:val="005D212E"/>
    <w:rsid w:val="005D2396"/>
    <w:rsid w:val="005D2618"/>
    <w:rsid w:val="005D2B1F"/>
    <w:rsid w:val="005D2E81"/>
    <w:rsid w:val="005D3E00"/>
    <w:rsid w:val="005D48F5"/>
    <w:rsid w:val="005D49AA"/>
    <w:rsid w:val="005D50E6"/>
    <w:rsid w:val="005D523A"/>
    <w:rsid w:val="005D55B6"/>
    <w:rsid w:val="005D56D8"/>
    <w:rsid w:val="005D5FD6"/>
    <w:rsid w:val="005D67C0"/>
    <w:rsid w:val="005D7206"/>
    <w:rsid w:val="005D767B"/>
    <w:rsid w:val="005D7BF5"/>
    <w:rsid w:val="005E010D"/>
    <w:rsid w:val="005E0114"/>
    <w:rsid w:val="005E0233"/>
    <w:rsid w:val="005E0311"/>
    <w:rsid w:val="005E03B5"/>
    <w:rsid w:val="005E053B"/>
    <w:rsid w:val="005E06FD"/>
    <w:rsid w:val="005E091C"/>
    <w:rsid w:val="005E0BDB"/>
    <w:rsid w:val="005E0D45"/>
    <w:rsid w:val="005E1096"/>
    <w:rsid w:val="005E12DC"/>
    <w:rsid w:val="005E16B8"/>
    <w:rsid w:val="005E1E70"/>
    <w:rsid w:val="005E2269"/>
    <w:rsid w:val="005E2389"/>
    <w:rsid w:val="005E2DDB"/>
    <w:rsid w:val="005E3AE1"/>
    <w:rsid w:val="005E3CF5"/>
    <w:rsid w:val="005E3F78"/>
    <w:rsid w:val="005E52E0"/>
    <w:rsid w:val="005E5811"/>
    <w:rsid w:val="005E652B"/>
    <w:rsid w:val="005E6691"/>
    <w:rsid w:val="005E6885"/>
    <w:rsid w:val="005E7E29"/>
    <w:rsid w:val="005F045F"/>
    <w:rsid w:val="005F047D"/>
    <w:rsid w:val="005F1275"/>
    <w:rsid w:val="005F175D"/>
    <w:rsid w:val="005F1ED9"/>
    <w:rsid w:val="005F2509"/>
    <w:rsid w:val="005F2C44"/>
    <w:rsid w:val="005F3435"/>
    <w:rsid w:val="005F35D0"/>
    <w:rsid w:val="005F385C"/>
    <w:rsid w:val="005F41E7"/>
    <w:rsid w:val="005F47CE"/>
    <w:rsid w:val="005F4A3C"/>
    <w:rsid w:val="005F4B91"/>
    <w:rsid w:val="005F4C68"/>
    <w:rsid w:val="005F4D68"/>
    <w:rsid w:val="005F5DA4"/>
    <w:rsid w:val="005F5E0C"/>
    <w:rsid w:val="005F67CB"/>
    <w:rsid w:val="005F68EA"/>
    <w:rsid w:val="005F6F55"/>
    <w:rsid w:val="005F77F3"/>
    <w:rsid w:val="0060041F"/>
    <w:rsid w:val="00600776"/>
    <w:rsid w:val="00601BA7"/>
    <w:rsid w:val="006035A4"/>
    <w:rsid w:val="00603CE0"/>
    <w:rsid w:val="00604114"/>
    <w:rsid w:val="00604206"/>
    <w:rsid w:val="00604346"/>
    <w:rsid w:val="006043AA"/>
    <w:rsid w:val="006047A4"/>
    <w:rsid w:val="006047E8"/>
    <w:rsid w:val="006055E8"/>
    <w:rsid w:val="006059A0"/>
    <w:rsid w:val="00605C12"/>
    <w:rsid w:val="00606226"/>
    <w:rsid w:val="006066EF"/>
    <w:rsid w:val="00606A21"/>
    <w:rsid w:val="0060731F"/>
    <w:rsid w:val="00607774"/>
    <w:rsid w:val="00607ADD"/>
    <w:rsid w:val="00607D6E"/>
    <w:rsid w:val="00607DDD"/>
    <w:rsid w:val="0061021C"/>
    <w:rsid w:val="006103A0"/>
    <w:rsid w:val="0061056B"/>
    <w:rsid w:val="006108D4"/>
    <w:rsid w:val="0061098D"/>
    <w:rsid w:val="00610CDB"/>
    <w:rsid w:val="00610DB0"/>
    <w:rsid w:val="00611560"/>
    <w:rsid w:val="006116A2"/>
    <w:rsid w:val="00611BF0"/>
    <w:rsid w:val="00611C65"/>
    <w:rsid w:val="00611F4A"/>
    <w:rsid w:val="00612359"/>
    <w:rsid w:val="0061245C"/>
    <w:rsid w:val="006125EE"/>
    <w:rsid w:val="006128ED"/>
    <w:rsid w:val="00612DDD"/>
    <w:rsid w:val="006131F7"/>
    <w:rsid w:val="00613224"/>
    <w:rsid w:val="00613360"/>
    <w:rsid w:val="00613E06"/>
    <w:rsid w:val="00613FDE"/>
    <w:rsid w:val="006147CB"/>
    <w:rsid w:val="00614981"/>
    <w:rsid w:val="00614A51"/>
    <w:rsid w:val="00614EB1"/>
    <w:rsid w:val="00614F49"/>
    <w:rsid w:val="006152D3"/>
    <w:rsid w:val="00615315"/>
    <w:rsid w:val="00615446"/>
    <w:rsid w:val="00615496"/>
    <w:rsid w:val="006162F8"/>
    <w:rsid w:val="00616DC3"/>
    <w:rsid w:val="00616E54"/>
    <w:rsid w:val="0061794F"/>
    <w:rsid w:val="00620084"/>
    <w:rsid w:val="00620319"/>
    <w:rsid w:val="00620D03"/>
    <w:rsid w:val="00621C83"/>
    <w:rsid w:val="00621CB5"/>
    <w:rsid w:val="00622236"/>
    <w:rsid w:val="00622327"/>
    <w:rsid w:val="00622BA6"/>
    <w:rsid w:val="00622C28"/>
    <w:rsid w:val="00622DDB"/>
    <w:rsid w:val="00623392"/>
    <w:rsid w:val="006233F3"/>
    <w:rsid w:val="0062343F"/>
    <w:rsid w:val="006234BA"/>
    <w:rsid w:val="00623525"/>
    <w:rsid w:val="00623B17"/>
    <w:rsid w:val="00624268"/>
    <w:rsid w:val="00624ACF"/>
    <w:rsid w:val="00624BC2"/>
    <w:rsid w:val="00625295"/>
    <w:rsid w:val="00625DCE"/>
    <w:rsid w:val="00625FC1"/>
    <w:rsid w:val="00625FCA"/>
    <w:rsid w:val="00626089"/>
    <w:rsid w:val="006264D4"/>
    <w:rsid w:val="006265B7"/>
    <w:rsid w:val="0062661F"/>
    <w:rsid w:val="00626B77"/>
    <w:rsid w:val="00626D2F"/>
    <w:rsid w:val="00626DC9"/>
    <w:rsid w:val="00626E7A"/>
    <w:rsid w:val="006276C5"/>
    <w:rsid w:val="0062793C"/>
    <w:rsid w:val="006305D0"/>
    <w:rsid w:val="00630790"/>
    <w:rsid w:val="006312E2"/>
    <w:rsid w:val="00631B02"/>
    <w:rsid w:val="00632085"/>
    <w:rsid w:val="00632539"/>
    <w:rsid w:val="00632691"/>
    <w:rsid w:val="006329BF"/>
    <w:rsid w:val="0063307F"/>
    <w:rsid w:val="00633FF4"/>
    <w:rsid w:val="00634157"/>
    <w:rsid w:val="00634773"/>
    <w:rsid w:val="00634EFB"/>
    <w:rsid w:val="00635590"/>
    <w:rsid w:val="00635FBA"/>
    <w:rsid w:val="00636459"/>
    <w:rsid w:val="00637139"/>
    <w:rsid w:val="00637A25"/>
    <w:rsid w:val="006400B4"/>
    <w:rsid w:val="0064092B"/>
    <w:rsid w:val="00641303"/>
    <w:rsid w:val="006413C7"/>
    <w:rsid w:val="00641802"/>
    <w:rsid w:val="00641E8D"/>
    <w:rsid w:val="00642046"/>
    <w:rsid w:val="00642165"/>
    <w:rsid w:val="0064284C"/>
    <w:rsid w:val="00642A01"/>
    <w:rsid w:val="00642DB8"/>
    <w:rsid w:val="00643428"/>
    <w:rsid w:val="006438A8"/>
    <w:rsid w:val="006439C7"/>
    <w:rsid w:val="00643B62"/>
    <w:rsid w:val="00643EEF"/>
    <w:rsid w:val="00644139"/>
    <w:rsid w:val="00644277"/>
    <w:rsid w:val="00644552"/>
    <w:rsid w:val="006448F6"/>
    <w:rsid w:val="00645276"/>
    <w:rsid w:val="00645654"/>
    <w:rsid w:val="0064579A"/>
    <w:rsid w:val="00645887"/>
    <w:rsid w:val="00645B4B"/>
    <w:rsid w:val="006462D7"/>
    <w:rsid w:val="00646CB3"/>
    <w:rsid w:val="006471D9"/>
    <w:rsid w:val="0064755D"/>
    <w:rsid w:val="00647586"/>
    <w:rsid w:val="00647C57"/>
    <w:rsid w:val="00647E8A"/>
    <w:rsid w:val="006502B1"/>
    <w:rsid w:val="00650636"/>
    <w:rsid w:val="00650857"/>
    <w:rsid w:val="00650BA3"/>
    <w:rsid w:val="00650EE8"/>
    <w:rsid w:val="00650FCA"/>
    <w:rsid w:val="006514A9"/>
    <w:rsid w:val="006515FB"/>
    <w:rsid w:val="006528F1"/>
    <w:rsid w:val="00652C5A"/>
    <w:rsid w:val="0065321A"/>
    <w:rsid w:val="006534C0"/>
    <w:rsid w:val="00653D26"/>
    <w:rsid w:val="00654A0D"/>
    <w:rsid w:val="00654C76"/>
    <w:rsid w:val="0065537F"/>
    <w:rsid w:val="00655A43"/>
    <w:rsid w:val="00655B29"/>
    <w:rsid w:val="0065606B"/>
    <w:rsid w:val="00656821"/>
    <w:rsid w:val="006568DE"/>
    <w:rsid w:val="00656988"/>
    <w:rsid w:val="00657682"/>
    <w:rsid w:val="00657B9E"/>
    <w:rsid w:val="00657C6E"/>
    <w:rsid w:val="00657D83"/>
    <w:rsid w:val="0066049A"/>
    <w:rsid w:val="00660B5C"/>
    <w:rsid w:val="006616E4"/>
    <w:rsid w:val="0066180A"/>
    <w:rsid w:val="006619AD"/>
    <w:rsid w:val="00662F01"/>
    <w:rsid w:val="00663B2C"/>
    <w:rsid w:val="0066455F"/>
    <w:rsid w:val="00664A09"/>
    <w:rsid w:val="00664CB7"/>
    <w:rsid w:val="00664FA5"/>
    <w:rsid w:val="00665857"/>
    <w:rsid w:val="006664B1"/>
    <w:rsid w:val="00666CDA"/>
    <w:rsid w:val="00666E88"/>
    <w:rsid w:val="006670C3"/>
    <w:rsid w:val="00667635"/>
    <w:rsid w:val="006678B0"/>
    <w:rsid w:val="00667C54"/>
    <w:rsid w:val="006701FE"/>
    <w:rsid w:val="0067066E"/>
    <w:rsid w:val="006706FE"/>
    <w:rsid w:val="0067137A"/>
    <w:rsid w:val="00671927"/>
    <w:rsid w:val="00673201"/>
    <w:rsid w:val="00673660"/>
    <w:rsid w:val="00673D9D"/>
    <w:rsid w:val="00673E41"/>
    <w:rsid w:val="0067413E"/>
    <w:rsid w:val="006741BB"/>
    <w:rsid w:val="00674376"/>
    <w:rsid w:val="0067438C"/>
    <w:rsid w:val="00674447"/>
    <w:rsid w:val="006745AA"/>
    <w:rsid w:val="00674634"/>
    <w:rsid w:val="0067515C"/>
    <w:rsid w:val="00675410"/>
    <w:rsid w:val="006760A9"/>
    <w:rsid w:val="0067660B"/>
    <w:rsid w:val="00676BF6"/>
    <w:rsid w:val="00676FA7"/>
    <w:rsid w:val="00677316"/>
    <w:rsid w:val="006800E6"/>
    <w:rsid w:val="006804A1"/>
    <w:rsid w:val="00681645"/>
    <w:rsid w:val="00681EE4"/>
    <w:rsid w:val="00682230"/>
    <w:rsid w:val="00683EF9"/>
    <w:rsid w:val="00684196"/>
    <w:rsid w:val="00684C64"/>
    <w:rsid w:val="0068596B"/>
    <w:rsid w:val="00686DD3"/>
    <w:rsid w:val="00686EE8"/>
    <w:rsid w:val="00687373"/>
    <w:rsid w:val="00690A1F"/>
    <w:rsid w:val="00690D20"/>
    <w:rsid w:val="00690E5A"/>
    <w:rsid w:val="00691043"/>
    <w:rsid w:val="00691A7C"/>
    <w:rsid w:val="00691A81"/>
    <w:rsid w:val="00692221"/>
    <w:rsid w:val="00692262"/>
    <w:rsid w:val="00692CC9"/>
    <w:rsid w:val="00693016"/>
    <w:rsid w:val="0069334E"/>
    <w:rsid w:val="006937C9"/>
    <w:rsid w:val="00693C61"/>
    <w:rsid w:val="00693CF5"/>
    <w:rsid w:val="006946F4"/>
    <w:rsid w:val="006951D2"/>
    <w:rsid w:val="006952B2"/>
    <w:rsid w:val="006952C4"/>
    <w:rsid w:val="0069576F"/>
    <w:rsid w:val="00695CD7"/>
    <w:rsid w:val="00695F55"/>
    <w:rsid w:val="00695F8F"/>
    <w:rsid w:val="006960F3"/>
    <w:rsid w:val="00696FA0"/>
    <w:rsid w:val="006972B9"/>
    <w:rsid w:val="006972F4"/>
    <w:rsid w:val="006975F3"/>
    <w:rsid w:val="006979D9"/>
    <w:rsid w:val="00697CD3"/>
    <w:rsid w:val="006A0488"/>
    <w:rsid w:val="006A05E7"/>
    <w:rsid w:val="006A0617"/>
    <w:rsid w:val="006A0648"/>
    <w:rsid w:val="006A068A"/>
    <w:rsid w:val="006A08A6"/>
    <w:rsid w:val="006A136A"/>
    <w:rsid w:val="006A155E"/>
    <w:rsid w:val="006A158B"/>
    <w:rsid w:val="006A163E"/>
    <w:rsid w:val="006A1FC8"/>
    <w:rsid w:val="006A21D2"/>
    <w:rsid w:val="006A2237"/>
    <w:rsid w:val="006A31F3"/>
    <w:rsid w:val="006A3451"/>
    <w:rsid w:val="006A3549"/>
    <w:rsid w:val="006A4090"/>
    <w:rsid w:val="006A41BE"/>
    <w:rsid w:val="006A4585"/>
    <w:rsid w:val="006A461B"/>
    <w:rsid w:val="006A4E8E"/>
    <w:rsid w:val="006A50EA"/>
    <w:rsid w:val="006A6899"/>
    <w:rsid w:val="006A68A8"/>
    <w:rsid w:val="006A719C"/>
    <w:rsid w:val="006A784E"/>
    <w:rsid w:val="006A7B2F"/>
    <w:rsid w:val="006A7BEA"/>
    <w:rsid w:val="006A7D16"/>
    <w:rsid w:val="006A7D18"/>
    <w:rsid w:val="006B00B7"/>
    <w:rsid w:val="006B01C6"/>
    <w:rsid w:val="006B0428"/>
    <w:rsid w:val="006B0A4C"/>
    <w:rsid w:val="006B0E13"/>
    <w:rsid w:val="006B1F3A"/>
    <w:rsid w:val="006B206A"/>
    <w:rsid w:val="006B212E"/>
    <w:rsid w:val="006B2A44"/>
    <w:rsid w:val="006B31DB"/>
    <w:rsid w:val="006B31F7"/>
    <w:rsid w:val="006B3D60"/>
    <w:rsid w:val="006B3E78"/>
    <w:rsid w:val="006B52B3"/>
    <w:rsid w:val="006B5B97"/>
    <w:rsid w:val="006B5F60"/>
    <w:rsid w:val="006B6065"/>
    <w:rsid w:val="006B657D"/>
    <w:rsid w:val="006B6730"/>
    <w:rsid w:val="006B7385"/>
    <w:rsid w:val="006B7609"/>
    <w:rsid w:val="006C07DC"/>
    <w:rsid w:val="006C16F8"/>
    <w:rsid w:val="006C1BB3"/>
    <w:rsid w:val="006C1C82"/>
    <w:rsid w:val="006C31B5"/>
    <w:rsid w:val="006C35CE"/>
    <w:rsid w:val="006C379E"/>
    <w:rsid w:val="006C3EC1"/>
    <w:rsid w:val="006C4165"/>
    <w:rsid w:val="006C42DF"/>
    <w:rsid w:val="006C46ED"/>
    <w:rsid w:val="006C4B4F"/>
    <w:rsid w:val="006C4B9E"/>
    <w:rsid w:val="006C4BFE"/>
    <w:rsid w:val="006C4C55"/>
    <w:rsid w:val="006C510C"/>
    <w:rsid w:val="006C5193"/>
    <w:rsid w:val="006C5381"/>
    <w:rsid w:val="006C58A8"/>
    <w:rsid w:val="006C63B6"/>
    <w:rsid w:val="006C67B7"/>
    <w:rsid w:val="006C6B14"/>
    <w:rsid w:val="006C6DBC"/>
    <w:rsid w:val="006C7170"/>
    <w:rsid w:val="006C71C6"/>
    <w:rsid w:val="006C78FE"/>
    <w:rsid w:val="006C7F8A"/>
    <w:rsid w:val="006D0437"/>
    <w:rsid w:val="006D04E7"/>
    <w:rsid w:val="006D0816"/>
    <w:rsid w:val="006D09A6"/>
    <w:rsid w:val="006D295B"/>
    <w:rsid w:val="006D3A30"/>
    <w:rsid w:val="006D3D44"/>
    <w:rsid w:val="006D44BB"/>
    <w:rsid w:val="006D4642"/>
    <w:rsid w:val="006D47A8"/>
    <w:rsid w:val="006D49D5"/>
    <w:rsid w:val="006D5E87"/>
    <w:rsid w:val="006D6EEC"/>
    <w:rsid w:val="006D70C2"/>
    <w:rsid w:val="006D74A8"/>
    <w:rsid w:val="006D7EE7"/>
    <w:rsid w:val="006E0217"/>
    <w:rsid w:val="006E0742"/>
    <w:rsid w:val="006E07E1"/>
    <w:rsid w:val="006E1B11"/>
    <w:rsid w:val="006E21A9"/>
    <w:rsid w:val="006E256C"/>
    <w:rsid w:val="006E27A2"/>
    <w:rsid w:val="006E2BA4"/>
    <w:rsid w:val="006E2C07"/>
    <w:rsid w:val="006E2C63"/>
    <w:rsid w:val="006E2CAD"/>
    <w:rsid w:val="006E30F3"/>
    <w:rsid w:val="006E42DA"/>
    <w:rsid w:val="006E4335"/>
    <w:rsid w:val="006E4575"/>
    <w:rsid w:val="006E4687"/>
    <w:rsid w:val="006E4BE2"/>
    <w:rsid w:val="006E6DF8"/>
    <w:rsid w:val="006E70B4"/>
    <w:rsid w:val="006E73FE"/>
    <w:rsid w:val="006E7766"/>
    <w:rsid w:val="006E7780"/>
    <w:rsid w:val="006E78FC"/>
    <w:rsid w:val="006F03F6"/>
    <w:rsid w:val="006F0BF6"/>
    <w:rsid w:val="006F273A"/>
    <w:rsid w:val="006F3D82"/>
    <w:rsid w:val="006F4CB3"/>
    <w:rsid w:val="006F50ED"/>
    <w:rsid w:val="006F5CEC"/>
    <w:rsid w:val="006F5EE1"/>
    <w:rsid w:val="006F6035"/>
    <w:rsid w:val="006F634D"/>
    <w:rsid w:val="006F6B08"/>
    <w:rsid w:val="006F73F1"/>
    <w:rsid w:val="006F7432"/>
    <w:rsid w:val="006F7B6D"/>
    <w:rsid w:val="006F7BE5"/>
    <w:rsid w:val="006F7D6A"/>
    <w:rsid w:val="00700B31"/>
    <w:rsid w:val="00701172"/>
    <w:rsid w:val="00701C83"/>
    <w:rsid w:val="00701E08"/>
    <w:rsid w:val="00702408"/>
    <w:rsid w:val="007027BD"/>
    <w:rsid w:val="00702926"/>
    <w:rsid w:val="00702A83"/>
    <w:rsid w:val="00703153"/>
    <w:rsid w:val="00703935"/>
    <w:rsid w:val="007041B3"/>
    <w:rsid w:val="00704660"/>
    <w:rsid w:val="007052EE"/>
    <w:rsid w:val="00706091"/>
    <w:rsid w:val="0070619C"/>
    <w:rsid w:val="00706F67"/>
    <w:rsid w:val="00710143"/>
    <w:rsid w:val="007104A1"/>
    <w:rsid w:val="007104EB"/>
    <w:rsid w:val="00710509"/>
    <w:rsid w:val="00710EF3"/>
    <w:rsid w:val="00710F51"/>
    <w:rsid w:val="007110B7"/>
    <w:rsid w:val="00711239"/>
    <w:rsid w:val="00711D30"/>
    <w:rsid w:val="00711D6B"/>
    <w:rsid w:val="00712332"/>
    <w:rsid w:val="00712681"/>
    <w:rsid w:val="0071282C"/>
    <w:rsid w:val="00712922"/>
    <w:rsid w:val="00712962"/>
    <w:rsid w:val="00712C2D"/>
    <w:rsid w:val="00714680"/>
    <w:rsid w:val="00715076"/>
    <w:rsid w:val="0071536F"/>
    <w:rsid w:val="00715483"/>
    <w:rsid w:val="00715613"/>
    <w:rsid w:val="00715637"/>
    <w:rsid w:val="00715846"/>
    <w:rsid w:val="00715A65"/>
    <w:rsid w:val="00715D1C"/>
    <w:rsid w:val="00715F93"/>
    <w:rsid w:val="007162EC"/>
    <w:rsid w:val="00716750"/>
    <w:rsid w:val="00716B7F"/>
    <w:rsid w:val="007175C8"/>
    <w:rsid w:val="00717BB9"/>
    <w:rsid w:val="00717D05"/>
    <w:rsid w:val="00717F64"/>
    <w:rsid w:val="007203A5"/>
    <w:rsid w:val="00720514"/>
    <w:rsid w:val="007208BE"/>
    <w:rsid w:val="0072100B"/>
    <w:rsid w:val="00721129"/>
    <w:rsid w:val="00721492"/>
    <w:rsid w:val="007219E1"/>
    <w:rsid w:val="007232BD"/>
    <w:rsid w:val="0072330F"/>
    <w:rsid w:val="007233B6"/>
    <w:rsid w:val="00723523"/>
    <w:rsid w:val="0072395D"/>
    <w:rsid w:val="00724091"/>
    <w:rsid w:val="0072425C"/>
    <w:rsid w:val="0072482F"/>
    <w:rsid w:val="00724BA6"/>
    <w:rsid w:val="00724F46"/>
    <w:rsid w:val="0072515E"/>
    <w:rsid w:val="00725904"/>
    <w:rsid w:val="00725CC6"/>
    <w:rsid w:val="00725EEA"/>
    <w:rsid w:val="0072627B"/>
    <w:rsid w:val="00726346"/>
    <w:rsid w:val="00726C5A"/>
    <w:rsid w:val="00727264"/>
    <w:rsid w:val="007274AA"/>
    <w:rsid w:val="0072760D"/>
    <w:rsid w:val="0072787A"/>
    <w:rsid w:val="00727E57"/>
    <w:rsid w:val="007302A0"/>
    <w:rsid w:val="00730824"/>
    <w:rsid w:val="00730A94"/>
    <w:rsid w:val="00730C7A"/>
    <w:rsid w:val="007327A2"/>
    <w:rsid w:val="0073321C"/>
    <w:rsid w:val="007336BC"/>
    <w:rsid w:val="00734D85"/>
    <w:rsid w:val="00735253"/>
    <w:rsid w:val="007354CF"/>
    <w:rsid w:val="00735532"/>
    <w:rsid w:val="00735750"/>
    <w:rsid w:val="00735E8E"/>
    <w:rsid w:val="00735FEF"/>
    <w:rsid w:val="007360C1"/>
    <w:rsid w:val="00736572"/>
    <w:rsid w:val="00736716"/>
    <w:rsid w:val="00737674"/>
    <w:rsid w:val="0073770C"/>
    <w:rsid w:val="00737981"/>
    <w:rsid w:val="00740F63"/>
    <w:rsid w:val="0074177A"/>
    <w:rsid w:val="007418BA"/>
    <w:rsid w:val="00742611"/>
    <w:rsid w:val="0074284E"/>
    <w:rsid w:val="00742B69"/>
    <w:rsid w:val="00742D53"/>
    <w:rsid w:val="00743207"/>
    <w:rsid w:val="00743296"/>
    <w:rsid w:val="00743420"/>
    <w:rsid w:val="00743D93"/>
    <w:rsid w:val="00744380"/>
    <w:rsid w:val="00744E83"/>
    <w:rsid w:val="00745B12"/>
    <w:rsid w:val="00745D10"/>
    <w:rsid w:val="00746411"/>
    <w:rsid w:val="007475CB"/>
    <w:rsid w:val="00747A07"/>
    <w:rsid w:val="00747D61"/>
    <w:rsid w:val="00750BF5"/>
    <w:rsid w:val="007512C6"/>
    <w:rsid w:val="007515DE"/>
    <w:rsid w:val="00751A77"/>
    <w:rsid w:val="00752C21"/>
    <w:rsid w:val="00752D69"/>
    <w:rsid w:val="00753703"/>
    <w:rsid w:val="00754232"/>
    <w:rsid w:val="007544B6"/>
    <w:rsid w:val="00754BE8"/>
    <w:rsid w:val="0075538F"/>
    <w:rsid w:val="00755440"/>
    <w:rsid w:val="0075547E"/>
    <w:rsid w:val="007558CF"/>
    <w:rsid w:val="00755D75"/>
    <w:rsid w:val="00755DEC"/>
    <w:rsid w:val="0075655A"/>
    <w:rsid w:val="007565A4"/>
    <w:rsid w:val="00756E9C"/>
    <w:rsid w:val="00757104"/>
    <w:rsid w:val="007573DB"/>
    <w:rsid w:val="00757475"/>
    <w:rsid w:val="00757AE3"/>
    <w:rsid w:val="007601D6"/>
    <w:rsid w:val="007603CB"/>
    <w:rsid w:val="00760DB3"/>
    <w:rsid w:val="007613EC"/>
    <w:rsid w:val="007615C1"/>
    <w:rsid w:val="00762758"/>
    <w:rsid w:val="00763167"/>
    <w:rsid w:val="00763555"/>
    <w:rsid w:val="00763B82"/>
    <w:rsid w:val="00765408"/>
    <w:rsid w:val="00765611"/>
    <w:rsid w:val="0076570E"/>
    <w:rsid w:val="00765A9C"/>
    <w:rsid w:val="00765DAA"/>
    <w:rsid w:val="00765DC9"/>
    <w:rsid w:val="00765EC1"/>
    <w:rsid w:val="0076667E"/>
    <w:rsid w:val="007666D3"/>
    <w:rsid w:val="00766F5B"/>
    <w:rsid w:val="00767659"/>
    <w:rsid w:val="00767CA8"/>
    <w:rsid w:val="00767F69"/>
    <w:rsid w:val="007700E2"/>
    <w:rsid w:val="00770C8F"/>
    <w:rsid w:val="00770D04"/>
    <w:rsid w:val="007714DE"/>
    <w:rsid w:val="0077175A"/>
    <w:rsid w:val="00771AA4"/>
    <w:rsid w:val="00772078"/>
    <w:rsid w:val="00773DC4"/>
    <w:rsid w:val="007748A8"/>
    <w:rsid w:val="00774B98"/>
    <w:rsid w:val="00775250"/>
    <w:rsid w:val="00775394"/>
    <w:rsid w:val="00775B7A"/>
    <w:rsid w:val="0077604B"/>
    <w:rsid w:val="007764CC"/>
    <w:rsid w:val="0077686F"/>
    <w:rsid w:val="0077699D"/>
    <w:rsid w:val="00776EC2"/>
    <w:rsid w:val="00776F99"/>
    <w:rsid w:val="00777D35"/>
    <w:rsid w:val="00777E2F"/>
    <w:rsid w:val="00777F7F"/>
    <w:rsid w:val="0078010E"/>
    <w:rsid w:val="00780129"/>
    <w:rsid w:val="00780B5F"/>
    <w:rsid w:val="00780EB6"/>
    <w:rsid w:val="00781338"/>
    <w:rsid w:val="00781849"/>
    <w:rsid w:val="007819BA"/>
    <w:rsid w:val="00781BC7"/>
    <w:rsid w:val="00781F8A"/>
    <w:rsid w:val="00782267"/>
    <w:rsid w:val="007825A9"/>
    <w:rsid w:val="007825C2"/>
    <w:rsid w:val="007826DC"/>
    <w:rsid w:val="0078287C"/>
    <w:rsid w:val="007832A4"/>
    <w:rsid w:val="00783404"/>
    <w:rsid w:val="00783537"/>
    <w:rsid w:val="0078393D"/>
    <w:rsid w:val="00784026"/>
    <w:rsid w:val="00784374"/>
    <w:rsid w:val="00784439"/>
    <w:rsid w:val="007849BF"/>
    <w:rsid w:val="00784B6F"/>
    <w:rsid w:val="007850A0"/>
    <w:rsid w:val="0078536D"/>
    <w:rsid w:val="0078588C"/>
    <w:rsid w:val="00785B35"/>
    <w:rsid w:val="00785BB4"/>
    <w:rsid w:val="00786DBC"/>
    <w:rsid w:val="007870D6"/>
    <w:rsid w:val="007875DE"/>
    <w:rsid w:val="00787A88"/>
    <w:rsid w:val="00790883"/>
    <w:rsid w:val="00790B25"/>
    <w:rsid w:val="00790D3A"/>
    <w:rsid w:val="00791139"/>
    <w:rsid w:val="007916D7"/>
    <w:rsid w:val="007925D4"/>
    <w:rsid w:val="00792DCE"/>
    <w:rsid w:val="0079401D"/>
    <w:rsid w:val="00794D66"/>
    <w:rsid w:val="00794FE9"/>
    <w:rsid w:val="007951B7"/>
    <w:rsid w:val="00795522"/>
    <w:rsid w:val="0079719C"/>
    <w:rsid w:val="007A04BB"/>
    <w:rsid w:val="007A071D"/>
    <w:rsid w:val="007A09C3"/>
    <w:rsid w:val="007A10C5"/>
    <w:rsid w:val="007A11B7"/>
    <w:rsid w:val="007A125A"/>
    <w:rsid w:val="007A1281"/>
    <w:rsid w:val="007A16F3"/>
    <w:rsid w:val="007A1871"/>
    <w:rsid w:val="007A2233"/>
    <w:rsid w:val="007A22EB"/>
    <w:rsid w:val="007A258C"/>
    <w:rsid w:val="007A26A1"/>
    <w:rsid w:val="007A30CF"/>
    <w:rsid w:val="007A36CA"/>
    <w:rsid w:val="007A36CE"/>
    <w:rsid w:val="007A3BB2"/>
    <w:rsid w:val="007A3C31"/>
    <w:rsid w:val="007A3C9B"/>
    <w:rsid w:val="007A402F"/>
    <w:rsid w:val="007A4438"/>
    <w:rsid w:val="007A44FD"/>
    <w:rsid w:val="007A4539"/>
    <w:rsid w:val="007A51DF"/>
    <w:rsid w:val="007A562D"/>
    <w:rsid w:val="007A5912"/>
    <w:rsid w:val="007A64A9"/>
    <w:rsid w:val="007A6530"/>
    <w:rsid w:val="007A70EC"/>
    <w:rsid w:val="007A7169"/>
    <w:rsid w:val="007A75CB"/>
    <w:rsid w:val="007B0097"/>
    <w:rsid w:val="007B0398"/>
    <w:rsid w:val="007B09E6"/>
    <w:rsid w:val="007B12D3"/>
    <w:rsid w:val="007B1442"/>
    <w:rsid w:val="007B14B7"/>
    <w:rsid w:val="007B1537"/>
    <w:rsid w:val="007B1765"/>
    <w:rsid w:val="007B1C1B"/>
    <w:rsid w:val="007B1CF7"/>
    <w:rsid w:val="007B1E69"/>
    <w:rsid w:val="007B22DE"/>
    <w:rsid w:val="007B2405"/>
    <w:rsid w:val="007B2830"/>
    <w:rsid w:val="007B37F2"/>
    <w:rsid w:val="007B3E5D"/>
    <w:rsid w:val="007B3ECA"/>
    <w:rsid w:val="007B4CDE"/>
    <w:rsid w:val="007B5058"/>
    <w:rsid w:val="007B5290"/>
    <w:rsid w:val="007B5430"/>
    <w:rsid w:val="007B6AAA"/>
    <w:rsid w:val="007B6B45"/>
    <w:rsid w:val="007B6CD8"/>
    <w:rsid w:val="007B7042"/>
    <w:rsid w:val="007B7788"/>
    <w:rsid w:val="007B7849"/>
    <w:rsid w:val="007B796B"/>
    <w:rsid w:val="007B7B0E"/>
    <w:rsid w:val="007B7BDA"/>
    <w:rsid w:val="007B7FA9"/>
    <w:rsid w:val="007B7FEF"/>
    <w:rsid w:val="007C092D"/>
    <w:rsid w:val="007C0976"/>
    <w:rsid w:val="007C1771"/>
    <w:rsid w:val="007C1CDF"/>
    <w:rsid w:val="007C1ED8"/>
    <w:rsid w:val="007C3956"/>
    <w:rsid w:val="007C42F2"/>
    <w:rsid w:val="007C4902"/>
    <w:rsid w:val="007C4A29"/>
    <w:rsid w:val="007C4A2D"/>
    <w:rsid w:val="007C4AEB"/>
    <w:rsid w:val="007C5E30"/>
    <w:rsid w:val="007C64C2"/>
    <w:rsid w:val="007C7484"/>
    <w:rsid w:val="007C754D"/>
    <w:rsid w:val="007C7CD0"/>
    <w:rsid w:val="007C7DB1"/>
    <w:rsid w:val="007D0013"/>
    <w:rsid w:val="007D04FB"/>
    <w:rsid w:val="007D1836"/>
    <w:rsid w:val="007D1C01"/>
    <w:rsid w:val="007D2731"/>
    <w:rsid w:val="007D2EC7"/>
    <w:rsid w:val="007D3157"/>
    <w:rsid w:val="007D3574"/>
    <w:rsid w:val="007D3C8F"/>
    <w:rsid w:val="007D444C"/>
    <w:rsid w:val="007D45D5"/>
    <w:rsid w:val="007D4611"/>
    <w:rsid w:val="007D492D"/>
    <w:rsid w:val="007D493D"/>
    <w:rsid w:val="007D4C00"/>
    <w:rsid w:val="007D524C"/>
    <w:rsid w:val="007D5A42"/>
    <w:rsid w:val="007D5C74"/>
    <w:rsid w:val="007D6462"/>
    <w:rsid w:val="007D690A"/>
    <w:rsid w:val="007D6ABC"/>
    <w:rsid w:val="007D6EDA"/>
    <w:rsid w:val="007D7079"/>
    <w:rsid w:val="007D7472"/>
    <w:rsid w:val="007D7D20"/>
    <w:rsid w:val="007D7FA1"/>
    <w:rsid w:val="007E082B"/>
    <w:rsid w:val="007E0C62"/>
    <w:rsid w:val="007E1759"/>
    <w:rsid w:val="007E212A"/>
    <w:rsid w:val="007E26B7"/>
    <w:rsid w:val="007E29D6"/>
    <w:rsid w:val="007E2ABC"/>
    <w:rsid w:val="007E4167"/>
    <w:rsid w:val="007E4256"/>
    <w:rsid w:val="007E42AA"/>
    <w:rsid w:val="007E47EF"/>
    <w:rsid w:val="007E4A8C"/>
    <w:rsid w:val="007E4CAB"/>
    <w:rsid w:val="007E510D"/>
    <w:rsid w:val="007E5EEE"/>
    <w:rsid w:val="007E6437"/>
    <w:rsid w:val="007E6825"/>
    <w:rsid w:val="007E69B1"/>
    <w:rsid w:val="007E6A2A"/>
    <w:rsid w:val="007E6A49"/>
    <w:rsid w:val="007E6B69"/>
    <w:rsid w:val="007E6ECA"/>
    <w:rsid w:val="007E780F"/>
    <w:rsid w:val="007E7C99"/>
    <w:rsid w:val="007F093B"/>
    <w:rsid w:val="007F0A18"/>
    <w:rsid w:val="007F0CEB"/>
    <w:rsid w:val="007F0E2B"/>
    <w:rsid w:val="007F0F89"/>
    <w:rsid w:val="007F14B6"/>
    <w:rsid w:val="007F14F7"/>
    <w:rsid w:val="007F1B36"/>
    <w:rsid w:val="007F1B6F"/>
    <w:rsid w:val="007F1FA8"/>
    <w:rsid w:val="007F223B"/>
    <w:rsid w:val="007F2325"/>
    <w:rsid w:val="007F26F3"/>
    <w:rsid w:val="007F2D48"/>
    <w:rsid w:val="007F32A9"/>
    <w:rsid w:val="007F390A"/>
    <w:rsid w:val="007F3E4E"/>
    <w:rsid w:val="007F4346"/>
    <w:rsid w:val="007F460F"/>
    <w:rsid w:val="007F4F9C"/>
    <w:rsid w:val="007F5284"/>
    <w:rsid w:val="007F52C3"/>
    <w:rsid w:val="007F56F8"/>
    <w:rsid w:val="007F5807"/>
    <w:rsid w:val="007F6342"/>
    <w:rsid w:val="007F63B8"/>
    <w:rsid w:val="007F63C8"/>
    <w:rsid w:val="007F67E1"/>
    <w:rsid w:val="007F68BF"/>
    <w:rsid w:val="007F6A89"/>
    <w:rsid w:val="007F6C2C"/>
    <w:rsid w:val="007F7D97"/>
    <w:rsid w:val="008005C4"/>
    <w:rsid w:val="00800BA3"/>
    <w:rsid w:val="008017FE"/>
    <w:rsid w:val="00801881"/>
    <w:rsid w:val="00801D43"/>
    <w:rsid w:val="0080200A"/>
    <w:rsid w:val="00802065"/>
    <w:rsid w:val="008020B2"/>
    <w:rsid w:val="0080288C"/>
    <w:rsid w:val="00802AD8"/>
    <w:rsid w:val="00802E89"/>
    <w:rsid w:val="00803153"/>
    <w:rsid w:val="008035DB"/>
    <w:rsid w:val="008036B5"/>
    <w:rsid w:val="00804B56"/>
    <w:rsid w:val="00804DCB"/>
    <w:rsid w:val="008050C0"/>
    <w:rsid w:val="008055D0"/>
    <w:rsid w:val="00805797"/>
    <w:rsid w:val="00805CED"/>
    <w:rsid w:val="008064C5"/>
    <w:rsid w:val="00806E54"/>
    <w:rsid w:val="008073BA"/>
    <w:rsid w:val="00807F7F"/>
    <w:rsid w:val="00810B2F"/>
    <w:rsid w:val="00810F2E"/>
    <w:rsid w:val="00811ADF"/>
    <w:rsid w:val="00811BF5"/>
    <w:rsid w:val="008123E1"/>
    <w:rsid w:val="00812C04"/>
    <w:rsid w:val="00812FE8"/>
    <w:rsid w:val="00813386"/>
    <w:rsid w:val="00813823"/>
    <w:rsid w:val="00813A47"/>
    <w:rsid w:val="00813C35"/>
    <w:rsid w:val="00813CF6"/>
    <w:rsid w:val="00813D50"/>
    <w:rsid w:val="00814690"/>
    <w:rsid w:val="0081475C"/>
    <w:rsid w:val="008155C1"/>
    <w:rsid w:val="008161E5"/>
    <w:rsid w:val="0081633D"/>
    <w:rsid w:val="008165C8"/>
    <w:rsid w:val="008169DF"/>
    <w:rsid w:val="008173A8"/>
    <w:rsid w:val="0081746D"/>
    <w:rsid w:val="0081763F"/>
    <w:rsid w:val="00817EFC"/>
    <w:rsid w:val="008207B2"/>
    <w:rsid w:val="0082088D"/>
    <w:rsid w:val="00820936"/>
    <w:rsid w:val="00820B44"/>
    <w:rsid w:val="00820E3F"/>
    <w:rsid w:val="008214DF"/>
    <w:rsid w:val="008217BD"/>
    <w:rsid w:val="00821D81"/>
    <w:rsid w:val="00821F5B"/>
    <w:rsid w:val="0082264C"/>
    <w:rsid w:val="00822AFB"/>
    <w:rsid w:val="00822E1C"/>
    <w:rsid w:val="00822E99"/>
    <w:rsid w:val="00823716"/>
    <w:rsid w:val="00823C55"/>
    <w:rsid w:val="00823D0D"/>
    <w:rsid w:val="008249DE"/>
    <w:rsid w:val="00824D27"/>
    <w:rsid w:val="0082512B"/>
    <w:rsid w:val="008259B0"/>
    <w:rsid w:val="00825D65"/>
    <w:rsid w:val="00826155"/>
    <w:rsid w:val="00826E4E"/>
    <w:rsid w:val="008304E8"/>
    <w:rsid w:val="008305CC"/>
    <w:rsid w:val="00830FAE"/>
    <w:rsid w:val="008310D5"/>
    <w:rsid w:val="0083128B"/>
    <w:rsid w:val="00831908"/>
    <w:rsid w:val="00832479"/>
    <w:rsid w:val="008324E3"/>
    <w:rsid w:val="00832F8B"/>
    <w:rsid w:val="0083331A"/>
    <w:rsid w:val="00833AB4"/>
    <w:rsid w:val="00833F24"/>
    <w:rsid w:val="0083448F"/>
    <w:rsid w:val="00834CC1"/>
    <w:rsid w:val="008356BF"/>
    <w:rsid w:val="00835849"/>
    <w:rsid w:val="008365CD"/>
    <w:rsid w:val="00836CA6"/>
    <w:rsid w:val="00837062"/>
    <w:rsid w:val="0083765F"/>
    <w:rsid w:val="00837FDD"/>
    <w:rsid w:val="0084036A"/>
    <w:rsid w:val="008404CD"/>
    <w:rsid w:val="008404F3"/>
    <w:rsid w:val="0084063C"/>
    <w:rsid w:val="008406B1"/>
    <w:rsid w:val="0084083C"/>
    <w:rsid w:val="008408F0"/>
    <w:rsid w:val="00840A14"/>
    <w:rsid w:val="00840B85"/>
    <w:rsid w:val="00840D25"/>
    <w:rsid w:val="0084126B"/>
    <w:rsid w:val="008414EE"/>
    <w:rsid w:val="0084152F"/>
    <w:rsid w:val="00841634"/>
    <w:rsid w:val="0084184E"/>
    <w:rsid w:val="00841B6D"/>
    <w:rsid w:val="00841F7F"/>
    <w:rsid w:val="0084234D"/>
    <w:rsid w:val="00842D9A"/>
    <w:rsid w:val="00842E29"/>
    <w:rsid w:val="00843059"/>
    <w:rsid w:val="00843764"/>
    <w:rsid w:val="00843965"/>
    <w:rsid w:val="00843D16"/>
    <w:rsid w:val="00844140"/>
    <w:rsid w:val="008454BD"/>
    <w:rsid w:val="008456B0"/>
    <w:rsid w:val="00845795"/>
    <w:rsid w:val="00845A9A"/>
    <w:rsid w:val="00845B41"/>
    <w:rsid w:val="00845BA8"/>
    <w:rsid w:val="00845F00"/>
    <w:rsid w:val="00845F21"/>
    <w:rsid w:val="0084617D"/>
    <w:rsid w:val="008464AD"/>
    <w:rsid w:val="00846588"/>
    <w:rsid w:val="00846C67"/>
    <w:rsid w:val="008472B2"/>
    <w:rsid w:val="00847819"/>
    <w:rsid w:val="0085042F"/>
    <w:rsid w:val="008506C2"/>
    <w:rsid w:val="008511AF"/>
    <w:rsid w:val="00851299"/>
    <w:rsid w:val="0085179B"/>
    <w:rsid w:val="008519CB"/>
    <w:rsid w:val="00851E49"/>
    <w:rsid w:val="008527C2"/>
    <w:rsid w:val="00852E9D"/>
    <w:rsid w:val="00853226"/>
    <w:rsid w:val="00853594"/>
    <w:rsid w:val="008536DC"/>
    <w:rsid w:val="00853AA2"/>
    <w:rsid w:val="008543EF"/>
    <w:rsid w:val="008548FE"/>
    <w:rsid w:val="00854EB7"/>
    <w:rsid w:val="00854ED6"/>
    <w:rsid w:val="00856240"/>
    <w:rsid w:val="008563F4"/>
    <w:rsid w:val="00860028"/>
    <w:rsid w:val="00860536"/>
    <w:rsid w:val="00860680"/>
    <w:rsid w:val="00860820"/>
    <w:rsid w:val="008612F0"/>
    <w:rsid w:val="00861314"/>
    <w:rsid w:val="00861446"/>
    <w:rsid w:val="008627E7"/>
    <w:rsid w:val="008631CE"/>
    <w:rsid w:val="00863AAC"/>
    <w:rsid w:val="00863DF7"/>
    <w:rsid w:val="00864249"/>
    <w:rsid w:val="008643A4"/>
    <w:rsid w:val="0086484B"/>
    <w:rsid w:val="00864D94"/>
    <w:rsid w:val="00865C63"/>
    <w:rsid w:val="00866CC9"/>
    <w:rsid w:val="00867724"/>
    <w:rsid w:val="00867728"/>
    <w:rsid w:val="00867EA4"/>
    <w:rsid w:val="00867F75"/>
    <w:rsid w:val="008705D9"/>
    <w:rsid w:val="00870994"/>
    <w:rsid w:val="00870BD5"/>
    <w:rsid w:val="00871012"/>
    <w:rsid w:val="00872447"/>
    <w:rsid w:val="00872624"/>
    <w:rsid w:val="00872AD3"/>
    <w:rsid w:val="00872BE4"/>
    <w:rsid w:val="00872C11"/>
    <w:rsid w:val="00872D2C"/>
    <w:rsid w:val="008741DB"/>
    <w:rsid w:val="0087442A"/>
    <w:rsid w:val="008746C6"/>
    <w:rsid w:val="00874986"/>
    <w:rsid w:val="00874C12"/>
    <w:rsid w:val="0087557D"/>
    <w:rsid w:val="008757F3"/>
    <w:rsid w:val="00875AD0"/>
    <w:rsid w:val="00876B4A"/>
    <w:rsid w:val="00876DFC"/>
    <w:rsid w:val="00877A5A"/>
    <w:rsid w:val="00877DC9"/>
    <w:rsid w:val="0088014C"/>
    <w:rsid w:val="008801C6"/>
    <w:rsid w:val="00880303"/>
    <w:rsid w:val="00880815"/>
    <w:rsid w:val="00880CAD"/>
    <w:rsid w:val="0088140C"/>
    <w:rsid w:val="008821A3"/>
    <w:rsid w:val="0088220E"/>
    <w:rsid w:val="00882D40"/>
    <w:rsid w:val="00882F2B"/>
    <w:rsid w:val="00883134"/>
    <w:rsid w:val="00883BF6"/>
    <w:rsid w:val="0088474E"/>
    <w:rsid w:val="00884B9B"/>
    <w:rsid w:val="008857BE"/>
    <w:rsid w:val="00885814"/>
    <w:rsid w:val="0088595E"/>
    <w:rsid w:val="00885AB1"/>
    <w:rsid w:val="00885BB9"/>
    <w:rsid w:val="008860B9"/>
    <w:rsid w:val="00886422"/>
    <w:rsid w:val="00886B0A"/>
    <w:rsid w:val="008874F7"/>
    <w:rsid w:val="0088760E"/>
    <w:rsid w:val="008876EE"/>
    <w:rsid w:val="0088778C"/>
    <w:rsid w:val="00887C77"/>
    <w:rsid w:val="008905DD"/>
    <w:rsid w:val="00890602"/>
    <w:rsid w:val="00890E8E"/>
    <w:rsid w:val="0089167E"/>
    <w:rsid w:val="008916C2"/>
    <w:rsid w:val="00892846"/>
    <w:rsid w:val="00892C59"/>
    <w:rsid w:val="008930E7"/>
    <w:rsid w:val="00893672"/>
    <w:rsid w:val="00893D60"/>
    <w:rsid w:val="00894274"/>
    <w:rsid w:val="00894652"/>
    <w:rsid w:val="008946CE"/>
    <w:rsid w:val="00894913"/>
    <w:rsid w:val="00894A3A"/>
    <w:rsid w:val="0089512B"/>
    <w:rsid w:val="00895469"/>
    <w:rsid w:val="008967E3"/>
    <w:rsid w:val="00896A56"/>
    <w:rsid w:val="008973D0"/>
    <w:rsid w:val="0089748B"/>
    <w:rsid w:val="00897B05"/>
    <w:rsid w:val="00897C9D"/>
    <w:rsid w:val="00897F00"/>
    <w:rsid w:val="008A0C32"/>
    <w:rsid w:val="008A13A5"/>
    <w:rsid w:val="008A1732"/>
    <w:rsid w:val="008A1F20"/>
    <w:rsid w:val="008A209A"/>
    <w:rsid w:val="008A22B5"/>
    <w:rsid w:val="008A23A2"/>
    <w:rsid w:val="008A24EC"/>
    <w:rsid w:val="008A285F"/>
    <w:rsid w:val="008A2A00"/>
    <w:rsid w:val="008A2D43"/>
    <w:rsid w:val="008A3040"/>
    <w:rsid w:val="008A37E5"/>
    <w:rsid w:val="008A3B08"/>
    <w:rsid w:val="008A3F8D"/>
    <w:rsid w:val="008A42B3"/>
    <w:rsid w:val="008A44D5"/>
    <w:rsid w:val="008A57E2"/>
    <w:rsid w:val="008A58D4"/>
    <w:rsid w:val="008A6095"/>
    <w:rsid w:val="008A65AE"/>
    <w:rsid w:val="008A65C9"/>
    <w:rsid w:val="008A71E4"/>
    <w:rsid w:val="008A7BFA"/>
    <w:rsid w:val="008A7EF3"/>
    <w:rsid w:val="008A7FC2"/>
    <w:rsid w:val="008B0011"/>
    <w:rsid w:val="008B0311"/>
    <w:rsid w:val="008B1684"/>
    <w:rsid w:val="008B18EC"/>
    <w:rsid w:val="008B19AB"/>
    <w:rsid w:val="008B1DF2"/>
    <w:rsid w:val="008B1F65"/>
    <w:rsid w:val="008B206E"/>
    <w:rsid w:val="008B2174"/>
    <w:rsid w:val="008B2B9D"/>
    <w:rsid w:val="008B2CD2"/>
    <w:rsid w:val="008B2CF9"/>
    <w:rsid w:val="008B2DD1"/>
    <w:rsid w:val="008B33B6"/>
    <w:rsid w:val="008B3AC6"/>
    <w:rsid w:val="008B41A5"/>
    <w:rsid w:val="008B44AE"/>
    <w:rsid w:val="008B4A1F"/>
    <w:rsid w:val="008B51D9"/>
    <w:rsid w:val="008B54D9"/>
    <w:rsid w:val="008B5798"/>
    <w:rsid w:val="008B6B2C"/>
    <w:rsid w:val="008B6F2C"/>
    <w:rsid w:val="008B7110"/>
    <w:rsid w:val="008B71C0"/>
    <w:rsid w:val="008B7205"/>
    <w:rsid w:val="008B72D9"/>
    <w:rsid w:val="008B7C43"/>
    <w:rsid w:val="008C0287"/>
    <w:rsid w:val="008C09BD"/>
    <w:rsid w:val="008C0B27"/>
    <w:rsid w:val="008C0F1A"/>
    <w:rsid w:val="008C0FB2"/>
    <w:rsid w:val="008C11E5"/>
    <w:rsid w:val="008C12B1"/>
    <w:rsid w:val="008C215F"/>
    <w:rsid w:val="008C254F"/>
    <w:rsid w:val="008C2F52"/>
    <w:rsid w:val="008C331E"/>
    <w:rsid w:val="008C3513"/>
    <w:rsid w:val="008C42CD"/>
    <w:rsid w:val="008C49B9"/>
    <w:rsid w:val="008C4A6F"/>
    <w:rsid w:val="008C4B91"/>
    <w:rsid w:val="008C4D13"/>
    <w:rsid w:val="008C5BCD"/>
    <w:rsid w:val="008C5F15"/>
    <w:rsid w:val="008C60F6"/>
    <w:rsid w:val="008C634A"/>
    <w:rsid w:val="008C6CD2"/>
    <w:rsid w:val="008C6D34"/>
    <w:rsid w:val="008C6EEA"/>
    <w:rsid w:val="008C725B"/>
    <w:rsid w:val="008C7309"/>
    <w:rsid w:val="008C73DC"/>
    <w:rsid w:val="008C755A"/>
    <w:rsid w:val="008C7639"/>
    <w:rsid w:val="008D0E88"/>
    <w:rsid w:val="008D1B28"/>
    <w:rsid w:val="008D28AF"/>
    <w:rsid w:val="008D28FF"/>
    <w:rsid w:val="008D311A"/>
    <w:rsid w:val="008D3576"/>
    <w:rsid w:val="008D359A"/>
    <w:rsid w:val="008D37D9"/>
    <w:rsid w:val="008D3893"/>
    <w:rsid w:val="008D38B4"/>
    <w:rsid w:val="008D38D7"/>
    <w:rsid w:val="008D3E0D"/>
    <w:rsid w:val="008D44EC"/>
    <w:rsid w:val="008D4617"/>
    <w:rsid w:val="008D51BC"/>
    <w:rsid w:val="008D55F0"/>
    <w:rsid w:val="008D5BEF"/>
    <w:rsid w:val="008D603D"/>
    <w:rsid w:val="008D6095"/>
    <w:rsid w:val="008D67DE"/>
    <w:rsid w:val="008D68CC"/>
    <w:rsid w:val="008D6B11"/>
    <w:rsid w:val="008D713D"/>
    <w:rsid w:val="008E00E6"/>
    <w:rsid w:val="008E0259"/>
    <w:rsid w:val="008E0295"/>
    <w:rsid w:val="008E105A"/>
    <w:rsid w:val="008E1231"/>
    <w:rsid w:val="008E1907"/>
    <w:rsid w:val="008E2744"/>
    <w:rsid w:val="008E2816"/>
    <w:rsid w:val="008E377F"/>
    <w:rsid w:val="008E4672"/>
    <w:rsid w:val="008E549A"/>
    <w:rsid w:val="008E549D"/>
    <w:rsid w:val="008E5629"/>
    <w:rsid w:val="008E5A2C"/>
    <w:rsid w:val="008E5B42"/>
    <w:rsid w:val="008E5D72"/>
    <w:rsid w:val="008E6168"/>
    <w:rsid w:val="008E6300"/>
    <w:rsid w:val="008E68DD"/>
    <w:rsid w:val="008E6E56"/>
    <w:rsid w:val="008E7790"/>
    <w:rsid w:val="008E7CC4"/>
    <w:rsid w:val="008E7FF7"/>
    <w:rsid w:val="008F06EF"/>
    <w:rsid w:val="008F18E4"/>
    <w:rsid w:val="008F191A"/>
    <w:rsid w:val="008F197F"/>
    <w:rsid w:val="008F1F75"/>
    <w:rsid w:val="008F2760"/>
    <w:rsid w:val="008F2E42"/>
    <w:rsid w:val="008F2F57"/>
    <w:rsid w:val="008F35C3"/>
    <w:rsid w:val="008F3C81"/>
    <w:rsid w:val="008F4615"/>
    <w:rsid w:val="008F524C"/>
    <w:rsid w:val="008F5697"/>
    <w:rsid w:val="008F5CCC"/>
    <w:rsid w:val="008F6308"/>
    <w:rsid w:val="008F67EC"/>
    <w:rsid w:val="008F6F80"/>
    <w:rsid w:val="008F76CC"/>
    <w:rsid w:val="008F7715"/>
    <w:rsid w:val="008F7A3C"/>
    <w:rsid w:val="008F7DBD"/>
    <w:rsid w:val="009000D2"/>
    <w:rsid w:val="00900D5B"/>
    <w:rsid w:val="00901195"/>
    <w:rsid w:val="00901346"/>
    <w:rsid w:val="0090138B"/>
    <w:rsid w:val="009015FA"/>
    <w:rsid w:val="00902820"/>
    <w:rsid w:val="00902BB4"/>
    <w:rsid w:val="00902DC0"/>
    <w:rsid w:val="0090313A"/>
    <w:rsid w:val="0090324A"/>
    <w:rsid w:val="0090374D"/>
    <w:rsid w:val="009037CA"/>
    <w:rsid w:val="009037F5"/>
    <w:rsid w:val="009041C4"/>
    <w:rsid w:val="009049A5"/>
    <w:rsid w:val="00904F3D"/>
    <w:rsid w:val="0090543D"/>
    <w:rsid w:val="009057AE"/>
    <w:rsid w:val="00906189"/>
    <w:rsid w:val="009062E7"/>
    <w:rsid w:val="00906399"/>
    <w:rsid w:val="009066FB"/>
    <w:rsid w:val="00906D7F"/>
    <w:rsid w:val="009072EB"/>
    <w:rsid w:val="00907E34"/>
    <w:rsid w:val="0091184E"/>
    <w:rsid w:val="00911902"/>
    <w:rsid w:val="00911DA2"/>
    <w:rsid w:val="00912041"/>
    <w:rsid w:val="0091243A"/>
    <w:rsid w:val="00912A76"/>
    <w:rsid w:val="00913370"/>
    <w:rsid w:val="00914761"/>
    <w:rsid w:val="009147DE"/>
    <w:rsid w:val="00914A53"/>
    <w:rsid w:val="00914BF5"/>
    <w:rsid w:val="00914DAD"/>
    <w:rsid w:val="00914F7B"/>
    <w:rsid w:val="00915572"/>
    <w:rsid w:val="009157CA"/>
    <w:rsid w:val="00915AB3"/>
    <w:rsid w:val="00916000"/>
    <w:rsid w:val="00916127"/>
    <w:rsid w:val="0091663A"/>
    <w:rsid w:val="0091688B"/>
    <w:rsid w:val="009177C7"/>
    <w:rsid w:val="009179B3"/>
    <w:rsid w:val="00920252"/>
    <w:rsid w:val="00920B37"/>
    <w:rsid w:val="009212E3"/>
    <w:rsid w:val="009214C4"/>
    <w:rsid w:val="0092151B"/>
    <w:rsid w:val="00921761"/>
    <w:rsid w:val="00921AC0"/>
    <w:rsid w:val="009220A7"/>
    <w:rsid w:val="00922731"/>
    <w:rsid w:val="009229C0"/>
    <w:rsid w:val="0092334E"/>
    <w:rsid w:val="00923356"/>
    <w:rsid w:val="009236BE"/>
    <w:rsid w:val="0092379C"/>
    <w:rsid w:val="009237E6"/>
    <w:rsid w:val="009244B1"/>
    <w:rsid w:val="00924F8D"/>
    <w:rsid w:val="009259C9"/>
    <w:rsid w:val="00926973"/>
    <w:rsid w:val="00926A67"/>
    <w:rsid w:val="00927141"/>
    <w:rsid w:val="00927284"/>
    <w:rsid w:val="009274F0"/>
    <w:rsid w:val="00927CEB"/>
    <w:rsid w:val="00927E1C"/>
    <w:rsid w:val="00930009"/>
    <w:rsid w:val="0093092D"/>
    <w:rsid w:val="00930DD7"/>
    <w:rsid w:val="00930FA8"/>
    <w:rsid w:val="00931066"/>
    <w:rsid w:val="00931370"/>
    <w:rsid w:val="00931830"/>
    <w:rsid w:val="00931841"/>
    <w:rsid w:val="0093204D"/>
    <w:rsid w:val="009321EC"/>
    <w:rsid w:val="00932F9C"/>
    <w:rsid w:val="00933346"/>
    <w:rsid w:val="00933C2E"/>
    <w:rsid w:val="00933CDF"/>
    <w:rsid w:val="00934161"/>
    <w:rsid w:val="009348A7"/>
    <w:rsid w:val="00934ABC"/>
    <w:rsid w:val="00934DB7"/>
    <w:rsid w:val="00934EFE"/>
    <w:rsid w:val="009352D3"/>
    <w:rsid w:val="009361F6"/>
    <w:rsid w:val="0093638D"/>
    <w:rsid w:val="00937107"/>
    <w:rsid w:val="0093734A"/>
    <w:rsid w:val="00937743"/>
    <w:rsid w:val="00937958"/>
    <w:rsid w:val="00937A3F"/>
    <w:rsid w:val="00937FA2"/>
    <w:rsid w:val="00941082"/>
    <w:rsid w:val="00942078"/>
    <w:rsid w:val="0094218E"/>
    <w:rsid w:val="00942502"/>
    <w:rsid w:val="009425D2"/>
    <w:rsid w:val="00942A70"/>
    <w:rsid w:val="0094301E"/>
    <w:rsid w:val="00943FCE"/>
    <w:rsid w:val="0094457F"/>
    <w:rsid w:val="00944E03"/>
    <w:rsid w:val="009451F4"/>
    <w:rsid w:val="0094563E"/>
    <w:rsid w:val="00945D28"/>
    <w:rsid w:val="00945E4B"/>
    <w:rsid w:val="0094611C"/>
    <w:rsid w:val="00946288"/>
    <w:rsid w:val="009464B4"/>
    <w:rsid w:val="009468EE"/>
    <w:rsid w:val="0094736E"/>
    <w:rsid w:val="00947523"/>
    <w:rsid w:val="00947A6D"/>
    <w:rsid w:val="00947EBA"/>
    <w:rsid w:val="0095024A"/>
    <w:rsid w:val="0095079E"/>
    <w:rsid w:val="009508B2"/>
    <w:rsid w:val="00950A3C"/>
    <w:rsid w:val="00950A45"/>
    <w:rsid w:val="00950F49"/>
    <w:rsid w:val="0095160C"/>
    <w:rsid w:val="009516E1"/>
    <w:rsid w:val="00951803"/>
    <w:rsid w:val="009519CB"/>
    <w:rsid w:val="00952140"/>
    <w:rsid w:val="0095240F"/>
    <w:rsid w:val="00952A2E"/>
    <w:rsid w:val="00953B0E"/>
    <w:rsid w:val="0095480A"/>
    <w:rsid w:val="00954A80"/>
    <w:rsid w:val="00954E15"/>
    <w:rsid w:val="00954F83"/>
    <w:rsid w:val="009553B8"/>
    <w:rsid w:val="00955AF5"/>
    <w:rsid w:val="00955F54"/>
    <w:rsid w:val="009568F7"/>
    <w:rsid w:val="009569B1"/>
    <w:rsid w:val="009579BB"/>
    <w:rsid w:val="009605F3"/>
    <w:rsid w:val="00960AAB"/>
    <w:rsid w:val="00960B1E"/>
    <w:rsid w:val="00960CB1"/>
    <w:rsid w:val="00960E3C"/>
    <w:rsid w:val="00961102"/>
    <w:rsid w:val="00961112"/>
    <w:rsid w:val="0096140D"/>
    <w:rsid w:val="00961843"/>
    <w:rsid w:val="00961A5D"/>
    <w:rsid w:val="00961EBD"/>
    <w:rsid w:val="00961F94"/>
    <w:rsid w:val="00962060"/>
    <w:rsid w:val="00962074"/>
    <w:rsid w:val="00963F71"/>
    <w:rsid w:val="00964560"/>
    <w:rsid w:val="00964EFB"/>
    <w:rsid w:val="009652EE"/>
    <w:rsid w:val="009658B1"/>
    <w:rsid w:val="009659D7"/>
    <w:rsid w:val="00965F5E"/>
    <w:rsid w:val="00966601"/>
    <w:rsid w:val="00966640"/>
    <w:rsid w:val="00966792"/>
    <w:rsid w:val="009668D6"/>
    <w:rsid w:val="00966E1B"/>
    <w:rsid w:val="009674A8"/>
    <w:rsid w:val="00967902"/>
    <w:rsid w:val="009679A9"/>
    <w:rsid w:val="00970778"/>
    <w:rsid w:val="009707B4"/>
    <w:rsid w:val="00971C33"/>
    <w:rsid w:val="00971C79"/>
    <w:rsid w:val="00972058"/>
    <w:rsid w:val="0097240A"/>
    <w:rsid w:val="009741FD"/>
    <w:rsid w:val="009745C3"/>
    <w:rsid w:val="00974677"/>
    <w:rsid w:val="00974728"/>
    <w:rsid w:val="0097488C"/>
    <w:rsid w:val="00974DE5"/>
    <w:rsid w:val="00974F33"/>
    <w:rsid w:val="00975178"/>
    <w:rsid w:val="009755C8"/>
    <w:rsid w:val="00975FC5"/>
    <w:rsid w:val="00976B4C"/>
    <w:rsid w:val="00976BC5"/>
    <w:rsid w:val="00976EBB"/>
    <w:rsid w:val="0097710B"/>
    <w:rsid w:val="00977605"/>
    <w:rsid w:val="00977897"/>
    <w:rsid w:val="009779E0"/>
    <w:rsid w:val="00977FE2"/>
    <w:rsid w:val="00980D93"/>
    <w:rsid w:val="00981BA6"/>
    <w:rsid w:val="009822FF"/>
    <w:rsid w:val="009833EE"/>
    <w:rsid w:val="00984172"/>
    <w:rsid w:val="009844CD"/>
    <w:rsid w:val="00984508"/>
    <w:rsid w:val="00984744"/>
    <w:rsid w:val="00984CEC"/>
    <w:rsid w:val="00984F9E"/>
    <w:rsid w:val="00985B28"/>
    <w:rsid w:val="00985C9B"/>
    <w:rsid w:val="00985E88"/>
    <w:rsid w:val="0098610B"/>
    <w:rsid w:val="009862D5"/>
    <w:rsid w:val="00986554"/>
    <w:rsid w:val="00986F9A"/>
    <w:rsid w:val="00986FFD"/>
    <w:rsid w:val="009873DE"/>
    <w:rsid w:val="00987E9C"/>
    <w:rsid w:val="009900E1"/>
    <w:rsid w:val="009905E4"/>
    <w:rsid w:val="00990DAB"/>
    <w:rsid w:val="00991094"/>
    <w:rsid w:val="009911B9"/>
    <w:rsid w:val="009917AD"/>
    <w:rsid w:val="00991EC3"/>
    <w:rsid w:val="00991F11"/>
    <w:rsid w:val="00992315"/>
    <w:rsid w:val="00992386"/>
    <w:rsid w:val="00992AB3"/>
    <w:rsid w:val="00992C14"/>
    <w:rsid w:val="00992C3A"/>
    <w:rsid w:val="0099325D"/>
    <w:rsid w:val="0099335D"/>
    <w:rsid w:val="00993494"/>
    <w:rsid w:val="009936BD"/>
    <w:rsid w:val="00993E99"/>
    <w:rsid w:val="00993F87"/>
    <w:rsid w:val="00994761"/>
    <w:rsid w:val="0099676F"/>
    <w:rsid w:val="00996DA8"/>
    <w:rsid w:val="00996E56"/>
    <w:rsid w:val="00997689"/>
    <w:rsid w:val="009979DC"/>
    <w:rsid w:val="009A0189"/>
    <w:rsid w:val="009A0991"/>
    <w:rsid w:val="009A0E76"/>
    <w:rsid w:val="009A1075"/>
    <w:rsid w:val="009A1446"/>
    <w:rsid w:val="009A1C3F"/>
    <w:rsid w:val="009A21A6"/>
    <w:rsid w:val="009A2773"/>
    <w:rsid w:val="009A2DEB"/>
    <w:rsid w:val="009A2EDD"/>
    <w:rsid w:val="009A448F"/>
    <w:rsid w:val="009A55D8"/>
    <w:rsid w:val="009A5793"/>
    <w:rsid w:val="009A5911"/>
    <w:rsid w:val="009A5AD0"/>
    <w:rsid w:val="009A659C"/>
    <w:rsid w:val="009A66BB"/>
    <w:rsid w:val="009A6F95"/>
    <w:rsid w:val="009A7602"/>
    <w:rsid w:val="009B054C"/>
    <w:rsid w:val="009B13E8"/>
    <w:rsid w:val="009B1C10"/>
    <w:rsid w:val="009B22A8"/>
    <w:rsid w:val="009B26CB"/>
    <w:rsid w:val="009B2754"/>
    <w:rsid w:val="009B3211"/>
    <w:rsid w:val="009B3C4C"/>
    <w:rsid w:val="009B3DEC"/>
    <w:rsid w:val="009B483A"/>
    <w:rsid w:val="009B4E4B"/>
    <w:rsid w:val="009B5068"/>
    <w:rsid w:val="009B55FD"/>
    <w:rsid w:val="009B5A2B"/>
    <w:rsid w:val="009B638E"/>
    <w:rsid w:val="009B7035"/>
    <w:rsid w:val="009B77F2"/>
    <w:rsid w:val="009B7A49"/>
    <w:rsid w:val="009B7C23"/>
    <w:rsid w:val="009B7D75"/>
    <w:rsid w:val="009C011D"/>
    <w:rsid w:val="009C0C24"/>
    <w:rsid w:val="009C0C34"/>
    <w:rsid w:val="009C27DD"/>
    <w:rsid w:val="009C28D2"/>
    <w:rsid w:val="009C39B9"/>
    <w:rsid w:val="009C39F2"/>
    <w:rsid w:val="009C3AC9"/>
    <w:rsid w:val="009C3FA0"/>
    <w:rsid w:val="009C4636"/>
    <w:rsid w:val="009C4745"/>
    <w:rsid w:val="009C4B8C"/>
    <w:rsid w:val="009C4D7B"/>
    <w:rsid w:val="009C4EF1"/>
    <w:rsid w:val="009C556D"/>
    <w:rsid w:val="009C59E2"/>
    <w:rsid w:val="009C5B20"/>
    <w:rsid w:val="009C5CA5"/>
    <w:rsid w:val="009C603F"/>
    <w:rsid w:val="009C6669"/>
    <w:rsid w:val="009C6859"/>
    <w:rsid w:val="009C7635"/>
    <w:rsid w:val="009C7680"/>
    <w:rsid w:val="009C7758"/>
    <w:rsid w:val="009C7DE6"/>
    <w:rsid w:val="009C7F54"/>
    <w:rsid w:val="009D0191"/>
    <w:rsid w:val="009D0606"/>
    <w:rsid w:val="009D07E3"/>
    <w:rsid w:val="009D19A3"/>
    <w:rsid w:val="009D27EC"/>
    <w:rsid w:val="009D29B9"/>
    <w:rsid w:val="009D2AB1"/>
    <w:rsid w:val="009D3119"/>
    <w:rsid w:val="009D31F2"/>
    <w:rsid w:val="009D3C39"/>
    <w:rsid w:val="009D3D0D"/>
    <w:rsid w:val="009D3ED7"/>
    <w:rsid w:val="009D420D"/>
    <w:rsid w:val="009D44E6"/>
    <w:rsid w:val="009D4AB3"/>
    <w:rsid w:val="009D4C79"/>
    <w:rsid w:val="009D5EA3"/>
    <w:rsid w:val="009D5FE9"/>
    <w:rsid w:val="009D646F"/>
    <w:rsid w:val="009D7698"/>
    <w:rsid w:val="009D7A21"/>
    <w:rsid w:val="009D7B29"/>
    <w:rsid w:val="009D7C9F"/>
    <w:rsid w:val="009E0037"/>
    <w:rsid w:val="009E2078"/>
    <w:rsid w:val="009E2157"/>
    <w:rsid w:val="009E26FD"/>
    <w:rsid w:val="009E2D21"/>
    <w:rsid w:val="009E2E2D"/>
    <w:rsid w:val="009E4082"/>
    <w:rsid w:val="009E45DB"/>
    <w:rsid w:val="009E4B5D"/>
    <w:rsid w:val="009E4FB4"/>
    <w:rsid w:val="009E5482"/>
    <w:rsid w:val="009E5692"/>
    <w:rsid w:val="009E5B18"/>
    <w:rsid w:val="009E5D67"/>
    <w:rsid w:val="009E5EA3"/>
    <w:rsid w:val="009E610E"/>
    <w:rsid w:val="009E6565"/>
    <w:rsid w:val="009E6996"/>
    <w:rsid w:val="009E6BA7"/>
    <w:rsid w:val="009E7F4B"/>
    <w:rsid w:val="009F1087"/>
    <w:rsid w:val="009F1093"/>
    <w:rsid w:val="009F1482"/>
    <w:rsid w:val="009F196F"/>
    <w:rsid w:val="009F2CE6"/>
    <w:rsid w:val="009F2E4C"/>
    <w:rsid w:val="009F365D"/>
    <w:rsid w:val="009F3828"/>
    <w:rsid w:val="009F3CF5"/>
    <w:rsid w:val="009F40B7"/>
    <w:rsid w:val="009F530A"/>
    <w:rsid w:val="009F5D7B"/>
    <w:rsid w:val="009F6FFA"/>
    <w:rsid w:val="009F7335"/>
    <w:rsid w:val="00A002A5"/>
    <w:rsid w:val="00A0048E"/>
    <w:rsid w:val="00A006ED"/>
    <w:rsid w:val="00A00828"/>
    <w:rsid w:val="00A008B7"/>
    <w:rsid w:val="00A0170B"/>
    <w:rsid w:val="00A01E96"/>
    <w:rsid w:val="00A030D0"/>
    <w:rsid w:val="00A037D7"/>
    <w:rsid w:val="00A03872"/>
    <w:rsid w:val="00A0394C"/>
    <w:rsid w:val="00A03A98"/>
    <w:rsid w:val="00A03B96"/>
    <w:rsid w:val="00A03E71"/>
    <w:rsid w:val="00A03F3E"/>
    <w:rsid w:val="00A04975"/>
    <w:rsid w:val="00A04F5A"/>
    <w:rsid w:val="00A053AE"/>
    <w:rsid w:val="00A06B3B"/>
    <w:rsid w:val="00A06CD4"/>
    <w:rsid w:val="00A070A0"/>
    <w:rsid w:val="00A076FF"/>
    <w:rsid w:val="00A07786"/>
    <w:rsid w:val="00A100D6"/>
    <w:rsid w:val="00A10193"/>
    <w:rsid w:val="00A10CD9"/>
    <w:rsid w:val="00A10F12"/>
    <w:rsid w:val="00A10F85"/>
    <w:rsid w:val="00A11239"/>
    <w:rsid w:val="00A11843"/>
    <w:rsid w:val="00A11B7F"/>
    <w:rsid w:val="00A12559"/>
    <w:rsid w:val="00A12CD2"/>
    <w:rsid w:val="00A134CF"/>
    <w:rsid w:val="00A138F7"/>
    <w:rsid w:val="00A1390F"/>
    <w:rsid w:val="00A13F32"/>
    <w:rsid w:val="00A1401D"/>
    <w:rsid w:val="00A14175"/>
    <w:rsid w:val="00A14F46"/>
    <w:rsid w:val="00A1529A"/>
    <w:rsid w:val="00A1642B"/>
    <w:rsid w:val="00A1663A"/>
    <w:rsid w:val="00A16C82"/>
    <w:rsid w:val="00A1706C"/>
    <w:rsid w:val="00A17E31"/>
    <w:rsid w:val="00A2008A"/>
    <w:rsid w:val="00A202CB"/>
    <w:rsid w:val="00A20E67"/>
    <w:rsid w:val="00A21919"/>
    <w:rsid w:val="00A21F35"/>
    <w:rsid w:val="00A225F1"/>
    <w:rsid w:val="00A22ADE"/>
    <w:rsid w:val="00A22B98"/>
    <w:rsid w:val="00A22D03"/>
    <w:rsid w:val="00A23605"/>
    <w:rsid w:val="00A238D8"/>
    <w:rsid w:val="00A2405A"/>
    <w:rsid w:val="00A2429E"/>
    <w:rsid w:val="00A24400"/>
    <w:rsid w:val="00A25261"/>
    <w:rsid w:val="00A255C4"/>
    <w:rsid w:val="00A25998"/>
    <w:rsid w:val="00A26D3D"/>
    <w:rsid w:val="00A26F96"/>
    <w:rsid w:val="00A3023E"/>
    <w:rsid w:val="00A30E9B"/>
    <w:rsid w:val="00A32677"/>
    <w:rsid w:val="00A33509"/>
    <w:rsid w:val="00A33C54"/>
    <w:rsid w:val="00A33D0C"/>
    <w:rsid w:val="00A33F74"/>
    <w:rsid w:val="00A33FF6"/>
    <w:rsid w:val="00A347C4"/>
    <w:rsid w:val="00A35220"/>
    <w:rsid w:val="00A359BD"/>
    <w:rsid w:val="00A35C72"/>
    <w:rsid w:val="00A35E2F"/>
    <w:rsid w:val="00A35E66"/>
    <w:rsid w:val="00A35ED6"/>
    <w:rsid w:val="00A3605A"/>
    <w:rsid w:val="00A36C93"/>
    <w:rsid w:val="00A36F7C"/>
    <w:rsid w:val="00A3702E"/>
    <w:rsid w:val="00A37859"/>
    <w:rsid w:val="00A4004C"/>
    <w:rsid w:val="00A405C3"/>
    <w:rsid w:val="00A4089C"/>
    <w:rsid w:val="00A408A2"/>
    <w:rsid w:val="00A4102E"/>
    <w:rsid w:val="00A410A9"/>
    <w:rsid w:val="00A414AC"/>
    <w:rsid w:val="00A415B6"/>
    <w:rsid w:val="00A415D9"/>
    <w:rsid w:val="00A42C2A"/>
    <w:rsid w:val="00A42F80"/>
    <w:rsid w:val="00A43079"/>
    <w:rsid w:val="00A43862"/>
    <w:rsid w:val="00A43DAF"/>
    <w:rsid w:val="00A44404"/>
    <w:rsid w:val="00A4497F"/>
    <w:rsid w:val="00A460BD"/>
    <w:rsid w:val="00A4676D"/>
    <w:rsid w:val="00A47A34"/>
    <w:rsid w:val="00A47EAD"/>
    <w:rsid w:val="00A50568"/>
    <w:rsid w:val="00A5060A"/>
    <w:rsid w:val="00A506B4"/>
    <w:rsid w:val="00A5096D"/>
    <w:rsid w:val="00A50E25"/>
    <w:rsid w:val="00A51867"/>
    <w:rsid w:val="00A523AF"/>
    <w:rsid w:val="00A52C47"/>
    <w:rsid w:val="00A5357B"/>
    <w:rsid w:val="00A53622"/>
    <w:rsid w:val="00A53BB7"/>
    <w:rsid w:val="00A53CD1"/>
    <w:rsid w:val="00A5491B"/>
    <w:rsid w:val="00A54A8E"/>
    <w:rsid w:val="00A54F1E"/>
    <w:rsid w:val="00A550E5"/>
    <w:rsid w:val="00A556DF"/>
    <w:rsid w:val="00A55DB6"/>
    <w:rsid w:val="00A55EFC"/>
    <w:rsid w:val="00A568BF"/>
    <w:rsid w:val="00A56CD5"/>
    <w:rsid w:val="00A56D16"/>
    <w:rsid w:val="00A575B8"/>
    <w:rsid w:val="00A5762B"/>
    <w:rsid w:val="00A57909"/>
    <w:rsid w:val="00A579D8"/>
    <w:rsid w:val="00A57A20"/>
    <w:rsid w:val="00A57F57"/>
    <w:rsid w:val="00A60BF9"/>
    <w:rsid w:val="00A60D78"/>
    <w:rsid w:val="00A6113D"/>
    <w:rsid w:val="00A61B5D"/>
    <w:rsid w:val="00A61F3C"/>
    <w:rsid w:val="00A62943"/>
    <w:rsid w:val="00A62B01"/>
    <w:rsid w:val="00A6361F"/>
    <w:rsid w:val="00A63E23"/>
    <w:rsid w:val="00A647C8"/>
    <w:rsid w:val="00A64A49"/>
    <w:rsid w:val="00A64BC5"/>
    <w:rsid w:val="00A655AB"/>
    <w:rsid w:val="00A6563E"/>
    <w:rsid w:val="00A65672"/>
    <w:rsid w:val="00A65CCF"/>
    <w:rsid w:val="00A66118"/>
    <w:rsid w:val="00A66BA3"/>
    <w:rsid w:val="00A6729C"/>
    <w:rsid w:val="00A7036D"/>
    <w:rsid w:val="00A70E0D"/>
    <w:rsid w:val="00A719E8"/>
    <w:rsid w:val="00A71B29"/>
    <w:rsid w:val="00A71E5E"/>
    <w:rsid w:val="00A72099"/>
    <w:rsid w:val="00A720F1"/>
    <w:rsid w:val="00A724EF"/>
    <w:rsid w:val="00A72624"/>
    <w:rsid w:val="00A72792"/>
    <w:rsid w:val="00A72B1E"/>
    <w:rsid w:val="00A72CB3"/>
    <w:rsid w:val="00A72F86"/>
    <w:rsid w:val="00A730B8"/>
    <w:rsid w:val="00A737A6"/>
    <w:rsid w:val="00A73E78"/>
    <w:rsid w:val="00A7492C"/>
    <w:rsid w:val="00A74A22"/>
    <w:rsid w:val="00A75748"/>
    <w:rsid w:val="00A760CD"/>
    <w:rsid w:val="00A7618A"/>
    <w:rsid w:val="00A76460"/>
    <w:rsid w:val="00A76F6B"/>
    <w:rsid w:val="00A77FE3"/>
    <w:rsid w:val="00A80134"/>
    <w:rsid w:val="00A80AEE"/>
    <w:rsid w:val="00A80B80"/>
    <w:rsid w:val="00A81153"/>
    <w:rsid w:val="00A8126C"/>
    <w:rsid w:val="00A8142C"/>
    <w:rsid w:val="00A814EF"/>
    <w:rsid w:val="00A8197E"/>
    <w:rsid w:val="00A81BFA"/>
    <w:rsid w:val="00A81E17"/>
    <w:rsid w:val="00A825B6"/>
    <w:rsid w:val="00A82CD2"/>
    <w:rsid w:val="00A82FD1"/>
    <w:rsid w:val="00A83D17"/>
    <w:rsid w:val="00A84994"/>
    <w:rsid w:val="00A84D17"/>
    <w:rsid w:val="00A85107"/>
    <w:rsid w:val="00A851BE"/>
    <w:rsid w:val="00A854F4"/>
    <w:rsid w:val="00A85FBB"/>
    <w:rsid w:val="00A8604B"/>
    <w:rsid w:val="00A867A8"/>
    <w:rsid w:val="00A867B6"/>
    <w:rsid w:val="00A86912"/>
    <w:rsid w:val="00A86D2F"/>
    <w:rsid w:val="00A86E13"/>
    <w:rsid w:val="00A86E6C"/>
    <w:rsid w:val="00A876E4"/>
    <w:rsid w:val="00A8781B"/>
    <w:rsid w:val="00A87CA6"/>
    <w:rsid w:val="00A90DA8"/>
    <w:rsid w:val="00A90DB9"/>
    <w:rsid w:val="00A91301"/>
    <w:rsid w:val="00A9139F"/>
    <w:rsid w:val="00A91759"/>
    <w:rsid w:val="00A91F1C"/>
    <w:rsid w:val="00A9218A"/>
    <w:rsid w:val="00A92328"/>
    <w:rsid w:val="00A929F4"/>
    <w:rsid w:val="00A92A10"/>
    <w:rsid w:val="00A93AF2"/>
    <w:rsid w:val="00A93B8F"/>
    <w:rsid w:val="00A94677"/>
    <w:rsid w:val="00A9493E"/>
    <w:rsid w:val="00A95974"/>
    <w:rsid w:val="00A968A5"/>
    <w:rsid w:val="00A96A7B"/>
    <w:rsid w:val="00A96BD0"/>
    <w:rsid w:val="00A97347"/>
    <w:rsid w:val="00A97406"/>
    <w:rsid w:val="00A97A92"/>
    <w:rsid w:val="00A97DA8"/>
    <w:rsid w:val="00AA01E1"/>
    <w:rsid w:val="00AA0445"/>
    <w:rsid w:val="00AA0662"/>
    <w:rsid w:val="00AA120C"/>
    <w:rsid w:val="00AA167C"/>
    <w:rsid w:val="00AA186A"/>
    <w:rsid w:val="00AA1998"/>
    <w:rsid w:val="00AA1BA0"/>
    <w:rsid w:val="00AA298B"/>
    <w:rsid w:val="00AA2C9D"/>
    <w:rsid w:val="00AA2EF1"/>
    <w:rsid w:val="00AA32E0"/>
    <w:rsid w:val="00AA341A"/>
    <w:rsid w:val="00AA345C"/>
    <w:rsid w:val="00AA375A"/>
    <w:rsid w:val="00AA38AE"/>
    <w:rsid w:val="00AA398F"/>
    <w:rsid w:val="00AA3A52"/>
    <w:rsid w:val="00AA3B51"/>
    <w:rsid w:val="00AA3C51"/>
    <w:rsid w:val="00AA5357"/>
    <w:rsid w:val="00AA5D3E"/>
    <w:rsid w:val="00AA64B2"/>
    <w:rsid w:val="00AA656C"/>
    <w:rsid w:val="00AA65DC"/>
    <w:rsid w:val="00AA6714"/>
    <w:rsid w:val="00AA6E52"/>
    <w:rsid w:val="00AA77FB"/>
    <w:rsid w:val="00AA7811"/>
    <w:rsid w:val="00AA7F41"/>
    <w:rsid w:val="00AB043B"/>
    <w:rsid w:val="00AB0CD2"/>
    <w:rsid w:val="00AB1701"/>
    <w:rsid w:val="00AB187A"/>
    <w:rsid w:val="00AB1BF0"/>
    <w:rsid w:val="00AB1D98"/>
    <w:rsid w:val="00AB1DD8"/>
    <w:rsid w:val="00AB1DFB"/>
    <w:rsid w:val="00AB2177"/>
    <w:rsid w:val="00AB2325"/>
    <w:rsid w:val="00AB26D5"/>
    <w:rsid w:val="00AB2A97"/>
    <w:rsid w:val="00AB2C4B"/>
    <w:rsid w:val="00AB3225"/>
    <w:rsid w:val="00AB33A5"/>
    <w:rsid w:val="00AB3E40"/>
    <w:rsid w:val="00AB3EB3"/>
    <w:rsid w:val="00AB4151"/>
    <w:rsid w:val="00AB4B09"/>
    <w:rsid w:val="00AB4CD8"/>
    <w:rsid w:val="00AB5A3E"/>
    <w:rsid w:val="00AB5C27"/>
    <w:rsid w:val="00AB5FF8"/>
    <w:rsid w:val="00AB632E"/>
    <w:rsid w:val="00AB6CA4"/>
    <w:rsid w:val="00AB7125"/>
    <w:rsid w:val="00AB7161"/>
    <w:rsid w:val="00AB759B"/>
    <w:rsid w:val="00AB77DF"/>
    <w:rsid w:val="00AB7968"/>
    <w:rsid w:val="00AB7A10"/>
    <w:rsid w:val="00AB7E97"/>
    <w:rsid w:val="00AB7EF9"/>
    <w:rsid w:val="00AC0416"/>
    <w:rsid w:val="00AC0B71"/>
    <w:rsid w:val="00AC1EE8"/>
    <w:rsid w:val="00AC2D75"/>
    <w:rsid w:val="00AC2F5F"/>
    <w:rsid w:val="00AC437F"/>
    <w:rsid w:val="00AC4605"/>
    <w:rsid w:val="00AC4924"/>
    <w:rsid w:val="00AC4ACD"/>
    <w:rsid w:val="00AC5644"/>
    <w:rsid w:val="00AC6B9B"/>
    <w:rsid w:val="00AC7DD8"/>
    <w:rsid w:val="00AD0858"/>
    <w:rsid w:val="00AD0B37"/>
    <w:rsid w:val="00AD111B"/>
    <w:rsid w:val="00AD17CC"/>
    <w:rsid w:val="00AD1B27"/>
    <w:rsid w:val="00AD1DC0"/>
    <w:rsid w:val="00AD1ED5"/>
    <w:rsid w:val="00AD1FBD"/>
    <w:rsid w:val="00AD246A"/>
    <w:rsid w:val="00AD26D6"/>
    <w:rsid w:val="00AD289F"/>
    <w:rsid w:val="00AD29BF"/>
    <w:rsid w:val="00AD2DEA"/>
    <w:rsid w:val="00AD45BC"/>
    <w:rsid w:val="00AD45BD"/>
    <w:rsid w:val="00AD4B61"/>
    <w:rsid w:val="00AD4EE8"/>
    <w:rsid w:val="00AD5170"/>
    <w:rsid w:val="00AD661E"/>
    <w:rsid w:val="00AD67F0"/>
    <w:rsid w:val="00AD6B3D"/>
    <w:rsid w:val="00AD720E"/>
    <w:rsid w:val="00AD7382"/>
    <w:rsid w:val="00AD7963"/>
    <w:rsid w:val="00AD7D4F"/>
    <w:rsid w:val="00AE05C2"/>
    <w:rsid w:val="00AE103B"/>
    <w:rsid w:val="00AE1457"/>
    <w:rsid w:val="00AE1874"/>
    <w:rsid w:val="00AE2826"/>
    <w:rsid w:val="00AE2B9F"/>
    <w:rsid w:val="00AE2FA9"/>
    <w:rsid w:val="00AE3606"/>
    <w:rsid w:val="00AE4540"/>
    <w:rsid w:val="00AE4EF1"/>
    <w:rsid w:val="00AE5A94"/>
    <w:rsid w:val="00AE5B20"/>
    <w:rsid w:val="00AE5B99"/>
    <w:rsid w:val="00AE6152"/>
    <w:rsid w:val="00AE64B3"/>
    <w:rsid w:val="00AE663D"/>
    <w:rsid w:val="00AE6711"/>
    <w:rsid w:val="00AE68B0"/>
    <w:rsid w:val="00AE6D2D"/>
    <w:rsid w:val="00AE6F78"/>
    <w:rsid w:val="00AE7A71"/>
    <w:rsid w:val="00AE7B04"/>
    <w:rsid w:val="00AF02ED"/>
    <w:rsid w:val="00AF0700"/>
    <w:rsid w:val="00AF088F"/>
    <w:rsid w:val="00AF0E62"/>
    <w:rsid w:val="00AF1068"/>
    <w:rsid w:val="00AF19EE"/>
    <w:rsid w:val="00AF29F5"/>
    <w:rsid w:val="00AF3272"/>
    <w:rsid w:val="00AF34EE"/>
    <w:rsid w:val="00AF3515"/>
    <w:rsid w:val="00AF428F"/>
    <w:rsid w:val="00AF4CA3"/>
    <w:rsid w:val="00AF5CD8"/>
    <w:rsid w:val="00AF5E83"/>
    <w:rsid w:val="00AF6BB5"/>
    <w:rsid w:val="00AF6FBF"/>
    <w:rsid w:val="00AF7027"/>
    <w:rsid w:val="00AF74A5"/>
    <w:rsid w:val="00AF77E1"/>
    <w:rsid w:val="00AF7C4F"/>
    <w:rsid w:val="00B0031D"/>
    <w:rsid w:val="00B00D5E"/>
    <w:rsid w:val="00B00F90"/>
    <w:rsid w:val="00B01273"/>
    <w:rsid w:val="00B01DB3"/>
    <w:rsid w:val="00B02B0B"/>
    <w:rsid w:val="00B02E4D"/>
    <w:rsid w:val="00B032F3"/>
    <w:rsid w:val="00B03C54"/>
    <w:rsid w:val="00B0472A"/>
    <w:rsid w:val="00B04D24"/>
    <w:rsid w:val="00B04D75"/>
    <w:rsid w:val="00B05672"/>
    <w:rsid w:val="00B05679"/>
    <w:rsid w:val="00B056C9"/>
    <w:rsid w:val="00B05BC9"/>
    <w:rsid w:val="00B06937"/>
    <w:rsid w:val="00B06A09"/>
    <w:rsid w:val="00B06C36"/>
    <w:rsid w:val="00B06D4D"/>
    <w:rsid w:val="00B073C6"/>
    <w:rsid w:val="00B077C4"/>
    <w:rsid w:val="00B07881"/>
    <w:rsid w:val="00B0789D"/>
    <w:rsid w:val="00B07EB4"/>
    <w:rsid w:val="00B10004"/>
    <w:rsid w:val="00B1002F"/>
    <w:rsid w:val="00B10BB1"/>
    <w:rsid w:val="00B1206D"/>
    <w:rsid w:val="00B124EF"/>
    <w:rsid w:val="00B12AD1"/>
    <w:rsid w:val="00B1309D"/>
    <w:rsid w:val="00B13A63"/>
    <w:rsid w:val="00B13DFD"/>
    <w:rsid w:val="00B13E8D"/>
    <w:rsid w:val="00B140A7"/>
    <w:rsid w:val="00B140DF"/>
    <w:rsid w:val="00B1418A"/>
    <w:rsid w:val="00B141DE"/>
    <w:rsid w:val="00B1428D"/>
    <w:rsid w:val="00B14B75"/>
    <w:rsid w:val="00B14D56"/>
    <w:rsid w:val="00B14F11"/>
    <w:rsid w:val="00B15A9C"/>
    <w:rsid w:val="00B15BC1"/>
    <w:rsid w:val="00B15BCD"/>
    <w:rsid w:val="00B16A5E"/>
    <w:rsid w:val="00B1760B"/>
    <w:rsid w:val="00B1777B"/>
    <w:rsid w:val="00B178FD"/>
    <w:rsid w:val="00B2045D"/>
    <w:rsid w:val="00B20573"/>
    <w:rsid w:val="00B208A6"/>
    <w:rsid w:val="00B2091B"/>
    <w:rsid w:val="00B20BA5"/>
    <w:rsid w:val="00B21862"/>
    <w:rsid w:val="00B21EA2"/>
    <w:rsid w:val="00B2264A"/>
    <w:rsid w:val="00B22A32"/>
    <w:rsid w:val="00B22B23"/>
    <w:rsid w:val="00B22CFC"/>
    <w:rsid w:val="00B22E31"/>
    <w:rsid w:val="00B234C6"/>
    <w:rsid w:val="00B23842"/>
    <w:rsid w:val="00B23FD0"/>
    <w:rsid w:val="00B24A7C"/>
    <w:rsid w:val="00B24C21"/>
    <w:rsid w:val="00B24CFB"/>
    <w:rsid w:val="00B24DB4"/>
    <w:rsid w:val="00B253CB"/>
    <w:rsid w:val="00B25CE1"/>
    <w:rsid w:val="00B25ED4"/>
    <w:rsid w:val="00B26264"/>
    <w:rsid w:val="00B2796B"/>
    <w:rsid w:val="00B27B1D"/>
    <w:rsid w:val="00B27C1C"/>
    <w:rsid w:val="00B30792"/>
    <w:rsid w:val="00B30B43"/>
    <w:rsid w:val="00B31421"/>
    <w:rsid w:val="00B31DE5"/>
    <w:rsid w:val="00B32427"/>
    <w:rsid w:val="00B32E2B"/>
    <w:rsid w:val="00B33668"/>
    <w:rsid w:val="00B33BBB"/>
    <w:rsid w:val="00B33E1B"/>
    <w:rsid w:val="00B34088"/>
    <w:rsid w:val="00B34117"/>
    <w:rsid w:val="00B349F0"/>
    <w:rsid w:val="00B34B7C"/>
    <w:rsid w:val="00B3502B"/>
    <w:rsid w:val="00B355C6"/>
    <w:rsid w:val="00B359D7"/>
    <w:rsid w:val="00B36EB7"/>
    <w:rsid w:val="00B3748B"/>
    <w:rsid w:val="00B3763D"/>
    <w:rsid w:val="00B37A10"/>
    <w:rsid w:val="00B4011A"/>
    <w:rsid w:val="00B40288"/>
    <w:rsid w:val="00B402B7"/>
    <w:rsid w:val="00B4061A"/>
    <w:rsid w:val="00B40748"/>
    <w:rsid w:val="00B4097B"/>
    <w:rsid w:val="00B40A77"/>
    <w:rsid w:val="00B40CAE"/>
    <w:rsid w:val="00B40CF4"/>
    <w:rsid w:val="00B40D8A"/>
    <w:rsid w:val="00B40DBF"/>
    <w:rsid w:val="00B40F4C"/>
    <w:rsid w:val="00B412AB"/>
    <w:rsid w:val="00B41D2F"/>
    <w:rsid w:val="00B41D58"/>
    <w:rsid w:val="00B420A6"/>
    <w:rsid w:val="00B4227E"/>
    <w:rsid w:val="00B424BD"/>
    <w:rsid w:val="00B427D2"/>
    <w:rsid w:val="00B42C2B"/>
    <w:rsid w:val="00B435D3"/>
    <w:rsid w:val="00B438EE"/>
    <w:rsid w:val="00B43D84"/>
    <w:rsid w:val="00B444B2"/>
    <w:rsid w:val="00B447B5"/>
    <w:rsid w:val="00B45143"/>
    <w:rsid w:val="00B4516D"/>
    <w:rsid w:val="00B45C45"/>
    <w:rsid w:val="00B467C3"/>
    <w:rsid w:val="00B46EB2"/>
    <w:rsid w:val="00B471BA"/>
    <w:rsid w:val="00B47246"/>
    <w:rsid w:val="00B476B6"/>
    <w:rsid w:val="00B47722"/>
    <w:rsid w:val="00B47D39"/>
    <w:rsid w:val="00B500E5"/>
    <w:rsid w:val="00B50555"/>
    <w:rsid w:val="00B508B0"/>
    <w:rsid w:val="00B50E3D"/>
    <w:rsid w:val="00B50F68"/>
    <w:rsid w:val="00B5138F"/>
    <w:rsid w:val="00B516F8"/>
    <w:rsid w:val="00B519F2"/>
    <w:rsid w:val="00B51B2F"/>
    <w:rsid w:val="00B51C55"/>
    <w:rsid w:val="00B51F5F"/>
    <w:rsid w:val="00B52B95"/>
    <w:rsid w:val="00B530D5"/>
    <w:rsid w:val="00B535F5"/>
    <w:rsid w:val="00B5380B"/>
    <w:rsid w:val="00B5473A"/>
    <w:rsid w:val="00B551F7"/>
    <w:rsid w:val="00B558E8"/>
    <w:rsid w:val="00B561D2"/>
    <w:rsid w:val="00B56282"/>
    <w:rsid w:val="00B5635F"/>
    <w:rsid w:val="00B56974"/>
    <w:rsid w:val="00B56AF6"/>
    <w:rsid w:val="00B5706E"/>
    <w:rsid w:val="00B573AA"/>
    <w:rsid w:val="00B573C5"/>
    <w:rsid w:val="00B57683"/>
    <w:rsid w:val="00B57CD4"/>
    <w:rsid w:val="00B60470"/>
    <w:rsid w:val="00B60572"/>
    <w:rsid w:val="00B60BB5"/>
    <w:rsid w:val="00B6129C"/>
    <w:rsid w:val="00B61328"/>
    <w:rsid w:val="00B61498"/>
    <w:rsid w:val="00B6153D"/>
    <w:rsid w:val="00B615C0"/>
    <w:rsid w:val="00B61964"/>
    <w:rsid w:val="00B6197F"/>
    <w:rsid w:val="00B61FC8"/>
    <w:rsid w:val="00B6201D"/>
    <w:rsid w:val="00B6280F"/>
    <w:rsid w:val="00B628EA"/>
    <w:rsid w:val="00B63C0D"/>
    <w:rsid w:val="00B64452"/>
    <w:rsid w:val="00B64E1E"/>
    <w:rsid w:val="00B65348"/>
    <w:rsid w:val="00B65370"/>
    <w:rsid w:val="00B65C40"/>
    <w:rsid w:val="00B65E70"/>
    <w:rsid w:val="00B660C9"/>
    <w:rsid w:val="00B6629E"/>
    <w:rsid w:val="00B668C4"/>
    <w:rsid w:val="00B67CF3"/>
    <w:rsid w:val="00B70832"/>
    <w:rsid w:val="00B708A4"/>
    <w:rsid w:val="00B70A18"/>
    <w:rsid w:val="00B70CAE"/>
    <w:rsid w:val="00B712C9"/>
    <w:rsid w:val="00B71CE9"/>
    <w:rsid w:val="00B71DC0"/>
    <w:rsid w:val="00B71EF1"/>
    <w:rsid w:val="00B72190"/>
    <w:rsid w:val="00B722E4"/>
    <w:rsid w:val="00B724DB"/>
    <w:rsid w:val="00B72E4E"/>
    <w:rsid w:val="00B72F5E"/>
    <w:rsid w:val="00B73541"/>
    <w:rsid w:val="00B735B9"/>
    <w:rsid w:val="00B73864"/>
    <w:rsid w:val="00B74116"/>
    <w:rsid w:val="00B7470E"/>
    <w:rsid w:val="00B75015"/>
    <w:rsid w:val="00B750B1"/>
    <w:rsid w:val="00B75604"/>
    <w:rsid w:val="00B7574E"/>
    <w:rsid w:val="00B75827"/>
    <w:rsid w:val="00B759A9"/>
    <w:rsid w:val="00B76FEE"/>
    <w:rsid w:val="00B77C2B"/>
    <w:rsid w:val="00B80221"/>
    <w:rsid w:val="00B802AC"/>
    <w:rsid w:val="00B80439"/>
    <w:rsid w:val="00B805A5"/>
    <w:rsid w:val="00B8073B"/>
    <w:rsid w:val="00B81450"/>
    <w:rsid w:val="00B81A44"/>
    <w:rsid w:val="00B81DD6"/>
    <w:rsid w:val="00B8229D"/>
    <w:rsid w:val="00B82380"/>
    <w:rsid w:val="00B83E52"/>
    <w:rsid w:val="00B83F10"/>
    <w:rsid w:val="00B83F2A"/>
    <w:rsid w:val="00B84301"/>
    <w:rsid w:val="00B8481C"/>
    <w:rsid w:val="00B84830"/>
    <w:rsid w:val="00B84E84"/>
    <w:rsid w:val="00B84F42"/>
    <w:rsid w:val="00B85391"/>
    <w:rsid w:val="00B85743"/>
    <w:rsid w:val="00B85DE9"/>
    <w:rsid w:val="00B85F52"/>
    <w:rsid w:val="00B86918"/>
    <w:rsid w:val="00B86BEE"/>
    <w:rsid w:val="00B8770D"/>
    <w:rsid w:val="00B90140"/>
    <w:rsid w:val="00B9069B"/>
    <w:rsid w:val="00B90D1B"/>
    <w:rsid w:val="00B90D2F"/>
    <w:rsid w:val="00B90ECB"/>
    <w:rsid w:val="00B90FA8"/>
    <w:rsid w:val="00B91B0A"/>
    <w:rsid w:val="00B91EE2"/>
    <w:rsid w:val="00B92168"/>
    <w:rsid w:val="00B927FA"/>
    <w:rsid w:val="00B92BE5"/>
    <w:rsid w:val="00B92C55"/>
    <w:rsid w:val="00B92F55"/>
    <w:rsid w:val="00B9307D"/>
    <w:rsid w:val="00B9351F"/>
    <w:rsid w:val="00B9368B"/>
    <w:rsid w:val="00B94612"/>
    <w:rsid w:val="00B948CE"/>
    <w:rsid w:val="00B9546C"/>
    <w:rsid w:val="00B95616"/>
    <w:rsid w:val="00B95B3E"/>
    <w:rsid w:val="00B95DF8"/>
    <w:rsid w:val="00B95EA4"/>
    <w:rsid w:val="00B96C23"/>
    <w:rsid w:val="00B96EDC"/>
    <w:rsid w:val="00B97392"/>
    <w:rsid w:val="00B97C2E"/>
    <w:rsid w:val="00BA1096"/>
    <w:rsid w:val="00BA1457"/>
    <w:rsid w:val="00BA1541"/>
    <w:rsid w:val="00BA18B2"/>
    <w:rsid w:val="00BA1D61"/>
    <w:rsid w:val="00BA28A2"/>
    <w:rsid w:val="00BA35F2"/>
    <w:rsid w:val="00BA3BDF"/>
    <w:rsid w:val="00BA515B"/>
    <w:rsid w:val="00BA6665"/>
    <w:rsid w:val="00BA6B01"/>
    <w:rsid w:val="00BA6B0D"/>
    <w:rsid w:val="00BA6C81"/>
    <w:rsid w:val="00BA73E8"/>
    <w:rsid w:val="00BA7833"/>
    <w:rsid w:val="00BA7B51"/>
    <w:rsid w:val="00BB0017"/>
    <w:rsid w:val="00BB0E85"/>
    <w:rsid w:val="00BB189B"/>
    <w:rsid w:val="00BB1E8F"/>
    <w:rsid w:val="00BB2412"/>
    <w:rsid w:val="00BB26A9"/>
    <w:rsid w:val="00BB29BC"/>
    <w:rsid w:val="00BB4358"/>
    <w:rsid w:val="00BB5631"/>
    <w:rsid w:val="00BB5E1D"/>
    <w:rsid w:val="00BB692E"/>
    <w:rsid w:val="00BB6D3F"/>
    <w:rsid w:val="00BB703D"/>
    <w:rsid w:val="00BB70A6"/>
    <w:rsid w:val="00BB76D3"/>
    <w:rsid w:val="00BB76F3"/>
    <w:rsid w:val="00BB773C"/>
    <w:rsid w:val="00BB775B"/>
    <w:rsid w:val="00BC0714"/>
    <w:rsid w:val="00BC094C"/>
    <w:rsid w:val="00BC0FD3"/>
    <w:rsid w:val="00BC11CA"/>
    <w:rsid w:val="00BC144A"/>
    <w:rsid w:val="00BC2440"/>
    <w:rsid w:val="00BC2D93"/>
    <w:rsid w:val="00BC2DD1"/>
    <w:rsid w:val="00BC2E6E"/>
    <w:rsid w:val="00BC2F2D"/>
    <w:rsid w:val="00BC319D"/>
    <w:rsid w:val="00BC39FF"/>
    <w:rsid w:val="00BC3ACB"/>
    <w:rsid w:val="00BC41F3"/>
    <w:rsid w:val="00BC449C"/>
    <w:rsid w:val="00BC486F"/>
    <w:rsid w:val="00BC4C5E"/>
    <w:rsid w:val="00BC58CC"/>
    <w:rsid w:val="00BC5997"/>
    <w:rsid w:val="00BC6790"/>
    <w:rsid w:val="00BC68F1"/>
    <w:rsid w:val="00BC691A"/>
    <w:rsid w:val="00BC7E8F"/>
    <w:rsid w:val="00BD0069"/>
    <w:rsid w:val="00BD0498"/>
    <w:rsid w:val="00BD0EDE"/>
    <w:rsid w:val="00BD11B8"/>
    <w:rsid w:val="00BD1469"/>
    <w:rsid w:val="00BD14A1"/>
    <w:rsid w:val="00BD16B1"/>
    <w:rsid w:val="00BD194D"/>
    <w:rsid w:val="00BD1A30"/>
    <w:rsid w:val="00BD1B5D"/>
    <w:rsid w:val="00BD2B5D"/>
    <w:rsid w:val="00BD2DAC"/>
    <w:rsid w:val="00BD30DA"/>
    <w:rsid w:val="00BD363A"/>
    <w:rsid w:val="00BD3AAC"/>
    <w:rsid w:val="00BD3DAD"/>
    <w:rsid w:val="00BD3E3F"/>
    <w:rsid w:val="00BD419A"/>
    <w:rsid w:val="00BD4CE8"/>
    <w:rsid w:val="00BD5737"/>
    <w:rsid w:val="00BD5978"/>
    <w:rsid w:val="00BD61FE"/>
    <w:rsid w:val="00BD72C8"/>
    <w:rsid w:val="00BD75BE"/>
    <w:rsid w:val="00BE0684"/>
    <w:rsid w:val="00BE100C"/>
    <w:rsid w:val="00BE1D7D"/>
    <w:rsid w:val="00BE1DB6"/>
    <w:rsid w:val="00BE2193"/>
    <w:rsid w:val="00BE2347"/>
    <w:rsid w:val="00BE237F"/>
    <w:rsid w:val="00BE2433"/>
    <w:rsid w:val="00BE2E2A"/>
    <w:rsid w:val="00BE3480"/>
    <w:rsid w:val="00BE3D82"/>
    <w:rsid w:val="00BE3F19"/>
    <w:rsid w:val="00BE4063"/>
    <w:rsid w:val="00BE4C6F"/>
    <w:rsid w:val="00BE5541"/>
    <w:rsid w:val="00BE56E2"/>
    <w:rsid w:val="00BE580D"/>
    <w:rsid w:val="00BE5842"/>
    <w:rsid w:val="00BE5B04"/>
    <w:rsid w:val="00BE6762"/>
    <w:rsid w:val="00BE6C1F"/>
    <w:rsid w:val="00BE72C3"/>
    <w:rsid w:val="00BE740B"/>
    <w:rsid w:val="00BF0AEB"/>
    <w:rsid w:val="00BF0D11"/>
    <w:rsid w:val="00BF1A87"/>
    <w:rsid w:val="00BF1C0C"/>
    <w:rsid w:val="00BF23AD"/>
    <w:rsid w:val="00BF24EA"/>
    <w:rsid w:val="00BF2740"/>
    <w:rsid w:val="00BF35DE"/>
    <w:rsid w:val="00BF4A9E"/>
    <w:rsid w:val="00BF4FD9"/>
    <w:rsid w:val="00BF5C30"/>
    <w:rsid w:val="00BF5F1B"/>
    <w:rsid w:val="00BF5F25"/>
    <w:rsid w:val="00BF6A34"/>
    <w:rsid w:val="00BF6B23"/>
    <w:rsid w:val="00BF7873"/>
    <w:rsid w:val="00BF7DCC"/>
    <w:rsid w:val="00C00312"/>
    <w:rsid w:val="00C00387"/>
    <w:rsid w:val="00C00524"/>
    <w:rsid w:val="00C0062A"/>
    <w:rsid w:val="00C01697"/>
    <w:rsid w:val="00C01ACC"/>
    <w:rsid w:val="00C01B7F"/>
    <w:rsid w:val="00C02B34"/>
    <w:rsid w:val="00C0390B"/>
    <w:rsid w:val="00C03FA0"/>
    <w:rsid w:val="00C04A95"/>
    <w:rsid w:val="00C0553D"/>
    <w:rsid w:val="00C0560C"/>
    <w:rsid w:val="00C058F6"/>
    <w:rsid w:val="00C05CD0"/>
    <w:rsid w:val="00C0626A"/>
    <w:rsid w:val="00C06926"/>
    <w:rsid w:val="00C06DD7"/>
    <w:rsid w:val="00C0705A"/>
    <w:rsid w:val="00C07169"/>
    <w:rsid w:val="00C10430"/>
    <w:rsid w:val="00C11322"/>
    <w:rsid w:val="00C113F1"/>
    <w:rsid w:val="00C11AB1"/>
    <w:rsid w:val="00C11D72"/>
    <w:rsid w:val="00C11E1B"/>
    <w:rsid w:val="00C11FA6"/>
    <w:rsid w:val="00C12196"/>
    <w:rsid w:val="00C12278"/>
    <w:rsid w:val="00C124FD"/>
    <w:rsid w:val="00C1260B"/>
    <w:rsid w:val="00C12691"/>
    <w:rsid w:val="00C12F76"/>
    <w:rsid w:val="00C13D52"/>
    <w:rsid w:val="00C14750"/>
    <w:rsid w:val="00C14881"/>
    <w:rsid w:val="00C14959"/>
    <w:rsid w:val="00C14976"/>
    <w:rsid w:val="00C149EB"/>
    <w:rsid w:val="00C152D4"/>
    <w:rsid w:val="00C153A4"/>
    <w:rsid w:val="00C15BBF"/>
    <w:rsid w:val="00C15DFB"/>
    <w:rsid w:val="00C15EB5"/>
    <w:rsid w:val="00C1625B"/>
    <w:rsid w:val="00C17735"/>
    <w:rsid w:val="00C20204"/>
    <w:rsid w:val="00C207FE"/>
    <w:rsid w:val="00C2095E"/>
    <w:rsid w:val="00C20A06"/>
    <w:rsid w:val="00C212E5"/>
    <w:rsid w:val="00C21511"/>
    <w:rsid w:val="00C218C8"/>
    <w:rsid w:val="00C22293"/>
    <w:rsid w:val="00C226BA"/>
    <w:rsid w:val="00C22B2D"/>
    <w:rsid w:val="00C22EBF"/>
    <w:rsid w:val="00C22F7C"/>
    <w:rsid w:val="00C23165"/>
    <w:rsid w:val="00C23373"/>
    <w:rsid w:val="00C2352D"/>
    <w:rsid w:val="00C23891"/>
    <w:rsid w:val="00C245DE"/>
    <w:rsid w:val="00C2470D"/>
    <w:rsid w:val="00C2492D"/>
    <w:rsid w:val="00C24E17"/>
    <w:rsid w:val="00C25346"/>
    <w:rsid w:val="00C25E83"/>
    <w:rsid w:val="00C25EF0"/>
    <w:rsid w:val="00C27709"/>
    <w:rsid w:val="00C27D3C"/>
    <w:rsid w:val="00C27FBE"/>
    <w:rsid w:val="00C3015C"/>
    <w:rsid w:val="00C3028B"/>
    <w:rsid w:val="00C3086E"/>
    <w:rsid w:val="00C30D00"/>
    <w:rsid w:val="00C313C2"/>
    <w:rsid w:val="00C317AB"/>
    <w:rsid w:val="00C31922"/>
    <w:rsid w:val="00C31B9E"/>
    <w:rsid w:val="00C31F6A"/>
    <w:rsid w:val="00C333B4"/>
    <w:rsid w:val="00C339D6"/>
    <w:rsid w:val="00C339D8"/>
    <w:rsid w:val="00C33D52"/>
    <w:rsid w:val="00C3415E"/>
    <w:rsid w:val="00C34600"/>
    <w:rsid w:val="00C3461B"/>
    <w:rsid w:val="00C34A9D"/>
    <w:rsid w:val="00C356D8"/>
    <w:rsid w:val="00C35CAB"/>
    <w:rsid w:val="00C35DC9"/>
    <w:rsid w:val="00C3633A"/>
    <w:rsid w:val="00C3652A"/>
    <w:rsid w:val="00C368CF"/>
    <w:rsid w:val="00C36AFD"/>
    <w:rsid w:val="00C36D8C"/>
    <w:rsid w:val="00C370EA"/>
    <w:rsid w:val="00C37B6F"/>
    <w:rsid w:val="00C37EDD"/>
    <w:rsid w:val="00C404DF"/>
    <w:rsid w:val="00C40618"/>
    <w:rsid w:val="00C4085D"/>
    <w:rsid w:val="00C41093"/>
    <w:rsid w:val="00C412F7"/>
    <w:rsid w:val="00C41626"/>
    <w:rsid w:val="00C4183E"/>
    <w:rsid w:val="00C41A89"/>
    <w:rsid w:val="00C41C15"/>
    <w:rsid w:val="00C41D7D"/>
    <w:rsid w:val="00C42085"/>
    <w:rsid w:val="00C426F3"/>
    <w:rsid w:val="00C42B71"/>
    <w:rsid w:val="00C43819"/>
    <w:rsid w:val="00C44004"/>
    <w:rsid w:val="00C44349"/>
    <w:rsid w:val="00C44418"/>
    <w:rsid w:val="00C4444C"/>
    <w:rsid w:val="00C4452A"/>
    <w:rsid w:val="00C456D8"/>
    <w:rsid w:val="00C4577B"/>
    <w:rsid w:val="00C45901"/>
    <w:rsid w:val="00C45C13"/>
    <w:rsid w:val="00C45F56"/>
    <w:rsid w:val="00C46392"/>
    <w:rsid w:val="00C46F5B"/>
    <w:rsid w:val="00C4701B"/>
    <w:rsid w:val="00C47149"/>
    <w:rsid w:val="00C47197"/>
    <w:rsid w:val="00C47365"/>
    <w:rsid w:val="00C473AC"/>
    <w:rsid w:val="00C4776F"/>
    <w:rsid w:val="00C512EE"/>
    <w:rsid w:val="00C51477"/>
    <w:rsid w:val="00C514D7"/>
    <w:rsid w:val="00C516DD"/>
    <w:rsid w:val="00C52E1F"/>
    <w:rsid w:val="00C535AB"/>
    <w:rsid w:val="00C53790"/>
    <w:rsid w:val="00C544AB"/>
    <w:rsid w:val="00C544FA"/>
    <w:rsid w:val="00C54CD1"/>
    <w:rsid w:val="00C55197"/>
    <w:rsid w:val="00C551E4"/>
    <w:rsid w:val="00C552BE"/>
    <w:rsid w:val="00C552F6"/>
    <w:rsid w:val="00C55ADF"/>
    <w:rsid w:val="00C55BEB"/>
    <w:rsid w:val="00C56538"/>
    <w:rsid w:val="00C5686D"/>
    <w:rsid w:val="00C5758B"/>
    <w:rsid w:val="00C6006E"/>
    <w:rsid w:val="00C6087D"/>
    <w:rsid w:val="00C60B27"/>
    <w:rsid w:val="00C62711"/>
    <w:rsid w:val="00C639DB"/>
    <w:rsid w:val="00C641FD"/>
    <w:rsid w:val="00C644DF"/>
    <w:rsid w:val="00C64583"/>
    <w:rsid w:val="00C66160"/>
    <w:rsid w:val="00C6668E"/>
    <w:rsid w:val="00C67450"/>
    <w:rsid w:val="00C67601"/>
    <w:rsid w:val="00C67A01"/>
    <w:rsid w:val="00C70E54"/>
    <w:rsid w:val="00C7139D"/>
    <w:rsid w:val="00C7181A"/>
    <w:rsid w:val="00C71881"/>
    <w:rsid w:val="00C721CB"/>
    <w:rsid w:val="00C7265F"/>
    <w:rsid w:val="00C72A83"/>
    <w:rsid w:val="00C73E1B"/>
    <w:rsid w:val="00C74194"/>
    <w:rsid w:val="00C74D11"/>
    <w:rsid w:val="00C74D29"/>
    <w:rsid w:val="00C7543C"/>
    <w:rsid w:val="00C75B2C"/>
    <w:rsid w:val="00C75E13"/>
    <w:rsid w:val="00C76954"/>
    <w:rsid w:val="00C7720D"/>
    <w:rsid w:val="00C7730F"/>
    <w:rsid w:val="00C7762E"/>
    <w:rsid w:val="00C77C93"/>
    <w:rsid w:val="00C77D99"/>
    <w:rsid w:val="00C8021D"/>
    <w:rsid w:val="00C805B5"/>
    <w:rsid w:val="00C80ACA"/>
    <w:rsid w:val="00C80C0A"/>
    <w:rsid w:val="00C80CA7"/>
    <w:rsid w:val="00C81442"/>
    <w:rsid w:val="00C815C6"/>
    <w:rsid w:val="00C81836"/>
    <w:rsid w:val="00C81900"/>
    <w:rsid w:val="00C81B70"/>
    <w:rsid w:val="00C81B85"/>
    <w:rsid w:val="00C81DD0"/>
    <w:rsid w:val="00C822E4"/>
    <w:rsid w:val="00C82A30"/>
    <w:rsid w:val="00C82AC2"/>
    <w:rsid w:val="00C83189"/>
    <w:rsid w:val="00C83620"/>
    <w:rsid w:val="00C83A01"/>
    <w:rsid w:val="00C83F1D"/>
    <w:rsid w:val="00C84142"/>
    <w:rsid w:val="00C84B75"/>
    <w:rsid w:val="00C85A08"/>
    <w:rsid w:val="00C85DDE"/>
    <w:rsid w:val="00C86069"/>
    <w:rsid w:val="00C860A5"/>
    <w:rsid w:val="00C863C3"/>
    <w:rsid w:val="00C86F19"/>
    <w:rsid w:val="00C87A4F"/>
    <w:rsid w:val="00C87C6F"/>
    <w:rsid w:val="00C90798"/>
    <w:rsid w:val="00C90889"/>
    <w:rsid w:val="00C908D9"/>
    <w:rsid w:val="00C91245"/>
    <w:rsid w:val="00C9198A"/>
    <w:rsid w:val="00C92867"/>
    <w:rsid w:val="00C93969"/>
    <w:rsid w:val="00C944B9"/>
    <w:rsid w:val="00C94DA3"/>
    <w:rsid w:val="00C952D5"/>
    <w:rsid w:val="00C953F3"/>
    <w:rsid w:val="00C9541D"/>
    <w:rsid w:val="00C956E6"/>
    <w:rsid w:val="00C959AA"/>
    <w:rsid w:val="00C95D54"/>
    <w:rsid w:val="00C9612D"/>
    <w:rsid w:val="00C962A7"/>
    <w:rsid w:val="00C963B7"/>
    <w:rsid w:val="00C96496"/>
    <w:rsid w:val="00C96B16"/>
    <w:rsid w:val="00C96E96"/>
    <w:rsid w:val="00C96EE3"/>
    <w:rsid w:val="00C9771C"/>
    <w:rsid w:val="00CA0B4E"/>
    <w:rsid w:val="00CA0D3E"/>
    <w:rsid w:val="00CA10B0"/>
    <w:rsid w:val="00CA278A"/>
    <w:rsid w:val="00CA2ABD"/>
    <w:rsid w:val="00CA354B"/>
    <w:rsid w:val="00CA35AE"/>
    <w:rsid w:val="00CA3F18"/>
    <w:rsid w:val="00CA4052"/>
    <w:rsid w:val="00CA40F7"/>
    <w:rsid w:val="00CA4791"/>
    <w:rsid w:val="00CA4A95"/>
    <w:rsid w:val="00CA4BBA"/>
    <w:rsid w:val="00CA4EE1"/>
    <w:rsid w:val="00CA596E"/>
    <w:rsid w:val="00CA5D1D"/>
    <w:rsid w:val="00CA6F7F"/>
    <w:rsid w:val="00CA73CE"/>
    <w:rsid w:val="00CA764A"/>
    <w:rsid w:val="00CA7811"/>
    <w:rsid w:val="00CA7867"/>
    <w:rsid w:val="00CA7A47"/>
    <w:rsid w:val="00CB0380"/>
    <w:rsid w:val="00CB058C"/>
    <w:rsid w:val="00CB0842"/>
    <w:rsid w:val="00CB0B85"/>
    <w:rsid w:val="00CB19B9"/>
    <w:rsid w:val="00CB1C26"/>
    <w:rsid w:val="00CB1D38"/>
    <w:rsid w:val="00CB1DCD"/>
    <w:rsid w:val="00CB2053"/>
    <w:rsid w:val="00CB27E6"/>
    <w:rsid w:val="00CB2D50"/>
    <w:rsid w:val="00CB33CE"/>
    <w:rsid w:val="00CB3D93"/>
    <w:rsid w:val="00CB4E1D"/>
    <w:rsid w:val="00CB4F09"/>
    <w:rsid w:val="00CB553E"/>
    <w:rsid w:val="00CB56A6"/>
    <w:rsid w:val="00CB57E8"/>
    <w:rsid w:val="00CB5EE1"/>
    <w:rsid w:val="00CB69CB"/>
    <w:rsid w:val="00CB6CE5"/>
    <w:rsid w:val="00CB6F17"/>
    <w:rsid w:val="00CB7706"/>
    <w:rsid w:val="00CB7E56"/>
    <w:rsid w:val="00CC0079"/>
    <w:rsid w:val="00CC0537"/>
    <w:rsid w:val="00CC1159"/>
    <w:rsid w:val="00CC14AB"/>
    <w:rsid w:val="00CC1B4D"/>
    <w:rsid w:val="00CC1D5A"/>
    <w:rsid w:val="00CC1E97"/>
    <w:rsid w:val="00CC2040"/>
    <w:rsid w:val="00CC2436"/>
    <w:rsid w:val="00CC2C6C"/>
    <w:rsid w:val="00CC2F1A"/>
    <w:rsid w:val="00CC373B"/>
    <w:rsid w:val="00CC380A"/>
    <w:rsid w:val="00CC4207"/>
    <w:rsid w:val="00CC4507"/>
    <w:rsid w:val="00CC4C16"/>
    <w:rsid w:val="00CC4D28"/>
    <w:rsid w:val="00CC51E7"/>
    <w:rsid w:val="00CC5EE5"/>
    <w:rsid w:val="00CC6179"/>
    <w:rsid w:val="00CC6285"/>
    <w:rsid w:val="00CC6396"/>
    <w:rsid w:val="00CC694E"/>
    <w:rsid w:val="00CC6C49"/>
    <w:rsid w:val="00CC6EA4"/>
    <w:rsid w:val="00CC74E2"/>
    <w:rsid w:val="00CC7784"/>
    <w:rsid w:val="00CC7963"/>
    <w:rsid w:val="00CC7A12"/>
    <w:rsid w:val="00CD00A0"/>
    <w:rsid w:val="00CD01B5"/>
    <w:rsid w:val="00CD0526"/>
    <w:rsid w:val="00CD0909"/>
    <w:rsid w:val="00CD0D24"/>
    <w:rsid w:val="00CD10E2"/>
    <w:rsid w:val="00CD1125"/>
    <w:rsid w:val="00CD118D"/>
    <w:rsid w:val="00CD2424"/>
    <w:rsid w:val="00CD27D5"/>
    <w:rsid w:val="00CD3A74"/>
    <w:rsid w:val="00CD41E7"/>
    <w:rsid w:val="00CD589E"/>
    <w:rsid w:val="00CD58DD"/>
    <w:rsid w:val="00CD5AA4"/>
    <w:rsid w:val="00CD5FDC"/>
    <w:rsid w:val="00CD68B2"/>
    <w:rsid w:val="00CD6AF4"/>
    <w:rsid w:val="00CD6D01"/>
    <w:rsid w:val="00CE0414"/>
    <w:rsid w:val="00CE04F0"/>
    <w:rsid w:val="00CE0558"/>
    <w:rsid w:val="00CE13BB"/>
    <w:rsid w:val="00CE18CC"/>
    <w:rsid w:val="00CE2E27"/>
    <w:rsid w:val="00CE2F6A"/>
    <w:rsid w:val="00CE378D"/>
    <w:rsid w:val="00CE3939"/>
    <w:rsid w:val="00CE39BE"/>
    <w:rsid w:val="00CE3B2F"/>
    <w:rsid w:val="00CE4138"/>
    <w:rsid w:val="00CE471B"/>
    <w:rsid w:val="00CE56D6"/>
    <w:rsid w:val="00CE5994"/>
    <w:rsid w:val="00CE5B27"/>
    <w:rsid w:val="00CE5E91"/>
    <w:rsid w:val="00CE62BE"/>
    <w:rsid w:val="00CE64D3"/>
    <w:rsid w:val="00CE688E"/>
    <w:rsid w:val="00CE7212"/>
    <w:rsid w:val="00CE79DA"/>
    <w:rsid w:val="00CF0059"/>
    <w:rsid w:val="00CF0683"/>
    <w:rsid w:val="00CF06D2"/>
    <w:rsid w:val="00CF09DF"/>
    <w:rsid w:val="00CF09F1"/>
    <w:rsid w:val="00CF0A78"/>
    <w:rsid w:val="00CF12B4"/>
    <w:rsid w:val="00CF181E"/>
    <w:rsid w:val="00CF1B25"/>
    <w:rsid w:val="00CF28A0"/>
    <w:rsid w:val="00CF2C04"/>
    <w:rsid w:val="00CF4205"/>
    <w:rsid w:val="00CF496A"/>
    <w:rsid w:val="00CF50AA"/>
    <w:rsid w:val="00CF54E4"/>
    <w:rsid w:val="00CF621A"/>
    <w:rsid w:val="00CF640A"/>
    <w:rsid w:val="00CF6FFB"/>
    <w:rsid w:val="00CF7289"/>
    <w:rsid w:val="00CF734F"/>
    <w:rsid w:val="00CF77ED"/>
    <w:rsid w:val="00CF7931"/>
    <w:rsid w:val="00CF7E4F"/>
    <w:rsid w:val="00CF7F88"/>
    <w:rsid w:val="00D000EC"/>
    <w:rsid w:val="00D0081A"/>
    <w:rsid w:val="00D00858"/>
    <w:rsid w:val="00D00A73"/>
    <w:rsid w:val="00D00B71"/>
    <w:rsid w:val="00D00B8F"/>
    <w:rsid w:val="00D00D84"/>
    <w:rsid w:val="00D00EC8"/>
    <w:rsid w:val="00D00EEB"/>
    <w:rsid w:val="00D015F3"/>
    <w:rsid w:val="00D0162F"/>
    <w:rsid w:val="00D018D3"/>
    <w:rsid w:val="00D019C0"/>
    <w:rsid w:val="00D020A1"/>
    <w:rsid w:val="00D02B1F"/>
    <w:rsid w:val="00D02E20"/>
    <w:rsid w:val="00D03429"/>
    <w:rsid w:val="00D03817"/>
    <w:rsid w:val="00D0413A"/>
    <w:rsid w:val="00D04268"/>
    <w:rsid w:val="00D04898"/>
    <w:rsid w:val="00D04F2D"/>
    <w:rsid w:val="00D05039"/>
    <w:rsid w:val="00D062BF"/>
    <w:rsid w:val="00D06932"/>
    <w:rsid w:val="00D06B24"/>
    <w:rsid w:val="00D07117"/>
    <w:rsid w:val="00D075F0"/>
    <w:rsid w:val="00D07EA0"/>
    <w:rsid w:val="00D1066D"/>
    <w:rsid w:val="00D10A2A"/>
    <w:rsid w:val="00D10B12"/>
    <w:rsid w:val="00D10B40"/>
    <w:rsid w:val="00D10CEA"/>
    <w:rsid w:val="00D11236"/>
    <w:rsid w:val="00D11979"/>
    <w:rsid w:val="00D12122"/>
    <w:rsid w:val="00D12920"/>
    <w:rsid w:val="00D12CD5"/>
    <w:rsid w:val="00D131FA"/>
    <w:rsid w:val="00D1358D"/>
    <w:rsid w:val="00D139C1"/>
    <w:rsid w:val="00D14000"/>
    <w:rsid w:val="00D142BA"/>
    <w:rsid w:val="00D146F6"/>
    <w:rsid w:val="00D149F3"/>
    <w:rsid w:val="00D14BE8"/>
    <w:rsid w:val="00D151CC"/>
    <w:rsid w:val="00D15ECE"/>
    <w:rsid w:val="00D15FB0"/>
    <w:rsid w:val="00D16354"/>
    <w:rsid w:val="00D1667B"/>
    <w:rsid w:val="00D17E96"/>
    <w:rsid w:val="00D20A8A"/>
    <w:rsid w:val="00D2114B"/>
    <w:rsid w:val="00D2159F"/>
    <w:rsid w:val="00D217DF"/>
    <w:rsid w:val="00D2197F"/>
    <w:rsid w:val="00D21E01"/>
    <w:rsid w:val="00D22096"/>
    <w:rsid w:val="00D22674"/>
    <w:rsid w:val="00D228C5"/>
    <w:rsid w:val="00D228EA"/>
    <w:rsid w:val="00D23B86"/>
    <w:rsid w:val="00D246DA"/>
    <w:rsid w:val="00D24CE7"/>
    <w:rsid w:val="00D24EA2"/>
    <w:rsid w:val="00D2507C"/>
    <w:rsid w:val="00D252F0"/>
    <w:rsid w:val="00D257C1"/>
    <w:rsid w:val="00D25EBA"/>
    <w:rsid w:val="00D26077"/>
    <w:rsid w:val="00D2628D"/>
    <w:rsid w:val="00D26F95"/>
    <w:rsid w:val="00D276B2"/>
    <w:rsid w:val="00D27885"/>
    <w:rsid w:val="00D3035F"/>
    <w:rsid w:val="00D30582"/>
    <w:rsid w:val="00D30720"/>
    <w:rsid w:val="00D30D33"/>
    <w:rsid w:val="00D311FB"/>
    <w:rsid w:val="00D312DC"/>
    <w:rsid w:val="00D317CB"/>
    <w:rsid w:val="00D31C73"/>
    <w:rsid w:val="00D31EB0"/>
    <w:rsid w:val="00D32309"/>
    <w:rsid w:val="00D32BE0"/>
    <w:rsid w:val="00D33391"/>
    <w:rsid w:val="00D337C8"/>
    <w:rsid w:val="00D33912"/>
    <w:rsid w:val="00D33A44"/>
    <w:rsid w:val="00D33AB8"/>
    <w:rsid w:val="00D33FB6"/>
    <w:rsid w:val="00D342D4"/>
    <w:rsid w:val="00D34634"/>
    <w:rsid w:val="00D347BE"/>
    <w:rsid w:val="00D34E0D"/>
    <w:rsid w:val="00D34F53"/>
    <w:rsid w:val="00D3514C"/>
    <w:rsid w:val="00D354AC"/>
    <w:rsid w:val="00D36513"/>
    <w:rsid w:val="00D36587"/>
    <w:rsid w:val="00D3716B"/>
    <w:rsid w:val="00D3744E"/>
    <w:rsid w:val="00D3762B"/>
    <w:rsid w:val="00D379F8"/>
    <w:rsid w:val="00D37E4D"/>
    <w:rsid w:val="00D37F5C"/>
    <w:rsid w:val="00D37FBC"/>
    <w:rsid w:val="00D4064E"/>
    <w:rsid w:val="00D40BC7"/>
    <w:rsid w:val="00D40C22"/>
    <w:rsid w:val="00D40D1E"/>
    <w:rsid w:val="00D40E6E"/>
    <w:rsid w:val="00D41852"/>
    <w:rsid w:val="00D41970"/>
    <w:rsid w:val="00D41988"/>
    <w:rsid w:val="00D41A75"/>
    <w:rsid w:val="00D41D4A"/>
    <w:rsid w:val="00D427C2"/>
    <w:rsid w:val="00D43749"/>
    <w:rsid w:val="00D4375E"/>
    <w:rsid w:val="00D438CE"/>
    <w:rsid w:val="00D43DFD"/>
    <w:rsid w:val="00D443D1"/>
    <w:rsid w:val="00D44F95"/>
    <w:rsid w:val="00D4667A"/>
    <w:rsid w:val="00D46699"/>
    <w:rsid w:val="00D46799"/>
    <w:rsid w:val="00D4690C"/>
    <w:rsid w:val="00D46AC9"/>
    <w:rsid w:val="00D46D14"/>
    <w:rsid w:val="00D46E1A"/>
    <w:rsid w:val="00D4755A"/>
    <w:rsid w:val="00D47E3F"/>
    <w:rsid w:val="00D51120"/>
    <w:rsid w:val="00D51414"/>
    <w:rsid w:val="00D5171A"/>
    <w:rsid w:val="00D51921"/>
    <w:rsid w:val="00D51CAC"/>
    <w:rsid w:val="00D5249D"/>
    <w:rsid w:val="00D53C32"/>
    <w:rsid w:val="00D54996"/>
    <w:rsid w:val="00D54BBF"/>
    <w:rsid w:val="00D54F6D"/>
    <w:rsid w:val="00D55159"/>
    <w:rsid w:val="00D55C26"/>
    <w:rsid w:val="00D5642A"/>
    <w:rsid w:val="00D5685D"/>
    <w:rsid w:val="00D56A3A"/>
    <w:rsid w:val="00D56B0B"/>
    <w:rsid w:val="00D56B34"/>
    <w:rsid w:val="00D56D23"/>
    <w:rsid w:val="00D572AD"/>
    <w:rsid w:val="00D5793D"/>
    <w:rsid w:val="00D579F6"/>
    <w:rsid w:val="00D57BA6"/>
    <w:rsid w:val="00D57E24"/>
    <w:rsid w:val="00D60F2B"/>
    <w:rsid w:val="00D60F8D"/>
    <w:rsid w:val="00D62064"/>
    <w:rsid w:val="00D625D6"/>
    <w:rsid w:val="00D62691"/>
    <w:rsid w:val="00D62753"/>
    <w:rsid w:val="00D62BD3"/>
    <w:rsid w:val="00D633B8"/>
    <w:rsid w:val="00D63B73"/>
    <w:rsid w:val="00D63C04"/>
    <w:rsid w:val="00D643A8"/>
    <w:rsid w:val="00D64442"/>
    <w:rsid w:val="00D64781"/>
    <w:rsid w:val="00D6486E"/>
    <w:rsid w:val="00D64888"/>
    <w:rsid w:val="00D64C0D"/>
    <w:rsid w:val="00D64D6E"/>
    <w:rsid w:val="00D65A80"/>
    <w:rsid w:val="00D65F05"/>
    <w:rsid w:val="00D661F4"/>
    <w:rsid w:val="00D663E2"/>
    <w:rsid w:val="00D67B44"/>
    <w:rsid w:val="00D7020C"/>
    <w:rsid w:val="00D70502"/>
    <w:rsid w:val="00D71B94"/>
    <w:rsid w:val="00D7212A"/>
    <w:rsid w:val="00D72568"/>
    <w:rsid w:val="00D7268B"/>
    <w:rsid w:val="00D735E7"/>
    <w:rsid w:val="00D7386F"/>
    <w:rsid w:val="00D73C81"/>
    <w:rsid w:val="00D73E79"/>
    <w:rsid w:val="00D744A2"/>
    <w:rsid w:val="00D746B9"/>
    <w:rsid w:val="00D74A1E"/>
    <w:rsid w:val="00D74F28"/>
    <w:rsid w:val="00D755F6"/>
    <w:rsid w:val="00D757F0"/>
    <w:rsid w:val="00D75A0C"/>
    <w:rsid w:val="00D7623E"/>
    <w:rsid w:val="00D76471"/>
    <w:rsid w:val="00D768B0"/>
    <w:rsid w:val="00D77CFF"/>
    <w:rsid w:val="00D80541"/>
    <w:rsid w:val="00D80B90"/>
    <w:rsid w:val="00D813DC"/>
    <w:rsid w:val="00D824DB"/>
    <w:rsid w:val="00D83057"/>
    <w:rsid w:val="00D83348"/>
    <w:rsid w:val="00D847D4"/>
    <w:rsid w:val="00D84873"/>
    <w:rsid w:val="00D84948"/>
    <w:rsid w:val="00D84AB0"/>
    <w:rsid w:val="00D84AE4"/>
    <w:rsid w:val="00D850E3"/>
    <w:rsid w:val="00D8518F"/>
    <w:rsid w:val="00D857AB"/>
    <w:rsid w:val="00D8623F"/>
    <w:rsid w:val="00D86648"/>
    <w:rsid w:val="00D86B88"/>
    <w:rsid w:val="00D86E27"/>
    <w:rsid w:val="00D8744E"/>
    <w:rsid w:val="00D87A47"/>
    <w:rsid w:val="00D90330"/>
    <w:rsid w:val="00D9096E"/>
    <w:rsid w:val="00D909F6"/>
    <w:rsid w:val="00D90BE7"/>
    <w:rsid w:val="00D9116A"/>
    <w:rsid w:val="00D91BFB"/>
    <w:rsid w:val="00D92114"/>
    <w:rsid w:val="00D924E7"/>
    <w:rsid w:val="00D926A9"/>
    <w:rsid w:val="00D92A02"/>
    <w:rsid w:val="00D92AF8"/>
    <w:rsid w:val="00D92BEA"/>
    <w:rsid w:val="00D92CCA"/>
    <w:rsid w:val="00D935C1"/>
    <w:rsid w:val="00D93927"/>
    <w:rsid w:val="00D94148"/>
    <w:rsid w:val="00D944E4"/>
    <w:rsid w:val="00D946EA"/>
    <w:rsid w:val="00D95283"/>
    <w:rsid w:val="00D95BE5"/>
    <w:rsid w:val="00D95CAE"/>
    <w:rsid w:val="00D95F16"/>
    <w:rsid w:val="00D96439"/>
    <w:rsid w:val="00D96697"/>
    <w:rsid w:val="00D96E53"/>
    <w:rsid w:val="00D9720A"/>
    <w:rsid w:val="00D9767B"/>
    <w:rsid w:val="00D97EF0"/>
    <w:rsid w:val="00DA03AB"/>
    <w:rsid w:val="00DA0BBE"/>
    <w:rsid w:val="00DA106F"/>
    <w:rsid w:val="00DA12CF"/>
    <w:rsid w:val="00DA1339"/>
    <w:rsid w:val="00DA28E6"/>
    <w:rsid w:val="00DA295D"/>
    <w:rsid w:val="00DA2C20"/>
    <w:rsid w:val="00DA2F6F"/>
    <w:rsid w:val="00DA337A"/>
    <w:rsid w:val="00DA382A"/>
    <w:rsid w:val="00DA477B"/>
    <w:rsid w:val="00DA4820"/>
    <w:rsid w:val="00DA59C7"/>
    <w:rsid w:val="00DA61B4"/>
    <w:rsid w:val="00DA657C"/>
    <w:rsid w:val="00DA6E08"/>
    <w:rsid w:val="00DA769D"/>
    <w:rsid w:val="00DA7E3A"/>
    <w:rsid w:val="00DB0074"/>
    <w:rsid w:val="00DB011D"/>
    <w:rsid w:val="00DB0428"/>
    <w:rsid w:val="00DB090E"/>
    <w:rsid w:val="00DB1E82"/>
    <w:rsid w:val="00DB207D"/>
    <w:rsid w:val="00DB2231"/>
    <w:rsid w:val="00DB22BA"/>
    <w:rsid w:val="00DB27E1"/>
    <w:rsid w:val="00DB2BAD"/>
    <w:rsid w:val="00DB34AB"/>
    <w:rsid w:val="00DB396D"/>
    <w:rsid w:val="00DB3BA5"/>
    <w:rsid w:val="00DB454C"/>
    <w:rsid w:val="00DB4862"/>
    <w:rsid w:val="00DB4C0E"/>
    <w:rsid w:val="00DB4D60"/>
    <w:rsid w:val="00DB50E9"/>
    <w:rsid w:val="00DB5F64"/>
    <w:rsid w:val="00DB62D2"/>
    <w:rsid w:val="00DB6555"/>
    <w:rsid w:val="00DB683E"/>
    <w:rsid w:val="00DB706D"/>
    <w:rsid w:val="00DB73D7"/>
    <w:rsid w:val="00DB7552"/>
    <w:rsid w:val="00DB7576"/>
    <w:rsid w:val="00DB7F70"/>
    <w:rsid w:val="00DC07B8"/>
    <w:rsid w:val="00DC08AE"/>
    <w:rsid w:val="00DC1418"/>
    <w:rsid w:val="00DC18C5"/>
    <w:rsid w:val="00DC1B63"/>
    <w:rsid w:val="00DC1B7E"/>
    <w:rsid w:val="00DC1C14"/>
    <w:rsid w:val="00DC1DAC"/>
    <w:rsid w:val="00DC1E7F"/>
    <w:rsid w:val="00DC22F1"/>
    <w:rsid w:val="00DC278E"/>
    <w:rsid w:val="00DC2FE2"/>
    <w:rsid w:val="00DC350A"/>
    <w:rsid w:val="00DC3635"/>
    <w:rsid w:val="00DC39B7"/>
    <w:rsid w:val="00DC4284"/>
    <w:rsid w:val="00DC4371"/>
    <w:rsid w:val="00DC4C5C"/>
    <w:rsid w:val="00DC4CFC"/>
    <w:rsid w:val="00DC542C"/>
    <w:rsid w:val="00DC5550"/>
    <w:rsid w:val="00DC57C6"/>
    <w:rsid w:val="00DC5D05"/>
    <w:rsid w:val="00DC695B"/>
    <w:rsid w:val="00DC73BE"/>
    <w:rsid w:val="00DC7576"/>
    <w:rsid w:val="00DC7DBF"/>
    <w:rsid w:val="00DD09CA"/>
    <w:rsid w:val="00DD0E02"/>
    <w:rsid w:val="00DD0F72"/>
    <w:rsid w:val="00DD10AC"/>
    <w:rsid w:val="00DD11DD"/>
    <w:rsid w:val="00DD12EA"/>
    <w:rsid w:val="00DD14D1"/>
    <w:rsid w:val="00DD179D"/>
    <w:rsid w:val="00DD2231"/>
    <w:rsid w:val="00DD2263"/>
    <w:rsid w:val="00DD2432"/>
    <w:rsid w:val="00DD2904"/>
    <w:rsid w:val="00DD299A"/>
    <w:rsid w:val="00DD2BE3"/>
    <w:rsid w:val="00DD30DD"/>
    <w:rsid w:val="00DD4699"/>
    <w:rsid w:val="00DD529C"/>
    <w:rsid w:val="00DD553E"/>
    <w:rsid w:val="00DD555A"/>
    <w:rsid w:val="00DD5EDA"/>
    <w:rsid w:val="00DD64A2"/>
    <w:rsid w:val="00DD71C6"/>
    <w:rsid w:val="00DE0095"/>
    <w:rsid w:val="00DE0329"/>
    <w:rsid w:val="00DE1922"/>
    <w:rsid w:val="00DE1E81"/>
    <w:rsid w:val="00DE3015"/>
    <w:rsid w:val="00DE31AD"/>
    <w:rsid w:val="00DE3219"/>
    <w:rsid w:val="00DE329C"/>
    <w:rsid w:val="00DE36C1"/>
    <w:rsid w:val="00DE3741"/>
    <w:rsid w:val="00DE3A70"/>
    <w:rsid w:val="00DE3A78"/>
    <w:rsid w:val="00DE40D1"/>
    <w:rsid w:val="00DE46BE"/>
    <w:rsid w:val="00DE49E2"/>
    <w:rsid w:val="00DE4C9E"/>
    <w:rsid w:val="00DE5A1F"/>
    <w:rsid w:val="00DE5E66"/>
    <w:rsid w:val="00DE6267"/>
    <w:rsid w:val="00DE6A8A"/>
    <w:rsid w:val="00DE6B8D"/>
    <w:rsid w:val="00DE6DC4"/>
    <w:rsid w:val="00DE7410"/>
    <w:rsid w:val="00DE7B3C"/>
    <w:rsid w:val="00DE7BED"/>
    <w:rsid w:val="00DE7F29"/>
    <w:rsid w:val="00DF0706"/>
    <w:rsid w:val="00DF0BD7"/>
    <w:rsid w:val="00DF15AB"/>
    <w:rsid w:val="00DF15C5"/>
    <w:rsid w:val="00DF18A1"/>
    <w:rsid w:val="00DF218A"/>
    <w:rsid w:val="00DF25E7"/>
    <w:rsid w:val="00DF2A99"/>
    <w:rsid w:val="00DF2AAB"/>
    <w:rsid w:val="00DF2E1D"/>
    <w:rsid w:val="00DF32E5"/>
    <w:rsid w:val="00DF33A3"/>
    <w:rsid w:val="00DF3AC7"/>
    <w:rsid w:val="00DF4B84"/>
    <w:rsid w:val="00DF52D9"/>
    <w:rsid w:val="00DF57FD"/>
    <w:rsid w:val="00DF5AAF"/>
    <w:rsid w:val="00DF5B94"/>
    <w:rsid w:val="00DF603E"/>
    <w:rsid w:val="00DF6155"/>
    <w:rsid w:val="00DF6921"/>
    <w:rsid w:val="00DF749C"/>
    <w:rsid w:val="00DF749E"/>
    <w:rsid w:val="00DF76A5"/>
    <w:rsid w:val="00DF7B4E"/>
    <w:rsid w:val="00DF7D0B"/>
    <w:rsid w:val="00DF7D6B"/>
    <w:rsid w:val="00E001C4"/>
    <w:rsid w:val="00E004FF"/>
    <w:rsid w:val="00E0077F"/>
    <w:rsid w:val="00E0113A"/>
    <w:rsid w:val="00E015DA"/>
    <w:rsid w:val="00E01717"/>
    <w:rsid w:val="00E01991"/>
    <w:rsid w:val="00E01C17"/>
    <w:rsid w:val="00E01DCA"/>
    <w:rsid w:val="00E02235"/>
    <w:rsid w:val="00E027BE"/>
    <w:rsid w:val="00E03063"/>
    <w:rsid w:val="00E0364D"/>
    <w:rsid w:val="00E03900"/>
    <w:rsid w:val="00E04284"/>
    <w:rsid w:val="00E042D3"/>
    <w:rsid w:val="00E045BA"/>
    <w:rsid w:val="00E0469E"/>
    <w:rsid w:val="00E048CD"/>
    <w:rsid w:val="00E053CD"/>
    <w:rsid w:val="00E05509"/>
    <w:rsid w:val="00E05E25"/>
    <w:rsid w:val="00E06309"/>
    <w:rsid w:val="00E0634D"/>
    <w:rsid w:val="00E06BB4"/>
    <w:rsid w:val="00E06D17"/>
    <w:rsid w:val="00E06E60"/>
    <w:rsid w:val="00E07132"/>
    <w:rsid w:val="00E07B4E"/>
    <w:rsid w:val="00E114D9"/>
    <w:rsid w:val="00E11989"/>
    <w:rsid w:val="00E11E5E"/>
    <w:rsid w:val="00E12074"/>
    <w:rsid w:val="00E1245C"/>
    <w:rsid w:val="00E130E3"/>
    <w:rsid w:val="00E13288"/>
    <w:rsid w:val="00E145FC"/>
    <w:rsid w:val="00E14E80"/>
    <w:rsid w:val="00E14EAD"/>
    <w:rsid w:val="00E14ECD"/>
    <w:rsid w:val="00E14EDD"/>
    <w:rsid w:val="00E14F01"/>
    <w:rsid w:val="00E14F74"/>
    <w:rsid w:val="00E151E5"/>
    <w:rsid w:val="00E15F44"/>
    <w:rsid w:val="00E1613F"/>
    <w:rsid w:val="00E1621A"/>
    <w:rsid w:val="00E1655A"/>
    <w:rsid w:val="00E1661C"/>
    <w:rsid w:val="00E16C74"/>
    <w:rsid w:val="00E17384"/>
    <w:rsid w:val="00E20222"/>
    <w:rsid w:val="00E20394"/>
    <w:rsid w:val="00E20463"/>
    <w:rsid w:val="00E207E5"/>
    <w:rsid w:val="00E20D8F"/>
    <w:rsid w:val="00E21397"/>
    <w:rsid w:val="00E21D7A"/>
    <w:rsid w:val="00E22368"/>
    <w:rsid w:val="00E2272E"/>
    <w:rsid w:val="00E22EFB"/>
    <w:rsid w:val="00E22F5E"/>
    <w:rsid w:val="00E230DE"/>
    <w:rsid w:val="00E23A27"/>
    <w:rsid w:val="00E2403F"/>
    <w:rsid w:val="00E2482C"/>
    <w:rsid w:val="00E2498F"/>
    <w:rsid w:val="00E24C0D"/>
    <w:rsid w:val="00E24E67"/>
    <w:rsid w:val="00E2653C"/>
    <w:rsid w:val="00E267D8"/>
    <w:rsid w:val="00E2686A"/>
    <w:rsid w:val="00E26FA2"/>
    <w:rsid w:val="00E27523"/>
    <w:rsid w:val="00E279B3"/>
    <w:rsid w:val="00E27E71"/>
    <w:rsid w:val="00E3008E"/>
    <w:rsid w:val="00E30D63"/>
    <w:rsid w:val="00E30F1C"/>
    <w:rsid w:val="00E31958"/>
    <w:rsid w:val="00E31C3E"/>
    <w:rsid w:val="00E31FDF"/>
    <w:rsid w:val="00E32065"/>
    <w:rsid w:val="00E32470"/>
    <w:rsid w:val="00E32A40"/>
    <w:rsid w:val="00E32FBA"/>
    <w:rsid w:val="00E33761"/>
    <w:rsid w:val="00E3384C"/>
    <w:rsid w:val="00E33877"/>
    <w:rsid w:val="00E33EE3"/>
    <w:rsid w:val="00E343C6"/>
    <w:rsid w:val="00E34C07"/>
    <w:rsid w:val="00E34F55"/>
    <w:rsid w:val="00E351C6"/>
    <w:rsid w:val="00E3533E"/>
    <w:rsid w:val="00E35B55"/>
    <w:rsid w:val="00E35F53"/>
    <w:rsid w:val="00E3635B"/>
    <w:rsid w:val="00E36478"/>
    <w:rsid w:val="00E36553"/>
    <w:rsid w:val="00E36A87"/>
    <w:rsid w:val="00E40333"/>
    <w:rsid w:val="00E4060E"/>
    <w:rsid w:val="00E40AD5"/>
    <w:rsid w:val="00E40C68"/>
    <w:rsid w:val="00E411D9"/>
    <w:rsid w:val="00E41484"/>
    <w:rsid w:val="00E41644"/>
    <w:rsid w:val="00E41BEF"/>
    <w:rsid w:val="00E41C6D"/>
    <w:rsid w:val="00E4217D"/>
    <w:rsid w:val="00E421F0"/>
    <w:rsid w:val="00E42436"/>
    <w:rsid w:val="00E43687"/>
    <w:rsid w:val="00E43B37"/>
    <w:rsid w:val="00E43EDE"/>
    <w:rsid w:val="00E43F12"/>
    <w:rsid w:val="00E44004"/>
    <w:rsid w:val="00E44269"/>
    <w:rsid w:val="00E447CB"/>
    <w:rsid w:val="00E44B96"/>
    <w:rsid w:val="00E44E8F"/>
    <w:rsid w:val="00E46712"/>
    <w:rsid w:val="00E46B2B"/>
    <w:rsid w:val="00E46F7A"/>
    <w:rsid w:val="00E471AF"/>
    <w:rsid w:val="00E472B9"/>
    <w:rsid w:val="00E4777B"/>
    <w:rsid w:val="00E479F6"/>
    <w:rsid w:val="00E50064"/>
    <w:rsid w:val="00E5032E"/>
    <w:rsid w:val="00E5041E"/>
    <w:rsid w:val="00E50640"/>
    <w:rsid w:val="00E50C15"/>
    <w:rsid w:val="00E50E60"/>
    <w:rsid w:val="00E50F6E"/>
    <w:rsid w:val="00E512D3"/>
    <w:rsid w:val="00E512D8"/>
    <w:rsid w:val="00E5199E"/>
    <w:rsid w:val="00E51A1B"/>
    <w:rsid w:val="00E51A47"/>
    <w:rsid w:val="00E5207B"/>
    <w:rsid w:val="00E522C2"/>
    <w:rsid w:val="00E524B2"/>
    <w:rsid w:val="00E524EC"/>
    <w:rsid w:val="00E527A5"/>
    <w:rsid w:val="00E5287D"/>
    <w:rsid w:val="00E52CE8"/>
    <w:rsid w:val="00E535E3"/>
    <w:rsid w:val="00E53803"/>
    <w:rsid w:val="00E54086"/>
    <w:rsid w:val="00E54343"/>
    <w:rsid w:val="00E544BC"/>
    <w:rsid w:val="00E547DE"/>
    <w:rsid w:val="00E54C50"/>
    <w:rsid w:val="00E54DEA"/>
    <w:rsid w:val="00E54E29"/>
    <w:rsid w:val="00E554C4"/>
    <w:rsid w:val="00E554F8"/>
    <w:rsid w:val="00E55835"/>
    <w:rsid w:val="00E55BD0"/>
    <w:rsid w:val="00E55DB2"/>
    <w:rsid w:val="00E565DD"/>
    <w:rsid w:val="00E56688"/>
    <w:rsid w:val="00E567AA"/>
    <w:rsid w:val="00E569CB"/>
    <w:rsid w:val="00E56C1C"/>
    <w:rsid w:val="00E57381"/>
    <w:rsid w:val="00E57951"/>
    <w:rsid w:val="00E57993"/>
    <w:rsid w:val="00E60720"/>
    <w:rsid w:val="00E60A7E"/>
    <w:rsid w:val="00E60B9C"/>
    <w:rsid w:val="00E60C02"/>
    <w:rsid w:val="00E60CCF"/>
    <w:rsid w:val="00E61053"/>
    <w:rsid w:val="00E6113C"/>
    <w:rsid w:val="00E611EC"/>
    <w:rsid w:val="00E61A59"/>
    <w:rsid w:val="00E6207B"/>
    <w:rsid w:val="00E621B3"/>
    <w:rsid w:val="00E62280"/>
    <w:rsid w:val="00E62428"/>
    <w:rsid w:val="00E624C2"/>
    <w:rsid w:val="00E6263B"/>
    <w:rsid w:val="00E62C37"/>
    <w:rsid w:val="00E62EFC"/>
    <w:rsid w:val="00E63CD3"/>
    <w:rsid w:val="00E641A4"/>
    <w:rsid w:val="00E64489"/>
    <w:rsid w:val="00E64778"/>
    <w:rsid w:val="00E648C7"/>
    <w:rsid w:val="00E65941"/>
    <w:rsid w:val="00E65969"/>
    <w:rsid w:val="00E659B7"/>
    <w:rsid w:val="00E65B5C"/>
    <w:rsid w:val="00E65BD4"/>
    <w:rsid w:val="00E65E84"/>
    <w:rsid w:val="00E6691E"/>
    <w:rsid w:val="00E66933"/>
    <w:rsid w:val="00E678E6"/>
    <w:rsid w:val="00E7005E"/>
    <w:rsid w:val="00E701D9"/>
    <w:rsid w:val="00E703E4"/>
    <w:rsid w:val="00E70DD7"/>
    <w:rsid w:val="00E70EAE"/>
    <w:rsid w:val="00E70F09"/>
    <w:rsid w:val="00E70F2D"/>
    <w:rsid w:val="00E71C59"/>
    <w:rsid w:val="00E72292"/>
    <w:rsid w:val="00E727A3"/>
    <w:rsid w:val="00E730DA"/>
    <w:rsid w:val="00E732FE"/>
    <w:rsid w:val="00E73415"/>
    <w:rsid w:val="00E73994"/>
    <w:rsid w:val="00E744BE"/>
    <w:rsid w:val="00E74DB8"/>
    <w:rsid w:val="00E75F2C"/>
    <w:rsid w:val="00E7664B"/>
    <w:rsid w:val="00E76B15"/>
    <w:rsid w:val="00E77032"/>
    <w:rsid w:val="00E77302"/>
    <w:rsid w:val="00E77B33"/>
    <w:rsid w:val="00E77B79"/>
    <w:rsid w:val="00E77DE5"/>
    <w:rsid w:val="00E802A9"/>
    <w:rsid w:val="00E8046F"/>
    <w:rsid w:val="00E8047A"/>
    <w:rsid w:val="00E80E06"/>
    <w:rsid w:val="00E80E5B"/>
    <w:rsid w:val="00E82AE7"/>
    <w:rsid w:val="00E8349C"/>
    <w:rsid w:val="00E83694"/>
    <w:rsid w:val="00E83710"/>
    <w:rsid w:val="00E83B46"/>
    <w:rsid w:val="00E83E56"/>
    <w:rsid w:val="00E84A26"/>
    <w:rsid w:val="00E8534D"/>
    <w:rsid w:val="00E854AF"/>
    <w:rsid w:val="00E85612"/>
    <w:rsid w:val="00E85807"/>
    <w:rsid w:val="00E859FC"/>
    <w:rsid w:val="00E85EEA"/>
    <w:rsid w:val="00E8602B"/>
    <w:rsid w:val="00E8709B"/>
    <w:rsid w:val="00E870DF"/>
    <w:rsid w:val="00E87569"/>
    <w:rsid w:val="00E903B2"/>
    <w:rsid w:val="00E90428"/>
    <w:rsid w:val="00E905C1"/>
    <w:rsid w:val="00E910FF"/>
    <w:rsid w:val="00E911B1"/>
    <w:rsid w:val="00E91682"/>
    <w:rsid w:val="00E91F7C"/>
    <w:rsid w:val="00E92043"/>
    <w:rsid w:val="00E92122"/>
    <w:rsid w:val="00E92C3E"/>
    <w:rsid w:val="00E930A0"/>
    <w:rsid w:val="00E935EC"/>
    <w:rsid w:val="00E93B7B"/>
    <w:rsid w:val="00E93BE9"/>
    <w:rsid w:val="00E93E5C"/>
    <w:rsid w:val="00E93E78"/>
    <w:rsid w:val="00E946EE"/>
    <w:rsid w:val="00E94764"/>
    <w:rsid w:val="00E949A6"/>
    <w:rsid w:val="00E94A24"/>
    <w:rsid w:val="00E94CF4"/>
    <w:rsid w:val="00E9559E"/>
    <w:rsid w:val="00E957CA"/>
    <w:rsid w:val="00E957F7"/>
    <w:rsid w:val="00E95E2B"/>
    <w:rsid w:val="00E96C31"/>
    <w:rsid w:val="00E96FDD"/>
    <w:rsid w:val="00EA019E"/>
    <w:rsid w:val="00EA0389"/>
    <w:rsid w:val="00EA118E"/>
    <w:rsid w:val="00EA1228"/>
    <w:rsid w:val="00EA1564"/>
    <w:rsid w:val="00EA1974"/>
    <w:rsid w:val="00EA1FDC"/>
    <w:rsid w:val="00EA2297"/>
    <w:rsid w:val="00EA22C5"/>
    <w:rsid w:val="00EA2338"/>
    <w:rsid w:val="00EA2A17"/>
    <w:rsid w:val="00EA337D"/>
    <w:rsid w:val="00EA431E"/>
    <w:rsid w:val="00EA461C"/>
    <w:rsid w:val="00EA4695"/>
    <w:rsid w:val="00EA4F34"/>
    <w:rsid w:val="00EA4FBB"/>
    <w:rsid w:val="00EA5307"/>
    <w:rsid w:val="00EA574F"/>
    <w:rsid w:val="00EA5B92"/>
    <w:rsid w:val="00EA6606"/>
    <w:rsid w:val="00EA6FF8"/>
    <w:rsid w:val="00EA72A8"/>
    <w:rsid w:val="00EA76F4"/>
    <w:rsid w:val="00EB10A4"/>
    <w:rsid w:val="00EB1104"/>
    <w:rsid w:val="00EB11D4"/>
    <w:rsid w:val="00EB128D"/>
    <w:rsid w:val="00EB14F3"/>
    <w:rsid w:val="00EB17D1"/>
    <w:rsid w:val="00EB17D8"/>
    <w:rsid w:val="00EB191F"/>
    <w:rsid w:val="00EB2542"/>
    <w:rsid w:val="00EB28F6"/>
    <w:rsid w:val="00EB292E"/>
    <w:rsid w:val="00EB3A54"/>
    <w:rsid w:val="00EB3AD0"/>
    <w:rsid w:val="00EB3CA6"/>
    <w:rsid w:val="00EB3E54"/>
    <w:rsid w:val="00EB4084"/>
    <w:rsid w:val="00EB40BF"/>
    <w:rsid w:val="00EB40F4"/>
    <w:rsid w:val="00EB41EF"/>
    <w:rsid w:val="00EB5120"/>
    <w:rsid w:val="00EB52D3"/>
    <w:rsid w:val="00EB5696"/>
    <w:rsid w:val="00EB56A6"/>
    <w:rsid w:val="00EB5F92"/>
    <w:rsid w:val="00EB6B49"/>
    <w:rsid w:val="00EB6C81"/>
    <w:rsid w:val="00EB6F4F"/>
    <w:rsid w:val="00EB75CD"/>
    <w:rsid w:val="00EB76CF"/>
    <w:rsid w:val="00EB7911"/>
    <w:rsid w:val="00EB79E8"/>
    <w:rsid w:val="00EB7BDD"/>
    <w:rsid w:val="00EC0321"/>
    <w:rsid w:val="00EC078F"/>
    <w:rsid w:val="00EC0B65"/>
    <w:rsid w:val="00EC0E2D"/>
    <w:rsid w:val="00EC0F73"/>
    <w:rsid w:val="00EC1394"/>
    <w:rsid w:val="00EC1BB9"/>
    <w:rsid w:val="00EC273B"/>
    <w:rsid w:val="00EC2B75"/>
    <w:rsid w:val="00EC336A"/>
    <w:rsid w:val="00EC35B6"/>
    <w:rsid w:val="00EC35D7"/>
    <w:rsid w:val="00EC3E4F"/>
    <w:rsid w:val="00EC3F59"/>
    <w:rsid w:val="00EC45DD"/>
    <w:rsid w:val="00EC4AF3"/>
    <w:rsid w:val="00EC4E4A"/>
    <w:rsid w:val="00EC4EDF"/>
    <w:rsid w:val="00EC4FBB"/>
    <w:rsid w:val="00EC51FA"/>
    <w:rsid w:val="00EC53C7"/>
    <w:rsid w:val="00EC55CF"/>
    <w:rsid w:val="00EC5D90"/>
    <w:rsid w:val="00EC5E69"/>
    <w:rsid w:val="00EC609B"/>
    <w:rsid w:val="00EC6A68"/>
    <w:rsid w:val="00EC6FD6"/>
    <w:rsid w:val="00EC70B2"/>
    <w:rsid w:val="00ED041A"/>
    <w:rsid w:val="00ED0467"/>
    <w:rsid w:val="00ED065E"/>
    <w:rsid w:val="00ED12D8"/>
    <w:rsid w:val="00ED1A01"/>
    <w:rsid w:val="00ED1B17"/>
    <w:rsid w:val="00ED275C"/>
    <w:rsid w:val="00ED2905"/>
    <w:rsid w:val="00ED2D2C"/>
    <w:rsid w:val="00ED2DCD"/>
    <w:rsid w:val="00ED35E3"/>
    <w:rsid w:val="00ED37B1"/>
    <w:rsid w:val="00ED3A1C"/>
    <w:rsid w:val="00ED4663"/>
    <w:rsid w:val="00ED4881"/>
    <w:rsid w:val="00ED493E"/>
    <w:rsid w:val="00ED56B4"/>
    <w:rsid w:val="00ED69D4"/>
    <w:rsid w:val="00ED6A42"/>
    <w:rsid w:val="00ED6F87"/>
    <w:rsid w:val="00ED7221"/>
    <w:rsid w:val="00ED7EEC"/>
    <w:rsid w:val="00EE087B"/>
    <w:rsid w:val="00EE0FAD"/>
    <w:rsid w:val="00EE10B9"/>
    <w:rsid w:val="00EE1D0A"/>
    <w:rsid w:val="00EE26BD"/>
    <w:rsid w:val="00EE2AB8"/>
    <w:rsid w:val="00EE2BDD"/>
    <w:rsid w:val="00EE2D00"/>
    <w:rsid w:val="00EE2EAD"/>
    <w:rsid w:val="00EE2FEA"/>
    <w:rsid w:val="00EE3575"/>
    <w:rsid w:val="00EE48C5"/>
    <w:rsid w:val="00EE5523"/>
    <w:rsid w:val="00EE6213"/>
    <w:rsid w:val="00EE633B"/>
    <w:rsid w:val="00EE65AA"/>
    <w:rsid w:val="00EE6630"/>
    <w:rsid w:val="00EE6750"/>
    <w:rsid w:val="00EE6C62"/>
    <w:rsid w:val="00EE7836"/>
    <w:rsid w:val="00EE7C75"/>
    <w:rsid w:val="00EF03E5"/>
    <w:rsid w:val="00EF154E"/>
    <w:rsid w:val="00EF176E"/>
    <w:rsid w:val="00EF1AAC"/>
    <w:rsid w:val="00EF20B1"/>
    <w:rsid w:val="00EF3825"/>
    <w:rsid w:val="00EF40F0"/>
    <w:rsid w:val="00EF41FE"/>
    <w:rsid w:val="00EF4350"/>
    <w:rsid w:val="00EF43C9"/>
    <w:rsid w:val="00EF479E"/>
    <w:rsid w:val="00EF4997"/>
    <w:rsid w:val="00EF49F0"/>
    <w:rsid w:val="00EF4AFF"/>
    <w:rsid w:val="00EF54C4"/>
    <w:rsid w:val="00EF5719"/>
    <w:rsid w:val="00EF5C43"/>
    <w:rsid w:val="00EF66A9"/>
    <w:rsid w:val="00EF6A23"/>
    <w:rsid w:val="00EF6DCB"/>
    <w:rsid w:val="00EF6E6D"/>
    <w:rsid w:val="00EF7309"/>
    <w:rsid w:val="00EF754D"/>
    <w:rsid w:val="00EF7E4D"/>
    <w:rsid w:val="00F00043"/>
    <w:rsid w:val="00F0084D"/>
    <w:rsid w:val="00F009CF"/>
    <w:rsid w:val="00F017BC"/>
    <w:rsid w:val="00F01A4F"/>
    <w:rsid w:val="00F01A95"/>
    <w:rsid w:val="00F01B90"/>
    <w:rsid w:val="00F0233D"/>
    <w:rsid w:val="00F02710"/>
    <w:rsid w:val="00F02A7D"/>
    <w:rsid w:val="00F033FF"/>
    <w:rsid w:val="00F04B02"/>
    <w:rsid w:val="00F04EAD"/>
    <w:rsid w:val="00F056C0"/>
    <w:rsid w:val="00F05708"/>
    <w:rsid w:val="00F05CAB"/>
    <w:rsid w:val="00F05DD7"/>
    <w:rsid w:val="00F06057"/>
    <w:rsid w:val="00F0696C"/>
    <w:rsid w:val="00F06DDB"/>
    <w:rsid w:val="00F06E40"/>
    <w:rsid w:val="00F06E4F"/>
    <w:rsid w:val="00F07837"/>
    <w:rsid w:val="00F10800"/>
    <w:rsid w:val="00F10EAF"/>
    <w:rsid w:val="00F11016"/>
    <w:rsid w:val="00F111E5"/>
    <w:rsid w:val="00F1122D"/>
    <w:rsid w:val="00F1169E"/>
    <w:rsid w:val="00F11A5B"/>
    <w:rsid w:val="00F11B45"/>
    <w:rsid w:val="00F12234"/>
    <w:rsid w:val="00F1269A"/>
    <w:rsid w:val="00F12864"/>
    <w:rsid w:val="00F12B28"/>
    <w:rsid w:val="00F13126"/>
    <w:rsid w:val="00F131D6"/>
    <w:rsid w:val="00F13363"/>
    <w:rsid w:val="00F133C0"/>
    <w:rsid w:val="00F139C4"/>
    <w:rsid w:val="00F140A1"/>
    <w:rsid w:val="00F14334"/>
    <w:rsid w:val="00F145A0"/>
    <w:rsid w:val="00F14C83"/>
    <w:rsid w:val="00F157B4"/>
    <w:rsid w:val="00F15D65"/>
    <w:rsid w:val="00F16560"/>
    <w:rsid w:val="00F16B58"/>
    <w:rsid w:val="00F16B9E"/>
    <w:rsid w:val="00F16EF1"/>
    <w:rsid w:val="00F16F64"/>
    <w:rsid w:val="00F17019"/>
    <w:rsid w:val="00F17126"/>
    <w:rsid w:val="00F17463"/>
    <w:rsid w:val="00F17E10"/>
    <w:rsid w:val="00F200C6"/>
    <w:rsid w:val="00F2010E"/>
    <w:rsid w:val="00F20162"/>
    <w:rsid w:val="00F20339"/>
    <w:rsid w:val="00F2097F"/>
    <w:rsid w:val="00F20B44"/>
    <w:rsid w:val="00F20CBA"/>
    <w:rsid w:val="00F21172"/>
    <w:rsid w:val="00F21D45"/>
    <w:rsid w:val="00F220A1"/>
    <w:rsid w:val="00F2296F"/>
    <w:rsid w:val="00F22BD7"/>
    <w:rsid w:val="00F22CC1"/>
    <w:rsid w:val="00F22F3A"/>
    <w:rsid w:val="00F235D5"/>
    <w:rsid w:val="00F239EC"/>
    <w:rsid w:val="00F24750"/>
    <w:rsid w:val="00F24D3C"/>
    <w:rsid w:val="00F25128"/>
    <w:rsid w:val="00F2551B"/>
    <w:rsid w:val="00F25B65"/>
    <w:rsid w:val="00F25CAE"/>
    <w:rsid w:val="00F268E8"/>
    <w:rsid w:val="00F26B6E"/>
    <w:rsid w:val="00F26EAC"/>
    <w:rsid w:val="00F276F9"/>
    <w:rsid w:val="00F27C78"/>
    <w:rsid w:val="00F27E0B"/>
    <w:rsid w:val="00F30079"/>
    <w:rsid w:val="00F30D45"/>
    <w:rsid w:val="00F31AA5"/>
    <w:rsid w:val="00F31C8C"/>
    <w:rsid w:val="00F31EF1"/>
    <w:rsid w:val="00F3257B"/>
    <w:rsid w:val="00F325E6"/>
    <w:rsid w:val="00F32A21"/>
    <w:rsid w:val="00F32B1A"/>
    <w:rsid w:val="00F335D8"/>
    <w:rsid w:val="00F338DA"/>
    <w:rsid w:val="00F33F6A"/>
    <w:rsid w:val="00F34006"/>
    <w:rsid w:val="00F34B78"/>
    <w:rsid w:val="00F34CB6"/>
    <w:rsid w:val="00F35237"/>
    <w:rsid w:val="00F3553F"/>
    <w:rsid w:val="00F36606"/>
    <w:rsid w:val="00F36869"/>
    <w:rsid w:val="00F36D62"/>
    <w:rsid w:val="00F37215"/>
    <w:rsid w:val="00F3771B"/>
    <w:rsid w:val="00F377FE"/>
    <w:rsid w:val="00F40078"/>
    <w:rsid w:val="00F40373"/>
    <w:rsid w:val="00F40436"/>
    <w:rsid w:val="00F4093B"/>
    <w:rsid w:val="00F4097A"/>
    <w:rsid w:val="00F40CDB"/>
    <w:rsid w:val="00F411C2"/>
    <w:rsid w:val="00F413FD"/>
    <w:rsid w:val="00F4142E"/>
    <w:rsid w:val="00F414C4"/>
    <w:rsid w:val="00F41E8C"/>
    <w:rsid w:val="00F420C0"/>
    <w:rsid w:val="00F42592"/>
    <w:rsid w:val="00F4266A"/>
    <w:rsid w:val="00F43698"/>
    <w:rsid w:val="00F43889"/>
    <w:rsid w:val="00F43CE5"/>
    <w:rsid w:val="00F4461F"/>
    <w:rsid w:val="00F447BF"/>
    <w:rsid w:val="00F45401"/>
    <w:rsid w:val="00F45CAC"/>
    <w:rsid w:val="00F464B4"/>
    <w:rsid w:val="00F468E9"/>
    <w:rsid w:val="00F46B2C"/>
    <w:rsid w:val="00F47590"/>
    <w:rsid w:val="00F47653"/>
    <w:rsid w:val="00F47657"/>
    <w:rsid w:val="00F47A96"/>
    <w:rsid w:val="00F500A5"/>
    <w:rsid w:val="00F50468"/>
    <w:rsid w:val="00F50747"/>
    <w:rsid w:val="00F50D6B"/>
    <w:rsid w:val="00F50E34"/>
    <w:rsid w:val="00F51115"/>
    <w:rsid w:val="00F5189E"/>
    <w:rsid w:val="00F52658"/>
    <w:rsid w:val="00F52755"/>
    <w:rsid w:val="00F52CC4"/>
    <w:rsid w:val="00F53662"/>
    <w:rsid w:val="00F53792"/>
    <w:rsid w:val="00F53954"/>
    <w:rsid w:val="00F53A5D"/>
    <w:rsid w:val="00F5401A"/>
    <w:rsid w:val="00F540A4"/>
    <w:rsid w:val="00F545B3"/>
    <w:rsid w:val="00F54793"/>
    <w:rsid w:val="00F54F9E"/>
    <w:rsid w:val="00F5579E"/>
    <w:rsid w:val="00F55E02"/>
    <w:rsid w:val="00F563EC"/>
    <w:rsid w:val="00F5661A"/>
    <w:rsid w:val="00F5704D"/>
    <w:rsid w:val="00F5705E"/>
    <w:rsid w:val="00F574C8"/>
    <w:rsid w:val="00F57668"/>
    <w:rsid w:val="00F57B0E"/>
    <w:rsid w:val="00F57CD4"/>
    <w:rsid w:val="00F57FF7"/>
    <w:rsid w:val="00F62062"/>
    <w:rsid w:val="00F621DB"/>
    <w:rsid w:val="00F6279D"/>
    <w:rsid w:val="00F62D01"/>
    <w:rsid w:val="00F6327D"/>
    <w:rsid w:val="00F633E7"/>
    <w:rsid w:val="00F63454"/>
    <w:rsid w:val="00F6370D"/>
    <w:rsid w:val="00F6378D"/>
    <w:rsid w:val="00F63E65"/>
    <w:rsid w:val="00F64B3F"/>
    <w:rsid w:val="00F6566B"/>
    <w:rsid w:val="00F65913"/>
    <w:rsid w:val="00F65AC7"/>
    <w:rsid w:val="00F660CA"/>
    <w:rsid w:val="00F67435"/>
    <w:rsid w:val="00F70846"/>
    <w:rsid w:val="00F70F2B"/>
    <w:rsid w:val="00F71803"/>
    <w:rsid w:val="00F72093"/>
    <w:rsid w:val="00F7235C"/>
    <w:rsid w:val="00F72676"/>
    <w:rsid w:val="00F738FC"/>
    <w:rsid w:val="00F7392E"/>
    <w:rsid w:val="00F73DB0"/>
    <w:rsid w:val="00F73DF8"/>
    <w:rsid w:val="00F74256"/>
    <w:rsid w:val="00F7474C"/>
    <w:rsid w:val="00F74B74"/>
    <w:rsid w:val="00F74EF4"/>
    <w:rsid w:val="00F751D4"/>
    <w:rsid w:val="00F75EEA"/>
    <w:rsid w:val="00F7638B"/>
    <w:rsid w:val="00F7672D"/>
    <w:rsid w:val="00F77319"/>
    <w:rsid w:val="00F77A06"/>
    <w:rsid w:val="00F77A08"/>
    <w:rsid w:val="00F77EB4"/>
    <w:rsid w:val="00F80979"/>
    <w:rsid w:val="00F81018"/>
    <w:rsid w:val="00F811AC"/>
    <w:rsid w:val="00F81F10"/>
    <w:rsid w:val="00F8218D"/>
    <w:rsid w:val="00F82BEB"/>
    <w:rsid w:val="00F82CC7"/>
    <w:rsid w:val="00F82D0C"/>
    <w:rsid w:val="00F83259"/>
    <w:rsid w:val="00F8462B"/>
    <w:rsid w:val="00F84849"/>
    <w:rsid w:val="00F84C03"/>
    <w:rsid w:val="00F8509D"/>
    <w:rsid w:val="00F85746"/>
    <w:rsid w:val="00F85E81"/>
    <w:rsid w:val="00F8647A"/>
    <w:rsid w:val="00F86682"/>
    <w:rsid w:val="00F86FF9"/>
    <w:rsid w:val="00F87153"/>
    <w:rsid w:val="00F8715F"/>
    <w:rsid w:val="00F873E8"/>
    <w:rsid w:val="00F87519"/>
    <w:rsid w:val="00F87695"/>
    <w:rsid w:val="00F87AF9"/>
    <w:rsid w:val="00F87C6E"/>
    <w:rsid w:val="00F90992"/>
    <w:rsid w:val="00F90DA4"/>
    <w:rsid w:val="00F90F25"/>
    <w:rsid w:val="00F9111C"/>
    <w:rsid w:val="00F91929"/>
    <w:rsid w:val="00F927EF"/>
    <w:rsid w:val="00F9359E"/>
    <w:rsid w:val="00F942F6"/>
    <w:rsid w:val="00F94EC0"/>
    <w:rsid w:val="00F95DEF"/>
    <w:rsid w:val="00F95E02"/>
    <w:rsid w:val="00F95E9C"/>
    <w:rsid w:val="00F960D9"/>
    <w:rsid w:val="00F97174"/>
    <w:rsid w:val="00F97AF0"/>
    <w:rsid w:val="00F97F32"/>
    <w:rsid w:val="00FA0010"/>
    <w:rsid w:val="00FA00E1"/>
    <w:rsid w:val="00FA015F"/>
    <w:rsid w:val="00FA0AFB"/>
    <w:rsid w:val="00FA129A"/>
    <w:rsid w:val="00FA13E2"/>
    <w:rsid w:val="00FA193D"/>
    <w:rsid w:val="00FA1BB9"/>
    <w:rsid w:val="00FA1FE6"/>
    <w:rsid w:val="00FA23D3"/>
    <w:rsid w:val="00FA240C"/>
    <w:rsid w:val="00FA26A4"/>
    <w:rsid w:val="00FA39AD"/>
    <w:rsid w:val="00FA40A9"/>
    <w:rsid w:val="00FA4241"/>
    <w:rsid w:val="00FA4388"/>
    <w:rsid w:val="00FA4DCB"/>
    <w:rsid w:val="00FA517B"/>
    <w:rsid w:val="00FA52B6"/>
    <w:rsid w:val="00FA5C4A"/>
    <w:rsid w:val="00FA60CD"/>
    <w:rsid w:val="00FA6217"/>
    <w:rsid w:val="00FA650B"/>
    <w:rsid w:val="00FA6B39"/>
    <w:rsid w:val="00FA6C8A"/>
    <w:rsid w:val="00FA6D15"/>
    <w:rsid w:val="00FA6F7F"/>
    <w:rsid w:val="00FA75D3"/>
    <w:rsid w:val="00FA76C7"/>
    <w:rsid w:val="00FB0280"/>
    <w:rsid w:val="00FB067F"/>
    <w:rsid w:val="00FB0D9B"/>
    <w:rsid w:val="00FB10B0"/>
    <w:rsid w:val="00FB1140"/>
    <w:rsid w:val="00FB135D"/>
    <w:rsid w:val="00FB1F4E"/>
    <w:rsid w:val="00FB2513"/>
    <w:rsid w:val="00FB2BBB"/>
    <w:rsid w:val="00FB3A0D"/>
    <w:rsid w:val="00FB3B10"/>
    <w:rsid w:val="00FB3D71"/>
    <w:rsid w:val="00FB4CB0"/>
    <w:rsid w:val="00FB56F1"/>
    <w:rsid w:val="00FB6219"/>
    <w:rsid w:val="00FB67B0"/>
    <w:rsid w:val="00FB6A26"/>
    <w:rsid w:val="00FB7265"/>
    <w:rsid w:val="00FB761A"/>
    <w:rsid w:val="00FB778D"/>
    <w:rsid w:val="00FB788C"/>
    <w:rsid w:val="00FB7922"/>
    <w:rsid w:val="00FB7942"/>
    <w:rsid w:val="00FC034C"/>
    <w:rsid w:val="00FC042A"/>
    <w:rsid w:val="00FC08CF"/>
    <w:rsid w:val="00FC0CE8"/>
    <w:rsid w:val="00FC120F"/>
    <w:rsid w:val="00FC12AD"/>
    <w:rsid w:val="00FC1F70"/>
    <w:rsid w:val="00FC2075"/>
    <w:rsid w:val="00FC210D"/>
    <w:rsid w:val="00FC2520"/>
    <w:rsid w:val="00FC2CE9"/>
    <w:rsid w:val="00FC2FE0"/>
    <w:rsid w:val="00FC31A5"/>
    <w:rsid w:val="00FC3705"/>
    <w:rsid w:val="00FC3A19"/>
    <w:rsid w:val="00FC419C"/>
    <w:rsid w:val="00FC4A66"/>
    <w:rsid w:val="00FC4B9C"/>
    <w:rsid w:val="00FC4D83"/>
    <w:rsid w:val="00FC5932"/>
    <w:rsid w:val="00FC5F2C"/>
    <w:rsid w:val="00FC6877"/>
    <w:rsid w:val="00FC6AD7"/>
    <w:rsid w:val="00FC710E"/>
    <w:rsid w:val="00FC7659"/>
    <w:rsid w:val="00FC76E3"/>
    <w:rsid w:val="00FC7B4A"/>
    <w:rsid w:val="00FC7D8C"/>
    <w:rsid w:val="00FD013C"/>
    <w:rsid w:val="00FD0835"/>
    <w:rsid w:val="00FD0BB0"/>
    <w:rsid w:val="00FD10A7"/>
    <w:rsid w:val="00FD1EA8"/>
    <w:rsid w:val="00FD20BC"/>
    <w:rsid w:val="00FD2345"/>
    <w:rsid w:val="00FD297D"/>
    <w:rsid w:val="00FD2F1B"/>
    <w:rsid w:val="00FD3167"/>
    <w:rsid w:val="00FD334B"/>
    <w:rsid w:val="00FD3CF3"/>
    <w:rsid w:val="00FD52BB"/>
    <w:rsid w:val="00FD534E"/>
    <w:rsid w:val="00FD535F"/>
    <w:rsid w:val="00FD69B0"/>
    <w:rsid w:val="00FD6E41"/>
    <w:rsid w:val="00FD6F22"/>
    <w:rsid w:val="00FD6FFD"/>
    <w:rsid w:val="00FD77D1"/>
    <w:rsid w:val="00FD7A71"/>
    <w:rsid w:val="00FE01CE"/>
    <w:rsid w:val="00FE02E8"/>
    <w:rsid w:val="00FE0837"/>
    <w:rsid w:val="00FE0BA4"/>
    <w:rsid w:val="00FE19C9"/>
    <w:rsid w:val="00FE210B"/>
    <w:rsid w:val="00FE212E"/>
    <w:rsid w:val="00FE22B1"/>
    <w:rsid w:val="00FE24D3"/>
    <w:rsid w:val="00FE27AE"/>
    <w:rsid w:val="00FE2965"/>
    <w:rsid w:val="00FE3580"/>
    <w:rsid w:val="00FE3790"/>
    <w:rsid w:val="00FE3B56"/>
    <w:rsid w:val="00FE4FA3"/>
    <w:rsid w:val="00FE5250"/>
    <w:rsid w:val="00FE5887"/>
    <w:rsid w:val="00FE5A7A"/>
    <w:rsid w:val="00FE5FAC"/>
    <w:rsid w:val="00FE6059"/>
    <w:rsid w:val="00FE6158"/>
    <w:rsid w:val="00FE621A"/>
    <w:rsid w:val="00FE640B"/>
    <w:rsid w:val="00FE66F5"/>
    <w:rsid w:val="00FE7676"/>
    <w:rsid w:val="00FE7A95"/>
    <w:rsid w:val="00FE7CA2"/>
    <w:rsid w:val="00FE7DF6"/>
    <w:rsid w:val="00FF1048"/>
    <w:rsid w:val="00FF1C8C"/>
    <w:rsid w:val="00FF1F54"/>
    <w:rsid w:val="00FF2AF7"/>
    <w:rsid w:val="00FF2FEB"/>
    <w:rsid w:val="00FF30EB"/>
    <w:rsid w:val="00FF36E3"/>
    <w:rsid w:val="00FF3759"/>
    <w:rsid w:val="00FF40A6"/>
    <w:rsid w:val="00FF43F0"/>
    <w:rsid w:val="00FF566F"/>
    <w:rsid w:val="00FF5BB4"/>
    <w:rsid w:val="00FF6046"/>
    <w:rsid w:val="00FF681C"/>
    <w:rsid w:val="00FF69D6"/>
    <w:rsid w:val="00FF78BE"/>
    <w:rsid w:val="00FF7990"/>
    <w:rsid w:val="00FF7F21"/>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EF00F2F"/>
  <w15:chartTrackingRefBased/>
  <w15:docId w15:val="{1878609D-5BFE-4CA9-9BAC-07F494C3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94"/>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C45C1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AA167C"/>
    <w:pPr>
      <w:keepNext/>
      <w:spacing w:line="300" w:lineRule="exact"/>
      <w:jc w:val="both"/>
      <w:outlineLvl w:val="1"/>
    </w:pPr>
    <w:rPr>
      <w:rFonts w:ascii="Trebuchet MS" w:hAnsi="Trebuchet MS"/>
      <w:b/>
      <w:bCs/>
      <w:i/>
      <w:iCs/>
      <w:sz w:val="22"/>
      <w:u w:val="single"/>
      <w:lang w:val="en-GB"/>
    </w:rPr>
  </w:style>
  <w:style w:type="paragraph" w:styleId="Heading3">
    <w:name w:val="heading 3"/>
    <w:basedOn w:val="Normal"/>
    <w:next w:val="Normal"/>
    <w:link w:val="Heading3Char"/>
    <w:unhideWhenUsed/>
    <w:qFormat/>
    <w:rsid w:val="008461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AA167C"/>
    <w:pPr>
      <w:keepNext/>
      <w:outlineLvl w:val="3"/>
    </w:pPr>
    <w:rPr>
      <w:b/>
      <w:bCs/>
      <w:lang w:val="en-GB"/>
    </w:rPr>
  </w:style>
  <w:style w:type="paragraph" w:styleId="Heading9">
    <w:name w:val="heading 9"/>
    <w:basedOn w:val="Normal"/>
    <w:next w:val="Normal"/>
    <w:link w:val="Heading9Char"/>
    <w:qFormat/>
    <w:rsid w:val="00DE7410"/>
    <w:pPr>
      <w:keepNext/>
      <w:tabs>
        <w:tab w:val="left" w:pos="216"/>
        <w:tab w:val="left" w:pos="432"/>
        <w:tab w:val="left" w:pos="648"/>
        <w:tab w:val="left" w:pos="864"/>
        <w:tab w:val="left" w:pos="1080"/>
        <w:tab w:val="left" w:pos="1296"/>
        <w:tab w:val="left" w:pos="1512"/>
        <w:tab w:val="left" w:pos="1728"/>
        <w:tab w:val="left" w:pos="1944"/>
      </w:tabs>
      <w:suppressAutoHyphens/>
      <w:spacing w:line="220" w:lineRule="exact"/>
      <w:ind w:left="144" w:hanging="144"/>
      <w:outlineLvl w:val="8"/>
    </w:pPr>
    <w:rPr>
      <w:bCs/>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A167C"/>
    <w:rPr>
      <w:rFonts w:ascii="Trebuchet MS" w:eastAsia="Times New Roman" w:hAnsi="Trebuchet MS" w:cs="Times New Roman"/>
      <w:b/>
      <w:bCs/>
      <w:i/>
      <w:iCs/>
      <w:szCs w:val="24"/>
      <w:u w:val="single"/>
      <w:lang w:val="en-GB"/>
    </w:rPr>
  </w:style>
  <w:style w:type="character" w:customStyle="1" w:styleId="Heading4Char">
    <w:name w:val="Heading 4 Char"/>
    <w:link w:val="Heading4"/>
    <w:rsid w:val="00AA167C"/>
    <w:rPr>
      <w:rFonts w:ascii="Times New Roman" w:eastAsia="Times New Roman" w:hAnsi="Times New Roman" w:cs="Times New Roman"/>
      <w:b/>
      <w:bCs/>
      <w:sz w:val="24"/>
      <w:szCs w:val="24"/>
      <w:lang w:val="en-GB"/>
    </w:rPr>
  </w:style>
  <w:style w:type="character" w:styleId="Hyperlink">
    <w:name w:val="Hyperlink"/>
    <w:rsid w:val="00AA167C"/>
    <w:rPr>
      <w:color w:val="0000FF"/>
      <w:u w:val="single"/>
    </w:rPr>
  </w:style>
  <w:style w:type="paragraph" w:styleId="Header">
    <w:name w:val="header"/>
    <w:basedOn w:val="Normal"/>
    <w:link w:val="HeaderChar"/>
    <w:rsid w:val="00AA167C"/>
    <w:pPr>
      <w:tabs>
        <w:tab w:val="center" w:pos="4153"/>
        <w:tab w:val="right" w:pos="8306"/>
      </w:tabs>
    </w:pPr>
  </w:style>
  <w:style w:type="character" w:customStyle="1" w:styleId="HeaderChar">
    <w:name w:val="Header Char"/>
    <w:link w:val="Header"/>
    <w:rsid w:val="00AA16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167C"/>
    <w:pPr>
      <w:tabs>
        <w:tab w:val="center" w:pos="4513"/>
        <w:tab w:val="right" w:pos="9026"/>
      </w:tabs>
    </w:pPr>
  </w:style>
  <w:style w:type="character" w:customStyle="1" w:styleId="FooterChar">
    <w:name w:val="Footer Char"/>
    <w:link w:val="Footer"/>
    <w:uiPriority w:val="99"/>
    <w:rsid w:val="00AA167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F1169E"/>
    <w:rPr>
      <w:rFonts w:ascii="Tahoma" w:hAnsi="Tahoma" w:cs="Tahoma"/>
      <w:sz w:val="16"/>
      <w:szCs w:val="16"/>
    </w:rPr>
  </w:style>
  <w:style w:type="character" w:customStyle="1" w:styleId="BalloonTextChar">
    <w:name w:val="Balloon Text Char"/>
    <w:link w:val="BalloonText"/>
    <w:uiPriority w:val="99"/>
    <w:semiHidden/>
    <w:rsid w:val="00F1169E"/>
    <w:rPr>
      <w:rFonts w:ascii="Tahoma" w:eastAsia="Times New Roman" w:hAnsi="Tahoma" w:cs="Tahoma"/>
      <w:sz w:val="16"/>
      <w:szCs w:val="16"/>
      <w:lang w:eastAsia="en-US"/>
    </w:rPr>
  </w:style>
  <w:style w:type="character" w:customStyle="1" w:styleId="Heading3Char">
    <w:name w:val="Heading 3 Char"/>
    <w:link w:val="Heading3"/>
    <w:uiPriority w:val="9"/>
    <w:rsid w:val="0084617D"/>
    <w:rPr>
      <w:rFonts w:ascii="Cambria" w:eastAsia="Times New Roman" w:hAnsi="Cambria" w:cs="Times New Roman"/>
      <w:b/>
      <w:bCs/>
      <w:sz w:val="26"/>
      <w:szCs w:val="26"/>
      <w:lang w:eastAsia="en-US"/>
    </w:rPr>
  </w:style>
  <w:style w:type="character" w:styleId="Emphasis">
    <w:name w:val="Emphasis"/>
    <w:uiPriority w:val="20"/>
    <w:qFormat/>
    <w:rsid w:val="00942078"/>
    <w:rPr>
      <w:i/>
      <w:iCs/>
    </w:rPr>
  </w:style>
  <w:style w:type="character" w:customStyle="1" w:styleId="Heading9Char">
    <w:name w:val="Heading 9 Char"/>
    <w:link w:val="Heading9"/>
    <w:rsid w:val="00DE7410"/>
    <w:rPr>
      <w:rFonts w:ascii="Times New Roman" w:eastAsia="Times New Roman" w:hAnsi="Times New Roman"/>
      <w:bCs/>
      <w:iCs/>
      <w:lang w:val="en-US" w:eastAsia="en-US"/>
    </w:rPr>
  </w:style>
  <w:style w:type="paragraph" w:styleId="EnvelopeAddress">
    <w:name w:val="envelope address"/>
    <w:basedOn w:val="Normal"/>
    <w:rsid w:val="00DE7410"/>
    <w:pPr>
      <w:framePr w:w="7920" w:h="1980" w:hRule="exact" w:hSpace="180" w:wrap="auto" w:hAnchor="page" w:xAlign="center" w:yAlign="bottom"/>
      <w:ind w:left="2880"/>
    </w:pPr>
    <w:rPr>
      <w:rFonts w:cs="Arial"/>
    </w:rPr>
  </w:style>
  <w:style w:type="paragraph" w:styleId="EnvelopeReturn">
    <w:name w:val="envelope return"/>
    <w:basedOn w:val="Normal"/>
    <w:rsid w:val="00DE7410"/>
    <w:rPr>
      <w:rFonts w:cs="Arial"/>
      <w:sz w:val="20"/>
      <w:szCs w:val="20"/>
    </w:rPr>
  </w:style>
  <w:style w:type="paragraph" w:customStyle="1" w:styleId="CG-Title-Center-Bold">
    <w:name w:val="CG-Title-Center-Bold"/>
    <w:aliases w:val="t1"/>
    <w:basedOn w:val="Normal"/>
    <w:next w:val="Normal"/>
    <w:rsid w:val="00DE7410"/>
    <w:pPr>
      <w:keepNext/>
      <w:spacing w:after="240"/>
      <w:jc w:val="center"/>
    </w:pPr>
    <w:rPr>
      <w:b/>
      <w:sz w:val="32"/>
      <w:szCs w:val="20"/>
      <w:lang w:val="en-US"/>
    </w:rPr>
  </w:style>
  <w:style w:type="paragraph" w:customStyle="1" w:styleId="CG-Title-Center">
    <w:name w:val="CG-Title-Center"/>
    <w:aliases w:val="t5"/>
    <w:basedOn w:val="Normal"/>
    <w:next w:val="Normal"/>
    <w:rsid w:val="00DE7410"/>
    <w:pPr>
      <w:keepNext/>
      <w:spacing w:after="240"/>
      <w:jc w:val="center"/>
    </w:pPr>
    <w:rPr>
      <w:szCs w:val="20"/>
      <w:lang w:val="en-US"/>
    </w:rPr>
  </w:style>
  <w:style w:type="paragraph" w:customStyle="1" w:styleId="Outline3L1">
    <w:name w:val="Outline3_L1"/>
    <w:basedOn w:val="Normal"/>
    <w:next w:val="Normal"/>
    <w:rsid w:val="00DE7410"/>
    <w:pPr>
      <w:keepNext/>
      <w:numPr>
        <w:numId w:val="1"/>
      </w:numPr>
      <w:spacing w:after="240"/>
      <w:outlineLvl w:val="0"/>
    </w:pPr>
    <w:rPr>
      <w:szCs w:val="20"/>
      <w:lang w:val="en-US"/>
    </w:rPr>
  </w:style>
  <w:style w:type="paragraph" w:customStyle="1" w:styleId="Outline3L2">
    <w:name w:val="Outline3_L2"/>
    <w:basedOn w:val="Outline3L1"/>
    <w:next w:val="Normal"/>
    <w:rsid w:val="00DE7410"/>
    <w:pPr>
      <w:numPr>
        <w:ilvl w:val="1"/>
      </w:numPr>
      <w:outlineLvl w:val="1"/>
    </w:pPr>
  </w:style>
  <w:style w:type="paragraph" w:customStyle="1" w:styleId="Outline3L3">
    <w:name w:val="Outline3_L3"/>
    <w:basedOn w:val="Outline3L2"/>
    <w:next w:val="Normal"/>
    <w:rsid w:val="00DE7410"/>
    <w:pPr>
      <w:numPr>
        <w:ilvl w:val="2"/>
      </w:numPr>
      <w:outlineLvl w:val="2"/>
    </w:pPr>
  </w:style>
  <w:style w:type="paragraph" w:customStyle="1" w:styleId="Outline3L4">
    <w:name w:val="Outline3_L4"/>
    <w:basedOn w:val="Outline3L3"/>
    <w:next w:val="Normal"/>
    <w:rsid w:val="00DE7410"/>
    <w:pPr>
      <w:keepNext w:val="0"/>
      <w:numPr>
        <w:ilvl w:val="3"/>
      </w:numPr>
      <w:outlineLvl w:val="3"/>
    </w:pPr>
  </w:style>
  <w:style w:type="paragraph" w:customStyle="1" w:styleId="Outline3L5">
    <w:name w:val="Outline3_L5"/>
    <w:basedOn w:val="Outline3L4"/>
    <w:next w:val="Normal"/>
    <w:rsid w:val="00DE7410"/>
    <w:pPr>
      <w:numPr>
        <w:ilvl w:val="4"/>
      </w:numPr>
      <w:outlineLvl w:val="4"/>
    </w:pPr>
  </w:style>
  <w:style w:type="paragraph" w:customStyle="1" w:styleId="TableFN">
    <w:name w:val="TableFN"/>
    <w:aliases w:val="tfn"/>
    <w:basedOn w:val="Normal"/>
    <w:rsid w:val="00DE7410"/>
    <w:pPr>
      <w:spacing w:after="240"/>
    </w:pPr>
    <w:rPr>
      <w:sz w:val="18"/>
      <w:szCs w:val="20"/>
      <w:lang w:val="en-US"/>
    </w:rPr>
  </w:style>
  <w:style w:type="paragraph" w:styleId="Title">
    <w:name w:val="Title"/>
    <w:basedOn w:val="Normal"/>
    <w:link w:val="TitleChar"/>
    <w:qFormat/>
    <w:rsid w:val="00DE7410"/>
    <w:pPr>
      <w:ind w:right="983"/>
      <w:jc w:val="center"/>
    </w:pPr>
    <w:rPr>
      <w:b/>
      <w:szCs w:val="20"/>
      <w:lang w:val="en-GB"/>
    </w:rPr>
  </w:style>
  <w:style w:type="character" w:customStyle="1" w:styleId="TitleChar">
    <w:name w:val="Title Char"/>
    <w:link w:val="Title"/>
    <w:rsid w:val="00DE7410"/>
    <w:rPr>
      <w:rFonts w:ascii="Times New Roman" w:eastAsia="Times New Roman" w:hAnsi="Times New Roman"/>
      <w:b/>
      <w:sz w:val="24"/>
      <w:lang w:val="en-GB" w:eastAsia="en-US"/>
    </w:rPr>
  </w:style>
  <w:style w:type="paragraph" w:styleId="BodyText3">
    <w:name w:val="Body Text 3"/>
    <w:basedOn w:val="Normal"/>
    <w:link w:val="BodyText3Char"/>
    <w:rsid w:val="00DE7410"/>
    <w:rPr>
      <w:b/>
      <w:szCs w:val="20"/>
      <w:lang w:val="en-GB"/>
    </w:rPr>
  </w:style>
  <w:style w:type="character" w:customStyle="1" w:styleId="BodyText3Char">
    <w:name w:val="Body Text 3 Char"/>
    <w:link w:val="BodyText3"/>
    <w:rsid w:val="00DE7410"/>
    <w:rPr>
      <w:rFonts w:ascii="Times New Roman" w:eastAsia="Times New Roman" w:hAnsi="Times New Roman"/>
      <w:b/>
      <w:sz w:val="24"/>
      <w:lang w:val="en-GB" w:eastAsia="en-US"/>
    </w:rPr>
  </w:style>
  <w:style w:type="paragraph" w:customStyle="1" w:styleId="CG-SingleSp05">
    <w:name w:val="CG-Single Sp 0.5"/>
    <w:aliases w:val="s2,!Body Text .5(J),!Body Text .5s2(J),Normal + Interstate-RegularCondensed,9 pt"/>
    <w:basedOn w:val="Normal"/>
    <w:rsid w:val="00DE7410"/>
    <w:pPr>
      <w:spacing w:after="240"/>
      <w:ind w:firstLine="720"/>
      <w:jc w:val="both"/>
    </w:pPr>
    <w:rPr>
      <w:rFonts w:eastAsia="MS Mincho"/>
      <w:sz w:val="22"/>
      <w:szCs w:val="20"/>
      <w:lang w:val="en-US"/>
    </w:rPr>
  </w:style>
  <w:style w:type="character" w:styleId="PageNumber">
    <w:name w:val="page number"/>
    <w:basedOn w:val="DefaultParagraphFont"/>
    <w:rsid w:val="00DE7410"/>
  </w:style>
  <w:style w:type="table" w:styleId="TableGrid">
    <w:name w:val="Table Grid"/>
    <w:basedOn w:val="TableNormal"/>
    <w:uiPriority w:val="39"/>
    <w:rsid w:val="00DE74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G-SingleSp05s2">
    <w:name w:val="CG-Single Sp 0.5.s2"/>
    <w:basedOn w:val="Normal"/>
    <w:rsid w:val="00DE7410"/>
    <w:pPr>
      <w:spacing w:after="240"/>
      <w:ind w:firstLine="720"/>
      <w:jc w:val="both"/>
    </w:pPr>
    <w:rPr>
      <w:snapToGrid w:val="0"/>
      <w:sz w:val="22"/>
      <w:szCs w:val="20"/>
    </w:rPr>
  </w:style>
  <w:style w:type="character" w:styleId="CommentReference">
    <w:name w:val="annotation reference"/>
    <w:semiHidden/>
    <w:rsid w:val="00DE7410"/>
    <w:rPr>
      <w:sz w:val="16"/>
      <w:szCs w:val="16"/>
    </w:rPr>
  </w:style>
  <w:style w:type="paragraph" w:styleId="CommentText">
    <w:name w:val="annotation text"/>
    <w:basedOn w:val="Normal"/>
    <w:link w:val="CommentTextChar"/>
    <w:semiHidden/>
    <w:rsid w:val="00DE7410"/>
    <w:rPr>
      <w:sz w:val="20"/>
      <w:szCs w:val="20"/>
    </w:rPr>
  </w:style>
  <w:style w:type="character" w:customStyle="1" w:styleId="CommentTextChar">
    <w:name w:val="Comment Text Char"/>
    <w:link w:val="CommentText"/>
    <w:semiHidden/>
    <w:rsid w:val="00DE7410"/>
    <w:rPr>
      <w:rFonts w:ascii="Times New Roman" w:eastAsia="Times New Roman" w:hAnsi="Times New Roman"/>
      <w:lang w:eastAsia="en-US"/>
    </w:rPr>
  </w:style>
  <w:style w:type="paragraph" w:styleId="CommentSubject">
    <w:name w:val="annotation subject"/>
    <w:basedOn w:val="CommentText"/>
    <w:next w:val="CommentText"/>
    <w:link w:val="CommentSubjectChar"/>
    <w:semiHidden/>
    <w:rsid w:val="00DE7410"/>
    <w:rPr>
      <w:b/>
      <w:bCs/>
    </w:rPr>
  </w:style>
  <w:style w:type="character" w:customStyle="1" w:styleId="CommentSubjectChar">
    <w:name w:val="Comment Subject Char"/>
    <w:link w:val="CommentSubject"/>
    <w:semiHidden/>
    <w:rsid w:val="00DE7410"/>
    <w:rPr>
      <w:rFonts w:ascii="Times New Roman" w:eastAsia="Times New Roman" w:hAnsi="Times New Roman"/>
      <w:b/>
      <w:bCs/>
      <w:lang w:eastAsia="en-US"/>
    </w:rPr>
  </w:style>
  <w:style w:type="paragraph" w:customStyle="1" w:styleId="S2">
    <w:name w:val="S2"/>
    <w:basedOn w:val="CG-SingleSp05"/>
    <w:link w:val="S2Char"/>
    <w:rsid w:val="00DE7410"/>
    <w:pPr>
      <w:spacing w:after="120"/>
      <w:ind w:right="144" w:firstLine="432"/>
    </w:pPr>
    <w:rPr>
      <w:rFonts w:eastAsia="Times New Roman"/>
    </w:rPr>
  </w:style>
  <w:style w:type="character" w:customStyle="1" w:styleId="S2Char">
    <w:name w:val="S2 Char"/>
    <w:link w:val="S2"/>
    <w:rsid w:val="00DE7410"/>
    <w:rPr>
      <w:rFonts w:ascii="Times New Roman" w:eastAsia="Times New Roman" w:hAnsi="Times New Roman"/>
      <w:sz w:val="22"/>
      <w:lang w:val="en-US" w:eastAsia="en-US"/>
    </w:rPr>
  </w:style>
  <w:style w:type="paragraph" w:customStyle="1" w:styleId="Text1bullet">
    <w:name w:val="Text 1 bullet"/>
    <w:basedOn w:val="Normal"/>
    <w:rsid w:val="00DE7410"/>
    <w:pPr>
      <w:overflowPunct w:val="0"/>
      <w:autoSpaceDE w:val="0"/>
      <w:autoSpaceDN w:val="0"/>
      <w:adjustRightInd w:val="0"/>
      <w:spacing w:before="100"/>
      <w:ind w:left="440" w:right="300" w:hanging="440"/>
      <w:jc w:val="both"/>
      <w:textAlignment w:val="baseline"/>
    </w:pPr>
    <w:rPr>
      <w:rFonts w:ascii="Times" w:hAnsi="Times"/>
      <w:sz w:val="20"/>
      <w:szCs w:val="20"/>
      <w:lang w:val="en-GB"/>
    </w:rPr>
  </w:style>
  <w:style w:type="paragraph" w:styleId="NormalWeb">
    <w:name w:val="Normal (Web)"/>
    <w:basedOn w:val="Normal"/>
    <w:uiPriority w:val="99"/>
    <w:rsid w:val="00DE7410"/>
    <w:pPr>
      <w:spacing w:before="100" w:beforeAutospacing="1" w:after="100" w:afterAutospacing="1"/>
    </w:pPr>
    <w:rPr>
      <w:lang w:val="en-US"/>
    </w:rPr>
  </w:style>
  <w:style w:type="paragraph" w:styleId="ListParagraph">
    <w:name w:val="List Paragraph"/>
    <w:basedOn w:val="Normal"/>
    <w:uiPriority w:val="34"/>
    <w:qFormat/>
    <w:rsid w:val="00DE7410"/>
    <w:pPr>
      <w:ind w:left="720"/>
    </w:pPr>
  </w:style>
  <w:style w:type="paragraph" w:customStyle="1" w:styleId="CG-Bullet">
    <w:name w:val="CG-Bullet"/>
    <w:aliases w:val="b1"/>
    <w:basedOn w:val="Normal"/>
    <w:rsid w:val="00DE7410"/>
    <w:pPr>
      <w:numPr>
        <w:numId w:val="2"/>
      </w:numPr>
      <w:spacing w:after="240"/>
      <w:jc w:val="both"/>
    </w:pPr>
    <w:rPr>
      <w:rFonts w:eastAsia="MS Mincho"/>
      <w:sz w:val="22"/>
      <w:szCs w:val="22"/>
      <w:lang w:val="en-US"/>
    </w:rPr>
  </w:style>
  <w:style w:type="paragraph" w:customStyle="1" w:styleId="Default">
    <w:name w:val="Default"/>
    <w:uiPriority w:val="99"/>
    <w:rsid w:val="00DE7410"/>
    <w:pPr>
      <w:autoSpaceDE w:val="0"/>
      <w:autoSpaceDN w:val="0"/>
      <w:adjustRightInd w:val="0"/>
    </w:pPr>
    <w:rPr>
      <w:rFonts w:ascii="Trebuchet MS" w:eastAsia="Times New Roman" w:hAnsi="Trebuchet MS" w:cs="Trebuchet MS"/>
      <w:color w:val="000000"/>
      <w:sz w:val="24"/>
      <w:szCs w:val="24"/>
    </w:rPr>
  </w:style>
  <w:style w:type="paragraph" w:customStyle="1" w:styleId="Pa2">
    <w:name w:val="Pa2"/>
    <w:basedOn w:val="Default"/>
    <w:next w:val="Default"/>
    <w:uiPriority w:val="99"/>
    <w:rsid w:val="00DE7410"/>
    <w:pPr>
      <w:spacing w:line="191" w:lineRule="atLeast"/>
    </w:pPr>
    <w:rPr>
      <w:rFonts w:ascii="Univers LT Std 45 Light" w:hAnsi="Univers LT Std 45 Light" w:cs="Times New Roman"/>
      <w:color w:val="auto"/>
    </w:rPr>
  </w:style>
  <w:style w:type="paragraph" w:styleId="Revision">
    <w:name w:val="Revision"/>
    <w:hidden/>
    <w:uiPriority w:val="99"/>
    <w:semiHidden/>
    <w:rsid w:val="00DE7410"/>
    <w:rPr>
      <w:rFonts w:ascii="Times New Roman" w:eastAsia="Times New Roman" w:hAnsi="Times New Roman"/>
      <w:sz w:val="24"/>
      <w:szCs w:val="24"/>
      <w:lang w:eastAsia="en-US"/>
    </w:rPr>
  </w:style>
  <w:style w:type="paragraph" w:styleId="NoSpacing">
    <w:name w:val="No Spacing"/>
    <w:uiPriority w:val="1"/>
    <w:qFormat/>
    <w:rsid w:val="00D7268B"/>
    <w:pPr>
      <w:suppressAutoHyphens/>
      <w:autoSpaceDN w:val="0"/>
    </w:pPr>
    <w:rPr>
      <w:sz w:val="22"/>
      <w:szCs w:val="22"/>
      <w:lang w:eastAsia="en-US"/>
    </w:rPr>
  </w:style>
  <w:style w:type="paragraph" w:customStyle="1" w:styleId="CG-SingleSp1">
    <w:name w:val="CG-Single Sp 1"/>
    <w:aliases w:val="s3"/>
    <w:basedOn w:val="Normal"/>
    <w:rsid w:val="009C3AC9"/>
    <w:pPr>
      <w:spacing w:after="240"/>
      <w:ind w:firstLine="1440"/>
    </w:pPr>
    <w:rPr>
      <w:rFonts w:eastAsia="MS Mincho"/>
      <w:lang w:val="en-US"/>
    </w:rPr>
  </w:style>
  <w:style w:type="paragraph" w:customStyle="1" w:styleId="CG-SingleSp">
    <w:name w:val="CG-Single Sp"/>
    <w:aliases w:val="s1"/>
    <w:basedOn w:val="Normal"/>
    <w:rsid w:val="009C3AC9"/>
    <w:pPr>
      <w:spacing w:after="240"/>
    </w:pPr>
    <w:rPr>
      <w:rFonts w:eastAsia="MS Mincho"/>
      <w:sz w:val="22"/>
      <w:szCs w:val="22"/>
      <w:lang w:val="en-US"/>
    </w:rPr>
  </w:style>
  <w:style w:type="paragraph" w:customStyle="1" w:styleId="CG-Title-Left-Bold">
    <w:name w:val="CG-Title-Left-Bold"/>
    <w:aliases w:val="t3"/>
    <w:basedOn w:val="Normal"/>
    <w:next w:val="CG-SingleSp1"/>
    <w:rsid w:val="009C3AC9"/>
    <w:pPr>
      <w:keepNext/>
      <w:spacing w:after="240"/>
    </w:pPr>
    <w:rPr>
      <w:rFonts w:eastAsia="MS Mincho"/>
      <w:b/>
      <w:bCs/>
      <w:sz w:val="22"/>
      <w:szCs w:val="22"/>
      <w:lang w:val="en-US"/>
    </w:rPr>
  </w:style>
  <w:style w:type="character" w:customStyle="1" w:styleId="r">
    <w:name w:val="r"/>
    <w:basedOn w:val="DefaultParagraphFont"/>
    <w:rsid w:val="0035558E"/>
  </w:style>
  <w:style w:type="character" w:customStyle="1" w:styleId="cf">
    <w:name w:val="cf"/>
    <w:basedOn w:val="DefaultParagraphFont"/>
    <w:rsid w:val="000A5A8F"/>
  </w:style>
  <w:style w:type="paragraph" w:customStyle="1" w:styleId="-Body-text">
    <w:name w:val="- Body - text"/>
    <w:basedOn w:val="Normal"/>
    <w:link w:val="-Body-textChar1"/>
    <w:uiPriority w:val="99"/>
    <w:rsid w:val="00D735E7"/>
    <w:pPr>
      <w:widowControl w:val="0"/>
      <w:tabs>
        <w:tab w:val="left" w:pos="340"/>
      </w:tabs>
      <w:suppressAutoHyphens/>
      <w:autoSpaceDE w:val="0"/>
      <w:autoSpaceDN w:val="0"/>
      <w:adjustRightInd w:val="0"/>
      <w:spacing w:after="120" w:line="288" w:lineRule="auto"/>
      <w:textAlignment w:val="center"/>
    </w:pPr>
    <w:rPr>
      <w:rFonts w:ascii="Arial" w:hAnsi="Arial" w:cs="Arial"/>
      <w:color w:val="000000"/>
      <w:sz w:val="17"/>
      <w:szCs w:val="17"/>
      <w:lang w:val="en-GB" w:eastAsia="en-GB"/>
    </w:rPr>
  </w:style>
  <w:style w:type="paragraph" w:customStyle="1" w:styleId="FSHeadingStyle2">
    <w:name w:val="FS Heading Style 2"/>
    <w:basedOn w:val="Normal"/>
    <w:link w:val="FSHeadingStyle2Char"/>
    <w:qFormat/>
    <w:rsid w:val="00D735E7"/>
    <w:pPr>
      <w:keepLines/>
      <w:widowControl w:val="0"/>
      <w:suppressAutoHyphens/>
      <w:autoSpaceDE w:val="0"/>
      <w:autoSpaceDN w:val="0"/>
      <w:adjustRightInd w:val="0"/>
      <w:spacing w:after="120" w:line="280" w:lineRule="atLeast"/>
      <w:textAlignment w:val="center"/>
    </w:pPr>
    <w:rPr>
      <w:rFonts w:ascii="Arial" w:hAnsi="Arial" w:cs="Arial"/>
      <w:bCs/>
      <w:color w:val="000000"/>
      <w:sz w:val="28"/>
      <w:szCs w:val="28"/>
      <w:lang w:val="en-GB" w:eastAsia="en-GB"/>
    </w:rPr>
  </w:style>
  <w:style w:type="paragraph" w:customStyle="1" w:styleId="FSHeadingStyle1">
    <w:name w:val="FS Heading Style 1"/>
    <w:basedOn w:val="Normal"/>
    <w:link w:val="FSHeadingStyle1Char"/>
    <w:qFormat/>
    <w:rsid w:val="00D735E7"/>
    <w:pPr>
      <w:keepLines/>
      <w:pageBreakBefore/>
      <w:widowControl w:val="0"/>
      <w:suppressAutoHyphens/>
      <w:autoSpaceDE w:val="0"/>
      <w:autoSpaceDN w:val="0"/>
      <w:adjustRightInd w:val="0"/>
      <w:spacing w:before="360" w:after="120" w:line="280" w:lineRule="atLeast"/>
      <w:textAlignment w:val="center"/>
    </w:pPr>
    <w:rPr>
      <w:rFonts w:ascii="Arial" w:hAnsi="Arial" w:cs="Arial"/>
      <w:b/>
      <w:bCs/>
      <w:color w:val="002060"/>
      <w:sz w:val="36"/>
      <w:szCs w:val="36"/>
      <w:lang w:val="en-GB" w:eastAsia="en-GB"/>
    </w:rPr>
  </w:style>
  <w:style w:type="character" w:customStyle="1" w:styleId="FSHeadingStyle2Char">
    <w:name w:val="FS Heading Style 2 Char"/>
    <w:link w:val="FSHeadingStyle2"/>
    <w:rsid w:val="00D735E7"/>
    <w:rPr>
      <w:rFonts w:ascii="Arial" w:eastAsia="Times New Roman" w:hAnsi="Arial" w:cs="Arial"/>
      <w:bCs/>
      <w:color w:val="000000"/>
      <w:sz w:val="28"/>
      <w:szCs w:val="28"/>
      <w:lang w:val="en-GB" w:eastAsia="en-GB"/>
    </w:rPr>
  </w:style>
  <w:style w:type="character" w:customStyle="1" w:styleId="FSHeadingStyle1Char">
    <w:name w:val="FS Heading Style 1 Char"/>
    <w:link w:val="FSHeadingStyle1"/>
    <w:rsid w:val="00D735E7"/>
    <w:rPr>
      <w:rFonts w:ascii="Arial" w:eastAsia="Times New Roman" w:hAnsi="Arial" w:cs="Arial"/>
      <w:b/>
      <w:bCs/>
      <w:color w:val="002060"/>
      <w:sz w:val="36"/>
      <w:szCs w:val="36"/>
      <w:lang w:val="en-GB" w:eastAsia="en-GB"/>
    </w:rPr>
  </w:style>
  <w:style w:type="paragraph" w:customStyle="1" w:styleId="FSBodyStyle1">
    <w:name w:val="FS Body Style 1"/>
    <w:basedOn w:val="-Body-text"/>
    <w:link w:val="FSBodyStyle1Char"/>
    <w:qFormat/>
    <w:rsid w:val="00D735E7"/>
    <w:pPr>
      <w:spacing w:before="120"/>
    </w:pPr>
  </w:style>
  <w:style w:type="character" w:customStyle="1" w:styleId="-Body-textChar1">
    <w:name w:val="- Body - text Char1"/>
    <w:link w:val="-Body-text"/>
    <w:uiPriority w:val="99"/>
    <w:rsid w:val="00D735E7"/>
    <w:rPr>
      <w:rFonts w:ascii="Arial" w:eastAsia="Times New Roman" w:hAnsi="Arial" w:cs="Arial"/>
      <w:color w:val="000000"/>
      <w:sz w:val="17"/>
      <w:szCs w:val="17"/>
      <w:lang w:val="en-GB" w:eastAsia="en-GB"/>
    </w:rPr>
  </w:style>
  <w:style w:type="character" w:customStyle="1" w:styleId="FSBodyStyle1Char">
    <w:name w:val="FS Body Style 1 Char"/>
    <w:link w:val="FSBodyStyle1"/>
    <w:rsid w:val="00D735E7"/>
    <w:rPr>
      <w:rFonts w:ascii="Arial" w:eastAsia="Times New Roman" w:hAnsi="Arial" w:cs="Arial"/>
      <w:color w:val="000000"/>
      <w:sz w:val="17"/>
      <w:szCs w:val="17"/>
      <w:lang w:val="en-GB" w:eastAsia="en-GB"/>
    </w:rPr>
  </w:style>
  <w:style w:type="paragraph" w:customStyle="1" w:styleId="Pa20">
    <w:name w:val="Pa20"/>
    <w:basedOn w:val="Normal"/>
    <w:uiPriority w:val="99"/>
    <w:rsid w:val="00065D64"/>
    <w:pPr>
      <w:autoSpaceDE w:val="0"/>
      <w:autoSpaceDN w:val="0"/>
      <w:spacing w:line="191" w:lineRule="atLeast"/>
    </w:pPr>
    <w:rPr>
      <w:rFonts w:ascii="Univers LT Std 45 Light" w:eastAsia="Calibri" w:hAnsi="Univers LT Std 45 Light"/>
    </w:rPr>
  </w:style>
  <w:style w:type="paragraph" w:customStyle="1" w:styleId="Sub-header">
    <w:name w:val="Sub-header"/>
    <w:basedOn w:val="Normal"/>
    <w:next w:val="Normal"/>
    <w:uiPriority w:val="3"/>
    <w:qFormat/>
    <w:rsid w:val="00110181"/>
    <w:rPr>
      <w:rFonts w:ascii="Arial" w:eastAsia="Calibri" w:hAnsi="Arial"/>
      <w:i/>
      <w:sz w:val="20"/>
      <w:szCs w:val="22"/>
    </w:rPr>
  </w:style>
  <w:style w:type="character" w:customStyle="1" w:styleId="Heading1Char">
    <w:name w:val="Heading 1 Char"/>
    <w:link w:val="Heading1"/>
    <w:uiPriority w:val="9"/>
    <w:rsid w:val="00C45C13"/>
    <w:rPr>
      <w:rFonts w:ascii="Calibri Light" w:eastAsia="Times New Roman" w:hAnsi="Calibri Light" w:cs="Times New Roman"/>
      <w:b/>
      <w:bCs/>
      <w:kern w:val="32"/>
      <w:sz w:val="32"/>
      <w:szCs w:val="32"/>
      <w:lang w:eastAsia="en-US"/>
    </w:rPr>
  </w:style>
  <w:style w:type="character" w:styleId="FollowedHyperlink">
    <w:name w:val="FollowedHyperlink"/>
    <w:uiPriority w:val="99"/>
    <w:semiHidden/>
    <w:unhideWhenUsed/>
    <w:rsid w:val="00DF6155"/>
    <w:rPr>
      <w:color w:val="954F72"/>
      <w:u w:val="single"/>
    </w:rPr>
  </w:style>
  <w:style w:type="paragraph" w:styleId="BodyText">
    <w:name w:val="Body Text"/>
    <w:basedOn w:val="Normal"/>
    <w:link w:val="BodyTextChar"/>
    <w:uiPriority w:val="99"/>
    <w:semiHidden/>
    <w:unhideWhenUsed/>
    <w:rsid w:val="00A66BA3"/>
    <w:pPr>
      <w:spacing w:after="120"/>
    </w:pPr>
  </w:style>
  <w:style w:type="character" w:customStyle="1" w:styleId="BodyTextChar">
    <w:name w:val="Body Text Char"/>
    <w:link w:val="BodyText"/>
    <w:uiPriority w:val="99"/>
    <w:semiHidden/>
    <w:rsid w:val="00A66BA3"/>
    <w:rPr>
      <w:rFonts w:ascii="Times New Roman" w:eastAsia="Times New Roman" w:hAnsi="Times New Roman"/>
      <w:sz w:val="24"/>
      <w:szCs w:val="24"/>
      <w:lang w:eastAsia="en-US"/>
    </w:rPr>
  </w:style>
  <w:style w:type="paragraph" w:styleId="BodyTextFirstIndent">
    <w:name w:val="Body Text First Indent"/>
    <w:basedOn w:val="BodyText"/>
    <w:link w:val="BodyTextFirstIndentChar"/>
    <w:uiPriority w:val="99"/>
    <w:unhideWhenUsed/>
    <w:rsid w:val="00A66BA3"/>
    <w:pPr>
      <w:ind w:firstLine="210"/>
    </w:pPr>
  </w:style>
  <w:style w:type="character" w:customStyle="1" w:styleId="BodyTextFirstIndentChar">
    <w:name w:val="Body Text First Indent Char"/>
    <w:basedOn w:val="BodyTextChar"/>
    <w:link w:val="BodyTextFirstIndent"/>
    <w:uiPriority w:val="99"/>
    <w:rsid w:val="00A66BA3"/>
    <w:rPr>
      <w:rFonts w:ascii="Times New Roman" w:eastAsia="Times New Roman" w:hAnsi="Times New Roman"/>
      <w:sz w:val="24"/>
      <w:szCs w:val="24"/>
      <w:lang w:eastAsia="en-US"/>
    </w:rPr>
  </w:style>
  <w:style w:type="character" w:styleId="UnresolvedMention">
    <w:name w:val="Unresolved Mention"/>
    <w:uiPriority w:val="99"/>
    <w:semiHidden/>
    <w:unhideWhenUsed/>
    <w:rsid w:val="004C58D6"/>
    <w:rPr>
      <w:color w:val="605E5C"/>
      <w:shd w:val="clear" w:color="auto" w:fill="E1DFDD"/>
    </w:rPr>
  </w:style>
  <w:style w:type="paragraph" w:styleId="ListBullet2">
    <w:name w:val="List Bullet 2"/>
    <w:basedOn w:val="Normal"/>
    <w:uiPriority w:val="13"/>
    <w:qFormat/>
    <w:rsid w:val="008B41A5"/>
    <w:pPr>
      <w:numPr>
        <w:ilvl w:val="1"/>
        <w:numId w:val="13"/>
      </w:numPr>
      <w:tabs>
        <w:tab w:val="num" w:pos="1133"/>
      </w:tabs>
      <w:spacing w:after="240"/>
      <w:ind w:left="1133" w:hanging="566"/>
      <w:contextualSpacing/>
    </w:pPr>
    <w:rPr>
      <w:rFonts w:ascii="Georgia" w:eastAsia="Georgia" w:hAnsi="Georgia" w:cs="Georgia"/>
      <w:sz w:val="20"/>
      <w:szCs w:val="20"/>
      <w:lang w:val="en-GB" w:eastAsia="en-GB"/>
    </w:rPr>
  </w:style>
  <w:style w:type="paragraph" w:styleId="ListBullet3">
    <w:name w:val="List Bullet 3"/>
    <w:basedOn w:val="Normal"/>
    <w:uiPriority w:val="13"/>
    <w:qFormat/>
    <w:rsid w:val="008B41A5"/>
    <w:pPr>
      <w:numPr>
        <w:ilvl w:val="2"/>
        <w:numId w:val="13"/>
      </w:numPr>
      <w:tabs>
        <w:tab w:val="num" w:pos="1700"/>
      </w:tabs>
      <w:spacing w:after="240"/>
      <w:ind w:left="1700" w:hanging="566"/>
      <w:contextualSpacing/>
    </w:pPr>
    <w:rPr>
      <w:rFonts w:ascii="Georgia" w:eastAsia="Georgia" w:hAnsi="Georgia" w:cs="Georgia"/>
      <w:sz w:val="20"/>
      <w:szCs w:val="20"/>
      <w:lang w:val="en-GB" w:eastAsia="en-GB"/>
    </w:rPr>
  </w:style>
  <w:style w:type="paragraph" w:styleId="ListBullet4">
    <w:name w:val="List Bullet 4"/>
    <w:basedOn w:val="Normal"/>
    <w:uiPriority w:val="13"/>
    <w:rsid w:val="008B41A5"/>
    <w:pPr>
      <w:numPr>
        <w:ilvl w:val="3"/>
        <w:numId w:val="13"/>
      </w:numPr>
      <w:tabs>
        <w:tab w:val="num" w:pos="2267"/>
      </w:tabs>
      <w:spacing w:after="240"/>
      <w:ind w:left="2267" w:hanging="566"/>
      <w:contextualSpacing/>
    </w:pPr>
    <w:rPr>
      <w:rFonts w:ascii="Georgia" w:eastAsia="Georgia" w:hAnsi="Georgia" w:cs="Georgia"/>
      <w:sz w:val="20"/>
      <w:szCs w:val="20"/>
      <w:lang w:val="en-GB" w:eastAsia="en-GB"/>
    </w:rPr>
  </w:style>
  <w:style w:type="paragraph" w:styleId="ListBullet5">
    <w:name w:val="List Bullet 5"/>
    <w:basedOn w:val="Normal"/>
    <w:uiPriority w:val="13"/>
    <w:rsid w:val="008B41A5"/>
    <w:pPr>
      <w:numPr>
        <w:ilvl w:val="4"/>
        <w:numId w:val="13"/>
      </w:numPr>
      <w:tabs>
        <w:tab w:val="num" w:pos="2834"/>
      </w:tabs>
      <w:spacing w:after="240"/>
      <w:ind w:left="2834" w:hanging="566"/>
      <w:contextualSpacing/>
    </w:pPr>
    <w:rPr>
      <w:rFonts w:ascii="Georgia" w:eastAsia="Georgia" w:hAnsi="Georgia" w:cs="Georgia"/>
      <w:sz w:val="20"/>
      <w:szCs w:val="20"/>
      <w:lang w:val="en-GB" w:eastAsia="en-GB"/>
    </w:rPr>
  </w:style>
  <w:style w:type="table" w:customStyle="1" w:styleId="TableGrid1">
    <w:name w:val="Table Grid1"/>
    <w:basedOn w:val="TableNormal"/>
    <w:next w:val="TableGrid"/>
    <w:uiPriority w:val="39"/>
    <w:rsid w:val="00DB75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720">
      <w:bodyDiv w:val="1"/>
      <w:marLeft w:val="0"/>
      <w:marRight w:val="0"/>
      <w:marTop w:val="0"/>
      <w:marBottom w:val="0"/>
      <w:divBdr>
        <w:top w:val="none" w:sz="0" w:space="0" w:color="auto"/>
        <w:left w:val="none" w:sz="0" w:space="0" w:color="auto"/>
        <w:bottom w:val="none" w:sz="0" w:space="0" w:color="auto"/>
        <w:right w:val="none" w:sz="0" w:space="0" w:color="auto"/>
      </w:divBdr>
    </w:div>
    <w:div w:id="21244416">
      <w:bodyDiv w:val="1"/>
      <w:marLeft w:val="0"/>
      <w:marRight w:val="0"/>
      <w:marTop w:val="0"/>
      <w:marBottom w:val="0"/>
      <w:divBdr>
        <w:top w:val="none" w:sz="0" w:space="0" w:color="auto"/>
        <w:left w:val="none" w:sz="0" w:space="0" w:color="auto"/>
        <w:bottom w:val="none" w:sz="0" w:space="0" w:color="auto"/>
        <w:right w:val="none" w:sz="0" w:space="0" w:color="auto"/>
      </w:divBdr>
    </w:div>
    <w:div w:id="43263593">
      <w:bodyDiv w:val="1"/>
      <w:marLeft w:val="0"/>
      <w:marRight w:val="0"/>
      <w:marTop w:val="0"/>
      <w:marBottom w:val="0"/>
      <w:divBdr>
        <w:top w:val="none" w:sz="0" w:space="0" w:color="auto"/>
        <w:left w:val="none" w:sz="0" w:space="0" w:color="auto"/>
        <w:bottom w:val="none" w:sz="0" w:space="0" w:color="auto"/>
        <w:right w:val="none" w:sz="0" w:space="0" w:color="auto"/>
      </w:divBdr>
    </w:div>
    <w:div w:id="55513981">
      <w:bodyDiv w:val="1"/>
      <w:marLeft w:val="0"/>
      <w:marRight w:val="0"/>
      <w:marTop w:val="0"/>
      <w:marBottom w:val="0"/>
      <w:divBdr>
        <w:top w:val="none" w:sz="0" w:space="0" w:color="auto"/>
        <w:left w:val="none" w:sz="0" w:space="0" w:color="auto"/>
        <w:bottom w:val="none" w:sz="0" w:space="0" w:color="auto"/>
        <w:right w:val="none" w:sz="0" w:space="0" w:color="auto"/>
      </w:divBdr>
    </w:div>
    <w:div w:id="69810834">
      <w:bodyDiv w:val="1"/>
      <w:marLeft w:val="0"/>
      <w:marRight w:val="0"/>
      <w:marTop w:val="0"/>
      <w:marBottom w:val="0"/>
      <w:divBdr>
        <w:top w:val="none" w:sz="0" w:space="0" w:color="auto"/>
        <w:left w:val="none" w:sz="0" w:space="0" w:color="auto"/>
        <w:bottom w:val="none" w:sz="0" w:space="0" w:color="auto"/>
        <w:right w:val="none" w:sz="0" w:space="0" w:color="auto"/>
      </w:divBdr>
    </w:div>
    <w:div w:id="70010784">
      <w:bodyDiv w:val="1"/>
      <w:marLeft w:val="0"/>
      <w:marRight w:val="0"/>
      <w:marTop w:val="0"/>
      <w:marBottom w:val="0"/>
      <w:divBdr>
        <w:top w:val="none" w:sz="0" w:space="0" w:color="auto"/>
        <w:left w:val="none" w:sz="0" w:space="0" w:color="auto"/>
        <w:bottom w:val="none" w:sz="0" w:space="0" w:color="auto"/>
        <w:right w:val="none" w:sz="0" w:space="0" w:color="auto"/>
      </w:divBdr>
    </w:div>
    <w:div w:id="84766603">
      <w:bodyDiv w:val="1"/>
      <w:marLeft w:val="0"/>
      <w:marRight w:val="0"/>
      <w:marTop w:val="0"/>
      <w:marBottom w:val="0"/>
      <w:divBdr>
        <w:top w:val="none" w:sz="0" w:space="0" w:color="auto"/>
        <w:left w:val="none" w:sz="0" w:space="0" w:color="auto"/>
        <w:bottom w:val="none" w:sz="0" w:space="0" w:color="auto"/>
        <w:right w:val="none" w:sz="0" w:space="0" w:color="auto"/>
      </w:divBdr>
    </w:div>
    <w:div w:id="90975303">
      <w:bodyDiv w:val="1"/>
      <w:marLeft w:val="0"/>
      <w:marRight w:val="0"/>
      <w:marTop w:val="0"/>
      <w:marBottom w:val="0"/>
      <w:divBdr>
        <w:top w:val="none" w:sz="0" w:space="0" w:color="auto"/>
        <w:left w:val="none" w:sz="0" w:space="0" w:color="auto"/>
        <w:bottom w:val="none" w:sz="0" w:space="0" w:color="auto"/>
        <w:right w:val="none" w:sz="0" w:space="0" w:color="auto"/>
      </w:divBdr>
    </w:div>
    <w:div w:id="127938800">
      <w:bodyDiv w:val="1"/>
      <w:marLeft w:val="0"/>
      <w:marRight w:val="0"/>
      <w:marTop w:val="0"/>
      <w:marBottom w:val="0"/>
      <w:divBdr>
        <w:top w:val="none" w:sz="0" w:space="0" w:color="auto"/>
        <w:left w:val="none" w:sz="0" w:space="0" w:color="auto"/>
        <w:bottom w:val="none" w:sz="0" w:space="0" w:color="auto"/>
        <w:right w:val="none" w:sz="0" w:space="0" w:color="auto"/>
      </w:divBdr>
    </w:div>
    <w:div w:id="179130823">
      <w:bodyDiv w:val="1"/>
      <w:marLeft w:val="0"/>
      <w:marRight w:val="0"/>
      <w:marTop w:val="0"/>
      <w:marBottom w:val="0"/>
      <w:divBdr>
        <w:top w:val="none" w:sz="0" w:space="0" w:color="auto"/>
        <w:left w:val="none" w:sz="0" w:space="0" w:color="auto"/>
        <w:bottom w:val="none" w:sz="0" w:space="0" w:color="auto"/>
        <w:right w:val="none" w:sz="0" w:space="0" w:color="auto"/>
      </w:divBdr>
    </w:div>
    <w:div w:id="196435247">
      <w:bodyDiv w:val="1"/>
      <w:marLeft w:val="0"/>
      <w:marRight w:val="0"/>
      <w:marTop w:val="0"/>
      <w:marBottom w:val="0"/>
      <w:divBdr>
        <w:top w:val="none" w:sz="0" w:space="0" w:color="auto"/>
        <w:left w:val="none" w:sz="0" w:space="0" w:color="auto"/>
        <w:bottom w:val="none" w:sz="0" w:space="0" w:color="auto"/>
        <w:right w:val="none" w:sz="0" w:space="0" w:color="auto"/>
      </w:divBdr>
    </w:div>
    <w:div w:id="238173479">
      <w:bodyDiv w:val="1"/>
      <w:marLeft w:val="0"/>
      <w:marRight w:val="0"/>
      <w:marTop w:val="0"/>
      <w:marBottom w:val="0"/>
      <w:divBdr>
        <w:top w:val="none" w:sz="0" w:space="0" w:color="auto"/>
        <w:left w:val="none" w:sz="0" w:space="0" w:color="auto"/>
        <w:bottom w:val="none" w:sz="0" w:space="0" w:color="auto"/>
        <w:right w:val="none" w:sz="0" w:space="0" w:color="auto"/>
      </w:divBdr>
    </w:div>
    <w:div w:id="248470810">
      <w:bodyDiv w:val="1"/>
      <w:marLeft w:val="0"/>
      <w:marRight w:val="0"/>
      <w:marTop w:val="0"/>
      <w:marBottom w:val="0"/>
      <w:divBdr>
        <w:top w:val="none" w:sz="0" w:space="0" w:color="auto"/>
        <w:left w:val="none" w:sz="0" w:space="0" w:color="auto"/>
        <w:bottom w:val="none" w:sz="0" w:space="0" w:color="auto"/>
        <w:right w:val="none" w:sz="0" w:space="0" w:color="auto"/>
      </w:divBdr>
    </w:div>
    <w:div w:id="251472704">
      <w:bodyDiv w:val="1"/>
      <w:marLeft w:val="0"/>
      <w:marRight w:val="0"/>
      <w:marTop w:val="0"/>
      <w:marBottom w:val="0"/>
      <w:divBdr>
        <w:top w:val="none" w:sz="0" w:space="0" w:color="auto"/>
        <w:left w:val="none" w:sz="0" w:space="0" w:color="auto"/>
        <w:bottom w:val="none" w:sz="0" w:space="0" w:color="auto"/>
        <w:right w:val="none" w:sz="0" w:space="0" w:color="auto"/>
      </w:divBdr>
    </w:div>
    <w:div w:id="255941001">
      <w:bodyDiv w:val="1"/>
      <w:marLeft w:val="0"/>
      <w:marRight w:val="0"/>
      <w:marTop w:val="0"/>
      <w:marBottom w:val="0"/>
      <w:divBdr>
        <w:top w:val="none" w:sz="0" w:space="0" w:color="auto"/>
        <w:left w:val="none" w:sz="0" w:space="0" w:color="auto"/>
        <w:bottom w:val="none" w:sz="0" w:space="0" w:color="auto"/>
        <w:right w:val="none" w:sz="0" w:space="0" w:color="auto"/>
      </w:divBdr>
    </w:div>
    <w:div w:id="304547055">
      <w:bodyDiv w:val="1"/>
      <w:marLeft w:val="0"/>
      <w:marRight w:val="0"/>
      <w:marTop w:val="0"/>
      <w:marBottom w:val="0"/>
      <w:divBdr>
        <w:top w:val="none" w:sz="0" w:space="0" w:color="auto"/>
        <w:left w:val="none" w:sz="0" w:space="0" w:color="auto"/>
        <w:bottom w:val="none" w:sz="0" w:space="0" w:color="auto"/>
        <w:right w:val="none" w:sz="0" w:space="0" w:color="auto"/>
      </w:divBdr>
    </w:div>
    <w:div w:id="326129841">
      <w:bodyDiv w:val="1"/>
      <w:marLeft w:val="0"/>
      <w:marRight w:val="0"/>
      <w:marTop w:val="0"/>
      <w:marBottom w:val="0"/>
      <w:divBdr>
        <w:top w:val="none" w:sz="0" w:space="0" w:color="auto"/>
        <w:left w:val="none" w:sz="0" w:space="0" w:color="auto"/>
        <w:bottom w:val="none" w:sz="0" w:space="0" w:color="auto"/>
        <w:right w:val="none" w:sz="0" w:space="0" w:color="auto"/>
      </w:divBdr>
    </w:div>
    <w:div w:id="332491830">
      <w:bodyDiv w:val="1"/>
      <w:marLeft w:val="0"/>
      <w:marRight w:val="0"/>
      <w:marTop w:val="0"/>
      <w:marBottom w:val="0"/>
      <w:divBdr>
        <w:top w:val="none" w:sz="0" w:space="0" w:color="auto"/>
        <w:left w:val="none" w:sz="0" w:space="0" w:color="auto"/>
        <w:bottom w:val="none" w:sz="0" w:space="0" w:color="auto"/>
        <w:right w:val="none" w:sz="0" w:space="0" w:color="auto"/>
      </w:divBdr>
    </w:div>
    <w:div w:id="333609419">
      <w:bodyDiv w:val="1"/>
      <w:marLeft w:val="0"/>
      <w:marRight w:val="0"/>
      <w:marTop w:val="0"/>
      <w:marBottom w:val="0"/>
      <w:divBdr>
        <w:top w:val="none" w:sz="0" w:space="0" w:color="auto"/>
        <w:left w:val="none" w:sz="0" w:space="0" w:color="auto"/>
        <w:bottom w:val="none" w:sz="0" w:space="0" w:color="auto"/>
        <w:right w:val="none" w:sz="0" w:space="0" w:color="auto"/>
      </w:divBdr>
    </w:div>
    <w:div w:id="433672385">
      <w:bodyDiv w:val="1"/>
      <w:marLeft w:val="0"/>
      <w:marRight w:val="0"/>
      <w:marTop w:val="0"/>
      <w:marBottom w:val="0"/>
      <w:divBdr>
        <w:top w:val="none" w:sz="0" w:space="0" w:color="auto"/>
        <w:left w:val="none" w:sz="0" w:space="0" w:color="auto"/>
        <w:bottom w:val="none" w:sz="0" w:space="0" w:color="auto"/>
        <w:right w:val="none" w:sz="0" w:space="0" w:color="auto"/>
      </w:divBdr>
    </w:div>
    <w:div w:id="436603275">
      <w:bodyDiv w:val="1"/>
      <w:marLeft w:val="0"/>
      <w:marRight w:val="0"/>
      <w:marTop w:val="0"/>
      <w:marBottom w:val="0"/>
      <w:divBdr>
        <w:top w:val="none" w:sz="0" w:space="0" w:color="auto"/>
        <w:left w:val="none" w:sz="0" w:space="0" w:color="auto"/>
        <w:bottom w:val="none" w:sz="0" w:space="0" w:color="auto"/>
        <w:right w:val="none" w:sz="0" w:space="0" w:color="auto"/>
      </w:divBdr>
    </w:div>
    <w:div w:id="494564936">
      <w:bodyDiv w:val="1"/>
      <w:marLeft w:val="0"/>
      <w:marRight w:val="0"/>
      <w:marTop w:val="0"/>
      <w:marBottom w:val="0"/>
      <w:divBdr>
        <w:top w:val="none" w:sz="0" w:space="0" w:color="auto"/>
        <w:left w:val="none" w:sz="0" w:space="0" w:color="auto"/>
        <w:bottom w:val="none" w:sz="0" w:space="0" w:color="auto"/>
        <w:right w:val="none" w:sz="0" w:space="0" w:color="auto"/>
      </w:divBdr>
    </w:div>
    <w:div w:id="532305764">
      <w:bodyDiv w:val="1"/>
      <w:marLeft w:val="0"/>
      <w:marRight w:val="0"/>
      <w:marTop w:val="0"/>
      <w:marBottom w:val="0"/>
      <w:divBdr>
        <w:top w:val="none" w:sz="0" w:space="0" w:color="auto"/>
        <w:left w:val="none" w:sz="0" w:space="0" w:color="auto"/>
        <w:bottom w:val="none" w:sz="0" w:space="0" w:color="auto"/>
        <w:right w:val="none" w:sz="0" w:space="0" w:color="auto"/>
      </w:divBdr>
    </w:div>
    <w:div w:id="582031071">
      <w:bodyDiv w:val="1"/>
      <w:marLeft w:val="0"/>
      <w:marRight w:val="0"/>
      <w:marTop w:val="0"/>
      <w:marBottom w:val="0"/>
      <w:divBdr>
        <w:top w:val="none" w:sz="0" w:space="0" w:color="auto"/>
        <w:left w:val="none" w:sz="0" w:space="0" w:color="auto"/>
        <w:bottom w:val="none" w:sz="0" w:space="0" w:color="auto"/>
        <w:right w:val="none" w:sz="0" w:space="0" w:color="auto"/>
      </w:divBdr>
    </w:div>
    <w:div w:id="613371018">
      <w:bodyDiv w:val="1"/>
      <w:marLeft w:val="0"/>
      <w:marRight w:val="0"/>
      <w:marTop w:val="0"/>
      <w:marBottom w:val="0"/>
      <w:divBdr>
        <w:top w:val="none" w:sz="0" w:space="0" w:color="auto"/>
        <w:left w:val="none" w:sz="0" w:space="0" w:color="auto"/>
        <w:bottom w:val="none" w:sz="0" w:space="0" w:color="auto"/>
        <w:right w:val="none" w:sz="0" w:space="0" w:color="auto"/>
      </w:divBdr>
    </w:div>
    <w:div w:id="689910600">
      <w:bodyDiv w:val="1"/>
      <w:marLeft w:val="0"/>
      <w:marRight w:val="0"/>
      <w:marTop w:val="0"/>
      <w:marBottom w:val="0"/>
      <w:divBdr>
        <w:top w:val="none" w:sz="0" w:space="0" w:color="auto"/>
        <w:left w:val="none" w:sz="0" w:space="0" w:color="auto"/>
        <w:bottom w:val="none" w:sz="0" w:space="0" w:color="auto"/>
        <w:right w:val="none" w:sz="0" w:space="0" w:color="auto"/>
      </w:divBdr>
    </w:div>
    <w:div w:id="692193619">
      <w:bodyDiv w:val="1"/>
      <w:marLeft w:val="0"/>
      <w:marRight w:val="0"/>
      <w:marTop w:val="0"/>
      <w:marBottom w:val="0"/>
      <w:divBdr>
        <w:top w:val="none" w:sz="0" w:space="0" w:color="auto"/>
        <w:left w:val="none" w:sz="0" w:space="0" w:color="auto"/>
        <w:bottom w:val="none" w:sz="0" w:space="0" w:color="auto"/>
        <w:right w:val="none" w:sz="0" w:space="0" w:color="auto"/>
      </w:divBdr>
    </w:div>
    <w:div w:id="695468639">
      <w:bodyDiv w:val="1"/>
      <w:marLeft w:val="0"/>
      <w:marRight w:val="0"/>
      <w:marTop w:val="0"/>
      <w:marBottom w:val="0"/>
      <w:divBdr>
        <w:top w:val="none" w:sz="0" w:space="0" w:color="auto"/>
        <w:left w:val="none" w:sz="0" w:space="0" w:color="auto"/>
        <w:bottom w:val="none" w:sz="0" w:space="0" w:color="auto"/>
        <w:right w:val="none" w:sz="0" w:space="0" w:color="auto"/>
      </w:divBdr>
    </w:div>
    <w:div w:id="736049469">
      <w:bodyDiv w:val="1"/>
      <w:marLeft w:val="0"/>
      <w:marRight w:val="0"/>
      <w:marTop w:val="0"/>
      <w:marBottom w:val="0"/>
      <w:divBdr>
        <w:top w:val="none" w:sz="0" w:space="0" w:color="auto"/>
        <w:left w:val="none" w:sz="0" w:space="0" w:color="auto"/>
        <w:bottom w:val="none" w:sz="0" w:space="0" w:color="auto"/>
        <w:right w:val="none" w:sz="0" w:space="0" w:color="auto"/>
      </w:divBdr>
    </w:div>
    <w:div w:id="761687596">
      <w:bodyDiv w:val="1"/>
      <w:marLeft w:val="0"/>
      <w:marRight w:val="0"/>
      <w:marTop w:val="0"/>
      <w:marBottom w:val="0"/>
      <w:divBdr>
        <w:top w:val="none" w:sz="0" w:space="0" w:color="auto"/>
        <w:left w:val="none" w:sz="0" w:space="0" w:color="auto"/>
        <w:bottom w:val="none" w:sz="0" w:space="0" w:color="auto"/>
        <w:right w:val="none" w:sz="0" w:space="0" w:color="auto"/>
      </w:divBdr>
    </w:div>
    <w:div w:id="764572208">
      <w:bodyDiv w:val="1"/>
      <w:marLeft w:val="0"/>
      <w:marRight w:val="0"/>
      <w:marTop w:val="0"/>
      <w:marBottom w:val="0"/>
      <w:divBdr>
        <w:top w:val="none" w:sz="0" w:space="0" w:color="auto"/>
        <w:left w:val="none" w:sz="0" w:space="0" w:color="auto"/>
        <w:bottom w:val="none" w:sz="0" w:space="0" w:color="auto"/>
        <w:right w:val="none" w:sz="0" w:space="0" w:color="auto"/>
      </w:divBdr>
    </w:div>
    <w:div w:id="786504113">
      <w:bodyDiv w:val="1"/>
      <w:marLeft w:val="0"/>
      <w:marRight w:val="0"/>
      <w:marTop w:val="0"/>
      <w:marBottom w:val="0"/>
      <w:divBdr>
        <w:top w:val="none" w:sz="0" w:space="0" w:color="auto"/>
        <w:left w:val="none" w:sz="0" w:space="0" w:color="auto"/>
        <w:bottom w:val="none" w:sz="0" w:space="0" w:color="auto"/>
        <w:right w:val="none" w:sz="0" w:space="0" w:color="auto"/>
      </w:divBdr>
    </w:div>
    <w:div w:id="849877168">
      <w:bodyDiv w:val="1"/>
      <w:marLeft w:val="0"/>
      <w:marRight w:val="0"/>
      <w:marTop w:val="0"/>
      <w:marBottom w:val="0"/>
      <w:divBdr>
        <w:top w:val="none" w:sz="0" w:space="0" w:color="auto"/>
        <w:left w:val="none" w:sz="0" w:space="0" w:color="auto"/>
        <w:bottom w:val="none" w:sz="0" w:space="0" w:color="auto"/>
        <w:right w:val="none" w:sz="0" w:space="0" w:color="auto"/>
      </w:divBdr>
    </w:div>
    <w:div w:id="867989473">
      <w:bodyDiv w:val="1"/>
      <w:marLeft w:val="0"/>
      <w:marRight w:val="0"/>
      <w:marTop w:val="0"/>
      <w:marBottom w:val="0"/>
      <w:divBdr>
        <w:top w:val="none" w:sz="0" w:space="0" w:color="auto"/>
        <w:left w:val="none" w:sz="0" w:space="0" w:color="auto"/>
        <w:bottom w:val="none" w:sz="0" w:space="0" w:color="auto"/>
        <w:right w:val="none" w:sz="0" w:space="0" w:color="auto"/>
      </w:divBdr>
    </w:div>
    <w:div w:id="874543736">
      <w:bodyDiv w:val="1"/>
      <w:marLeft w:val="0"/>
      <w:marRight w:val="0"/>
      <w:marTop w:val="0"/>
      <w:marBottom w:val="0"/>
      <w:divBdr>
        <w:top w:val="none" w:sz="0" w:space="0" w:color="auto"/>
        <w:left w:val="none" w:sz="0" w:space="0" w:color="auto"/>
        <w:bottom w:val="none" w:sz="0" w:space="0" w:color="auto"/>
        <w:right w:val="none" w:sz="0" w:space="0" w:color="auto"/>
      </w:divBdr>
    </w:div>
    <w:div w:id="912737593">
      <w:bodyDiv w:val="1"/>
      <w:marLeft w:val="0"/>
      <w:marRight w:val="0"/>
      <w:marTop w:val="0"/>
      <w:marBottom w:val="0"/>
      <w:divBdr>
        <w:top w:val="none" w:sz="0" w:space="0" w:color="auto"/>
        <w:left w:val="none" w:sz="0" w:space="0" w:color="auto"/>
        <w:bottom w:val="none" w:sz="0" w:space="0" w:color="auto"/>
        <w:right w:val="none" w:sz="0" w:space="0" w:color="auto"/>
      </w:divBdr>
    </w:div>
    <w:div w:id="977875697">
      <w:bodyDiv w:val="1"/>
      <w:marLeft w:val="0"/>
      <w:marRight w:val="0"/>
      <w:marTop w:val="0"/>
      <w:marBottom w:val="0"/>
      <w:divBdr>
        <w:top w:val="none" w:sz="0" w:space="0" w:color="auto"/>
        <w:left w:val="none" w:sz="0" w:space="0" w:color="auto"/>
        <w:bottom w:val="none" w:sz="0" w:space="0" w:color="auto"/>
        <w:right w:val="none" w:sz="0" w:space="0" w:color="auto"/>
      </w:divBdr>
    </w:div>
    <w:div w:id="982077963">
      <w:bodyDiv w:val="1"/>
      <w:marLeft w:val="0"/>
      <w:marRight w:val="0"/>
      <w:marTop w:val="0"/>
      <w:marBottom w:val="0"/>
      <w:divBdr>
        <w:top w:val="none" w:sz="0" w:space="0" w:color="auto"/>
        <w:left w:val="none" w:sz="0" w:space="0" w:color="auto"/>
        <w:bottom w:val="none" w:sz="0" w:space="0" w:color="auto"/>
        <w:right w:val="none" w:sz="0" w:space="0" w:color="auto"/>
      </w:divBdr>
    </w:div>
    <w:div w:id="1024087777">
      <w:bodyDiv w:val="1"/>
      <w:marLeft w:val="0"/>
      <w:marRight w:val="0"/>
      <w:marTop w:val="0"/>
      <w:marBottom w:val="0"/>
      <w:divBdr>
        <w:top w:val="none" w:sz="0" w:space="0" w:color="auto"/>
        <w:left w:val="none" w:sz="0" w:space="0" w:color="auto"/>
        <w:bottom w:val="none" w:sz="0" w:space="0" w:color="auto"/>
        <w:right w:val="none" w:sz="0" w:space="0" w:color="auto"/>
      </w:divBdr>
    </w:div>
    <w:div w:id="1061371862">
      <w:bodyDiv w:val="1"/>
      <w:marLeft w:val="0"/>
      <w:marRight w:val="0"/>
      <w:marTop w:val="0"/>
      <w:marBottom w:val="0"/>
      <w:divBdr>
        <w:top w:val="none" w:sz="0" w:space="0" w:color="auto"/>
        <w:left w:val="none" w:sz="0" w:space="0" w:color="auto"/>
        <w:bottom w:val="none" w:sz="0" w:space="0" w:color="auto"/>
        <w:right w:val="none" w:sz="0" w:space="0" w:color="auto"/>
      </w:divBdr>
    </w:div>
    <w:div w:id="1075126367">
      <w:bodyDiv w:val="1"/>
      <w:marLeft w:val="0"/>
      <w:marRight w:val="0"/>
      <w:marTop w:val="0"/>
      <w:marBottom w:val="0"/>
      <w:divBdr>
        <w:top w:val="none" w:sz="0" w:space="0" w:color="auto"/>
        <w:left w:val="none" w:sz="0" w:space="0" w:color="auto"/>
        <w:bottom w:val="none" w:sz="0" w:space="0" w:color="auto"/>
        <w:right w:val="none" w:sz="0" w:space="0" w:color="auto"/>
      </w:divBdr>
    </w:div>
    <w:div w:id="1098676203">
      <w:bodyDiv w:val="1"/>
      <w:marLeft w:val="0"/>
      <w:marRight w:val="0"/>
      <w:marTop w:val="0"/>
      <w:marBottom w:val="0"/>
      <w:divBdr>
        <w:top w:val="none" w:sz="0" w:space="0" w:color="auto"/>
        <w:left w:val="none" w:sz="0" w:space="0" w:color="auto"/>
        <w:bottom w:val="none" w:sz="0" w:space="0" w:color="auto"/>
        <w:right w:val="none" w:sz="0" w:space="0" w:color="auto"/>
      </w:divBdr>
    </w:div>
    <w:div w:id="1140226504">
      <w:bodyDiv w:val="1"/>
      <w:marLeft w:val="0"/>
      <w:marRight w:val="0"/>
      <w:marTop w:val="0"/>
      <w:marBottom w:val="0"/>
      <w:divBdr>
        <w:top w:val="none" w:sz="0" w:space="0" w:color="auto"/>
        <w:left w:val="none" w:sz="0" w:space="0" w:color="auto"/>
        <w:bottom w:val="none" w:sz="0" w:space="0" w:color="auto"/>
        <w:right w:val="none" w:sz="0" w:space="0" w:color="auto"/>
      </w:divBdr>
    </w:div>
    <w:div w:id="1152791899">
      <w:bodyDiv w:val="1"/>
      <w:marLeft w:val="0"/>
      <w:marRight w:val="0"/>
      <w:marTop w:val="0"/>
      <w:marBottom w:val="0"/>
      <w:divBdr>
        <w:top w:val="none" w:sz="0" w:space="0" w:color="auto"/>
        <w:left w:val="none" w:sz="0" w:space="0" w:color="auto"/>
        <w:bottom w:val="none" w:sz="0" w:space="0" w:color="auto"/>
        <w:right w:val="none" w:sz="0" w:space="0" w:color="auto"/>
      </w:divBdr>
    </w:div>
    <w:div w:id="1221094056">
      <w:bodyDiv w:val="1"/>
      <w:marLeft w:val="0"/>
      <w:marRight w:val="0"/>
      <w:marTop w:val="0"/>
      <w:marBottom w:val="0"/>
      <w:divBdr>
        <w:top w:val="none" w:sz="0" w:space="0" w:color="auto"/>
        <w:left w:val="none" w:sz="0" w:space="0" w:color="auto"/>
        <w:bottom w:val="none" w:sz="0" w:space="0" w:color="auto"/>
        <w:right w:val="none" w:sz="0" w:space="0" w:color="auto"/>
      </w:divBdr>
    </w:div>
    <w:div w:id="1258126827">
      <w:bodyDiv w:val="1"/>
      <w:marLeft w:val="0"/>
      <w:marRight w:val="0"/>
      <w:marTop w:val="0"/>
      <w:marBottom w:val="0"/>
      <w:divBdr>
        <w:top w:val="none" w:sz="0" w:space="0" w:color="auto"/>
        <w:left w:val="none" w:sz="0" w:space="0" w:color="auto"/>
        <w:bottom w:val="none" w:sz="0" w:space="0" w:color="auto"/>
        <w:right w:val="none" w:sz="0" w:space="0" w:color="auto"/>
      </w:divBdr>
    </w:div>
    <w:div w:id="1295023625">
      <w:bodyDiv w:val="1"/>
      <w:marLeft w:val="0"/>
      <w:marRight w:val="0"/>
      <w:marTop w:val="0"/>
      <w:marBottom w:val="0"/>
      <w:divBdr>
        <w:top w:val="none" w:sz="0" w:space="0" w:color="auto"/>
        <w:left w:val="none" w:sz="0" w:space="0" w:color="auto"/>
        <w:bottom w:val="none" w:sz="0" w:space="0" w:color="auto"/>
        <w:right w:val="none" w:sz="0" w:space="0" w:color="auto"/>
      </w:divBdr>
    </w:div>
    <w:div w:id="1316448736">
      <w:bodyDiv w:val="1"/>
      <w:marLeft w:val="0"/>
      <w:marRight w:val="0"/>
      <w:marTop w:val="0"/>
      <w:marBottom w:val="0"/>
      <w:divBdr>
        <w:top w:val="none" w:sz="0" w:space="0" w:color="auto"/>
        <w:left w:val="none" w:sz="0" w:space="0" w:color="auto"/>
        <w:bottom w:val="none" w:sz="0" w:space="0" w:color="auto"/>
        <w:right w:val="none" w:sz="0" w:space="0" w:color="auto"/>
      </w:divBdr>
    </w:div>
    <w:div w:id="1342973393">
      <w:bodyDiv w:val="1"/>
      <w:marLeft w:val="0"/>
      <w:marRight w:val="0"/>
      <w:marTop w:val="0"/>
      <w:marBottom w:val="0"/>
      <w:divBdr>
        <w:top w:val="none" w:sz="0" w:space="0" w:color="auto"/>
        <w:left w:val="none" w:sz="0" w:space="0" w:color="auto"/>
        <w:bottom w:val="none" w:sz="0" w:space="0" w:color="auto"/>
        <w:right w:val="none" w:sz="0" w:space="0" w:color="auto"/>
      </w:divBdr>
    </w:div>
    <w:div w:id="1350062761">
      <w:bodyDiv w:val="1"/>
      <w:marLeft w:val="0"/>
      <w:marRight w:val="0"/>
      <w:marTop w:val="0"/>
      <w:marBottom w:val="0"/>
      <w:divBdr>
        <w:top w:val="none" w:sz="0" w:space="0" w:color="auto"/>
        <w:left w:val="none" w:sz="0" w:space="0" w:color="auto"/>
        <w:bottom w:val="none" w:sz="0" w:space="0" w:color="auto"/>
        <w:right w:val="none" w:sz="0" w:space="0" w:color="auto"/>
      </w:divBdr>
    </w:div>
    <w:div w:id="1567107598">
      <w:bodyDiv w:val="1"/>
      <w:marLeft w:val="0"/>
      <w:marRight w:val="0"/>
      <w:marTop w:val="0"/>
      <w:marBottom w:val="0"/>
      <w:divBdr>
        <w:top w:val="none" w:sz="0" w:space="0" w:color="auto"/>
        <w:left w:val="none" w:sz="0" w:space="0" w:color="auto"/>
        <w:bottom w:val="none" w:sz="0" w:space="0" w:color="auto"/>
        <w:right w:val="none" w:sz="0" w:space="0" w:color="auto"/>
      </w:divBdr>
    </w:div>
    <w:div w:id="1606039039">
      <w:bodyDiv w:val="1"/>
      <w:marLeft w:val="0"/>
      <w:marRight w:val="0"/>
      <w:marTop w:val="0"/>
      <w:marBottom w:val="0"/>
      <w:divBdr>
        <w:top w:val="none" w:sz="0" w:space="0" w:color="auto"/>
        <w:left w:val="none" w:sz="0" w:space="0" w:color="auto"/>
        <w:bottom w:val="none" w:sz="0" w:space="0" w:color="auto"/>
        <w:right w:val="none" w:sz="0" w:space="0" w:color="auto"/>
      </w:divBdr>
    </w:div>
    <w:div w:id="1654601347">
      <w:bodyDiv w:val="1"/>
      <w:marLeft w:val="0"/>
      <w:marRight w:val="0"/>
      <w:marTop w:val="0"/>
      <w:marBottom w:val="0"/>
      <w:divBdr>
        <w:top w:val="none" w:sz="0" w:space="0" w:color="auto"/>
        <w:left w:val="none" w:sz="0" w:space="0" w:color="auto"/>
        <w:bottom w:val="none" w:sz="0" w:space="0" w:color="auto"/>
        <w:right w:val="none" w:sz="0" w:space="0" w:color="auto"/>
      </w:divBdr>
    </w:div>
    <w:div w:id="1700428246">
      <w:bodyDiv w:val="1"/>
      <w:marLeft w:val="0"/>
      <w:marRight w:val="0"/>
      <w:marTop w:val="0"/>
      <w:marBottom w:val="0"/>
      <w:divBdr>
        <w:top w:val="none" w:sz="0" w:space="0" w:color="auto"/>
        <w:left w:val="none" w:sz="0" w:space="0" w:color="auto"/>
        <w:bottom w:val="none" w:sz="0" w:space="0" w:color="auto"/>
        <w:right w:val="none" w:sz="0" w:space="0" w:color="auto"/>
      </w:divBdr>
    </w:div>
    <w:div w:id="1745834351">
      <w:bodyDiv w:val="1"/>
      <w:marLeft w:val="0"/>
      <w:marRight w:val="0"/>
      <w:marTop w:val="0"/>
      <w:marBottom w:val="0"/>
      <w:divBdr>
        <w:top w:val="none" w:sz="0" w:space="0" w:color="auto"/>
        <w:left w:val="none" w:sz="0" w:space="0" w:color="auto"/>
        <w:bottom w:val="none" w:sz="0" w:space="0" w:color="auto"/>
        <w:right w:val="none" w:sz="0" w:space="0" w:color="auto"/>
      </w:divBdr>
    </w:div>
    <w:div w:id="1750929270">
      <w:bodyDiv w:val="1"/>
      <w:marLeft w:val="0"/>
      <w:marRight w:val="0"/>
      <w:marTop w:val="0"/>
      <w:marBottom w:val="0"/>
      <w:divBdr>
        <w:top w:val="none" w:sz="0" w:space="0" w:color="auto"/>
        <w:left w:val="none" w:sz="0" w:space="0" w:color="auto"/>
        <w:bottom w:val="none" w:sz="0" w:space="0" w:color="auto"/>
        <w:right w:val="none" w:sz="0" w:space="0" w:color="auto"/>
      </w:divBdr>
    </w:div>
    <w:div w:id="1772819334">
      <w:bodyDiv w:val="1"/>
      <w:marLeft w:val="0"/>
      <w:marRight w:val="0"/>
      <w:marTop w:val="0"/>
      <w:marBottom w:val="0"/>
      <w:divBdr>
        <w:top w:val="none" w:sz="0" w:space="0" w:color="auto"/>
        <w:left w:val="none" w:sz="0" w:space="0" w:color="auto"/>
        <w:bottom w:val="none" w:sz="0" w:space="0" w:color="auto"/>
        <w:right w:val="none" w:sz="0" w:space="0" w:color="auto"/>
      </w:divBdr>
    </w:div>
    <w:div w:id="1784110531">
      <w:bodyDiv w:val="1"/>
      <w:marLeft w:val="0"/>
      <w:marRight w:val="0"/>
      <w:marTop w:val="0"/>
      <w:marBottom w:val="0"/>
      <w:divBdr>
        <w:top w:val="none" w:sz="0" w:space="0" w:color="auto"/>
        <w:left w:val="none" w:sz="0" w:space="0" w:color="auto"/>
        <w:bottom w:val="none" w:sz="0" w:space="0" w:color="auto"/>
        <w:right w:val="none" w:sz="0" w:space="0" w:color="auto"/>
      </w:divBdr>
    </w:div>
    <w:div w:id="1846746480">
      <w:bodyDiv w:val="1"/>
      <w:marLeft w:val="0"/>
      <w:marRight w:val="0"/>
      <w:marTop w:val="0"/>
      <w:marBottom w:val="0"/>
      <w:divBdr>
        <w:top w:val="none" w:sz="0" w:space="0" w:color="auto"/>
        <w:left w:val="none" w:sz="0" w:space="0" w:color="auto"/>
        <w:bottom w:val="none" w:sz="0" w:space="0" w:color="auto"/>
        <w:right w:val="none" w:sz="0" w:space="0" w:color="auto"/>
      </w:divBdr>
    </w:div>
    <w:div w:id="1883442980">
      <w:bodyDiv w:val="1"/>
      <w:marLeft w:val="0"/>
      <w:marRight w:val="0"/>
      <w:marTop w:val="0"/>
      <w:marBottom w:val="0"/>
      <w:divBdr>
        <w:top w:val="none" w:sz="0" w:space="0" w:color="auto"/>
        <w:left w:val="none" w:sz="0" w:space="0" w:color="auto"/>
        <w:bottom w:val="none" w:sz="0" w:space="0" w:color="auto"/>
        <w:right w:val="none" w:sz="0" w:space="0" w:color="auto"/>
      </w:divBdr>
    </w:div>
    <w:div w:id="1956984535">
      <w:bodyDiv w:val="1"/>
      <w:marLeft w:val="0"/>
      <w:marRight w:val="0"/>
      <w:marTop w:val="0"/>
      <w:marBottom w:val="0"/>
      <w:divBdr>
        <w:top w:val="none" w:sz="0" w:space="0" w:color="auto"/>
        <w:left w:val="none" w:sz="0" w:space="0" w:color="auto"/>
        <w:bottom w:val="none" w:sz="0" w:space="0" w:color="auto"/>
        <w:right w:val="none" w:sz="0" w:space="0" w:color="auto"/>
      </w:divBdr>
    </w:div>
    <w:div w:id="1966426697">
      <w:bodyDiv w:val="1"/>
      <w:marLeft w:val="0"/>
      <w:marRight w:val="0"/>
      <w:marTop w:val="0"/>
      <w:marBottom w:val="0"/>
      <w:divBdr>
        <w:top w:val="none" w:sz="0" w:space="0" w:color="auto"/>
        <w:left w:val="none" w:sz="0" w:space="0" w:color="auto"/>
        <w:bottom w:val="none" w:sz="0" w:space="0" w:color="auto"/>
        <w:right w:val="none" w:sz="0" w:space="0" w:color="auto"/>
      </w:divBdr>
    </w:div>
    <w:div w:id="1982270561">
      <w:bodyDiv w:val="1"/>
      <w:marLeft w:val="0"/>
      <w:marRight w:val="0"/>
      <w:marTop w:val="0"/>
      <w:marBottom w:val="0"/>
      <w:divBdr>
        <w:top w:val="none" w:sz="0" w:space="0" w:color="auto"/>
        <w:left w:val="none" w:sz="0" w:space="0" w:color="auto"/>
        <w:bottom w:val="none" w:sz="0" w:space="0" w:color="auto"/>
        <w:right w:val="none" w:sz="0" w:space="0" w:color="auto"/>
      </w:divBdr>
    </w:div>
    <w:div w:id="2040663126">
      <w:bodyDiv w:val="1"/>
      <w:marLeft w:val="0"/>
      <w:marRight w:val="0"/>
      <w:marTop w:val="0"/>
      <w:marBottom w:val="0"/>
      <w:divBdr>
        <w:top w:val="none" w:sz="0" w:space="0" w:color="auto"/>
        <w:left w:val="none" w:sz="0" w:space="0" w:color="auto"/>
        <w:bottom w:val="none" w:sz="0" w:space="0" w:color="auto"/>
        <w:right w:val="none" w:sz="0" w:space="0" w:color="auto"/>
      </w:divBdr>
    </w:div>
    <w:div w:id="2078938939">
      <w:bodyDiv w:val="1"/>
      <w:marLeft w:val="0"/>
      <w:marRight w:val="0"/>
      <w:marTop w:val="0"/>
      <w:marBottom w:val="0"/>
      <w:divBdr>
        <w:top w:val="none" w:sz="0" w:space="0" w:color="auto"/>
        <w:left w:val="none" w:sz="0" w:space="0" w:color="auto"/>
        <w:bottom w:val="none" w:sz="0" w:space="0" w:color="auto"/>
        <w:right w:val="none" w:sz="0" w:space="0" w:color="auto"/>
      </w:divBdr>
    </w:div>
    <w:div w:id="2083403291">
      <w:bodyDiv w:val="1"/>
      <w:marLeft w:val="0"/>
      <w:marRight w:val="0"/>
      <w:marTop w:val="0"/>
      <w:marBottom w:val="0"/>
      <w:divBdr>
        <w:top w:val="none" w:sz="0" w:space="0" w:color="auto"/>
        <w:left w:val="none" w:sz="0" w:space="0" w:color="auto"/>
        <w:bottom w:val="none" w:sz="0" w:space="0" w:color="auto"/>
        <w:right w:val="none" w:sz="0" w:space="0" w:color="auto"/>
      </w:divBdr>
    </w:div>
    <w:div w:id="2086411274">
      <w:bodyDiv w:val="1"/>
      <w:marLeft w:val="0"/>
      <w:marRight w:val="0"/>
      <w:marTop w:val="0"/>
      <w:marBottom w:val="0"/>
      <w:divBdr>
        <w:top w:val="none" w:sz="0" w:space="0" w:color="auto"/>
        <w:left w:val="none" w:sz="0" w:space="0" w:color="auto"/>
        <w:bottom w:val="none" w:sz="0" w:space="0" w:color="auto"/>
        <w:right w:val="none" w:sz="0" w:space="0" w:color="auto"/>
      </w:divBdr>
    </w:div>
    <w:div w:id="2094662681">
      <w:bodyDiv w:val="1"/>
      <w:marLeft w:val="0"/>
      <w:marRight w:val="0"/>
      <w:marTop w:val="0"/>
      <w:marBottom w:val="0"/>
      <w:divBdr>
        <w:top w:val="none" w:sz="0" w:space="0" w:color="auto"/>
        <w:left w:val="none" w:sz="0" w:space="0" w:color="auto"/>
        <w:bottom w:val="none" w:sz="0" w:space="0" w:color="auto"/>
        <w:right w:val="none" w:sz="0" w:space="0" w:color="auto"/>
      </w:divBdr>
    </w:div>
    <w:div w:id="2094862106">
      <w:bodyDiv w:val="1"/>
      <w:marLeft w:val="0"/>
      <w:marRight w:val="0"/>
      <w:marTop w:val="0"/>
      <w:marBottom w:val="0"/>
      <w:divBdr>
        <w:top w:val="none" w:sz="0" w:space="0" w:color="auto"/>
        <w:left w:val="none" w:sz="0" w:space="0" w:color="auto"/>
        <w:bottom w:val="none" w:sz="0" w:space="0" w:color="auto"/>
        <w:right w:val="none" w:sz="0" w:space="0" w:color="auto"/>
      </w:divBdr>
    </w:div>
    <w:div w:id="2114933027">
      <w:bodyDiv w:val="1"/>
      <w:marLeft w:val="0"/>
      <w:marRight w:val="0"/>
      <w:marTop w:val="0"/>
      <w:marBottom w:val="0"/>
      <w:divBdr>
        <w:top w:val="none" w:sz="0" w:space="0" w:color="auto"/>
        <w:left w:val="none" w:sz="0" w:space="0" w:color="auto"/>
        <w:bottom w:val="none" w:sz="0" w:space="0" w:color="auto"/>
        <w:right w:val="none" w:sz="0" w:space="0" w:color="auto"/>
      </w:divBdr>
    </w:div>
    <w:div w:id="2119055815">
      <w:bodyDiv w:val="1"/>
      <w:marLeft w:val="0"/>
      <w:marRight w:val="0"/>
      <w:marTop w:val="0"/>
      <w:marBottom w:val="0"/>
      <w:divBdr>
        <w:top w:val="none" w:sz="0" w:space="0" w:color="auto"/>
        <w:left w:val="none" w:sz="0" w:space="0" w:color="auto"/>
        <w:bottom w:val="none" w:sz="0" w:space="0" w:color="auto"/>
        <w:right w:val="none" w:sz="0" w:space="0" w:color="auto"/>
      </w:divBdr>
    </w:div>
    <w:div w:id="2120369842">
      <w:bodyDiv w:val="1"/>
      <w:marLeft w:val="0"/>
      <w:marRight w:val="0"/>
      <w:marTop w:val="0"/>
      <w:marBottom w:val="0"/>
      <w:divBdr>
        <w:top w:val="none" w:sz="0" w:space="0" w:color="auto"/>
        <w:left w:val="none" w:sz="0" w:space="0" w:color="auto"/>
        <w:bottom w:val="none" w:sz="0" w:space="0" w:color="auto"/>
        <w:right w:val="none" w:sz="0" w:space="0" w:color="auto"/>
      </w:divBdr>
    </w:div>
    <w:div w:id="21306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yanai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yanair.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2024-01-26T17:53:50+00:00</DateReceived>
    <TaxCatchAll xmlns="801a3cf6-255d-4ff5-98fe-b4415afa84b5" xsi:nil="true"/>
  </documentManagement>
</p:properties>
</file>

<file path=customXml/itemProps1.xml><?xml version="1.0" encoding="utf-8"?>
<ds:datastoreItem xmlns:ds="http://schemas.openxmlformats.org/officeDocument/2006/customXml" ds:itemID="{10336854-327B-4192-9873-A51F440048A9}"/>
</file>

<file path=customXml/itemProps2.xml><?xml version="1.0" encoding="utf-8"?>
<ds:datastoreItem xmlns:ds="http://schemas.openxmlformats.org/officeDocument/2006/customXml" ds:itemID="{3EEF2DD3-6C8F-48E9-AAAC-5956443F43F8}">
  <ds:schemaRefs>
    <ds:schemaRef ds:uri="http://schemas.openxmlformats.org/officeDocument/2006/bibliography"/>
  </ds:schemaRefs>
</ds:datastoreItem>
</file>

<file path=customXml/itemProps3.xml><?xml version="1.0" encoding="utf-8"?>
<ds:datastoreItem xmlns:ds="http://schemas.openxmlformats.org/officeDocument/2006/customXml" ds:itemID="{19ACB7EF-CFD7-493D-9B4A-D9452638CE7C}">
  <ds:schemaRefs>
    <ds:schemaRef ds:uri="http://schemas.microsoft.com/sharepoint/v3/contenttype/forms"/>
  </ds:schemaRefs>
</ds:datastoreItem>
</file>

<file path=customXml/itemProps4.xml><?xml version="1.0" encoding="utf-8"?>
<ds:datastoreItem xmlns:ds="http://schemas.openxmlformats.org/officeDocument/2006/customXml" ds:itemID="{31371217-EAE6-4A9D-8D64-041C846E8D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9316</Words>
  <Characters>53104</Characters>
  <Application>Microsoft Office Word</Application>
  <DocSecurity>6</DocSecurity>
  <Lines>442</Lines>
  <Paragraphs>124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Basis of preparation and material accounting policies</vt:lpstr>
      <vt:lpstr/>
      <vt:lpstr>Judgements and estimates</vt:lpstr>
      <vt:lpstr/>
      <vt:lpstr>Seasonality of operations</vt:lpstr>
      <vt:lpstr>Income tax expense </vt:lpstr>
      <vt:lpstr>Contingencies</vt:lpstr>
      <vt:lpstr>Capital commitments</vt:lpstr>
      <vt:lpstr/>
      <vt:lpstr>At December 31, 2023 the Group had an operating fleet of 547 (2022: 495) Boeing </vt:lpstr>
      <vt:lpstr/>
      <vt:lpstr>Analysis of operating revenues and segmental analysis</vt:lpstr>
      <vt:lpstr/>
      <vt:lpstr>        (i) Adjusted profit after tax in the nine months to December 31, 2022, excludes </vt:lpstr>
    </vt:vector>
  </TitlesOfParts>
  <Company>Ryanair Limited</Company>
  <LinksUpToDate>false</LinksUpToDate>
  <CharactersWithSpaces>62296</CharactersWithSpaces>
  <SharedDoc>false</SharedDoc>
  <HLinks>
    <vt:vector size="12" baseType="variant">
      <vt:variant>
        <vt:i4>2424943</vt:i4>
      </vt:variant>
      <vt:variant>
        <vt:i4>3</vt:i4>
      </vt:variant>
      <vt:variant>
        <vt:i4>0</vt:i4>
      </vt:variant>
      <vt:variant>
        <vt:i4>5</vt:i4>
      </vt:variant>
      <vt:variant>
        <vt:lpwstr>http://www.ryanair.com/</vt:lpwstr>
      </vt:variant>
      <vt:variant>
        <vt:lpwstr/>
      </vt:variant>
      <vt:variant>
        <vt:i4>2424943</vt:i4>
      </vt:variant>
      <vt:variant>
        <vt:i4>0</vt:i4>
      </vt:variant>
      <vt:variant>
        <vt:i4>0</vt:i4>
      </vt:variant>
      <vt:variant>
        <vt:i4>5</vt:i4>
      </vt:variant>
      <vt:variant>
        <vt:lpwstr>http://www.ryanair.com/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obriens</dc:creator>
  <cp:keywords/>
  <cp:lastModifiedBy>Cian Doherty</cp:lastModifiedBy>
  <cp:revision>2</cp:revision>
  <cp:lastPrinted>2024-01-19T11:13:00Z</cp:lastPrinted>
  <dcterms:created xsi:type="dcterms:W3CDTF">2024-01-26T17:46:00Z</dcterms:created>
  <dcterms:modified xsi:type="dcterms:W3CDTF">2024-01-26T17:46:00Z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