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20FA" w14:textId="03AE2179" w:rsidR="00D92D8E" w:rsidRPr="003775E5" w:rsidRDefault="00D92D8E" w:rsidP="00D92D8E">
      <w:pPr>
        <w:pStyle w:val="NoSpacing"/>
        <w:ind w:right="-284"/>
        <w:jc w:val="center"/>
        <w:rPr>
          <w:rFonts w:ascii="Times New Roman" w:hAnsi="Times New Roman"/>
          <w:b/>
          <w:sz w:val="32"/>
          <w:szCs w:val="32"/>
        </w:rPr>
      </w:pPr>
      <w:bookmarkStart w:id="0" w:name="_Hlk171516833"/>
      <w:r w:rsidRPr="003775E5">
        <w:rPr>
          <w:rFonts w:ascii="Times New Roman" w:hAnsi="Times New Roman"/>
          <w:b/>
          <w:sz w:val="32"/>
          <w:szCs w:val="32"/>
        </w:rPr>
        <w:t>RYANAIR REPORTS Q2 PROFIT UP 20% TO €1.72BN</w:t>
      </w:r>
    </w:p>
    <w:p w14:paraId="06D0CD4C" w14:textId="4A46CAA4" w:rsidR="00D92D8E" w:rsidRDefault="00D92D8E" w:rsidP="00D92D8E">
      <w:pPr>
        <w:pStyle w:val="NoSpacing"/>
        <w:ind w:left="-284" w:right="-284"/>
        <w:jc w:val="center"/>
        <w:rPr>
          <w:rFonts w:ascii="Times New Roman" w:hAnsi="Times New Roman"/>
          <w:b/>
          <w:sz w:val="32"/>
          <w:szCs w:val="32"/>
        </w:rPr>
      </w:pPr>
      <w:r w:rsidRPr="003775E5">
        <w:rPr>
          <w:rFonts w:ascii="Times New Roman" w:hAnsi="Times New Roman"/>
          <w:b/>
          <w:sz w:val="32"/>
          <w:szCs w:val="32"/>
        </w:rPr>
        <w:t>H1 UP 42% TO €2.54BN DUE TO STRONG EASTER,</w:t>
      </w:r>
    </w:p>
    <w:p w14:paraId="1360921C" w14:textId="77777777" w:rsidR="00D92D8E" w:rsidRPr="003775E5" w:rsidRDefault="00D92D8E" w:rsidP="00D92D8E">
      <w:pPr>
        <w:pStyle w:val="NoSpacing"/>
        <w:ind w:left="-284" w:right="-284"/>
        <w:jc w:val="center"/>
        <w:rPr>
          <w:rFonts w:ascii="Times New Roman" w:hAnsi="Times New Roman"/>
          <w:b/>
          <w:sz w:val="32"/>
          <w:szCs w:val="32"/>
        </w:rPr>
      </w:pPr>
      <w:r w:rsidRPr="003775E5">
        <w:rPr>
          <w:rFonts w:ascii="Times New Roman" w:hAnsi="Times New Roman"/>
          <w:b/>
          <w:sz w:val="32"/>
          <w:szCs w:val="32"/>
        </w:rPr>
        <w:t>Q2 FARE RECOVERY &amp; SLOWER GROWTH</w:t>
      </w:r>
    </w:p>
    <w:p w14:paraId="7AD20A2B" w14:textId="77777777" w:rsidR="00D92D8E" w:rsidRPr="00072262" w:rsidRDefault="00D92D8E" w:rsidP="00D92D8E">
      <w:pPr>
        <w:pStyle w:val="NoSpacing"/>
        <w:ind w:left="-284" w:right="-284"/>
        <w:jc w:val="center"/>
        <w:rPr>
          <w:rFonts w:ascii="Times New Roman" w:hAnsi="Times New Roman"/>
          <w:b/>
          <w:sz w:val="28"/>
          <w:szCs w:val="28"/>
        </w:rPr>
      </w:pPr>
    </w:p>
    <w:p w14:paraId="66DD1731" w14:textId="4713F678"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Ryanair Holdings plc today (3 Nov.) reported Q2 PAT of €1.72bn, up 20% on PY Q2 PAT of €1.43bn.</w:t>
      </w:r>
      <w:r w:rsidR="004B6008">
        <w:rPr>
          <w:rFonts w:ascii="Times New Roman" w:eastAsia="Calibri" w:hAnsi="Times New Roman" w:cs="Times New Roman"/>
          <w:sz w:val="22"/>
          <w:szCs w:val="22"/>
          <w:lang w:val="en-GB" w:eastAsia="en-US"/>
        </w:rPr>
        <w:t xml:space="preserve"> </w:t>
      </w:r>
      <w:r w:rsidRPr="00D92D8E">
        <w:rPr>
          <w:rFonts w:ascii="Times New Roman" w:eastAsia="Calibri" w:hAnsi="Times New Roman" w:cs="Times New Roman"/>
          <w:sz w:val="22"/>
          <w:szCs w:val="22"/>
          <w:lang w:val="en-GB" w:eastAsia="en-US"/>
        </w:rPr>
        <w:t>H1 PAT rose 42% to €2.54bn, as traffic grew 3% to 119m passengers while fares rose 13% due to a strong Easter, weak prior-year comps and Q2 fare recovery.</w:t>
      </w:r>
    </w:p>
    <w:p w14:paraId="4ACFB181" w14:textId="77777777" w:rsidR="00D92D8E" w:rsidRDefault="00D92D8E" w:rsidP="00D92D8E">
      <w:pPr>
        <w:pStyle w:val="NoSpacing"/>
        <w:rPr>
          <w:rFonts w:ascii="Times New Roman" w:hAnsi="Times New Roman"/>
        </w:rPr>
      </w:pPr>
      <w:r>
        <w:rPr>
          <w:rFonts w:ascii="Times New Roman" w:hAnsi="Times New Roman"/>
          <w:sz w:val="16"/>
          <w:szCs w:val="16"/>
        </w:rPr>
        <w:t xml:space="preserve">                  </w:t>
      </w:r>
    </w:p>
    <w:tbl>
      <w:tblPr>
        <w:tblStyle w:val="TableGrid"/>
        <w:tblW w:w="9624" w:type="dxa"/>
        <w:tblLayout w:type="fixed"/>
        <w:tblLook w:val="04A0" w:firstRow="1" w:lastRow="0" w:firstColumn="1" w:lastColumn="0" w:noHBand="0" w:noVBand="1"/>
      </w:tblPr>
      <w:tblGrid>
        <w:gridCol w:w="1686"/>
        <w:gridCol w:w="1323"/>
        <w:gridCol w:w="1323"/>
        <w:gridCol w:w="1323"/>
        <w:gridCol w:w="1323"/>
        <w:gridCol w:w="1323"/>
        <w:gridCol w:w="1323"/>
      </w:tblGrid>
      <w:tr w:rsidR="00D92D8E" w:rsidRPr="003F42A2" w14:paraId="2CCD1BF8" w14:textId="77777777" w:rsidTr="00735494">
        <w:tc>
          <w:tcPr>
            <w:tcW w:w="1686" w:type="dxa"/>
            <w:tcBorders>
              <w:top w:val="single" w:sz="12" w:space="0" w:color="auto"/>
              <w:left w:val="single" w:sz="12" w:space="0" w:color="auto"/>
              <w:bottom w:val="single" w:sz="12" w:space="0" w:color="auto"/>
              <w:right w:val="single" w:sz="12" w:space="0" w:color="auto"/>
            </w:tcBorders>
          </w:tcPr>
          <w:p w14:paraId="1CD981A0" w14:textId="77777777" w:rsidR="00D92D8E" w:rsidRPr="003F42A2" w:rsidRDefault="00D92D8E" w:rsidP="00735494">
            <w:pPr>
              <w:pStyle w:val="NoSpacing"/>
              <w:rPr>
                <w:rFonts w:ascii="Times New Roman" w:hAnsi="Times New Roman"/>
                <w:b/>
              </w:rPr>
            </w:pPr>
          </w:p>
        </w:tc>
        <w:tc>
          <w:tcPr>
            <w:tcW w:w="1323" w:type="dxa"/>
            <w:tcBorders>
              <w:top w:val="single" w:sz="12" w:space="0" w:color="auto"/>
              <w:left w:val="single" w:sz="12" w:space="0" w:color="auto"/>
              <w:bottom w:val="single" w:sz="12" w:space="0" w:color="auto"/>
            </w:tcBorders>
          </w:tcPr>
          <w:p w14:paraId="5F4E8FD8" w14:textId="77777777" w:rsidR="00D92D8E" w:rsidRPr="003F42A2" w:rsidRDefault="00D92D8E" w:rsidP="00735494">
            <w:pPr>
              <w:pStyle w:val="NoSpacing"/>
              <w:jc w:val="center"/>
              <w:rPr>
                <w:rFonts w:ascii="Times New Roman" w:hAnsi="Times New Roman"/>
                <w:b/>
              </w:rPr>
            </w:pPr>
            <w:r>
              <w:rPr>
                <w:rFonts w:ascii="Times New Roman" w:hAnsi="Times New Roman"/>
                <w:b/>
              </w:rPr>
              <w:t>Q2 FY25</w:t>
            </w:r>
          </w:p>
        </w:tc>
        <w:tc>
          <w:tcPr>
            <w:tcW w:w="1323" w:type="dxa"/>
            <w:tcBorders>
              <w:top w:val="single" w:sz="12" w:space="0" w:color="auto"/>
              <w:bottom w:val="single" w:sz="12" w:space="0" w:color="auto"/>
            </w:tcBorders>
          </w:tcPr>
          <w:p w14:paraId="63F13E90" w14:textId="77777777" w:rsidR="00D92D8E" w:rsidRPr="003F42A2" w:rsidRDefault="00D92D8E" w:rsidP="00735494">
            <w:pPr>
              <w:pStyle w:val="NoSpacing"/>
              <w:jc w:val="center"/>
              <w:rPr>
                <w:rFonts w:ascii="Times New Roman" w:hAnsi="Times New Roman"/>
                <w:b/>
              </w:rPr>
            </w:pPr>
            <w:r>
              <w:rPr>
                <w:rFonts w:ascii="Times New Roman" w:hAnsi="Times New Roman"/>
                <w:b/>
              </w:rPr>
              <w:t>Q2 FY26</w:t>
            </w:r>
          </w:p>
        </w:tc>
        <w:tc>
          <w:tcPr>
            <w:tcW w:w="1323" w:type="dxa"/>
            <w:tcBorders>
              <w:top w:val="single" w:sz="12" w:space="0" w:color="auto"/>
              <w:bottom w:val="single" w:sz="12" w:space="0" w:color="auto"/>
              <w:right w:val="single" w:sz="12" w:space="0" w:color="auto"/>
            </w:tcBorders>
          </w:tcPr>
          <w:p w14:paraId="38FA0623" w14:textId="77777777" w:rsidR="00D92D8E" w:rsidRPr="003775E5" w:rsidRDefault="00D92D8E" w:rsidP="00735494">
            <w:pPr>
              <w:pStyle w:val="NoSpacing"/>
              <w:jc w:val="center"/>
              <w:rPr>
                <w:rFonts w:ascii="Times New Roman" w:hAnsi="Times New Roman"/>
                <w:b/>
              </w:rPr>
            </w:pPr>
            <w:r w:rsidRPr="003775E5">
              <w:rPr>
                <w:rFonts w:ascii="Times New Roman" w:hAnsi="Times New Roman"/>
                <w:b/>
              </w:rPr>
              <w:t>+/-</w:t>
            </w:r>
          </w:p>
        </w:tc>
        <w:tc>
          <w:tcPr>
            <w:tcW w:w="1323" w:type="dxa"/>
            <w:tcBorders>
              <w:top w:val="single" w:sz="12" w:space="0" w:color="auto"/>
              <w:left w:val="single" w:sz="12" w:space="0" w:color="auto"/>
              <w:bottom w:val="single" w:sz="12" w:space="0" w:color="auto"/>
            </w:tcBorders>
          </w:tcPr>
          <w:p w14:paraId="6ACA2ECD" w14:textId="77777777" w:rsidR="00D92D8E" w:rsidRPr="003F42A2" w:rsidRDefault="00D92D8E" w:rsidP="00735494">
            <w:pPr>
              <w:pStyle w:val="NoSpacing"/>
              <w:jc w:val="center"/>
              <w:rPr>
                <w:rFonts w:ascii="Times New Roman" w:hAnsi="Times New Roman"/>
                <w:b/>
              </w:rPr>
            </w:pPr>
            <w:r>
              <w:rPr>
                <w:rFonts w:ascii="Times New Roman" w:hAnsi="Times New Roman"/>
                <w:b/>
              </w:rPr>
              <w:t>H1 FY25</w:t>
            </w:r>
          </w:p>
        </w:tc>
        <w:tc>
          <w:tcPr>
            <w:tcW w:w="1323" w:type="dxa"/>
            <w:tcBorders>
              <w:top w:val="single" w:sz="12" w:space="0" w:color="auto"/>
              <w:bottom w:val="single" w:sz="12" w:space="0" w:color="auto"/>
            </w:tcBorders>
          </w:tcPr>
          <w:p w14:paraId="69725040" w14:textId="77777777" w:rsidR="00D92D8E" w:rsidRPr="003F42A2" w:rsidRDefault="00D92D8E" w:rsidP="00735494">
            <w:pPr>
              <w:pStyle w:val="NoSpacing"/>
              <w:jc w:val="center"/>
              <w:rPr>
                <w:rFonts w:ascii="Times New Roman" w:hAnsi="Times New Roman"/>
                <w:b/>
              </w:rPr>
            </w:pPr>
            <w:r>
              <w:rPr>
                <w:rFonts w:ascii="Times New Roman" w:hAnsi="Times New Roman"/>
                <w:b/>
              </w:rPr>
              <w:t>H1 FY26</w:t>
            </w:r>
          </w:p>
        </w:tc>
        <w:tc>
          <w:tcPr>
            <w:tcW w:w="1323" w:type="dxa"/>
            <w:tcBorders>
              <w:top w:val="single" w:sz="12" w:space="0" w:color="auto"/>
              <w:bottom w:val="single" w:sz="12" w:space="0" w:color="auto"/>
              <w:right w:val="single" w:sz="12" w:space="0" w:color="auto"/>
            </w:tcBorders>
          </w:tcPr>
          <w:p w14:paraId="617DA919" w14:textId="77777777" w:rsidR="00D92D8E" w:rsidRPr="003775E5" w:rsidRDefault="00D92D8E" w:rsidP="00735494">
            <w:pPr>
              <w:pStyle w:val="NoSpacing"/>
              <w:jc w:val="center"/>
              <w:rPr>
                <w:rFonts w:ascii="Times New Roman" w:hAnsi="Times New Roman"/>
                <w:b/>
              </w:rPr>
            </w:pPr>
            <w:r w:rsidRPr="003775E5">
              <w:rPr>
                <w:rFonts w:ascii="Times New Roman" w:hAnsi="Times New Roman"/>
                <w:b/>
              </w:rPr>
              <w:t>+/-</w:t>
            </w:r>
          </w:p>
        </w:tc>
      </w:tr>
      <w:tr w:rsidR="00D92D8E" w:rsidRPr="003F42A2" w14:paraId="15C58AC7" w14:textId="77777777" w:rsidTr="00735494">
        <w:tc>
          <w:tcPr>
            <w:tcW w:w="1686" w:type="dxa"/>
            <w:tcBorders>
              <w:top w:val="single" w:sz="12" w:space="0" w:color="auto"/>
              <w:left w:val="single" w:sz="12" w:space="0" w:color="auto"/>
              <w:right w:val="single" w:sz="12" w:space="0" w:color="auto"/>
            </w:tcBorders>
          </w:tcPr>
          <w:p w14:paraId="53B6C48C" w14:textId="77777777" w:rsidR="00D92D8E" w:rsidRPr="00D92D8E" w:rsidRDefault="00D92D8E" w:rsidP="00D92D8E">
            <w:pPr>
              <w:pStyle w:val="NoSpacing"/>
              <w:suppressAutoHyphens/>
              <w:autoSpaceDN w:val="0"/>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Passengers </w:t>
            </w:r>
          </w:p>
        </w:tc>
        <w:tc>
          <w:tcPr>
            <w:tcW w:w="1323" w:type="dxa"/>
            <w:tcBorders>
              <w:top w:val="single" w:sz="12" w:space="0" w:color="auto"/>
              <w:left w:val="single" w:sz="12" w:space="0" w:color="auto"/>
            </w:tcBorders>
          </w:tcPr>
          <w:p w14:paraId="259F0554"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59.8m</w:t>
            </w:r>
          </w:p>
        </w:tc>
        <w:tc>
          <w:tcPr>
            <w:tcW w:w="1323" w:type="dxa"/>
            <w:tcBorders>
              <w:top w:val="single" w:sz="12" w:space="0" w:color="auto"/>
            </w:tcBorders>
          </w:tcPr>
          <w:p w14:paraId="609C3284"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61.2m</w:t>
            </w:r>
          </w:p>
        </w:tc>
        <w:tc>
          <w:tcPr>
            <w:tcW w:w="1323" w:type="dxa"/>
            <w:tcBorders>
              <w:top w:val="single" w:sz="12" w:space="0" w:color="auto"/>
              <w:right w:val="single" w:sz="12" w:space="0" w:color="auto"/>
            </w:tcBorders>
          </w:tcPr>
          <w:p w14:paraId="634AEB56"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+2%</w:t>
            </w:r>
          </w:p>
        </w:tc>
        <w:tc>
          <w:tcPr>
            <w:tcW w:w="1323" w:type="dxa"/>
            <w:tcBorders>
              <w:top w:val="single" w:sz="12" w:space="0" w:color="auto"/>
              <w:left w:val="single" w:sz="12" w:space="0" w:color="auto"/>
            </w:tcBorders>
          </w:tcPr>
          <w:p w14:paraId="4C3325F9"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115.3m</w:t>
            </w:r>
          </w:p>
        </w:tc>
        <w:tc>
          <w:tcPr>
            <w:tcW w:w="1323" w:type="dxa"/>
            <w:tcBorders>
              <w:top w:val="single" w:sz="12" w:space="0" w:color="auto"/>
            </w:tcBorders>
          </w:tcPr>
          <w:p w14:paraId="6144923A"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119.0m</w:t>
            </w:r>
          </w:p>
        </w:tc>
        <w:tc>
          <w:tcPr>
            <w:tcW w:w="1323" w:type="dxa"/>
            <w:tcBorders>
              <w:top w:val="single" w:sz="12" w:space="0" w:color="auto"/>
              <w:right w:val="single" w:sz="12" w:space="0" w:color="auto"/>
            </w:tcBorders>
          </w:tcPr>
          <w:p w14:paraId="1EAAB3EF"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+3%</w:t>
            </w:r>
          </w:p>
        </w:tc>
      </w:tr>
      <w:tr w:rsidR="00D92D8E" w:rsidRPr="003F42A2" w14:paraId="51517928" w14:textId="77777777" w:rsidTr="00735494">
        <w:tc>
          <w:tcPr>
            <w:tcW w:w="1686" w:type="dxa"/>
            <w:tcBorders>
              <w:left w:val="single" w:sz="12" w:space="0" w:color="auto"/>
              <w:right w:val="single" w:sz="12" w:space="0" w:color="auto"/>
            </w:tcBorders>
          </w:tcPr>
          <w:p w14:paraId="5669BB8C" w14:textId="77777777" w:rsidR="00D92D8E" w:rsidRPr="00D92D8E" w:rsidRDefault="00D92D8E" w:rsidP="00D92D8E">
            <w:pPr>
              <w:pStyle w:val="NoSpacing"/>
              <w:suppressAutoHyphens/>
              <w:autoSpaceDN w:val="0"/>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Load Factor</w:t>
            </w:r>
          </w:p>
        </w:tc>
        <w:tc>
          <w:tcPr>
            <w:tcW w:w="1323" w:type="dxa"/>
            <w:tcBorders>
              <w:left w:val="single" w:sz="12" w:space="0" w:color="auto"/>
            </w:tcBorders>
          </w:tcPr>
          <w:p w14:paraId="314CE019"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95%</w:t>
            </w:r>
          </w:p>
        </w:tc>
        <w:tc>
          <w:tcPr>
            <w:tcW w:w="1323" w:type="dxa"/>
          </w:tcPr>
          <w:p w14:paraId="6D3DEAAF"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96%</w:t>
            </w:r>
          </w:p>
        </w:tc>
        <w:tc>
          <w:tcPr>
            <w:tcW w:w="1323" w:type="dxa"/>
            <w:tcBorders>
              <w:right w:val="single" w:sz="12" w:space="0" w:color="auto"/>
            </w:tcBorders>
          </w:tcPr>
          <w:p w14:paraId="7B611FFA"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+1pt</w:t>
            </w:r>
          </w:p>
        </w:tc>
        <w:tc>
          <w:tcPr>
            <w:tcW w:w="1323" w:type="dxa"/>
            <w:tcBorders>
              <w:left w:val="single" w:sz="12" w:space="0" w:color="auto"/>
            </w:tcBorders>
          </w:tcPr>
          <w:p w14:paraId="5814A2F2"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95%</w:t>
            </w:r>
          </w:p>
        </w:tc>
        <w:tc>
          <w:tcPr>
            <w:tcW w:w="1323" w:type="dxa"/>
          </w:tcPr>
          <w:p w14:paraId="2ABBF1C3"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95%</w:t>
            </w:r>
          </w:p>
        </w:tc>
        <w:tc>
          <w:tcPr>
            <w:tcW w:w="1323" w:type="dxa"/>
            <w:tcBorders>
              <w:right w:val="single" w:sz="12" w:space="0" w:color="auto"/>
            </w:tcBorders>
          </w:tcPr>
          <w:p w14:paraId="07368323"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w:t>
            </w:r>
          </w:p>
        </w:tc>
      </w:tr>
      <w:tr w:rsidR="00D92D8E" w:rsidRPr="003F42A2" w14:paraId="15F879C2" w14:textId="77777777" w:rsidTr="00735494">
        <w:tc>
          <w:tcPr>
            <w:tcW w:w="1686" w:type="dxa"/>
            <w:tcBorders>
              <w:left w:val="single" w:sz="12" w:space="0" w:color="auto"/>
              <w:right w:val="single" w:sz="12" w:space="0" w:color="auto"/>
            </w:tcBorders>
          </w:tcPr>
          <w:p w14:paraId="3DA1CA26" w14:textId="77777777" w:rsidR="00D92D8E" w:rsidRPr="00D92D8E" w:rsidRDefault="00D92D8E" w:rsidP="00D92D8E">
            <w:pPr>
              <w:pStyle w:val="NoSpacing"/>
              <w:suppressAutoHyphens/>
              <w:autoSpaceDN w:val="0"/>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Ave. fare (€)</w:t>
            </w:r>
          </w:p>
        </w:tc>
        <w:tc>
          <w:tcPr>
            <w:tcW w:w="1323" w:type="dxa"/>
            <w:tcBorders>
              <w:left w:val="single" w:sz="12" w:space="0" w:color="auto"/>
            </w:tcBorders>
          </w:tcPr>
          <w:p w14:paraId="02D4ECC0"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61</w:t>
            </w:r>
          </w:p>
        </w:tc>
        <w:tc>
          <w:tcPr>
            <w:tcW w:w="1323" w:type="dxa"/>
          </w:tcPr>
          <w:p w14:paraId="3D8B262A"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65</w:t>
            </w:r>
          </w:p>
        </w:tc>
        <w:tc>
          <w:tcPr>
            <w:tcW w:w="1323" w:type="dxa"/>
            <w:tcBorders>
              <w:right w:val="single" w:sz="12" w:space="0" w:color="auto"/>
            </w:tcBorders>
          </w:tcPr>
          <w:p w14:paraId="1E43FDBE"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+7%</w:t>
            </w:r>
          </w:p>
        </w:tc>
        <w:tc>
          <w:tcPr>
            <w:tcW w:w="1323" w:type="dxa"/>
            <w:tcBorders>
              <w:left w:val="single" w:sz="12" w:space="0" w:color="auto"/>
            </w:tcBorders>
          </w:tcPr>
          <w:p w14:paraId="316A1C65"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52</w:t>
            </w:r>
          </w:p>
        </w:tc>
        <w:tc>
          <w:tcPr>
            <w:tcW w:w="1323" w:type="dxa"/>
          </w:tcPr>
          <w:p w14:paraId="4ED01546"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58</w:t>
            </w:r>
          </w:p>
        </w:tc>
        <w:tc>
          <w:tcPr>
            <w:tcW w:w="1323" w:type="dxa"/>
            <w:tcBorders>
              <w:right w:val="single" w:sz="12" w:space="0" w:color="auto"/>
            </w:tcBorders>
          </w:tcPr>
          <w:p w14:paraId="1FCCFC51"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+13%</w:t>
            </w:r>
          </w:p>
        </w:tc>
      </w:tr>
      <w:tr w:rsidR="00D92D8E" w:rsidRPr="003F42A2" w14:paraId="457D2DDA" w14:textId="77777777" w:rsidTr="00735494">
        <w:tc>
          <w:tcPr>
            <w:tcW w:w="1686" w:type="dxa"/>
            <w:tcBorders>
              <w:left w:val="single" w:sz="12" w:space="0" w:color="auto"/>
              <w:right w:val="single" w:sz="12" w:space="0" w:color="auto"/>
            </w:tcBorders>
          </w:tcPr>
          <w:p w14:paraId="7863C224" w14:textId="77777777" w:rsidR="00D92D8E" w:rsidRPr="00D92D8E" w:rsidRDefault="00D92D8E" w:rsidP="00D92D8E">
            <w:pPr>
              <w:pStyle w:val="NoSpacing"/>
              <w:suppressAutoHyphens/>
              <w:autoSpaceDN w:val="0"/>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Revenue (€)</w:t>
            </w:r>
          </w:p>
        </w:tc>
        <w:tc>
          <w:tcPr>
            <w:tcW w:w="1323" w:type="dxa"/>
            <w:tcBorders>
              <w:left w:val="single" w:sz="12" w:space="0" w:color="auto"/>
            </w:tcBorders>
          </w:tcPr>
          <w:p w14:paraId="261BE7E6"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5.07bn</w:t>
            </w:r>
          </w:p>
        </w:tc>
        <w:tc>
          <w:tcPr>
            <w:tcW w:w="1323" w:type="dxa"/>
          </w:tcPr>
          <w:p w14:paraId="179C301C"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5.48bn</w:t>
            </w:r>
          </w:p>
        </w:tc>
        <w:tc>
          <w:tcPr>
            <w:tcW w:w="1323" w:type="dxa"/>
            <w:tcBorders>
              <w:right w:val="single" w:sz="12" w:space="0" w:color="auto"/>
            </w:tcBorders>
          </w:tcPr>
          <w:p w14:paraId="5DEE5592"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+8%</w:t>
            </w:r>
          </w:p>
        </w:tc>
        <w:tc>
          <w:tcPr>
            <w:tcW w:w="1323" w:type="dxa"/>
            <w:tcBorders>
              <w:left w:val="single" w:sz="12" w:space="0" w:color="auto"/>
            </w:tcBorders>
          </w:tcPr>
          <w:p w14:paraId="1B55B31C"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8.69bn</w:t>
            </w:r>
          </w:p>
        </w:tc>
        <w:tc>
          <w:tcPr>
            <w:tcW w:w="1323" w:type="dxa"/>
          </w:tcPr>
          <w:p w14:paraId="41C4F052"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9.82bn</w:t>
            </w:r>
          </w:p>
        </w:tc>
        <w:tc>
          <w:tcPr>
            <w:tcW w:w="1323" w:type="dxa"/>
            <w:tcBorders>
              <w:right w:val="single" w:sz="12" w:space="0" w:color="auto"/>
            </w:tcBorders>
          </w:tcPr>
          <w:p w14:paraId="3B4447A4"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+13%</w:t>
            </w:r>
          </w:p>
        </w:tc>
      </w:tr>
      <w:tr w:rsidR="00D92D8E" w14:paraId="706DF64C" w14:textId="77777777" w:rsidTr="00735494">
        <w:tc>
          <w:tcPr>
            <w:tcW w:w="1686" w:type="dxa"/>
            <w:tcBorders>
              <w:left w:val="single" w:sz="12" w:space="0" w:color="auto"/>
              <w:right w:val="single" w:sz="12" w:space="0" w:color="auto"/>
            </w:tcBorders>
          </w:tcPr>
          <w:p w14:paraId="6E54E4C6" w14:textId="77777777" w:rsidR="00D92D8E" w:rsidRPr="00D92D8E" w:rsidRDefault="00D92D8E" w:rsidP="00D92D8E">
            <w:pPr>
              <w:pStyle w:val="NoSpacing"/>
              <w:suppressAutoHyphens/>
              <w:autoSpaceDN w:val="0"/>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Op. Costs (€)</w:t>
            </w:r>
          </w:p>
        </w:tc>
        <w:tc>
          <w:tcPr>
            <w:tcW w:w="1323" w:type="dxa"/>
            <w:tcBorders>
              <w:left w:val="single" w:sz="12" w:space="0" w:color="auto"/>
            </w:tcBorders>
          </w:tcPr>
          <w:p w14:paraId="49D9854D"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3.42bn</w:t>
            </w:r>
          </w:p>
        </w:tc>
        <w:tc>
          <w:tcPr>
            <w:tcW w:w="1323" w:type="dxa"/>
          </w:tcPr>
          <w:p w14:paraId="38DBC11A"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3.53bn</w:t>
            </w:r>
          </w:p>
        </w:tc>
        <w:tc>
          <w:tcPr>
            <w:tcW w:w="1323" w:type="dxa"/>
            <w:tcBorders>
              <w:right w:val="single" w:sz="12" w:space="0" w:color="auto"/>
            </w:tcBorders>
          </w:tcPr>
          <w:p w14:paraId="618BCC06"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+3%</w:t>
            </w:r>
          </w:p>
        </w:tc>
        <w:tc>
          <w:tcPr>
            <w:tcW w:w="1323" w:type="dxa"/>
            <w:tcBorders>
              <w:left w:val="single" w:sz="12" w:space="0" w:color="auto"/>
            </w:tcBorders>
          </w:tcPr>
          <w:p w14:paraId="4B1EEA41"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6.68bn</w:t>
            </w:r>
          </w:p>
        </w:tc>
        <w:tc>
          <w:tcPr>
            <w:tcW w:w="1323" w:type="dxa"/>
          </w:tcPr>
          <w:p w14:paraId="7C0DA4EA"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6.96bn</w:t>
            </w:r>
          </w:p>
        </w:tc>
        <w:tc>
          <w:tcPr>
            <w:tcW w:w="1323" w:type="dxa"/>
            <w:tcBorders>
              <w:right w:val="single" w:sz="12" w:space="0" w:color="auto"/>
            </w:tcBorders>
          </w:tcPr>
          <w:p w14:paraId="327C9507"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+4%</w:t>
            </w:r>
          </w:p>
        </w:tc>
      </w:tr>
      <w:tr w:rsidR="00D92D8E" w:rsidRPr="003F42A2" w14:paraId="2BF6EF76" w14:textId="77777777" w:rsidTr="00735494">
        <w:tc>
          <w:tcPr>
            <w:tcW w:w="1686" w:type="dxa"/>
            <w:tcBorders>
              <w:left w:val="single" w:sz="12" w:space="0" w:color="auto"/>
              <w:bottom w:val="single" w:sz="12" w:space="0" w:color="auto"/>
              <w:right w:val="single" w:sz="12" w:space="0" w:color="auto"/>
            </w:tcBorders>
          </w:tcPr>
          <w:p w14:paraId="458EA9C2" w14:textId="77777777" w:rsidR="00D92D8E" w:rsidRPr="00D92D8E" w:rsidRDefault="00D92D8E" w:rsidP="00D92D8E">
            <w:pPr>
              <w:pStyle w:val="NoSpacing"/>
              <w:suppressAutoHyphens/>
              <w:autoSpaceDN w:val="0"/>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PAT (€)</w:t>
            </w:r>
          </w:p>
        </w:tc>
        <w:tc>
          <w:tcPr>
            <w:tcW w:w="1323" w:type="dxa"/>
            <w:tcBorders>
              <w:left w:val="single" w:sz="12" w:space="0" w:color="auto"/>
              <w:bottom w:val="single" w:sz="12" w:space="0" w:color="auto"/>
            </w:tcBorders>
          </w:tcPr>
          <w:p w14:paraId="0D1363E7"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1.43bn</w:t>
            </w:r>
          </w:p>
        </w:tc>
        <w:tc>
          <w:tcPr>
            <w:tcW w:w="1323" w:type="dxa"/>
            <w:tcBorders>
              <w:bottom w:val="single" w:sz="12" w:space="0" w:color="auto"/>
            </w:tcBorders>
          </w:tcPr>
          <w:p w14:paraId="3BEC4206"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1.72bn</w:t>
            </w:r>
          </w:p>
        </w:tc>
        <w:tc>
          <w:tcPr>
            <w:tcW w:w="1323" w:type="dxa"/>
            <w:tcBorders>
              <w:bottom w:val="single" w:sz="12" w:space="0" w:color="auto"/>
              <w:right w:val="single" w:sz="12" w:space="0" w:color="auto"/>
            </w:tcBorders>
          </w:tcPr>
          <w:p w14:paraId="71ADC75A"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+20%</w:t>
            </w:r>
          </w:p>
        </w:tc>
        <w:tc>
          <w:tcPr>
            <w:tcW w:w="1323" w:type="dxa"/>
            <w:tcBorders>
              <w:left w:val="single" w:sz="12" w:space="0" w:color="auto"/>
              <w:bottom w:val="single" w:sz="12" w:space="0" w:color="auto"/>
            </w:tcBorders>
          </w:tcPr>
          <w:p w14:paraId="32C5CC78"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1.79bn</w:t>
            </w:r>
          </w:p>
        </w:tc>
        <w:tc>
          <w:tcPr>
            <w:tcW w:w="1323" w:type="dxa"/>
            <w:tcBorders>
              <w:bottom w:val="single" w:sz="12" w:space="0" w:color="auto"/>
            </w:tcBorders>
          </w:tcPr>
          <w:p w14:paraId="6941EC56"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2.54bn</w:t>
            </w:r>
          </w:p>
        </w:tc>
        <w:tc>
          <w:tcPr>
            <w:tcW w:w="1323" w:type="dxa"/>
            <w:tcBorders>
              <w:bottom w:val="single" w:sz="12" w:space="0" w:color="auto"/>
              <w:right w:val="single" w:sz="12" w:space="0" w:color="auto"/>
            </w:tcBorders>
          </w:tcPr>
          <w:p w14:paraId="211489CB" w14:textId="77777777" w:rsidR="00D92D8E" w:rsidRPr="00D92D8E" w:rsidRDefault="00D92D8E" w:rsidP="00D92D8E">
            <w:pPr>
              <w:pStyle w:val="NoSpacing"/>
              <w:suppressAutoHyphens/>
              <w:autoSpaceDN w:val="0"/>
              <w:jc w:val="center"/>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+42%</w:t>
            </w:r>
          </w:p>
        </w:tc>
      </w:tr>
    </w:tbl>
    <w:p w14:paraId="3B4D5CFB" w14:textId="77777777" w:rsidR="00D92D8E" w:rsidRDefault="00D92D8E" w:rsidP="00D92D8E">
      <w:pPr>
        <w:pStyle w:val="NoSpacing"/>
        <w:jc w:val="both"/>
        <w:rPr>
          <w:rFonts w:ascii="Times New Roman" w:hAnsi="Times New Roman"/>
          <w:sz w:val="16"/>
          <w:szCs w:val="16"/>
        </w:rPr>
      </w:pPr>
    </w:p>
    <w:p w14:paraId="21F4DE3B" w14:textId="77777777" w:rsidR="00D92D8E" w:rsidRPr="00DB643B" w:rsidRDefault="00D92D8E" w:rsidP="00D92D8E">
      <w:pPr>
        <w:pStyle w:val="NoSpacing"/>
        <w:jc w:val="both"/>
        <w:rPr>
          <w:rFonts w:ascii="Times New Roman" w:hAnsi="Times New Roman"/>
        </w:rPr>
      </w:pPr>
      <w:r>
        <w:rPr>
          <w:rFonts w:ascii="Times New Roman" w:hAnsi="Times New Roman"/>
        </w:rPr>
        <w:t>H1 highlights include:</w:t>
      </w:r>
    </w:p>
    <w:p w14:paraId="49FE3721"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Traffic grew 3% to a record 119m.</w:t>
      </w:r>
    </w:p>
    <w:p w14:paraId="3895C195"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Rev. per pax up 9% (</w:t>
      </w:r>
      <w:proofErr w:type="spellStart"/>
      <w:r w:rsidRPr="00D92D8E">
        <w:rPr>
          <w:rFonts w:ascii="Times New Roman" w:eastAsia="Calibri" w:hAnsi="Times New Roman" w:cs="Times New Roman"/>
          <w:sz w:val="22"/>
          <w:szCs w:val="22"/>
          <w:lang w:val="en-GB" w:eastAsia="en-US"/>
        </w:rPr>
        <w:t>ave.</w:t>
      </w:r>
      <w:proofErr w:type="spellEnd"/>
      <w:r w:rsidRPr="00D92D8E">
        <w:rPr>
          <w:rFonts w:ascii="Times New Roman" w:eastAsia="Calibri" w:hAnsi="Times New Roman" w:cs="Times New Roman"/>
          <w:sz w:val="22"/>
          <w:szCs w:val="22"/>
          <w:lang w:val="en-GB" w:eastAsia="en-US"/>
        </w:rPr>
        <w:t xml:space="preserve"> fare +13% &amp; </w:t>
      </w:r>
      <w:proofErr w:type="spellStart"/>
      <w:r w:rsidRPr="00D92D8E">
        <w:rPr>
          <w:rFonts w:ascii="Times New Roman" w:eastAsia="Calibri" w:hAnsi="Times New Roman" w:cs="Times New Roman"/>
          <w:sz w:val="22"/>
          <w:szCs w:val="22"/>
          <w:lang w:val="en-GB" w:eastAsia="en-US"/>
        </w:rPr>
        <w:t>ancil</w:t>
      </w:r>
      <w:proofErr w:type="spellEnd"/>
      <w:r w:rsidRPr="00D92D8E">
        <w:rPr>
          <w:rFonts w:ascii="Times New Roman" w:eastAsia="Calibri" w:hAnsi="Times New Roman" w:cs="Times New Roman"/>
          <w:sz w:val="22"/>
          <w:szCs w:val="22"/>
          <w:lang w:val="en-GB" w:eastAsia="en-US"/>
        </w:rPr>
        <w:t>. rev. +3%).</w:t>
      </w:r>
    </w:p>
    <w:p w14:paraId="64304DBD"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Strong cost control as unit costs rise just 1%.</w:t>
      </w:r>
    </w:p>
    <w:p w14:paraId="2C2338FB"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199 B737 “Gamechangers” in 636 fleet at 30 Sept. </w:t>
      </w:r>
    </w:p>
    <w:p w14:paraId="5E4DCF8C"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2 new bases &amp; 91 new routes (over 2,500) on sale for S.26.</w:t>
      </w:r>
    </w:p>
    <w:p w14:paraId="6A2009F2"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Jet fuel hedges extended: 80% of FY27 at just under $67bbl.</w:t>
      </w:r>
    </w:p>
    <w:p w14:paraId="6A2A6BD1"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Ryanair added to MSCI Global &amp; FTSE Russell indices.</w:t>
      </w:r>
    </w:p>
    <w:p w14:paraId="78772822" w14:textId="77777777" w:rsidR="00D92D8E" w:rsidRPr="00D92D8E" w:rsidRDefault="00D92D8E" w:rsidP="00D92D8E">
      <w:pPr>
        <w:pStyle w:val="NoSpacing"/>
        <w:numPr>
          <w:ilvl w:val="0"/>
          <w:numId w:val="29"/>
        </w:numPr>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€0.193 interim div. per share declared (payable in Feb. 2026).</w:t>
      </w:r>
    </w:p>
    <w:p w14:paraId="0E4BA02F" w14:textId="77777777" w:rsidR="00D92D8E" w:rsidRDefault="00D92D8E" w:rsidP="00D92D8E">
      <w:pPr>
        <w:pStyle w:val="NoSpacing"/>
        <w:jc w:val="both"/>
        <w:rPr>
          <w:rFonts w:ascii="Times New Roman" w:hAnsi="Times New Roman"/>
          <w:sz w:val="16"/>
          <w:szCs w:val="16"/>
        </w:rPr>
      </w:pPr>
    </w:p>
    <w:p w14:paraId="064CDA0F" w14:textId="77777777" w:rsidR="00D92D8E" w:rsidRPr="008A75EC" w:rsidRDefault="00D92D8E" w:rsidP="00D92D8E">
      <w:pPr>
        <w:pStyle w:val="NoSpacing"/>
        <w:jc w:val="both"/>
        <w:rPr>
          <w:rFonts w:ascii="Times New Roman" w:hAnsi="Times New Roman"/>
          <w:b/>
          <w:u w:val="single"/>
        </w:rPr>
      </w:pPr>
      <w:r>
        <w:rPr>
          <w:rFonts w:ascii="Times New Roman" w:hAnsi="Times New Roman"/>
          <w:b/>
          <w:u w:val="single"/>
        </w:rPr>
        <w:t>H1 R</w:t>
      </w:r>
      <w:r w:rsidRPr="008A75EC">
        <w:rPr>
          <w:rFonts w:ascii="Times New Roman" w:hAnsi="Times New Roman"/>
          <w:b/>
          <w:u w:val="single"/>
        </w:rPr>
        <w:t>EVIEW</w:t>
      </w:r>
    </w:p>
    <w:p w14:paraId="4D5620A7" w14:textId="77777777" w:rsidR="00D92D8E" w:rsidRDefault="00D92D8E" w:rsidP="00D92D8E">
      <w:pPr>
        <w:pStyle w:val="NoSpacing"/>
        <w:jc w:val="both"/>
        <w:rPr>
          <w:rFonts w:ascii="Times New Roman" w:hAnsi="Times New Roman"/>
          <w:b/>
        </w:rPr>
      </w:pPr>
    </w:p>
    <w:p w14:paraId="7C2F9123" w14:textId="77777777" w:rsidR="00D92D8E" w:rsidRPr="00E33D63" w:rsidRDefault="00D92D8E" w:rsidP="00D92D8E">
      <w:pPr>
        <w:pStyle w:val="NoSpacing"/>
        <w:jc w:val="both"/>
        <w:rPr>
          <w:rFonts w:ascii="Times New Roman" w:hAnsi="Times New Roman"/>
          <w:b/>
          <w:i/>
        </w:rPr>
      </w:pPr>
      <w:r w:rsidRPr="00E33D63">
        <w:rPr>
          <w:rFonts w:ascii="Times New Roman" w:hAnsi="Times New Roman"/>
          <w:b/>
          <w:i/>
        </w:rPr>
        <w:t xml:space="preserve">Ryanair </w:t>
      </w:r>
      <w:r>
        <w:rPr>
          <w:rFonts w:ascii="Times New Roman" w:hAnsi="Times New Roman"/>
          <w:b/>
          <w:i/>
        </w:rPr>
        <w:t xml:space="preserve">Group CEO </w:t>
      </w:r>
      <w:r w:rsidRPr="00E33D63">
        <w:rPr>
          <w:rFonts w:ascii="Times New Roman" w:hAnsi="Times New Roman"/>
          <w:b/>
          <w:i/>
        </w:rPr>
        <w:t>Michael O’Leary, said:</w:t>
      </w:r>
    </w:p>
    <w:p w14:paraId="47DFF030" w14:textId="77777777" w:rsidR="00D92D8E" w:rsidRDefault="00D92D8E" w:rsidP="00D92D8E">
      <w:pPr>
        <w:pStyle w:val="NoSpacing"/>
        <w:jc w:val="both"/>
        <w:rPr>
          <w:rFonts w:ascii="Times New Roman" w:hAnsi="Times New Roman"/>
          <w:b/>
        </w:rPr>
      </w:pPr>
    </w:p>
    <w:p w14:paraId="750E40AB" w14:textId="77777777" w:rsidR="00D92D8E" w:rsidRPr="0064451B" w:rsidRDefault="00D92D8E" w:rsidP="00D92D8E">
      <w:pPr>
        <w:pStyle w:val="NoSpacing"/>
        <w:jc w:val="both"/>
        <w:rPr>
          <w:rFonts w:ascii="Times New Roman" w:hAnsi="Times New Roman"/>
          <w:bCs/>
          <w:i/>
          <w:iCs/>
          <w:u w:val="single"/>
        </w:rPr>
      </w:pPr>
      <w:r w:rsidRPr="0064451B">
        <w:rPr>
          <w:rFonts w:ascii="Times New Roman" w:hAnsi="Times New Roman"/>
          <w:bCs/>
          <w:i/>
          <w:iCs/>
          <w:u w:val="single"/>
        </w:rPr>
        <w:t>Revenue &amp; Costs</w:t>
      </w:r>
      <w:r>
        <w:rPr>
          <w:rFonts w:ascii="Times New Roman" w:hAnsi="Times New Roman"/>
          <w:bCs/>
          <w:i/>
          <w:iCs/>
          <w:u w:val="single"/>
        </w:rPr>
        <w:t>:</w:t>
      </w:r>
    </w:p>
    <w:p w14:paraId="3ED3DB27"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“H1 revenues rose 13% to €9.82bn.  Scheduled revenue increased 16% to €6.91bn as traffic grew 3% but fares rose 13%.  Fares benefitted from having the full Easter holiday in Q1 (with weak prior-year comps) and we achieved a full recovery of the 7% fare decline we suffered in last </w:t>
      </w:r>
      <w:proofErr w:type="spellStart"/>
      <w:r w:rsidRPr="00D92D8E">
        <w:rPr>
          <w:rFonts w:ascii="Times New Roman" w:eastAsia="Calibri" w:hAnsi="Times New Roman" w:cs="Times New Roman"/>
          <w:sz w:val="22"/>
          <w:szCs w:val="22"/>
          <w:lang w:val="en-GB" w:eastAsia="en-US"/>
        </w:rPr>
        <w:t>years</w:t>
      </w:r>
      <w:proofErr w:type="spellEnd"/>
      <w:r w:rsidRPr="00D92D8E">
        <w:rPr>
          <w:rFonts w:ascii="Times New Roman" w:eastAsia="Calibri" w:hAnsi="Times New Roman" w:cs="Times New Roman"/>
          <w:sz w:val="22"/>
          <w:szCs w:val="22"/>
          <w:lang w:val="en-GB" w:eastAsia="en-US"/>
        </w:rPr>
        <w:t xml:space="preserve"> Q2.  Ancillary revenue was solid, rising 6% to €2.91bn.  Operating costs rose 4% (+1% per pax) to €6.96bn as our fuel hedges helped offset higher ATC fees (up 14%) and enviro. costs (ETS allowance unwind and SAF blend mandates from last Jan.). </w:t>
      </w:r>
    </w:p>
    <w:p w14:paraId="608B4AE5"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p>
    <w:p w14:paraId="58F5AB03" w14:textId="46F9FDEE" w:rsidR="00D92D8E" w:rsidRDefault="00D92D8E" w:rsidP="00C67010">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H2 FY26 fuel is c.85% hedged at $76bbl (de-risking the Group for the remainder of this year) and we’ve taken advantage of recent price dips to extend our FY27 hedge cover to 80% at just under $67bbl, locking in price savings of over 10% in our fuel costs next year.  </w:t>
      </w:r>
    </w:p>
    <w:p w14:paraId="7F8F6880" w14:textId="77777777" w:rsidR="00C67010" w:rsidRPr="00C67010" w:rsidRDefault="00C67010" w:rsidP="00C67010">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p>
    <w:p w14:paraId="63AE6B67" w14:textId="77777777" w:rsidR="00D92D8E" w:rsidRPr="0064451B" w:rsidRDefault="00D92D8E" w:rsidP="00D92D8E">
      <w:pPr>
        <w:pStyle w:val="NoSpacing"/>
        <w:jc w:val="both"/>
        <w:rPr>
          <w:rFonts w:ascii="Times New Roman" w:hAnsi="Times New Roman"/>
          <w:bCs/>
          <w:i/>
          <w:iCs/>
          <w:u w:val="single"/>
        </w:rPr>
      </w:pPr>
      <w:r w:rsidRPr="0064451B">
        <w:rPr>
          <w:rFonts w:ascii="Times New Roman" w:hAnsi="Times New Roman"/>
          <w:bCs/>
          <w:i/>
          <w:iCs/>
          <w:u w:val="single"/>
        </w:rPr>
        <w:t>Balance Sheet</w:t>
      </w:r>
      <w:r>
        <w:rPr>
          <w:rFonts w:ascii="Times New Roman" w:hAnsi="Times New Roman"/>
          <w:bCs/>
          <w:i/>
          <w:iCs/>
          <w:u w:val="single"/>
        </w:rPr>
        <w:t>,</w:t>
      </w:r>
      <w:r w:rsidRPr="0064451B">
        <w:rPr>
          <w:rFonts w:ascii="Times New Roman" w:hAnsi="Times New Roman"/>
          <w:bCs/>
          <w:i/>
          <w:iCs/>
          <w:u w:val="single"/>
        </w:rPr>
        <w:t xml:space="preserve"> Liquidity</w:t>
      </w:r>
      <w:r>
        <w:rPr>
          <w:rFonts w:ascii="Times New Roman" w:hAnsi="Times New Roman"/>
          <w:bCs/>
          <w:i/>
          <w:iCs/>
          <w:u w:val="single"/>
        </w:rPr>
        <w:t xml:space="preserve"> &amp; Returns:</w:t>
      </w:r>
    </w:p>
    <w:p w14:paraId="355B3C0A"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Ryanair’s balance sheet is strong with a BBB+ credit rating (both Fitch and S&amp;P) and unencumbered B737 fleet (610 aircraft).  At 30 Sept., gross cash was €3bn after €1.2bn debt repayments (incl. our €850m bond in Sept.), €1.1bn capex and €0.4bn shareholder distributions.  Liquidity is further boosted by the Group’s RCF which has c.€1bn undrawn.  Net cash rose to over €1.5bn from €1.3bn at 31 Mar., leaving the Group well positioned to fund capex and repay our last remaining bond (€1.2bn) in May 2026 from internal cash resources.  This financial strength widens the cost gap between Ryanair and our competitors, many of whom remain exposed to expensive (long-term) finance and rising aircraft lease costs.</w:t>
      </w:r>
    </w:p>
    <w:p w14:paraId="081B1B83"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p>
    <w:p w14:paraId="12FB15D5" w14:textId="40C738DE" w:rsidR="00C67010"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In May, we launched a €750m share buyback.  At 30 Sept. we had purchased (and cancelled) over 7m shares (approx. 25% of programme) at a cost of €188m.  Today, the Board (in line with Ryanair’s dividend policy) declared an interim dividend of €0.193 per share (payable in late Feb. 2026). </w:t>
      </w:r>
    </w:p>
    <w:p w14:paraId="621FBF77" w14:textId="16B5E99F" w:rsidR="00D92D8E" w:rsidRPr="00C67010" w:rsidRDefault="00C67010" w:rsidP="00C67010">
      <w:pPr>
        <w:rPr>
          <w:rFonts w:ascii="Times New Roman" w:eastAsia="Calibri" w:hAnsi="Times New Roman" w:cs="Times New Roman"/>
          <w:sz w:val="22"/>
          <w:szCs w:val="22"/>
          <w:lang w:val="en-GB" w:eastAsia="en-US"/>
        </w:rPr>
      </w:pPr>
      <w:r>
        <w:rPr>
          <w:rFonts w:ascii="Times New Roman" w:eastAsia="Calibri" w:hAnsi="Times New Roman" w:cs="Times New Roman"/>
          <w:sz w:val="22"/>
          <w:szCs w:val="22"/>
          <w:lang w:val="en-GB" w:eastAsia="en-US"/>
        </w:rPr>
        <w:br w:type="page"/>
      </w:r>
      <w:r w:rsidR="00D92D8E">
        <w:rPr>
          <w:rFonts w:ascii="Times New Roman" w:hAnsi="Times New Roman"/>
          <w:b/>
          <w:bCs/>
          <w:u w:val="single"/>
        </w:rPr>
        <w:lastRenderedPageBreak/>
        <w:t>FLEET &amp; GROWTH</w:t>
      </w:r>
    </w:p>
    <w:p w14:paraId="77012C97"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Boeing’s improved deliveries continued through S.25 and into Oct., enabling our Group to carry extra passengers in H1 and selectively add capacity over the peak Oct. mid-term school holidays and into the Christmas/New-Year peak travel period.  Ryanair had 204 B737-8200 “Gamechangers” in its 641 fleet at the end of Oct. and we’re confident that the last 6 remaining Gamechangers (210 orderbook) will deliver well ahead of S.26, facilitating 4% traffic growth to 215m next year (FY27).  Boeing expects MAX-10 certification in </w:t>
      </w:r>
      <w:proofErr w:type="spellStart"/>
      <w:r w:rsidRPr="00D92D8E">
        <w:rPr>
          <w:rFonts w:ascii="Times New Roman" w:eastAsia="Calibri" w:hAnsi="Times New Roman" w:cs="Times New Roman"/>
          <w:sz w:val="22"/>
          <w:szCs w:val="22"/>
          <w:lang w:val="en-GB" w:eastAsia="en-US"/>
        </w:rPr>
        <w:t>mid 2026</w:t>
      </w:r>
      <w:proofErr w:type="spellEnd"/>
      <w:r w:rsidRPr="00D92D8E">
        <w:rPr>
          <w:rFonts w:ascii="Times New Roman" w:eastAsia="Calibri" w:hAnsi="Times New Roman" w:cs="Times New Roman"/>
          <w:sz w:val="22"/>
          <w:szCs w:val="22"/>
          <w:lang w:val="en-GB" w:eastAsia="en-US"/>
        </w:rPr>
        <w:t xml:space="preserve"> and they expect to meet our contract delivery dates for our first 15 MAX-10s in Spring 2027, with 300 of these fuel-efficient aircraft due to deliver by Mar. 2034.  As part of our preparations for the MAX-10s, we need to accelerate cadet and first officer (“FO”) recruitment for the next 3 years.  While this investment in training and growth (approx. €25m p.a.) will increase FO crewing ratios for up to 3 years, it will provide a strong pool of home-grown FOs ready for promotion to Captains when MAX-10 deliveries ramp-up in FY29/FY30.  We’ve also taken advantage of recent US$ weakness and hedged approx. 35% of our MAX-10 firm order (150 aircraft) capex at an average €/$ rate of 1.24, locking-in further capex savings on these low-cost aircraft.  </w:t>
      </w:r>
    </w:p>
    <w:p w14:paraId="0318A06F"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p>
    <w:p w14:paraId="62CF744D"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This winter, we’ve allocated Ryanair’s scarce capacity to those regions and airports cutting aviation taxes and incentivising traffic growth such as Sweden, Slovakia, Italy, Albania and Morocco by switching flights and routes away from high cost, uncompetitive markets like Germany, Austria and regional Spain.  This trend will continue into S.26, with over 2,500 routes now on sale (incl. new bases in Tirana and Trapani and 91 additional routes).</w:t>
      </w:r>
    </w:p>
    <w:p w14:paraId="4BAD8DBC"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p>
    <w:p w14:paraId="5C233505"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We expect European short-haul capacity to remain constrained to at least 2030 as the big 2 OEMs remain behind on aircraft production, Pratt &amp; Whitney engine repairs continue to be an issue for many Airbus operators, EU airline consolidation accelerates (incl. Air Europa, SAS &amp; TAP) and unprofitable airlines withdraw capacity from markets where they are unable to compete with Ryanair’s lower costs.  Industry capacity constraints, combined with our widening cost advantage, strong balance sheet, low-cost aircraft orderbook and industry leading ops resilience will, we believe, facilitate Ryanair’s controlled profitable growth to 300m passengers p.a. by FY34.  </w:t>
      </w:r>
    </w:p>
    <w:p w14:paraId="4DB5E4D8" w14:textId="77777777" w:rsidR="00D92D8E" w:rsidRDefault="00D92D8E" w:rsidP="00D92D8E">
      <w:pPr>
        <w:pStyle w:val="NoSpacing"/>
        <w:jc w:val="both"/>
        <w:rPr>
          <w:rFonts w:ascii="Times New Roman" w:hAnsi="Times New Roman"/>
        </w:rPr>
      </w:pPr>
    </w:p>
    <w:p w14:paraId="56191F1D" w14:textId="77777777" w:rsidR="00D92D8E" w:rsidRDefault="00D92D8E" w:rsidP="00D92D8E">
      <w:pPr>
        <w:pStyle w:val="NoSpacing"/>
        <w:jc w:val="both"/>
        <w:rPr>
          <w:rFonts w:ascii="Times New Roman" w:hAnsi="Times New Roman"/>
          <w:b/>
          <w:u w:val="single"/>
        </w:rPr>
      </w:pPr>
      <w:r>
        <w:rPr>
          <w:rFonts w:ascii="Times New Roman" w:hAnsi="Times New Roman"/>
          <w:b/>
          <w:u w:val="single"/>
        </w:rPr>
        <w:t>ESG</w:t>
      </w:r>
    </w:p>
    <w:p w14:paraId="1CCB83EA" w14:textId="66AA71EB"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During H1 we took delivery of 23 new Gamechangers (4% more seats, 16% less fuel &amp; CO2) and benefitted from the retrofit of winglets to approx. 60% of our B737NG fleet (1.5% lower fuel burn and 6% less noise).  Our 409 NGs will be retrofitted by the end of 2026 and we expect to have all 210 Gamechangers in our fleet well ahead of S.26.  We recently agreed to purchase 30 CFM LEAP-1B spare engines (a $500m commitment) to improve our operational resilience.  Over 50% of these engines were delivered at 30 Sept., with the balance expected in coming months. These latest technology engines reduce fuel consumption and CO2 emissions per seat by up to 20%.  The Groups significant investment in new technology, coupled with ambitious SAF commitments, positions Ryanair as one of Europe’s most environmentally efficient airlines.</w:t>
      </w:r>
    </w:p>
    <w:p w14:paraId="46905C75" w14:textId="77777777" w:rsidR="00D92D8E" w:rsidRDefault="00D92D8E" w:rsidP="00D92D8E">
      <w:pPr>
        <w:pStyle w:val="NoSpacing"/>
        <w:jc w:val="both"/>
        <w:rPr>
          <w:rFonts w:ascii="Times New Roman" w:hAnsi="Times New Roman"/>
        </w:rPr>
      </w:pPr>
    </w:p>
    <w:p w14:paraId="2B37D40A" w14:textId="7B9D9001"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As expected, following the lifting of the prohibition on non-EU nationals purchasing Ryanair’s ord. shares in Mar. (while continuing to apply voting restrictions) and Ryanair’s inclusion in the MSCI Global and FTSE Russell indices, we’ve seen increased global investor interest. At 30 Sept. the proportion of Ryanair’s issued share capital held by EU nationals was 33% (significantly above the 20% threshold for potential re-introduction of purchase restrictions), while 100% of voting rights remained in the hands of EU investors.</w:t>
      </w:r>
    </w:p>
    <w:p w14:paraId="17CE4DD1" w14:textId="77777777" w:rsidR="00D92D8E" w:rsidRDefault="00D92D8E" w:rsidP="00D92D8E">
      <w:pPr>
        <w:pStyle w:val="NoSpacing"/>
        <w:jc w:val="both"/>
        <w:rPr>
          <w:rFonts w:ascii="Times New Roman" w:hAnsi="Times New Roman"/>
        </w:rPr>
      </w:pPr>
    </w:p>
    <w:p w14:paraId="608BF7A8" w14:textId="77777777" w:rsidR="00D92D8E" w:rsidRPr="00943A97" w:rsidRDefault="00D92D8E" w:rsidP="00D92D8E">
      <w:pPr>
        <w:pStyle w:val="NoSpacing"/>
        <w:jc w:val="both"/>
        <w:rPr>
          <w:rFonts w:ascii="Times New Roman" w:hAnsi="Times New Roman"/>
          <w:b/>
          <w:bCs/>
          <w:u w:val="single"/>
        </w:rPr>
      </w:pPr>
      <w:r w:rsidRPr="00943A97">
        <w:rPr>
          <w:rFonts w:ascii="Times New Roman" w:hAnsi="Times New Roman"/>
          <w:b/>
          <w:bCs/>
          <w:u w:val="single"/>
        </w:rPr>
        <w:t>EUROPE IS FAILING ON COMPETITIVENESS</w:t>
      </w:r>
    </w:p>
    <w:p w14:paraId="74A8D2BA"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We remain concerned that Ursula von der Leyen (and her new Commission) have done nothing, over the past 14 months, to improve European competitiveness by implementing the Sept. 2024 Draghi Report recommendations.  Europe’s airlines have called for a level playing field on enviro. taxes, by bringing ETS rates into line with CORSIA, and urgent ATC reform by protecting overflights during national strikes, and ensuring that Europe’s major ATC providers in France, Germany, and Spain are fully staffed for the first wave of daily departures.  These reforms are urgent and it’s about time President von der Leyen stopped talking about reform and started to deliver it.</w:t>
      </w:r>
    </w:p>
    <w:p w14:paraId="0BA91C97"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p>
    <w:p w14:paraId="71BA796F"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While the Commission stands idly by, the EU Parliament is proposing even more stupid rules (such as further increasing free carry-on luggage limits – even though there is no room in the aircraft cabin for these extra bags) which will only lead to more airport security and flight delays as well as higher costs, and higher fares for Europe’s consumers.</w:t>
      </w:r>
    </w:p>
    <w:p w14:paraId="3DCE3934" w14:textId="77777777" w:rsidR="001A0B91" w:rsidRDefault="001A0B91" w:rsidP="00D92D8E">
      <w:pPr>
        <w:pStyle w:val="NoSpacing"/>
        <w:jc w:val="both"/>
        <w:rPr>
          <w:rFonts w:ascii="Times New Roman" w:hAnsi="Times New Roman"/>
          <w:b/>
          <w:u w:val="single"/>
        </w:rPr>
      </w:pPr>
    </w:p>
    <w:p w14:paraId="19D19A74" w14:textId="7B927CE4" w:rsidR="00D92D8E" w:rsidRPr="00D8383F" w:rsidRDefault="00D92D8E" w:rsidP="00D92D8E">
      <w:pPr>
        <w:pStyle w:val="NoSpacing"/>
        <w:jc w:val="both"/>
        <w:rPr>
          <w:rFonts w:ascii="Times New Roman" w:hAnsi="Times New Roman"/>
          <w:b/>
          <w:u w:val="single"/>
        </w:rPr>
      </w:pPr>
      <w:r>
        <w:rPr>
          <w:rFonts w:ascii="Times New Roman" w:hAnsi="Times New Roman"/>
          <w:b/>
          <w:u w:val="single"/>
        </w:rPr>
        <w:t>OUTLOOK</w:t>
      </w:r>
    </w:p>
    <w:p w14:paraId="191F02D3"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FY26 traffic is now expected to grow by more than 3% to 207m passengers (previously 206m), due to earlier than expected Boeing deliveries and strong H1 demand.  Unit costs performed well in H1 and, as previously guided, we expect only modest FY26 unit cost inflation as our B-8200 deliveries, fuel hedging and effective cost control across the Group helps offset increased ATC charges, higher enviro. costs and the roll-off of last </w:t>
      </w:r>
      <w:proofErr w:type="spellStart"/>
      <w:r w:rsidRPr="00D92D8E">
        <w:rPr>
          <w:rFonts w:ascii="Times New Roman" w:eastAsia="Calibri" w:hAnsi="Times New Roman" w:cs="Times New Roman"/>
          <w:sz w:val="22"/>
          <w:szCs w:val="22"/>
          <w:lang w:val="en-GB" w:eastAsia="en-US"/>
        </w:rPr>
        <w:t>years</w:t>
      </w:r>
      <w:proofErr w:type="spellEnd"/>
      <w:r w:rsidRPr="00D92D8E">
        <w:rPr>
          <w:rFonts w:ascii="Times New Roman" w:eastAsia="Calibri" w:hAnsi="Times New Roman" w:cs="Times New Roman"/>
          <w:sz w:val="22"/>
          <w:szCs w:val="22"/>
          <w:lang w:val="en-GB" w:eastAsia="en-US"/>
        </w:rPr>
        <w:t xml:space="preserve"> modest delivery delay compensation.  While Q3 </w:t>
      </w:r>
      <w:r w:rsidRPr="00D92D8E">
        <w:rPr>
          <w:rFonts w:ascii="Times New Roman" w:eastAsia="Calibri" w:hAnsi="Times New Roman" w:cs="Times New Roman"/>
          <w:sz w:val="22"/>
          <w:szCs w:val="22"/>
          <w:lang w:val="en-GB" w:eastAsia="en-US"/>
        </w:rPr>
        <w:lastRenderedPageBreak/>
        <w:t xml:space="preserve">forward bookings are slightly ahead of PY, particularly across the Oct. mid-term and Christmas peaks, we would caution that we face more challenging PY fare comps in H2 making fare growth more challenging.  Q3s fare outcome will be determined by close-in Christmas and New Year bookings.  As is normal at this time of year, we have zero Q4 visibility and there is no Easter benefit in this year’s Q4.  </w:t>
      </w:r>
    </w:p>
    <w:p w14:paraId="55BC1259"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p>
    <w:p w14:paraId="2B18B4ED" w14:textId="77777777" w:rsidR="00D92D8E" w:rsidRPr="00D92D8E" w:rsidRDefault="00D92D8E" w:rsidP="00D92D8E">
      <w:pPr>
        <w:pStyle w:val="NoSpacing"/>
        <w:suppressAutoHyphens/>
        <w:autoSpaceDN w:val="0"/>
        <w:spacing w:line="240" w:lineRule="auto"/>
        <w:jc w:val="both"/>
        <w:textAlignment w:val="baseline"/>
        <w:rPr>
          <w:rFonts w:ascii="Times New Roman" w:eastAsia="Calibri" w:hAnsi="Times New Roman" w:cs="Times New Roman"/>
          <w:sz w:val="22"/>
          <w:szCs w:val="22"/>
          <w:lang w:val="en-GB" w:eastAsia="en-US"/>
        </w:rPr>
      </w:pPr>
      <w:r w:rsidRPr="00D92D8E">
        <w:rPr>
          <w:rFonts w:ascii="Times New Roman" w:eastAsia="Calibri" w:hAnsi="Times New Roman" w:cs="Times New Roman"/>
          <w:sz w:val="22"/>
          <w:szCs w:val="22"/>
          <w:lang w:val="en-GB" w:eastAsia="en-US"/>
        </w:rPr>
        <w:t xml:space="preserve">It remains too early to provide meaningful FY26 PAT guidance.  We do, however, cautiously expect to recover all of last </w:t>
      </w:r>
      <w:proofErr w:type="spellStart"/>
      <w:r w:rsidRPr="00D92D8E">
        <w:rPr>
          <w:rFonts w:ascii="Times New Roman" w:eastAsia="Calibri" w:hAnsi="Times New Roman" w:cs="Times New Roman"/>
          <w:sz w:val="22"/>
          <w:szCs w:val="22"/>
          <w:lang w:val="en-GB" w:eastAsia="en-US"/>
        </w:rPr>
        <w:t>years</w:t>
      </w:r>
      <w:proofErr w:type="spellEnd"/>
      <w:r w:rsidRPr="00D92D8E">
        <w:rPr>
          <w:rFonts w:ascii="Times New Roman" w:eastAsia="Calibri" w:hAnsi="Times New Roman" w:cs="Times New Roman"/>
          <w:sz w:val="22"/>
          <w:szCs w:val="22"/>
          <w:lang w:val="en-GB" w:eastAsia="en-US"/>
        </w:rPr>
        <w:t xml:space="preserve"> 7% full-year fare decline, which should lead to reasonable net profit growth in FY26.  The final FY26 outcome remains exposed to adverse external developments, incl. conflict escalation in Ukraine and the Mid. East, macro-economic shocks and any further impact of repeated European ATC strikes &amp; mismanagement.”    </w:t>
      </w:r>
    </w:p>
    <w:p w14:paraId="6DE1C4B5" w14:textId="77777777" w:rsidR="00D92D8E" w:rsidRDefault="00D92D8E" w:rsidP="00D92D8E">
      <w:pPr>
        <w:pStyle w:val="NoSpacing"/>
        <w:jc w:val="both"/>
        <w:rPr>
          <w:rFonts w:ascii="Times New Roman" w:hAnsi="Times New Roman"/>
        </w:rPr>
      </w:pPr>
    </w:p>
    <w:p w14:paraId="09444114" w14:textId="77777777" w:rsidR="00D92D8E" w:rsidRDefault="00D92D8E" w:rsidP="00D92D8E">
      <w:pPr>
        <w:pStyle w:val="NoSpacing"/>
        <w:jc w:val="both"/>
        <w:rPr>
          <w:rFonts w:ascii="Times New Roman" w:hAnsi="Times New Roman"/>
          <w:b/>
        </w:rPr>
      </w:pPr>
      <w:r w:rsidRPr="003F42A2">
        <w:rPr>
          <w:rFonts w:ascii="Times New Roman" w:hAnsi="Times New Roman"/>
          <w:b/>
        </w:rPr>
        <w:t>ENDS</w:t>
      </w:r>
    </w:p>
    <w:p w14:paraId="1A815058" w14:textId="5135EA31" w:rsidR="00D92D8E" w:rsidRDefault="0062035B" w:rsidP="00D92D8E">
      <w:pPr>
        <w:pStyle w:val="NoSpacing"/>
        <w:jc w:val="both"/>
        <w:rPr>
          <w:rFonts w:ascii="Times New Roman" w:hAnsi="Times New Roman"/>
          <w:b/>
        </w:rPr>
      </w:pPr>
      <w:r w:rsidRPr="003F42A2">
        <w:rPr>
          <w:rFonts w:ascii="Times New Roman" w:eastAsia="Times New Roman" w:hAnsi="Times New Roman"/>
          <w:noProof/>
          <w:lang w:eastAsia="en-IE"/>
        </w:rPr>
        <mc:AlternateContent>
          <mc:Choice Requires="wps">
            <w:drawing>
              <wp:anchor distT="0" distB="0" distL="114300" distR="114300" simplePos="0" relativeHeight="251659264" behindDoc="0" locked="0" layoutInCell="1" allowOverlap="1" wp14:anchorId="53BFC684" wp14:editId="7ADD44C9">
                <wp:simplePos x="0" y="0"/>
                <wp:positionH relativeFrom="margin">
                  <wp:posOffset>0</wp:posOffset>
                </wp:positionH>
                <wp:positionV relativeFrom="paragraph">
                  <wp:posOffset>1073786</wp:posOffset>
                </wp:positionV>
                <wp:extent cx="6915150" cy="103505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035050"/>
                        </a:xfrm>
                        <a:prstGeom prst="rect">
                          <a:avLst/>
                        </a:prstGeom>
                        <a:solidFill>
                          <a:srgbClr val="FFFFFF"/>
                        </a:solidFill>
                        <a:ln w="9528">
                          <a:solidFill>
                            <a:srgbClr val="000000"/>
                          </a:solidFill>
                          <a:miter lim="800000"/>
                          <a:headEnd/>
                          <a:tailEnd/>
                        </a:ln>
                      </wps:spPr>
                      <wps:txbx>
                        <w:txbxContent>
                          <w:p w14:paraId="0B75CCE2" w14:textId="77777777" w:rsidR="00D92D8E" w:rsidRPr="00D92D8E" w:rsidRDefault="00D92D8E" w:rsidP="00D92D8E">
                            <w:pPr>
                              <w:spacing w:after="0" w:line="240" w:lineRule="auto"/>
                              <w:jc w:val="both"/>
                              <w:rPr>
                                <w:rFonts w:ascii="Times New Roman" w:eastAsiaTheme="minorHAnsi" w:hAnsi="Times New Roman" w:cs="Calibri"/>
                                <w:i/>
                                <w:iCs/>
                                <w:sz w:val="20"/>
                                <w:szCs w:val="20"/>
                                <w:lang w:val="en-IE" w:eastAsia="en-US"/>
                              </w:rPr>
                            </w:pPr>
                            <w:r w:rsidRPr="00D92D8E">
                              <w:rPr>
                                <w:rFonts w:ascii="Times New Roman" w:eastAsiaTheme="minorHAnsi" w:hAnsi="Times New Roman" w:cs="Calibri"/>
                                <w:i/>
                                <w:iCs/>
                                <w:sz w:val="20"/>
                                <w:szCs w:val="20"/>
                                <w:lang w:val="en-IE" w:eastAsia="en-US"/>
                              </w:rPr>
                              <w:t>Ryanair Holdings plc, Europe’s largest airline group, is the parent company of Buzz, Lauda, Malta Air, Ryanair &amp; Ryanair UK. Carrying c.207m guests p.a. on approx. 3,600 daily flights from 95 bases, the Group connects 224 airports in 36 countries on a fleet of over 640 aircraft, and over 300 new Boeing 737s on order, which will enable the Ryanair Group to grow traffic to 300m p.a. by FY34. Ryanair has a team of over 26,000 highly skilled aviation professionals delivering Europe’s No.1 operational performance, and an industry leading 40-year safety record. Ryanair is one of the most efficient major EU airlines. With a young fleet and high load factors, Ryanair targets 50grams of CO₂ per pax/km by 2031 (a 27% reduction).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3BFC684" id="_x0000_t202" coordsize="21600,21600" o:spt="202" path="m,l,21600r21600,l21600,xe">
                <v:stroke joinstyle="miter"/>
                <v:path gradientshapeok="t" o:connecttype="rect"/>
              </v:shapetype>
              <v:shape id="Text Box 4" o:spid="_x0000_s1026" type="#_x0000_t202" style="position:absolute;left:0;text-align:left;margin-left:0;margin-top:84.55pt;width:544.5pt;height: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V7DgIAACA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" strokeweight=".26467mm">
                <v:textbox>
                  <w:txbxContent>
                    <w:p w14:paraId="0B75CCE2" w14:textId="77777777" w:rsidR="00D92D8E" w:rsidRPr="00D92D8E" w:rsidRDefault="00D92D8E" w:rsidP="00D92D8E">
                      <w:pPr>
                        <w:spacing w:after="0" w:line="240" w:lineRule="auto"/>
                        <w:jc w:val="both"/>
                        <w:rPr>
                          <w:rFonts w:ascii="Times New Roman" w:eastAsiaTheme="minorHAnsi" w:hAnsi="Times New Roman" w:cs="Calibri"/>
                          <w:i/>
                          <w:iCs/>
                          <w:sz w:val="20"/>
                          <w:szCs w:val="20"/>
                          <w:lang w:val="en-IE" w:eastAsia="en-US"/>
                        </w:rPr>
                      </w:pPr>
                      <w:r w:rsidRPr="00D92D8E">
                        <w:rPr>
                          <w:rFonts w:ascii="Times New Roman" w:eastAsiaTheme="minorHAnsi" w:hAnsi="Times New Roman" w:cs="Calibri"/>
                          <w:i/>
                          <w:iCs/>
                          <w:sz w:val="20"/>
                          <w:szCs w:val="20"/>
                          <w:lang w:val="en-IE" w:eastAsia="en-US"/>
                        </w:rPr>
                        <w:t>Ryanair Holdings plc, Europe’s largest airline group, is the parent company of Buzz, Lauda, Malta Air, Ryanair &amp; Ryanair UK. Carrying c.207m guests p.a. on approx. 3,600 daily flights from 95 bases, the Group connects 224 airports in 36 countries on a fleet of over 640 aircraft, and over 300 new Boeing 737s on order, which will enable the Ryanair Group to grow traffic to 300m p.a. by FY34. Ryanair has a team of over 26,000 highly skilled aviation professionals delivering Europe’s No.1 operational performance, and an industry leading 40-year safety record. Ryanair is one of the most efficient major EU airlines. With a young fleet and high load factors, Ryanair targets 50grams of CO₂ per pax/km by 2031 (a 27% reduction).</w:t>
                      </w:r>
                    </w:p>
                  </w:txbxContent>
                </v:textbox>
                <w10:wrap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5"/>
        <w:gridCol w:w="3005"/>
      </w:tblGrid>
      <w:tr w:rsidR="00D92D8E" w:rsidRPr="003F42A2" w14:paraId="1917391B" w14:textId="77777777" w:rsidTr="00735494">
        <w:tc>
          <w:tcPr>
            <w:tcW w:w="3006" w:type="dxa"/>
          </w:tcPr>
          <w:p w14:paraId="6DF3FCA8" w14:textId="77777777" w:rsidR="00D92D8E" w:rsidRPr="003F42A2" w:rsidRDefault="00D92D8E" w:rsidP="00735494">
            <w:pPr>
              <w:pStyle w:val="NoSpacing"/>
              <w:jc w:val="both"/>
              <w:rPr>
                <w:rFonts w:ascii="Times New Roman" w:hAnsi="Times New Roman"/>
              </w:rPr>
            </w:pPr>
            <w:r w:rsidRPr="003F42A2">
              <w:rPr>
                <w:rFonts w:ascii="Times New Roman" w:hAnsi="Times New Roman"/>
              </w:rPr>
              <w:t>For further information</w:t>
            </w:r>
          </w:p>
          <w:p w14:paraId="4430BE2E" w14:textId="77777777" w:rsidR="00D92D8E" w:rsidRPr="003F42A2" w:rsidRDefault="00D92D8E" w:rsidP="00735494">
            <w:pPr>
              <w:pStyle w:val="NoSpacing"/>
              <w:jc w:val="both"/>
              <w:rPr>
                <w:rFonts w:ascii="Times New Roman" w:hAnsi="Times New Roman"/>
              </w:rPr>
            </w:pPr>
            <w:r w:rsidRPr="003F42A2">
              <w:rPr>
                <w:rFonts w:ascii="Times New Roman" w:hAnsi="Times New Roman"/>
              </w:rPr>
              <w:t>please contact:</w:t>
            </w:r>
          </w:p>
          <w:p w14:paraId="1CFCBC03" w14:textId="77777777" w:rsidR="00D92D8E" w:rsidRPr="003F42A2" w:rsidRDefault="00D92D8E" w:rsidP="00735494">
            <w:pPr>
              <w:pStyle w:val="NoSpacing"/>
              <w:jc w:val="both"/>
              <w:rPr>
                <w:rFonts w:ascii="Times New Roman" w:hAnsi="Times New Roman"/>
              </w:rPr>
            </w:pPr>
            <w:hyperlink r:id="rId11" w:history="1">
              <w:r w:rsidRPr="00DF1899">
                <w:rPr>
                  <w:rStyle w:val="Hyperlink"/>
                  <w:rFonts w:ascii="Times New Roman" w:hAnsi="Times New Roman"/>
                </w:rPr>
                <w:t>www.ryanair.com</w:t>
              </w:r>
            </w:hyperlink>
            <w:r>
              <w:rPr>
                <w:rFonts w:ascii="Times New Roman" w:hAnsi="Times New Roman"/>
              </w:rPr>
              <w:t xml:space="preserve"> </w:t>
            </w:r>
          </w:p>
        </w:tc>
        <w:tc>
          <w:tcPr>
            <w:tcW w:w="3005" w:type="dxa"/>
          </w:tcPr>
          <w:p w14:paraId="26C575A4" w14:textId="77777777" w:rsidR="00D92D8E" w:rsidRDefault="00D92D8E" w:rsidP="00735494">
            <w:pPr>
              <w:pStyle w:val="NoSpacing"/>
              <w:jc w:val="both"/>
              <w:rPr>
                <w:rFonts w:ascii="Times New Roman" w:hAnsi="Times New Roman"/>
              </w:rPr>
            </w:pPr>
            <w:r>
              <w:rPr>
                <w:rFonts w:ascii="Times New Roman" w:hAnsi="Times New Roman"/>
              </w:rPr>
              <w:t>Neil Sorahan</w:t>
            </w:r>
          </w:p>
          <w:p w14:paraId="003ED10D" w14:textId="77777777" w:rsidR="00D92D8E" w:rsidRDefault="00D92D8E" w:rsidP="00735494">
            <w:pPr>
              <w:pStyle w:val="NoSpacing"/>
              <w:jc w:val="both"/>
              <w:rPr>
                <w:rFonts w:ascii="Times New Roman" w:hAnsi="Times New Roman"/>
              </w:rPr>
            </w:pPr>
            <w:r>
              <w:rPr>
                <w:rFonts w:ascii="Times New Roman" w:hAnsi="Times New Roman"/>
              </w:rPr>
              <w:t>Ryanair Holdings plc</w:t>
            </w:r>
          </w:p>
          <w:p w14:paraId="04E6833E" w14:textId="77777777" w:rsidR="00D92D8E" w:rsidRPr="003F42A2" w:rsidRDefault="00D92D8E" w:rsidP="00735494">
            <w:pPr>
              <w:pStyle w:val="NoSpacing"/>
              <w:jc w:val="both"/>
              <w:rPr>
                <w:rFonts w:ascii="Times New Roman" w:hAnsi="Times New Roman"/>
                <w:b/>
              </w:rPr>
            </w:pPr>
            <w:r w:rsidRPr="003F42A2">
              <w:rPr>
                <w:rFonts w:ascii="Times New Roman" w:hAnsi="Times New Roman"/>
                <w:b/>
              </w:rPr>
              <w:t>Tel: +353-1-9451212</w:t>
            </w:r>
          </w:p>
        </w:tc>
        <w:tc>
          <w:tcPr>
            <w:tcW w:w="3005" w:type="dxa"/>
          </w:tcPr>
          <w:p w14:paraId="1A4598C0" w14:textId="77777777" w:rsidR="00D92D8E" w:rsidRDefault="00D92D8E" w:rsidP="00735494">
            <w:pPr>
              <w:pStyle w:val="NoSpacing"/>
              <w:jc w:val="both"/>
              <w:rPr>
                <w:rFonts w:ascii="Times New Roman" w:hAnsi="Times New Roman"/>
              </w:rPr>
            </w:pPr>
            <w:r>
              <w:rPr>
                <w:rFonts w:ascii="Times New Roman" w:hAnsi="Times New Roman"/>
              </w:rPr>
              <w:t>Cian Doherty</w:t>
            </w:r>
          </w:p>
          <w:p w14:paraId="7B01BA93" w14:textId="77777777" w:rsidR="00D92D8E" w:rsidRDefault="00D92D8E" w:rsidP="00735494">
            <w:pPr>
              <w:pStyle w:val="NoSpacing"/>
              <w:jc w:val="both"/>
              <w:rPr>
                <w:rFonts w:ascii="Times New Roman" w:hAnsi="Times New Roman"/>
              </w:rPr>
            </w:pPr>
            <w:r>
              <w:rPr>
                <w:rFonts w:ascii="Times New Roman" w:hAnsi="Times New Roman"/>
              </w:rPr>
              <w:t>Drury</w:t>
            </w:r>
          </w:p>
          <w:p w14:paraId="373AE55C" w14:textId="2B755BD4" w:rsidR="00D92D8E" w:rsidRDefault="00D92D8E" w:rsidP="00735494">
            <w:pPr>
              <w:pStyle w:val="NoSpacing"/>
              <w:jc w:val="both"/>
              <w:rPr>
                <w:rFonts w:ascii="Times New Roman" w:hAnsi="Times New Roman"/>
                <w:b/>
              </w:rPr>
            </w:pPr>
            <w:r w:rsidRPr="003F42A2">
              <w:rPr>
                <w:rFonts w:ascii="Times New Roman" w:hAnsi="Times New Roman"/>
                <w:b/>
              </w:rPr>
              <w:t>Tel: +353-1-</w:t>
            </w:r>
            <w:r>
              <w:rPr>
                <w:rFonts w:ascii="Times New Roman" w:hAnsi="Times New Roman"/>
                <w:b/>
              </w:rPr>
              <w:t>260-5000</w:t>
            </w:r>
          </w:p>
          <w:p w14:paraId="697DC5B9" w14:textId="77777777" w:rsidR="00D92D8E" w:rsidRPr="003F42A2" w:rsidRDefault="00D92D8E" w:rsidP="00735494">
            <w:pPr>
              <w:pStyle w:val="NoSpacing"/>
              <w:jc w:val="both"/>
              <w:rPr>
                <w:rFonts w:ascii="Times New Roman" w:hAnsi="Times New Roman"/>
                <w:b/>
              </w:rPr>
            </w:pPr>
          </w:p>
        </w:tc>
      </w:tr>
      <w:tr w:rsidR="00D92D8E" w:rsidRPr="003F42A2" w14:paraId="59C5F72E" w14:textId="77777777" w:rsidTr="00735494">
        <w:tc>
          <w:tcPr>
            <w:tcW w:w="3006" w:type="dxa"/>
          </w:tcPr>
          <w:p w14:paraId="2AF66DB1" w14:textId="77777777" w:rsidR="00D92D8E" w:rsidRPr="003F42A2" w:rsidRDefault="00D92D8E" w:rsidP="00735494">
            <w:pPr>
              <w:pStyle w:val="NoSpacing"/>
              <w:jc w:val="both"/>
              <w:rPr>
                <w:rFonts w:ascii="Times New Roman" w:hAnsi="Times New Roman"/>
              </w:rPr>
            </w:pPr>
          </w:p>
        </w:tc>
        <w:tc>
          <w:tcPr>
            <w:tcW w:w="3005" w:type="dxa"/>
          </w:tcPr>
          <w:p w14:paraId="4ADAF192" w14:textId="77777777" w:rsidR="00D92D8E" w:rsidRDefault="00D92D8E" w:rsidP="00735494">
            <w:pPr>
              <w:pStyle w:val="NoSpacing"/>
              <w:jc w:val="both"/>
              <w:rPr>
                <w:rFonts w:ascii="Times New Roman" w:hAnsi="Times New Roman"/>
              </w:rPr>
            </w:pPr>
          </w:p>
        </w:tc>
        <w:tc>
          <w:tcPr>
            <w:tcW w:w="3005" w:type="dxa"/>
          </w:tcPr>
          <w:p w14:paraId="4C7258D0" w14:textId="77777777" w:rsidR="00D92D8E" w:rsidRDefault="00D92D8E" w:rsidP="00735494">
            <w:pPr>
              <w:pStyle w:val="NoSpacing"/>
              <w:jc w:val="both"/>
              <w:rPr>
                <w:rFonts w:ascii="Times New Roman" w:hAnsi="Times New Roman"/>
              </w:rPr>
            </w:pPr>
          </w:p>
        </w:tc>
      </w:tr>
    </w:tbl>
    <w:p w14:paraId="1AA894D4" w14:textId="1A37293E" w:rsidR="00D92D8E" w:rsidRPr="003F42A2" w:rsidRDefault="00D92D8E" w:rsidP="00D92D8E">
      <w:pPr>
        <w:pStyle w:val="NoSpacing"/>
        <w:jc w:val="both"/>
        <w:rPr>
          <w:rFonts w:ascii="Times New Roman" w:hAnsi="Times New Roman"/>
        </w:rPr>
      </w:pPr>
    </w:p>
    <w:p w14:paraId="506238D2" w14:textId="77777777" w:rsidR="00D92D8E" w:rsidRDefault="00D92D8E" w:rsidP="00D92D8E">
      <w:pPr>
        <w:pStyle w:val="NoSpacing"/>
        <w:jc w:val="both"/>
        <w:rPr>
          <w:rFonts w:ascii="Times New Roman" w:hAnsi="Times New Roman"/>
        </w:rPr>
      </w:pPr>
    </w:p>
    <w:p w14:paraId="632AA5C8" w14:textId="77777777" w:rsidR="00D92D8E" w:rsidRDefault="00D92D8E" w:rsidP="00D92D8E">
      <w:pPr>
        <w:pStyle w:val="NoSpacing"/>
        <w:jc w:val="both"/>
        <w:rPr>
          <w:rFonts w:ascii="Times New Roman" w:hAnsi="Times New Roman"/>
        </w:rPr>
      </w:pPr>
    </w:p>
    <w:p w14:paraId="7626CD28" w14:textId="77777777" w:rsidR="00D92D8E" w:rsidRDefault="00D92D8E" w:rsidP="00D92D8E">
      <w:pPr>
        <w:pStyle w:val="NoSpacing"/>
        <w:jc w:val="both"/>
        <w:rPr>
          <w:rFonts w:ascii="Times New Roman" w:hAnsi="Times New Roman"/>
        </w:rPr>
      </w:pPr>
    </w:p>
    <w:p w14:paraId="49998020" w14:textId="77777777" w:rsidR="00D92D8E" w:rsidRDefault="00D92D8E" w:rsidP="00D92D8E">
      <w:pPr>
        <w:pStyle w:val="NoSpacing"/>
        <w:jc w:val="both"/>
        <w:rPr>
          <w:rFonts w:ascii="Times New Roman" w:hAnsi="Times New Roman"/>
        </w:rPr>
      </w:pPr>
    </w:p>
    <w:p w14:paraId="54F63CB6" w14:textId="77777777" w:rsidR="00D92D8E" w:rsidRPr="006C4A61" w:rsidRDefault="00D92D8E" w:rsidP="00D92D8E">
      <w:pPr>
        <w:pStyle w:val="NoSpacing"/>
        <w:jc w:val="both"/>
        <w:rPr>
          <w:rFonts w:ascii="Times New Roman" w:hAnsi="Times New Roman"/>
          <w:b/>
          <w:i/>
          <w:sz w:val="16"/>
          <w:szCs w:val="16"/>
          <w:lang w:val="en-IE"/>
        </w:rPr>
      </w:pPr>
    </w:p>
    <w:p w14:paraId="0AD0416A" w14:textId="701E52D1" w:rsidR="00D92D8E" w:rsidRPr="001A0B91" w:rsidRDefault="00D92D8E" w:rsidP="001A0B91">
      <w:pPr>
        <w:spacing w:line="259" w:lineRule="auto"/>
        <w:jc w:val="both"/>
        <w:rPr>
          <w:rFonts w:ascii="Times New Roman" w:eastAsiaTheme="minorHAnsi" w:hAnsi="Times New Roman" w:cs="Times New Roman"/>
          <w:b/>
          <w:bCs/>
          <w:sz w:val="16"/>
          <w:szCs w:val="16"/>
          <w:lang w:val="en-IE" w:eastAsia="en-US"/>
        </w:rPr>
      </w:pPr>
      <w:r w:rsidRPr="00D92D8E">
        <w:rPr>
          <w:rFonts w:ascii="Times New Roman" w:eastAsiaTheme="minorHAnsi" w:hAnsi="Times New Roman" w:cs="Times New Roman"/>
          <w:b/>
          <w:bCs/>
          <w:sz w:val="16"/>
          <w:szCs w:val="16"/>
          <w:lang w:val="en-IE" w:eastAsia="en-US"/>
        </w:rPr>
        <w:t>Certain of the information included in this release is forward looking and is subject to important risks and uncertainties that could cause actual results to differ materially and that could impact the price of Ryanair's securities. Forward looking statements are based on management's beliefs and assumptions and on information currently available to management. Ryanair has no obligation to update any forward looking statements contained in this release, whether as a result of new information, future events, or otherwise. It is not reasonably possible to itemise all of the many factors and specific events that could affect the outlook and results of an airline operating in the European economy and the price of its securities. Among the factors that are subject to change and could significantly impact Ryanair's expected results and the price of its securities are the airline pricing environment, fuel costs, competition from new and existing carriers, market prices for the maintenance and replacement of aircraft, costs associated with environmental, safety and security measures, actions of the Irish, U.K., European Union ("EU") and other governments and their respective regulatory agencies, litigation, post-Brexit uncertainties, changes in the structure of the European Union, any further change in the restrictions on the ownership of Ryanair's ordinary shares and the voting rights of its shareholders and ADR holders, including as a result of regulatory changes or the actions of Ryanair itself, weather related disruptions, ATC strikes and staffing related disruptions, aircraft availability and delays in the delivery of contracted aircraft, dependence on external service providers and key personnel, supply chain disruptions, tariffs, fluctuations in corporate tax rates, currency exchange rates and interest rates, airport access and charges, labour relations, the economic environment of the airline industry, the general economic environment in Ireland, the U.K. and Continental Europe, continued acceptance of low fares airlines, the general willingness of passengers to travel, war, geopolitical uncertainty and other economic, social and political factors, significant outbreaks of airborne disease and global pandemics such as Covid-19 and unforeseen security events, terrorist attacks and cyber-attacks. There may be other risks and uncertainties that Ryanair is unable to predict at this time or that Ryanair currently does not expect to have a material adverse effect on its business.</w:t>
      </w:r>
      <w:r w:rsidR="001A0B91">
        <w:rPr>
          <w:rFonts w:ascii="Times New Roman" w:eastAsiaTheme="minorHAnsi" w:hAnsi="Times New Roman" w:cs="Times New Roman"/>
          <w:b/>
          <w:bCs/>
          <w:sz w:val="16"/>
          <w:szCs w:val="16"/>
          <w:lang w:val="en-IE" w:eastAsia="en-US"/>
        </w:rPr>
        <w:br w:type="page"/>
      </w:r>
    </w:p>
    <w:p w14:paraId="2A5308A3" w14:textId="77B7CF7B" w:rsidR="000E5963" w:rsidRPr="000E5963" w:rsidRDefault="000E5963" w:rsidP="000E5963">
      <w:pPr>
        <w:suppressAutoHyphens/>
        <w:autoSpaceDN w:val="0"/>
        <w:spacing w:after="0" w:line="240" w:lineRule="auto"/>
        <w:textAlignment w:val="baseline"/>
        <w:rPr>
          <w:rFonts w:ascii="Calibri" w:eastAsia="Times New Roman" w:hAnsi="Calibri" w:cs="Calibri"/>
          <w:b/>
          <w:bCs/>
          <w:color w:val="000000"/>
          <w:lang w:val="en-IE" w:eastAsia="en-US"/>
        </w:rPr>
      </w:pPr>
      <w:r w:rsidRPr="000E5963">
        <w:rPr>
          <w:rFonts w:ascii="Calibri" w:eastAsia="Times New Roman" w:hAnsi="Calibri" w:cs="Calibri"/>
          <w:b/>
          <w:bCs/>
          <w:color w:val="000000"/>
          <w:lang w:val="en-IE" w:eastAsia="en-US"/>
        </w:rPr>
        <w:lastRenderedPageBreak/>
        <w:t>Ryanair Holdings plc and Subsidiaries</w:t>
      </w:r>
    </w:p>
    <w:p w14:paraId="4E7F2F34" w14:textId="686987BA" w:rsidR="000E5963" w:rsidRPr="000E5963" w:rsidRDefault="000E5963" w:rsidP="000E5963">
      <w:pPr>
        <w:autoSpaceDE w:val="0"/>
        <w:autoSpaceDN w:val="0"/>
        <w:adjustRightInd w:val="0"/>
        <w:spacing w:after="0" w:line="240" w:lineRule="auto"/>
        <w:ind w:right="4"/>
        <w:jc w:val="both"/>
        <w:rPr>
          <w:rFonts w:ascii="Calibri" w:eastAsia="Times New Roman" w:hAnsi="Calibri" w:cs="Calibri"/>
          <w:b/>
          <w:bCs/>
          <w:i/>
          <w:iCs/>
          <w:color w:val="000000"/>
          <w:lang w:val="en-IE" w:eastAsia="en-US"/>
        </w:rPr>
      </w:pPr>
      <w:r w:rsidRPr="000E5963">
        <w:rPr>
          <w:rFonts w:ascii="Calibri" w:eastAsia="Times New Roman" w:hAnsi="Calibri" w:cs="Calibri"/>
          <w:b/>
          <w:bCs/>
          <w:i/>
          <w:iCs/>
          <w:color w:val="000000"/>
          <w:lang w:val="en-IE" w:eastAsia="en-US"/>
        </w:rPr>
        <w:t xml:space="preserve">Condensed Consolidated Interim Balance Sheet as at </w:t>
      </w:r>
      <w:r w:rsidR="00703684">
        <w:rPr>
          <w:rFonts w:ascii="Calibri" w:eastAsia="Times New Roman" w:hAnsi="Calibri" w:cs="Calibri"/>
          <w:b/>
          <w:bCs/>
          <w:i/>
          <w:iCs/>
          <w:color w:val="000000"/>
          <w:lang w:val="en-IE" w:eastAsia="en-US"/>
        </w:rPr>
        <w:t>September</w:t>
      </w:r>
      <w:r w:rsidRPr="000E5963">
        <w:rPr>
          <w:rFonts w:ascii="Calibri" w:eastAsia="Times New Roman" w:hAnsi="Calibri" w:cs="Calibri"/>
          <w:b/>
          <w:bCs/>
          <w:i/>
          <w:iCs/>
          <w:color w:val="000000"/>
          <w:lang w:val="en-IE" w:eastAsia="en-US"/>
        </w:rPr>
        <w:t xml:space="preserve"> 30, 2025 (unaudited) </w:t>
      </w:r>
    </w:p>
    <w:bookmarkEnd w:id="0"/>
    <w:p w14:paraId="0042BD81" w14:textId="77777777" w:rsidR="000E5963" w:rsidRPr="000E5963" w:rsidRDefault="000E5963" w:rsidP="000E5963">
      <w:pPr>
        <w:autoSpaceDE w:val="0"/>
        <w:autoSpaceDN w:val="0"/>
        <w:adjustRightInd w:val="0"/>
        <w:spacing w:after="0" w:line="240" w:lineRule="auto"/>
        <w:ind w:right="4"/>
        <w:rPr>
          <w:rFonts w:ascii="Calibri" w:eastAsia="Times New Roman" w:hAnsi="Calibri" w:cs="Calibri"/>
          <w:b/>
          <w:bCs/>
          <w:i/>
          <w:iCs/>
          <w:color w:val="000000"/>
          <w:sz w:val="22"/>
          <w:szCs w:val="22"/>
          <w:lang w:val="en-IE" w:eastAsia="en-US"/>
        </w:rPr>
      </w:pPr>
    </w:p>
    <w:tbl>
      <w:tblPr>
        <w:tblW w:w="11061" w:type="dxa"/>
        <w:tblInd w:w="-318" w:type="dxa"/>
        <w:tblLayout w:type="fixed"/>
        <w:tblLook w:val="04A0" w:firstRow="1" w:lastRow="0" w:firstColumn="1" w:lastColumn="0" w:noHBand="0" w:noVBand="1"/>
      </w:tblPr>
      <w:tblGrid>
        <w:gridCol w:w="261"/>
        <w:gridCol w:w="5414"/>
        <w:gridCol w:w="3115"/>
        <w:gridCol w:w="1134"/>
        <w:gridCol w:w="1137"/>
      </w:tblGrid>
      <w:tr w:rsidR="000E5963" w:rsidRPr="000E5963" w14:paraId="5E3FDC55" w14:textId="77777777" w:rsidTr="000E5963">
        <w:trPr>
          <w:trHeight w:val="249"/>
        </w:trPr>
        <w:tc>
          <w:tcPr>
            <w:tcW w:w="261" w:type="dxa"/>
            <w:shd w:val="clear" w:color="auto" w:fill="FFFFFF"/>
            <w:noWrap/>
            <w:vAlign w:val="bottom"/>
            <w:hideMark/>
          </w:tcPr>
          <w:p w14:paraId="1B6CA8A6" w14:textId="77777777" w:rsidR="000E5963" w:rsidRPr="000E5963" w:rsidRDefault="000E5963" w:rsidP="000E5963">
            <w:pPr>
              <w:spacing w:after="0" w:line="240" w:lineRule="auto"/>
              <w:rPr>
                <w:rFonts w:ascii="Times New Roman" w:eastAsia="Times New Roman" w:hAnsi="Times New Roman" w:cs="Times New Roman"/>
                <w:sz w:val="22"/>
                <w:szCs w:val="22"/>
                <w:lang w:val="en-IE" w:eastAsia="en-IE"/>
              </w:rPr>
            </w:pPr>
            <w:bookmarkStart w:id="1" w:name="_Hlk171516792"/>
          </w:p>
        </w:tc>
        <w:tc>
          <w:tcPr>
            <w:tcW w:w="5414" w:type="dxa"/>
            <w:shd w:val="clear" w:color="auto" w:fill="FFFFFF"/>
            <w:vAlign w:val="center"/>
            <w:hideMark/>
          </w:tcPr>
          <w:p w14:paraId="328EB748" w14:textId="77777777" w:rsidR="000E5963" w:rsidRPr="000E5963" w:rsidRDefault="000E5963" w:rsidP="000E5963">
            <w:pPr>
              <w:spacing w:after="0" w:line="240" w:lineRule="auto"/>
              <w:ind w:left="60"/>
              <w:rPr>
                <w:rFonts w:ascii="Calibri" w:eastAsia="Times New Roman" w:hAnsi="Calibri" w:cs="Calibri"/>
                <w:b/>
                <w:bCs/>
                <w:i/>
                <w:iCs/>
                <w:sz w:val="22"/>
                <w:szCs w:val="22"/>
                <w:lang w:val="en-IE" w:eastAsia="en-IE"/>
              </w:rPr>
            </w:pPr>
            <w:r w:rsidRPr="000E5963">
              <w:rPr>
                <w:rFonts w:ascii="Calibri" w:eastAsia="Times New Roman" w:hAnsi="Calibri" w:cs="Calibri"/>
                <w:b/>
                <w:bCs/>
                <w:i/>
                <w:iCs/>
                <w:sz w:val="22"/>
                <w:szCs w:val="22"/>
                <w:lang w:val="en-IE" w:eastAsia="en-IE"/>
              </w:rPr>
              <w:t> </w:t>
            </w:r>
          </w:p>
        </w:tc>
        <w:tc>
          <w:tcPr>
            <w:tcW w:w="3115" w:type="dxa"/>
            <w:shd w:val="clear" w:color="auto" w:fill="FFFFFF"/>
            <w:vAlign w:val="center"/>
            <w:hideMark/>
          </w:tcPr>
          <w:p w14:paraId="281A1841"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noWrap/>
            <w:vAlign w:val="center"/>
            <w:hideMark/>
          </w:tcPr>
          <w:p w14:paraId="0C2139F4" w14:textId="5C7AA1C6" w:rsidR="000E5963" w:rsidRPr="000E5963" w:rsidRDefault="000E5963" w:rsidP="000E5963">
            <w:pPr>
              <w:spacing w:after="0" w:line="240" w:lineRule="auto"/>
              <w:ind w:left="-45" w:right="27" w:hanging="6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At </w:t>
            </w:r>
            <w:r w:rsidR="00703684">
              <w:rPr>
                <w:rFonts w:ascii="Calibri" w:eastAsia="Times New Roman" w:hAnsi="Calibri" w:cs="Calibri"/>
                <w:b/>
                <w:bCs/>
                <w:color w:val="000000"/>
                <w:sz w:val="21"/>
                <w:szCs w:val="21"/>
                <w:lang w:val="en-IE" w:eastAsia="en-IE"/>
              </w:rPr>
              <w:t>Sep</w:t>
            </w:r>
            <w:r w:rsidRPr="000E5963">
              <w:rPr>
                <w:rFonts w:ascii="Calibri" w:eastAsia="Times New Roman" w:hAnsi="Calibri" w:cs="Calibri"/>
                <w:b/>
                <w:bCs/>
                <w:color w:val="000000"/>
                <w:sz w:val="21"/>
                <w:szCs w:val="21"/>
                <w:lang w:val="en-IE" w:eastAsia="en-IE"/>
              </w:rPr>
              <w:t xml:space="preserve"> 30,</w:t>
            </w:r>
          </w:p>
        </w:tc>
        <w:tc>
          <w:tcPr>
            <w:tcW w:w="1137" w:type="dxa"/>
            <w:shd w:val="clear" w:color="auto" w:fill="FFFFFF"/>
            <w:noWrap/>
            <w:vAlign w:val="center"/>
            <w:hideMark/>
          </w:tcPr>
          <w:p w14:paraId="71B8EBED" w14:textId="77777777" w:rsidR="000E5963" w:rsidRPr="000E5963" w:rsidRDefault="000E5963" w:rsidP="000E5963">
            <w:pPr>
              <w:spacing w:after="0" w:line="240" w:lineRule="auto"/>
              <w:ind w:right="33" w:hanging="111"/>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At Mar 31,</w:t>
            </w:r>
          </w:p>
        </w:tc>
      </w:tr>
      <w:tr w:rsidR="000E5963" w:rsidRPr="000E5963" w14:paraId="16028237" w14:textId="77777777" w:rsidTr="000E5963">
        <w:trPr>
          <w:trHeight w:val="249"/>
        </w:trPr>
        <w:tc>
          <w:tcPr>
            <w:tcW w:w="261" w:type="dxa"/>
            <w:shd w:val="clear" w:color="auto" w:fill="FFFFFF"/>
            <w:noWrap/>
            <w:vAlign w:val="bottom"/>
            <w:hideMark/>
          </w:tcPr>
          <w:p w14:paraId="52F47ED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08B2253F" w14:textId="77777777" w:rsidR="000E5963" w:rsidRPr="000E5963" w:rsidRDefault="000E5963" w:rsidP="000E5963">
            <w:pPr>
              <w:spacing w:after="0" w:line="240" w:lineRule="auto"/>
              <w:ind w:left="60"/>
              <w:rPr>
                <w:rFonts w:ascii="Calibri" w:eastAsia="Times New Roman" w:hAnsi="Calibri" w:cs="Calibri"/>
                <w:b/>
                <w:bCs/>
                <w:i/>
                <w:iCs/>
                <w:sz w:val="22"/>
                <w:szCs w:val="22"/>
                <w:lang w:val="en-IE" w:eastAsia="en-IE"/>
              </w:rPr>
            </w:pPr>
            <w:r w:rsidRPr="000E5963">
              <w:rPr>
                <w:rFonts w:ascii="Calibri" w:eastAsia="Times New Roman" w:hAnsi="Calibri" w:cs="Calibri"/>
                <w:b/>
                <w:bCs/>
                <w:i/>
                <w:iCs/>
                <w:sz w:val="22"/>
                <w:szCs w:val="22"/>
                <w:lang w:val="en-IE" w:eastAsia="en-IE"/>
              </w:rPr>
              <w:t> </w:t>
            </w:r>
          </w:p>
        </w:tc>
        <w:tc>
          <w:tcPr>
            <w:tcW w:w="3115" w:type="dxa"/>
            <w:shd w:val="clear" w:color="auto" w:fill="FFFFFF"/>
            <w:vAlign w:val="center"/>
            <w:hideMark/>
          </w:tcPr>
          <w:p w14:paraId="354B8507"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1134" w:type="dxa"/>
            <w:shd w:val="clear" w:color="auto" w:fill="FFFF00"/>
            <w:noWrap/>
            <w:vAlign w:val="center"/>
            <w:hideMark/>
          </w:tcPr>
          <w:p w14:paraId="2D3B3EA7" w14:textId="77777777" w:rsidR="000E5963" w:rsidRPr="000E5963" w:rsidRDefault="000E5963" w:rsidP="000E5963">
            <w:pPr>
              <w:spacing w:after="0" w:line="240" w:lineRule="auto"/>
              <w:ind w:left="-45" w:right="27" w:firstLine="4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137" w:type="dxa"/>
            <w:shd w:val="clear" w:color="auto" w:fill="FFFFFF"/>
            <w:noWrap/>
            <w:vAlign w:val="center"/>
            <w:hideMark/>
          </w:tcPr>
          <w:p w14:paraId="54DF4FBA" w14:textId="77777777" w:rsidR="000E5963" w:rsidRPr="000E5963" w:rsidRDefault="000E5963" w:rsidP="000E5963">
            <w:pPr>
              <w:spacing w:after="0" w:line="240" w:lineRule="auto"/>
              <w:ind w:right="33" w:hanging="111"/>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r>
      <w:tr w:rsidR="000E5963" w:rsidRPr="000E5963" w14:paraId="31485B73" w14:textId="77777777" w:rsidTr="000E5963">
        <w:trPr>
          <w:trHeight w:val="249"/>
        </w:trPr>
        <w:tc>
          <w:tcPr>
            <w:tcW w:w="261" w:type="dxa"/>
            <w:shd w:val="clear" w:color="auto" w:fill="FFFFFF"/>
            <w:noWrap/>
            <w:vAlign w:val="bottom"/>
            <w:hideMark/>
          </w:tcPr>
          <w:p w14:paraId="794A442E"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1268E80"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 </w:t>
            </w:r>
          </w:p>
        </w:tc>
        <w:tc>
          <w:tcPr>
            <w:tcW w:w="3115" w:type="dxa"/>
            <w:shd w:val="clear" w:color="auto" w:fill="FFFFFF"/>
            <w:vAlign w:val="center"/>
            <w:hideMark/>
          </w:tcPr>
          <w:p w14:paraId="2F358CA8"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Note</w:t>
            </w:r>
          </w:p>
        </w:tc>
        <w:tc>
          <w:tcPr>
            <w:tcW w:w="1134" w:type="dxa"/>
            <w:shd w:val="clear" w:color="auto" w:fill="FFFF00"/>
            <w:vAlign w:val="center"/>
            <w:hideMark/>
          </w:tcPr>
          <w:p w14:paraId="3461DFCD" w14:textId="77777777" w:rsidR="000E5963" w:rsidRPr="000E5963" w:rsidRDefault="000E5963" w:rsidP="000E5963">
            <w:pPr>
              <w:spacing w:after="0" w:line="240" w:lineRule="auto"/>
              <w:ind w:left="-45" w:right="27" w:firstLine="45"/>
              <w:jc w:val="right"/>
              <w:rPr>
                <w:rFonts w:ascii="Calibri" w:eastAsia="Times New Roman" w:hAnsi="Calibri" w:cs="Calibri"/>
                <w:b/>
                <w:bCs/>
                <w:color w:val="000000"/>
                <w:sz w:val="21"/>
                <w:szCs w:val="21"/>
                <w:u w:val="single"/>
                <w:lang w:val="en-IE" w:eastAsia="en-IE"/>
              </w:rPr>
            </w:pPr>
            <w:r w:rsidRPr="000E5963">
              <w:rPr>
                <w:rFonts w:ascii="Calibri" w:eastAsia="Times New Roman" w:hAnsi="Calibri" w:cs="Calibri"/>
                <w:b/>
                <w:bCs/>
                <w:color w:val="000000"/>
                <w:sz w:val="21"/>
                <w:szCs w:val="21"/>
                <w:u w:val="single"/>
                <w:lang w:val="en-IE" w:eastAsia="en-IE"/>
              </w:rPr>
              <w:t>€M</w:t>
            </w:r>
          </w:p>
        </w:tc>
        <w:tc>
          <w:tcPr>
            <w:tcW w:w="1137" w:type="dxa"/>
            <w:shd w:val="clear" w:color="auto" w:fill="FFFFFF"/>
            <w:vAlign w:val="center"/>
            <w:hideMark/>
          </w:tcPr>
          <w:p w14:paraId="29D37BFD" w14:textId="77777777" w:rsidR="000E5963" w:rsidRPr="000E5963" w:rsidRDefault="000E5963" w:rsidP="000E5963">
            <w:pPr>
              <w:spacing w:after="0" w:line="240" w:lineRule="auto"/>
              <w:ind w:right="33" w:hanging="111"/>
              <w:jc w:val="right"/>
              <w:rPr>
                <w:rFonts w:ascii="Calibri" w:eastAsia="Times New Roman" w:hAnsi="Calibri" w:cs="Calibri"/>
                <w:color w:val="000000"/>
                <w:sz w:val="21"/>
                <w:szCs w:val="21"/>
                <w:u w:val="single"/>
                <w:lang w:val="en-IE" w:eastAsia="en-IE"/>
              </w:rPr>
            </w:pPr>
            <w:r w:rsidRPr="000E5963">
              <w:rPr>
                <w:rFonts w:ascii="Calibri" w:eastAsia="Times New Roman" w:hAnsi="Calibri" w:cs="Calibri"/>
                <w:color w:val="000000"/>
                <w:sz w:val="21"/>
                <w:szCs w:val="21"/>
                <w:u w:val="single"/>
                <w:lang w:val="en-IE" w:eastAsia="en-IE"/>
              </w:rPr>
              <w:t>€M</w:t>
            </w:r>
          </w:p>
        </w:tc>
      </w:tr>
      <w:tr w:rsidR="000E5963" w:rsidRPr="000E5963" w14:paraId="70ACCCF5" w14:textId="77777777" w:rsidTr="000E5963">
        <w:trPr>
          <w:trHeight w:val="249"/>
        </w:trPr>
        <w:tc>
          <w:tcPr>
            <w:tcW w:w="261" w:type="dxa"/>
            <w:shd w:val="clear" w:color="auto" w:fill="FFFFFF"/>
            <w:noWrap/>
            <w:vAlign w:val="bottom"/>
            <w:hideMark/>
          </w:tcPr>
          <w:p w14:paraId="3FE909A4" w14:textId="77777777" w:rsidR="000E5963" w:rsidRPr="000E5963" w:rsidRDefault="000E5963" w:rsidP="000E5963">
            <w:pPr>
              <w:spacing w:after="0" w:line="240" w:lineRule="auto"/>
              <w:rPr>
                <w:rFonts w:ascii="Calibri" w:eastAsia="Times New Roman" w:hAnsi="Calibri" w:cs="Calibri"/>
                <w:color w:val="000000"/>
                <w:sz w:val="22"/>
                <w:szCs w:val="22"/>
                <w:u w:val="single"/>
                <w:lang w:val="en-IE" w:eastAsia="en-IE"/>
              </w:rPr>
            </w:pPr>
          </w:p>
        </w:tc>
        <w:tc>
          <w:tcPr>
            <w:tcW w:w="5414" w:type="dxa"/>
            <w:shd w:val="clear" w:color="auto" w:fill="FFFFFF"/>
            <w:vAlign w:val="center"/>
            <w:hideMark/>
          </w:tcPr>
          <w:p w14:paraId="6A23C1A0"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Non-current assets</w:t>
            </w:r>
          </w:p>
        </w:tc>
        <w:tc>
          <w:tcPr>
            <w:tcW w:w="3115" w:type="dxa"/>
            <w:shd w:val="clear" w:color="auto" w:fill="FFFFFF"/>
            <w:vAlign w:val="center"/>
            <w:hideMark/>
          </w:tcPr>
          <w:p w14:paraId="78C80A49"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vAlign w:val="bottom"/>
            <w:hideMark/>
          </w:tcPr>
          <w:p w14:paraId="2D3F99B1" w14:textId="77777777" w:rsidR="000E5963" w:rsidRPr="000E5963" w:rsidRDefault="000E5963" w:rsidP="000E5963">
            <w:pPr>
              <w:spacing w:after="0" w:line="240" w:lineRule="auto"/>
              <w:ind w:left="-45" w:right="27" w:firstLine="45"/>
              <w:jc w:val="right"/>
              <w:rPr>
                <w:rFonts w:ascii="Calibri" w:eastAsia="Times New Roman" w:hAnsi="Calibri" w:cs="Calibri"/>
                <w:b/>
                <w:bCs/>
                <w:color w:val="000000"/>
                <w:sz w:val="22"/>
                <w:szCs w:val="22"/>
                <w:lang w:val="en-IE" w:eastAsia="en-IE"/>
              </w:rPr>
            </w:pPr>
          </w:p>
        </w:tc>
        <w:tc>
          <w:tcPr>
            <w:tcW w:w="1137" w:type="dxa"/>
            <w:shd w:val="clear" w:color="auto" w:fill="FFFFFF"/>
            <w:vAlign w:val="center"/>
            <w:hideMark/>
          </w:tcPr>
          <w:p w14:paraId="7BF7E8D9"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614FFB26" w14:textId="77777777" w:rsidTr="000E5963">
        <w:trPr>
          <w:trHeight w:val="249"/>
        </w:trPr>
        <w:tc>
          <w:tcPr>
            <w:tcW w:w="261" w:type="dxa"/>
            <w:shd w:val="clear" w:color="auto" w:fill="FFFFFF"/>
            <w:noWrap/>
            <w:vAlign w:val="bottom"/>
            <w:hideMark/>
          </w:tcPr>
          <w:p w14:paraId="303FC439"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195783DE"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Property, plant and equipment</w:t>
            </w:r>
          </w:p>
        </w:tc>
        <w:tc>
          <w:tcPr>
            <w:tcW w:w="3115" w:type="dxa"/>
            <w:shd w:val="clear" w:color="auto" w:fill="FFFFFF"/>
            <w:vAlign w:val="center"/>
            <w:hideMark/>
          </w:tcPr>
          <w:p w14:paraId="4D6AA83A"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0FC484FA" w14:textId="0B5548AE" w:rsidR="000E5963" w:rsidRPr="000E5963" w:rsidRDefault="00E4044A"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11,10</w:t>
            </w:r>
            <w:r w:rsidR="00E071E9">
              <w:rPr>
                <w:rFonts w:ascii="Calibri" w:eastAsia="Times New Roman" w:hAnsi="Calibri" w:cs="Calibri"/>
                <w:b/>
                <w:bCs/>
                <w:color w:val="000000"/>
                <w:sz w:val="22"/>
                <w:szCs w:val="22"/>
                <w:lang w:val="en-IE" w:eastAsia="en-IE"/>
              </w:rPr>
              <w:t>4.0</w:t>
            </w:r>
          </w:p>
        </w:tc>
        <w:tc>
          <w:tcPr>
            <w:tcW w:w="1137" w:type="dxa"/>
          </w:tcPr>
          <w:p w14:paraId="012E1E60"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10,923.7</w:t>
            </w:r>
          </w:p>
        </w:tc>
      </w:tr>
      <w:tr w:rsidR="000E5963" w:rsidRPr="000E5963" w14:paraId="2F88EBE9" w14:textId="77777777" w:rsidTr="000E5963">
        <w:trPr>
          <w:trHeight w:val="249"/>
        </w:trPr>
        <w:tc>
          <w:tcPr>
            <w:tcW w:w="261" w:type="dxa"/>
            <w:shd w:val="clear" w:color="auto" w:fill="FFFFFF"/>
            <w:noWrap/>
            <w:vAlign w:val="bottom"/>
            <w:hideMark/>
          </w:tcPr>
          <w:p w14:paraId="5462DC70"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6FAF8EC0"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Right-of-use asset</w:t>
            </w:r>
          </w:p>
        </w:tc>
        <w:tc>
          <w:tcPr>
            <w:tcW w:w="3115" w:type="dxa"/>
            <w:shd w:val="clear" w:color="auto" w:fill="FFFFFF"/>
            <w:vAlign w:val="center"/>
            <w:hideMark/>
          </w:tcPr>
          <w:p w14:paraId="3D044254"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p>
        </w:tc>
        <w:tc>
          <w:tcPr>
            <w:tcW w:w="1134" w:type="dxa"/>
            <w:shd w:val="clear" w:color="auto" w:fill="FFFF00"/>
          </w:tcPr>
          <w:p w14:paraId="67715D9D" w14:textId="461A82DA" w:rsidR="000E5963" w:rsidRPr="000E5963" w:rsidRDefault="0031094D"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128.7</w:t>
            </w:r>
          </w:p>
        </w:tc>
        <w:tc>
          <w:tcPr>
            <w:tcW w:w="1137" w:type="dxa"/>
          </w:tcPr>
          <w:p w14:paraId="03214CB8"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148.5</w:t>
            </w:r>
          </w:p>
        </w:tc>
      </w:tr>
      <w:tr w:rsidR="000E5963" w:rsidRPr="000E5963" w14:paraId="71F01C4E" w14:textId="77777777" w:rsidTr="000E5963">
        <w:trPr>
          <w:trHeight w:val="249"/>
        </w:trPr>
        <w:tc>
          <w:tcPr>
            <w:tcW w:w="261" w:type="dxa"/>
            <w:shd w:val="clear" w:color="auto" w:fill="FFFFFF"/>
            <w:noWrap/>
            <w:vAlign w:val="bottom"/>
            <w:hideMark/>
          </w:tcPr>
          <w:p w14:paraId="32CF24E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FC7D244"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xml:space="preserve">Intangible assets </w:t>
            </w:r>
          </w:p>
        </w:tc>
        <w:tc>
          <w:tcPr>
            <w:tcW w:w="3115" w:type="dxa"/>
            <w:shd w:val="clear" w:color="auto" w:fill="FFFFFF"/>
            <w:vAlign w:val="center"/>
          </w:tcPr>
          <w:p w14:paraId="3FDA4974" w14:textId="77777777" w:rsidR="000E5963" w:rsidRPr="000E5963" w:rsidRDefault="000E5963" w:rsidP="000E5963">
            <w:pPr>
              <w:spacing w:after="0" w:line="240" w:lineRule="auto"/>
              <w:rPr>
                <w:rFonts w:ascii="Calibri" w:eastAsia="Times New Roman" w:hAnsi="Calibri" w:cs="Calibri"/>
                <w:sz w:val="22"/>
                <w:szCs w:val="22"/>
                <w:lang w:val="en-IE" w:eastAsia="en-IE"/>
              </w:rPr>
            </w:pPr>
          </w:p>
        </w:tc>
        <w:tc>
          <w:tcPr>
            <w:tcW w:w="1134" w:type="dxa"/>
            <w:shd w:val="clear" w:color="auto" w:fill="FFFF00"/>
          </w:tcPr>
          <w:p w14:paraId="3440BD4F" w14:textId="39374C0B" w:rsidR="000E5963" w:rsidRPr="000E5963" w:rsidRDefault="0031094D"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146.4</w:t>
            </w:r>
          </w:p>
        </w:tc>
        <w:tc>
          <w:tcPr>
            <w:tcW w:w="1137" w:type="dxa"/>
          </w:tcPr>
          <w:p w14:paraId="32AB5532"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146.4</w:t>
            </w:r>
          </w:p>
        </w:tc>
      </w:tr>
      <w:tr w:rsidR="000E5963" w:rsidRPr="000E5963" w14:paraId="46B3C58E" w14:textId="77777777" w:rsidTr="000E5963">
        <w:trPr>
          <w:trHeight w:val="249"/>
        </w:trPr>
        <w:tc>
          <w:tcPr>
            <w:tcW w:w="261" w:type="dxa"/>
            <w:shd w:val="clear" w:color="auto" w:fill="FFFFFF"/>
            <w:noWrap/>
            <w:vAlign w:val="bottom"/>
            <w:hideMark/>
          </w:tcPr>
          <w:p w14:paraId="237ABE9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6ED9F9C"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Derivative financial instruments</w:t>
            </w:r>
          </w:p>
        </w:tc>
        <w:tc>
          <w:tcPr>
            <w:tcW w:w="3115" w:type="dxa"/>
            <w:shd w:val="clear" w:color="auto" w:fill="FFFFFF"/>
            <w:vAlign w:val="center"/>
          </w:tcPr>
          <w:p w14:paraId="551102D4" w14:textId="71B96C55"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08A67315" w14:textId="2E61C20B" w:rsidR="000E5963" w:rsidRPr="000E5963" w:rsidRDefault="0031094D"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23.2</w:t>
            </w:r>
          </w:p>
        </w:tc>
        <w:tc>
          <w:tcPr>
            <w:tcW w:w="1137" w:type="dxa"/>
          </w:tcPr>
          <w:p w14:paraId="7499ADF7"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15.4</w:t>
            </w:r>
          </w:p>
        </w:tc>
      </w:tr>
      <w:tr w:rsidR="000E5963" w:rsidRPr="000E5963" w14:paraId="40CB3E73" w14:textId="77777777" w:rsidTr="00747AFB">
        <w:trPr>
          <w:trHeight w:val="249"/>
        </w:trPr>
        <w:tc>
          <w:tcPr>
            <w:tcW w:w="261" w:type="dxa"/>
            <w:shd w:val="clear" w:color="auto" w:fill="FFFFFF"/>
            <w:noWrap/>
            <w:vAlign w:val="bottom"/>
            <w:hideMark/>
          </w:tcPr>
          <w:p w14:paraId="79AEB6EB"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EAC4983"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Deferred tax</w:t>
            </w:r>
          </w:p>
        </w:tc>
        <w:tc>
          <w:tcPr>
            <w:tcW w:w="3115" w:type="dxa"/>
            <w:shd w:val="clear" w:color="auto" w:fill="FFFFFF"/>
            <w:vAlign w:val="center"/>
          </w:tcPr>
          <w:p w14:paraId="728CEF0B"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left w:val="nil"/>
              <w:right w:val="nil"/>
            </w:tcBorders>
            <w:shd w:val="clear" w:color="auto" w:fill="FFFF00"/>
          </w:tcPr>
          <w:p w14:paraId="23BB6BA3" w14:textId="1A08B6AF" w:rsidR="000E5963" w:rsidRPr="000E5963" w:rsidRDefault="00B40352"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14.9</w:t>
            </w:r>
          </w:p>
        </w:tc>
        <w:tc>
          <w:tcPr>
            <w:tcW w:w="1137" w:type="dxa"/>
            <w:tcBorders>
              <w:left w:val="nil"/>
              <w:right w:val="nil"/>
            </w:tcBorders>
          </w:tcPr>
          <w:p w14:paraId="681D22C1"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1.6</w:t>
            </w:r>
          </w:p>
        </w:tc>
      </w:tr>
      <w:tr w:rsidR="000E5963" w:rsidRPr="000E5963" w14:paraId="4160E5F0" w14:textId="77777777" w:rsidTr="00DC5F9B">
        <w:trPr>
          <w:trHeight w:val="249"/>
        </w:trPr>
        <w:tc>
          <w:tcPr>
            <w:tcW w:w="261" w:type="dxa"/>
            <w:shd w:val="clear" w:color="auto" w:fill="FFFFFF"/>
            <w:noWrap/>
            <w:vAlign w:val="bottom"/>
          </w:tcPr>
          <w:p w14:paraId="502790A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tcPr>
          <w:p w14:paraId="18E620F4"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Other assets</w:t>
            </w:r>
          </w:p>
        </w:tc>
        <w:tc>
          <w:tcPr>
            <w:tcW w:w="3115" w:type="dxa"/>
            <w:shd w:val="clear" w:color="auto" w:fill="FFFFFF"/>
            <w:vAlign w:val="center"/>
          </w:tcPr>
          <w:p w14:paraId="4F8AFDE4"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left w:val="nil"/>
              <w:bottom w:val="single" w:sz="8" w:space="0" w:color="auto"/>
              <w:right w:val="nil"/>
            </w:tcBorders>
            <w:shd w:val="clear" w:color="auto" w:fill="FFFF00"/>
          </w:tcPr>
          <w:p w14:paraId="223AF816" w14:textId="158E3142" w:rsidR="000E5963" w:rsidRPr="000E5963" w:rsidRDefault="00076B39"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w:t>
            </w:r>
            <w:r w:rsidR="00AD3034">
              <w:rPr>
                <w:rFonts w:ascii="Calibri" w:eastAsia="Calibri" w:hAnsi="Calibri" w:cs="Calibri"/>
                <w:b/>
                <w:sz w:val="22"/>
                <w:szCs w:val="22"/>
                <w:lang w:val="en-IE" w:eastAsia="en-IE"/>
              </w:rPr>
              <w:t>59.8</w:t>
            </w:r>
          </w:p>
        </w:tc>
        <w:tc>
          <w:tcPr>
            <w:tcW w:w="1137" w:type="dxa"/>
            <w:tcBorders>
              <w:left w:val="nil"/>
              <w:bottom w:val="single" w:sz="8" w:space="0" w:color="auto"/>
              <w:right w:val="nil"/>
            </w:tcBorders>
          </w:tcPr>
          <w:p w14:paraId="4B4C18D1" w14:textId="77777777" w:rsidR="000E5963" w:rsidRPr="000E5963" w:rsidRDefault="000E5963" w:rsidP="000E5963">
            <w:pPr>
              <w:spacing w:after="0" w:line="240" w:lineRule="auto"/>
              <w:ind w:right="33" w:hanging="111"/>
              <w:jc w:val="right"/>
              <w:rPr>
                <w:rFonts w:ascii="Calibri" w:eastAsia="Calibri" w:hAnsi="Calibri" w:cs="Calibri"/>
                <w:sz w:val="22"/>
                <w:szCs w:val="22"/>
                <w:lang w:val="en-IE" w:eastAsia="en-IE"/>
              </w:rPr>
            </w:pPr>
            <w:r w:rsidRPr="000E5963">
              <w:rPr>
                <w:rFonts w:ascii="Calibri" w:eastAsia="Calibri" w:hAnsi="Calibri" w:cs="Calibri"/>
                <w:sz w:val="22"/>
                <w:szCs w:val="22"/>
                <w:lang w:val="en-IE" w:eastAsia="en-IE"/>
              </w:rPr>
              <w:t>261.7</w:t>
            </w:r>
          </w:p>
        </w:tc>
      </w:tr>
      <w:tr w:rsidR="000E5963" w:rsidRPr="000E5963" w14:paraId="2BCCB4C2" w14:textId="77777777" w:rsidTr="00DC5F9B">
        <w:trPr>
          <w:trHeight w:val="249"/>
        </w:trPr>
        <w:tc>
          <w:tcPr>
            <w:tcW w:w="261" w:type="dxa"/>
            <w:shd w:val="clear" w:color="auto" w:fill="FFFFFF"/>
            <w:noWrap/>
            <w:vAlign w:val="bottom"/>
            <w:hideMark/>
          </w:tcPr>
          <w:p w14:paraId="3D62042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4451497"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non-current assets</w:t>
            </w:r>
          </w:p>
        </w:tc>
        <w:tc>
          <w:tcPr>
            <w:tcW w:w="3115" w:type="dxa"/>
            <w:shd w:val="clear" w:color="auto" w:fill="FFFFFF"/>
            <w:vAlign w:val="center"/>
          </w:tcPr>
          <w:p w14:paraId="1933E450"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8" w:space="0" w:color="auto"/>
              <w:left w:val="nil"/>
              <w:bottom w:val="single" w:sz="8" w:space="0" w:color="auto"/>
              <w:right w:val="nil"/>
            </w:tcBorders>
            <w:shd w:val="clear" w:color="auto" w:fill="FFFF00"/>
          </w:tcPr>
          <w:p w14:paraId="76CA837C" w14:textId="16E31118" w:rsidR="000E5963" w:rsidRPr="000E5963" w:rsidRDefault="00E31C37"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11,</w:t>
            </w:r>
            <w:r w:rsidR="00AD3034">
              <w:rPr>
                <w:rFonts w:ascii="Calibri" w:eastAsia="Times New Roman" w:hAnsi="Calibri" w:cs="Calibri"/>
                <w:b/>
                <w:bCs/>
                <w:color w:val="000000"/>
                <w:sz w:val="22"/>
                <w:szCs w:val="22"/>
                <w:lang w:val="en-IE" w:eastAsia="en-IE"/>
              </w:rPr>
              <w:t>6</w:t>
            </w:r>
            <w:r w:rsidR="00B40352">
              <w:rPr>
                <w:rFonts w:ascii="Calibri" w:eastAsia="Times New Roman" w:hAnsi="Calibri" w:cs="Calibri"/>
                <w:b/>
                <w:bCs/>
                <w:color w:val="000000"/>
                <w:sz w:val="22"/>
                <w:szCs w:val="22"/>
                <w:lang w:val="en-IE" w:eastAsia="en-IE"/>
              </w:rPr>
              <w:t>77.0</w:t>
            </w:r>
          </w:p>
        </w:tc>
        <w:tc>
          <w:tcPr>
            <w:tcW w:w="1137" w:type="dxa"/>
            <w:tcBorders>
              <w:top w:val="single" w:sz="8" w:space="0" w:color="auto"/>
              <w:left w:val="nil"/>
              <w:bottom w:val="single" w:sz="8" w:space="0" w:color="auto"/>
              <w:right w:val="nil"/>
            </w:tcBorders>
          </w:tcPr>
          <w:p w14:paraId="5223359D"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11,497.3</w:t>
            </w:r>
          </w:p>
        </w:tc>
      </w:tr>
      <w:tr w:rsidR="000E5963" w:rsidRPr="000E5963" w14:paraId="79D9CA41" w14:textId="77777777" w:rsidTr="00DC5F9B">
        <w:trPr>
          <w:trHeight w:val="249"/>
        </w:trPr>
        <w:tc>
          <w:tcPr>
            <w:tcW w:w="261" w:type="dxa"/>
            <w:shd w:val="clear" w:color="auto" w:fill="FFFFFF"/>
            <w:noWrap/>
            <w:vAlign w:val="bottom"/>
            <w:hideMark/>
          </w:tcPr>
          <w:p w14:paraId="673F3F74"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00724233" w14:textId="77777777" w:rsidR="000E5963" w:rsidRPr="000E5963" w:rsidRDefault="000E5963" w:rsidP="000E5963">
            <w:pPr>
              <w:spacing w:after="0" w:line="240" w:lineRule="auto"/>
              <w:ind w:left="60"/>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 </w:t>
            </w:r>
          </w:p>
        </w:tc>
        <w:tc>
          <w:tcPr>
            <w:tcW w:w="3115" w:type="dxa"/>
            <w:shd w:val="clear" w:color="auto" w:fill="FFFFFF"/>
            <w:vAlign w:val="center"/>
          </w:tcPr>
          <w:p w14:paraId="3A625813"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8" w:space="0" w:color="auto"/>
            </w:tcBorders>
            <w:shd w:val="clear" w:color="auto" w:fill="FFFF00"/>
          </w:tcPr>
          <w:p w14:paraId="69D9978F" w14:textId="77777777" w:rsidR="000E5963" w:rsidRPr="000E5963" w:rsidRDefault="000E5963" w:rsidP="000E5963">
            <w:pPr>
              <w:spacing w:after="0" w:line="240" w:lineRule="auto"/>
              <w:ind w:left="-45" w:right="27" w:firstLine="45"/>
              <w:jc w:val="right"/>
              <w:rPr>
                <w:rFonts w:ascii="Calibri" w:eastAsia="Calibri" w:hAnsi="Calibri" w:cs="Calibri"/>
                <w:b/>
                <w:bCs/>
                <w:sz w:val="22"/>
                <w:szCs w:val="22"/>
                <w:u w:val="single"/>
                <w:lang w:val="en-IE" w:eastAsia="en-IE"/>
              </w:rPr>
            </w:pPr>
          </w:p>
        </w:tc>
        <w:tc>
          <w:tcPr>
            <w:tcW w:w="1137" w:type="dxa"/>
            <w:tcBorders>
              <w:top w:val="single" w:sz="8" w:space="0" w:color="auto"/>
            </w:tcBorders>
          </w:tcPr>
          <w:p w14:paraId="5B983944"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0C26DA48" w14:textId="77777777" w:rsidTr="000E5963">
        <w:trPr>
          <w:trHeight w:val="249"/>
        </w:trPr>
        <w:tc>
          <w:tcPr>
            <w:tcW w:w="261" w:type="dxa"/>
            <w:shd w:val="clear" w:color="auto" w:fill="FFFFFF"/>
            <w:noWrap/>
            <w:vAlign w:val="bottom"/>
            <w:hideMark/>
          </w:tcPr>
          <w:p w14:paraId="333116AD"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7D3FB672"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Current assets</w:t>
            </w:r>
          </w:p>
        </w:tc>
        <w:tc>
          <w:tcPr>
            <w:tcW w:w="3115" w:type="dxa"/>
            <w:shd w:val="clear" w:color="auto" w:fill="FFFFFF"/>
            <w:vAlign w:val="center"/>
          </w:tcPr>
          <w:p w14:paraId="10473E2F"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182953D7" w14:textId="77777777" w:rsidR="000E5963" w:rsidRPr="000E5963" w:rsidRDefault="000E5963" w:rsidP="000E5963">
            <w:pPr>
              <w:spacing w:after="0" w:line="240" w:lineRule="auto"/>
              <w:ind w:left="-45" w:right="27" w:firstLine="45"/>
              <w:rPr>
                <w:rFonts w:ascii="Calibri" w:eastAsia="Calibri" w:hAnsi="Calibri" w:cs="Calibri"/>
                <w:b/>
                <w:bCs/>
                <w:sz w:val="22"/>
                <w:szCs w:val="22"/>
                <w:u w:val="single"/>
                <w:lang w:val="en-IE" w:eastAsia="en-IE"/>
              </w:rPr>
            </w:pPr>
          </w:p>
        </w:tc>
        <w:tc>
          <w:tcPr>
            <w:tcW w:w="1137" w:type="dxa"/>
          </w:tcPr>
          <w:p w14:paraId="04820C84"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43E1F7DB" w14:textId="77777777" w:rsidTr="000E5963">
        <w:trPr>
          <w:trHeight w:val="249"/>
        </w:trPr>
        <w:tc>
          <w:tcPr>
            <w:tcW w:w="261" w:type="dxa"/>
            <w:shd w:val="clear" w:color="auto" w:fill="FFFFFF"/>
            <w:noWrap/>
            <w:vAlign w:val="bottom"/>
            <w:hideMark/>
          </w:tcPr>
          <w:p w14:paraId="4990A3B8"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4CE5A016"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Inventories</w:t>
            </w:r>
          </w:p>
        </w:tc>
        <w:tc>
          <w:tcPr>
            <w:tcW w:w="3115" w:type="dxa"/>
            <w:shd w:val="clear" w:color="auto" w:fill="FFFFFF"/>
            <w:vAlign w:val="center"/>
          </w:tcPr>
          <w:p w14:paraId="203B4875"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1D576987" w14:textId="1DF5E5F6" w:rsidR="000E5963" w:rsidRPr="000E5963" w:rsidRDefault="0059201C" w:rsidP="009B1B82">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5.3</w:t>
            </w:r>
          </w:p>
        </w:tc>
        <w:tc>
          <w:tcPr>
            <w:tcW w:w="1137" w:type="dxa"/>
          </w:tcPr>
          <w:p w14:paraId="3D781C49"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4.6</w:t>
            </w:r>
          </w:p>
        </w:tc>
      </w:tr>
      <w:tr w:rsidR="000E5963" w:rsidRPr="000E5963" w14:paraId="5079DA52" w14:textId="77777777" w:rsidTr="000E5963">
        <w:trPr>
          <w:trHeight w:val="249"/>
        </w:trPr>
        <w:tc>
          <w:tcPr>
            <w:tcW w:w="261" w:type="dxa"/>
            <w:shd w:val="clear" w:color="auto" w:fill="FFFFFF"/>
            <w:noWrap/>
            <w:vAlign w:val="bottom"/>
          </w:tcPr>
          <w:p w14:paraId="4EEE7682"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tcPr>
          <w:p w14:paraId="2D452CEC"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Other assets</w:t>
            </w:r>
          </w:p>
        </w:tc>
        <w:tc>
          <w:tcPr>
            <w:tcW w:w="3115" w:type="dxa"/>
            <w:shd w:val="clear" w:color="auto" w:fill="FFFFFF"/>
          </w:tcPr>
          <w:p w14:paraId="51D92F74" w14:textId="77777777" w:rsidR="000E5963" w:rsidRPr="000E5963" w:rsidRDefault="000E5963" w:rsidP="000E5963">
            <w:pPr>
              <w:spacing w:after="0" w:line="240" w:lineRule="auto"/>
              <w:jc w:val="right"/>
              <w:rPr>
                <w:rFonts w:ascii="Calibri" w:eastAsia="Times New Roman" w:hAnsi="Calibri" w:cs="Calibri"/>
                <w:b/>
                <w:bCs/>
                <w:sz w:val="22"/>
                <w:szCs w:val="22"/>
                <w:lang w:val="en-IE" w:eastAsia="en-IE"/>
              </w:rPr>
            </w:pPr>
          </w:p>
        </w:tc>
        <w:tc>
          <w:tcPr>
            <w:tcW w:w="1134" w:type="dxa"/>
            <w:shd w:val="clear" w:color="auto" w:fill="FFFF00"/>
          </w:tcPr>
          <w:p w14:paraId="13FE4731" w14:textId="114CCB8A" w:rsidR="000E5963" w:rsidRPr="000E5963" w:rsidRDefault="009B1B82"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1,5</w:t>
            </w:r>
            <w:r w:rsidR="00347880">
              <w:rPr>
                <w:rFonts w:ascii="Calibri" w:eastAsia="Calibri" w:hAnsi="Calibri" w:cs="Calibri"/>
                <w:b/>
                <w:sz w:val="22"/>
                <w:szCs w:val="22"/>
                <w:lang w:val="en-IE" w:eastAsia="en-IE"/>
              </w:rPr>
              <w:t>66.</w:t>
            </w:r>
            <w:r w:rsidR="00665D7B">
              <w:rPr>
                <w:rFonts w:ascii="Calibri" w:eastAsia="Calibri" w:hAnsi="Calibri" w:cs="Calibri"/>
                <w:b/>
                <w:sz w:val="22"/>
                <w:szCs w:val="22"/>
                <w:lang w:val="en-IE" w:eastAsia="en-IE"/>
              </w:rPr>
              <w:t>8</w:t>
            </w:r>
          </w:p>
        </w:tc>
        <w:tc>
          <w:tcPr>
            <w:tcW w:w="1137" w:type="dxa"/>
          </w:tcPr>
          <w:p w14:paraId="1CFDD24F" w14:textId="77777777" w:rsidR="000E5963" w:rsidRPr="000E5963" w:rsidRDefault="000E5963" w:rsidP="000E5963">
            <w:pPr>
              <w:spacing w:after="0" w:line="240" w:lineRule="auto"/>
              <w:ind w:right="33" w:hanging="111"/>
              <w:jc w:val="right"/>
              <w:rPr>
                <w:rFonts w:ascii="Calibri" w:eastAsia="Calibri" w:hAnsi="Calibri" w:cs="Calibri"/>
                <w:sz w:val="22"/>
                <w:szCs w:val="22"/>
                <w:lang w:val="en-IE" w:eastAsia="en-IE"/>
              </w:rPr>
            </w:pPr>
            <w:r w:rsidRPr="000E5963">
              <w:rPr>
                <w:rFonts w:ascii="Calibri" w:eastAsia="Calibri" w:hAnsi="Calibri" w:cs="Calibri"/>
                <w:sz w:val="22"/>
                <w:szCs w:val="22"/>
                <w:lang w:val="en-IE" w:eastAsia="en-IE"/>
              </w:rPr>
              <w:t>1,850.7</w:t>
            </w:r>
          </w:p>
        </w:tc>
      </w:tr>
      <w:tr w:rsidR="000E5963" w:rsidRPr="000E5963" w14:paraId="79B69765" w14:textId="77777777" w:rsidTr="000E5963">
        <w:trPr>
          <w:trHeight w:val="249"/>
        </w:trPr>
        <w:tc>
          <w:tcPr>
            <w:tcW w:w="261" w:type="dxa"/>
            <w:shd w:val="clear" w:color="auto" w:fill="FFFFFF"/>
            <w:noWrap/>
            <w:vAlign w:val="bottom"/>
            <w:hideMark/>
          </w:tcPr>
          <w:p w14:paraId="6DB9496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842483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Trade receivables</w:t>
            </w:r>
          </w:p>
        </w:tc>
        <w:tc>
          <w:tcPr>
            <w:tcW w:w="3115" w:type="dxa"/>
            <w:shd w:val="clear" w:color="auto" w:fill="FFFFFF"/>
          </w:tcPr>
          <w:p w14:paraId="21DA392F" w14:textId="07427DF8"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shd w:val="clear" w:color="auto" w:fill="FFFF00"/>
          </w:tcPr>
          <w:p w14:paraId="4BD07EA4" w14:textId="404C3F23" w:rsidR="000E5963" w:rsidRPr="000E5963" w:rsidRDefault="009B1B82"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77.7</w:t>
            </w:r>
          </w:p>
        </w:tc>
        <w:tc>
          <w:tcPr>
            <w:tcW w:w="1137" w:type="dxa"/>
          </w:tcPr>
          <w:p w14:paraId="189726C2"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73.5</w:t>
            </w:r>
          </w:p>
        </w:tc>
      </w:tr>
      <w:tr w:rsidR="000E5963" w:rsidRPr="000E5963" w14:paraId="55A89275" w14:textId="77777777" w:rsidTr="000E5963">
        <w:trPr>
          <w:trHeight w:val="249"/>
        </w:trPr>
        <w:tc>
          <w:tcPr>
            <w:tcW w:w="261" w:type="dxa"/>
            <w:shd w:val="clear" w:color="auto" w:fill="FFFFFF"/>
            <w:noWrap/>
            <w:vAlign w:val="bottom"/>
            <w:hideMark/>
          </w:tcPr>
          <w:p w14:paraId="6CDB035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91CE26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Derivative financial instruments</w:t>
            </w:r>
          </w:p>
        </w:tc>
        <w:tc>
          <w:tcPr>
            <w:tcW w:w="3115" w:type="dxa"/>
            <w:shd w:val="clear" w:color="auto" w:fill="FFFFFF"/>
          </w:tcPr>
          <w:p w14:paraId="542728C4" w14:textId="6E492F31"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tcBorders>
              <w:left w:val="nil"/>
              <w:bottom w:val="single" w:sz="12" w:space="0" w:color="auto"/>
              <w:right w:val="nil"/>
            </w:tcBorders>
            <w:shd w:val="clear" w:color="auto" w:fill="FFFF00"/>
          </w:tcPr>
          <w:p w14:paraId="7D53D7BE" w14:textId="2D775A9D" w:rsidR="000E5963" w:rsidRPr="000E5963" w:rsidRDefault="009B1B82"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Calibri" w:hAnsi="Calibri" w:cs="Calibri"/>
                <w:b/>
                <w:sz w:val="22"/>
                <w:szCs w:val="22"/>
                <w:lang w:val="en-IE" w:eastAsia="en-IE"/>
              </w:rPr>
              <w:t>70.2</w:t>
            </w:r>
          </w:p>
        </w:tc>
        <w:tc>
          <w:tcPr>
            <w:tcW w:w="1137" w:type="dxa"/>
            <w:tcBorders>
              <w:left w:val="nil"/>
              <w:bottom w:val="single" w:sz="12" w:space="0" w:color="auto"/>
              <w:right w:val="nil"/>
            </w:tcBorders>
          </w:tcPr>
          <w:p w14:paraId="14888D7C"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94.4</w:t>
            </w:r>
          </w:p>
        </w:tc>
      </w:tr>
      <w:tr w:rsidR="000E5963" w:rsidRPr="000E5963" w14:paraId="2D74313E" w14:textId="77777777" w:rsidTr="000E5963">
        <w:trPr>
          <w:trHeight w:val="249"/>
        </w:trPr>
        <w:tc>
          <w:tcPr>
            <w:tcW w:w="261" w:type="dxa"/>
            <w:shd w:val="clear" w:color="auto" w:fill="FFFFFF"/>
            <w:noWrap/>
            <w:vAlign w:val="bottom"/>
            <w:hideMark/>
          </w:tcPr>
          <w:p w14:paraId="3F07662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9E5A861"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Restricted cash</w:t>
            </w:r>
          </w:p>
        </w:tc>
        <w:tc>
          <w:tcPr>
            <w:tcW w:w="3115" w:type="dxa"/>
            <w:tcBorders>
              <w:top w:val="nil"/>
              <w:left w:val="nil"/>
              <w:bottom w:val="nil"/>
              <w:right w:val="single" w:sz="12" w:space="0" w:color="auto"/>
            </w:tcBorders>
            <w:shd w:val="clear" w:color="auto" w:fill="FFFFFF"/>
          </w:tcPr>
          <w:p w14:paraId="1A79410C" w14:textId="26C695D2"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top w:val="single" w:sz="12" w:space="0" w:color="auto"/>
              <w:left w:val="single" w:sz="12" w:space="0" w:color="auto"/>
            </w:tcBorders>
            <w:shd w:val="clear" w:color="auto" w:fill="FFFF00"/>
          </w:tcPr>
          <w:p w14:paraId="38C1187D" w14:textId="1C027CBD" w:rsidR="000E5963" w:rsidRPr="000E5963" w:rsidRDefault="001B2495"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28.6</w:t>
            </w:r>
          </w:p>
        </w:tc>
        <w:tc>
          <w:tcPr>
            <w:tcW w:w="1137" w:type="dxa"/>
            <w:tcBorders>
              <w:top w:val="single" w:sz="12" w:space="0" w:color="auto"/>
              <w:right w:val="single" w:sz="12" w:space="0" w:color="auto"/>
            </w:tcBorders>
          </w:tcPr>
          <w:p w14:paraId="62D556EA" w14:textId="77777777" w:rsidR="000E5963" w:rsidRPr="000E5963" w:rsidRDefault="000E5963" w:rsidP="000E5963">
            <w:pPr>
              <w:spacing w:after="0" w:line="240" w:lineRule="auto"/>
              <w:ind w:right="33" w:hanging="111"/>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23.1</w:t>
            </w:r>
          </w:p>
        </w:tc>
      </w:tr>
      <w:tr w:rsidR="000E5963" w:rsidRPr="000E5963" w14:paraId="7B2C66BC" w14:textId="77777777" w:rsidTr="000E5963">
        <w:trPr>
          <w:trHeight w:val="249"/>
        </w:trPr>
        <w:tc>
          <w:tcPr>
            <w:tcW w:w="261" w:type="dxa"/>
            <w:shd w:val="clear" w:color="auto" w:fill="FFFFFF"/>
            <w:noWrap/>
            <w:vAlign w:val="bottom"/>
            <w:hideMark/>
          </w:tcPr>
          <w:p w14:paraId="5D91D00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DE62802"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Financial assets: cash &gt; 3 months</w:t>
            </w:r>
          </w:p>
        </w:tc>
        <w:tc>
          <w:tcPr>
            <w:tcW w:w="3115" w:type="dxa"/>
            <w:tcBorders>
              <w:top w:val="nil"/>
              <w:left w:val="nil"/>
              <w:bottom w:val="nil"/>
              <w:right w:val="single" w:sz="12" w:space="0" w:color="auto"/>
            </w:tcBorders>
            <w:shd w:val="clear" w:color="auto" w:fill="FFFFFF"/>
          </w:tcPr>
          <w:p w14:paraId="4199A68C" w14:textId="4210A68A"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left w:val="single" w:sz="12" w:space="0" w:color="auto"/>
            </w:tcBorders>
            <w:shd w:val="clear" w:color="auto" w:fill="FFFF00"/>
          </w:tcPr>
          <w:p w14:paraId="3E973030" w14:textId="348284C5" w:rsidR="000E5963" w:rsidRPr="000E5963" w:rsidRDefault="00105747"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w:t>
            </w:r>
          </w:p>
        </w:tc>
        <w:tc>
          <w:tcPr>
            <w:tcW w:w="1137" w:type="dxa"/>
            <w:tcBorders>
              <w:right w:val="single" w:sz="12" w:space="0" w:color="auto"/>
            </w:tcBorders>
          </w:tcPr>
          <w:p w14:paraId="4920676C" w14:textId="77777777" w:rsidR="000E5963" w:rsidRPr="000E5963" w:rsidRDefault="000E5963" w:rsidP="000E5963">
            <w:pPr>
              <w:spacing w:after="0" w:line="240" w:lineRule="auto"/>
              <w:ind w:right="33" w:hanging="111"/>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100.1</w:t>
            </w:r>
          </w:p>
        </w:tc>
      </w:tr>
      <w:tr w:rsidR="000E5963" w:rsidRPr="000E5963" w14:paraId="323782D0" w14:textId="77777777" w:rsidTr="000E5963">
        <w:trPr>
          <w:trHeight w:val="249"/>
        </w:trPr>
        <w:tc>
          <w:tcPr>
            <w:tcW w:w="261" w:type="dxa"/>
            <w:shd w:val="clear" w:color="auto" w:fill="FFFFFF"/>
            <w:noWrap/>
            <w:vAlign w:val="bottom"/>
            <w:hideMark/>
          </w:tcPr>
          <w:p w14:paraId="716E259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9A51641"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Cash and cash equivalents</w:t>
            </w:r>
          </w:p>
        </w:tc>
        <w:tc>
          <w:tcPr>
            <w:tcW w:w="3115" w:type="dxa"/>
            <w:tcBorders>
              <w:top w:val="nil"/>
              <w:left w:val="nil"/>
              <w:bottom w:val="nil"/>
              <w:right w:val="single" w:sz="12" w:space="0" w:color="auto"/>
            </w:tcBorders>
            <w:shd w:val="clear" w:color="auto" w:fill="FFFFFF"/>
          </w:tcPr>
          <w:p w14:paraId="3D5393F4" w14:textId="7275355C"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left w:val="single" w:sz="12" w:space="0" w:color="auto"/>
              <w:bottom w:val="single" w:sz="12" w:space="0" w:color="auto"/>
            </w:tcBorders>
            <w:shd w:val="clear" w:color="auto" w:fill="FFFF00"/>
          </w:tcPr>
          <w:p w14:paraId="4A5FD766" w14:textId="7F8FCED0" w:rsidR="000E5963" w:rsidRPr="000E5963" w:rsidRDefault="00CE3DED"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w:t>
            </w:r>
            <w:r w:rsidR="00D44268">
              <w:rPr>
                <w:rFonts w:ascii="Calibri" w:eastAsia="Calibri" w:hAnsi="Calibri" w:cs="Calibri"/>
                <w:b/>
                <w:sz w:val="22"/>
                <w:szCs w:val="22"/>
                <w:lang w:val="en-IE" w:eastAsia="en-IE"/>
              </w:rPr>
              <w:t>963.5</w:t>
            </w:r>
          </w:p>
        </w:tc>
        <w:tc>
          <w:tcPr>
            <w:tcW w:w="1137" w:type="dxa"/>
            <w:tcBorders>
              <w:bottom w:val="single" w:sz="12" w:space="0" w:color="auto"/>
              <w:right w:val="single" w:sz="12" w:space="0" w:color="auto"/>
            </w:tcBorders>
            <w:hideMark/>
          </w:tcPr>
          <w:p w14:paraId="59D74323" w14:textId="77777777" w:rsidR="000E5963" w:rsidRPr="000E5963" w:rsidRDefault="000E5963" w:rsidP="000E5963">
            <w:pPr>
              <w:spacing w:after="0" w:line="240" w:lineRule="auto"/>
              <w:ind w:right="33" w:hanging="111"/>
              <w:jc w:val="right"/>
              <w:rPr>
                <w:rFonts w:ascii="Calibri" w:eastAsia="Calibri" w:hAnsi="Calibri" w:cs="Calibri"/>
                <w:bCs/>
                <w:sz w:val="22"/>
                <w:szCs w:val="22"/>
                <w:lang w:val="en-IE" w:eastAsia="en-IE"/>
              </w:rPr>
            </w:pPr>
            <w:r w:rsidRPr="000E5963">
              <w:rPr>
                <w:rFonts w:ascii="Calibri" w:eastAsia="Calibri" w:hAnsi="Calibri" w:cs="Calibri"/>
                <w:bCs/>
                <w:sz w:val="22"/>
                <w:szCs w:val="22"/>
                <w:lang w:val="en-IE" w:eastAsia="en-IE"/>
              </w:rPr>
              <w:t>3,863.3</w:t>
            </w:r>
          </w:p>
        </w:tc>
      </w:tr>
      <w:tr w:rsidR="000E5963" w:rsidRPr="000E5963" w14:paraId="4A7B34CF" w14:textId="77777777" w:rsidTr="000E5963">
        <w:trPr>
          <w:trHeight w:val="249"/>
        </w:trPr>
        <w:tc>
          <w:tcPr>
            <w:tcW w:w="261" w:type="dxa"/>
            <w:shd w:val="clear" w:color="auto" w:fill="FFFFFF"/>
            <w:noWrap/>
            <w:vAlign w:val="bottom"/>
            <w:hideMark/>
          </w:tcPr>
          <w:p w14:paraId="16A22B0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66594744"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current assets</w:t>
            </w:r>
          </w:p>
        </w:tc>
        <w:tc>
          <w:tcPr>
            <w:tcW w:w="3115" w:type="dxa"/>
            <w:shd w:val="clear" w:color="auto" w:fill="FFFFFF"/>
            <w:vAlign w:val="center"/>
          </w:tcPr>
          <w:p w14:paraId="0A0FDD7D"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12" w:space="0" w:color="auto"/>
              <w:left w:val="nil"/>
              <w:bottom w:val="single" w:sz="8" w:space="0" w:color="auto"/>
              <w:right w:val="nil"/>
            </w:tcBorders>
            <w:shd w:val="clear" w:color="auto" w:fill="FFFF00"/>
          </w:tcPr>
          <w:p w14:paraId="1DB0B976" w14:textId="269B54EF" w:rsidR="000E5963" w:rsidRPr="000E5963" w:rsidRDefault="001B2495"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w:t>
            </w:r>
            <w:r w:rsidR="00EF2E5F">
              <w:rPr>
                <w:rFonts w:ascii="Calibri" w:eastAsia="Times New Roman" w:hAnsi="Calibri" w:cs="Calibri"/>
                <w:b/>
                <w:bCs/>
                <w:color w:val="000000"/>
                <w:sz w:val="22"/>
                <w:szCs w:val="22"/>
                <w:lang w:val="en-IE" w:eastAsia="en-IE"/>
              </w:rPr>
              <w:t>71</w:t>
            </w:r>
            <w:r w:rsidR="00980001">
              <w:rPr>
                <w:rFonts w:ascii="Calibri" w:eastAsia="Times New Roman" w:hAnsi="Calibri" w:cs="Calibri"/>
                <w:b/>
                <w:bCs/>
                <w:color w:val="000000"/>
                <w:sz w:val="22"/>
                <w:szCs w:val="22"/>
                <w:lang w:val="en-IE" w:eastAsia="en-IE"/>
              </w:rPr>
              <w:t>2</w:t>
            </w:r>
            <w:r w:rsidR="00711B02">
              <w:rPr>
                <w:rFonts w:ascii="Calibri" w:eastAsia="Times New Roman" w:hAnsi="Calibri" w:cs="Calibri"/>
                <w:b/>
                <w:bCs/>
                <w:color w:val="000000"/>
                <w:sz w:val="22"/>
                <w:szCs w:val="22"/>
                <w:lang w:val="en-IE" w:eastAsia="en-IE"/>
              </w:rPr>
              <w:t>.</w:t>
            </w:r>
            <w:r w:rsidR="00665D7B">
              <w:rPr>
                <w:rFonts w:ascii="Calibri" w:eastAsia="Times New Roman" w:hAnsi="Calibri" w:cs="Calibri"/>
                <w:b/>
                <w:bCs/>
                <w:color w:val="000000"/>
                <w:sz w:val="22"/>
                <w:szCs w:val="22"/>
                <w:lang w:val="en-IE" w:eastAsia="en-IE"/>
              </w:rPr>
              <w:t>1</w:t>
            </w:r>
          </w:p>
        </w:tc>
        <w:tc>
          <w:tcPr>
            <w:tcW w:w="1137" w:type="dxa"/>
            <w:tcBorders>
              <w:top w:val="single" w:sz="12" w:space="0" w:color="auto"/>
              <w:left w:val="nil"/>
              <w:bottom w:val="single" w:sz="8" w:space="0" w:color="auto"/>
              <w:right w:val="nil"/>
            </w:tcBorders>
            <w:hideMark/>
          </w:tcPr>
          <w:p w14:paraId="1FC7AE6C"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6,009.7</w:t>
            </w:r>
          </w:p>
        </w:tc>
      </w:tr>
      <w:tr w:rsidR="000E5963" w:rsidRPr="000E5963" w14:paraId="1FDFCBF1" w14:textId="77777777" w:rsidTr="000E5963">
        <w:trPr>
          <w:trHeight w:val="249"/>
        </w:trPr>
        <w:tc>
          <w:tcPr>
            <w:tcW w:w="261" w:type="dxa"/>
            <w:shd w:val="clear" w:color="auto" w:fill="FFFFFF"/>
            <w:noWrap/>
            <w:vAlign w:val="bottom"/>
            <w:hideMark/>
          </w:tcPr>
          <w:p w14:paraId="73A5BF4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8A86EC6"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tcPr>
          <w:p w14:paraId="30AE633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8" w:space="0" w:color="auto"/>
            </w:tcBorders>
            <w:shd w:val="clear" w:color="auto" w:fill="FFFF00"/>
            <w:vAlign w:val="center"/>
          </w:tcPr>
          <w:p w14:paraId="2D2030A9"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tcBorders>
              <w:top w:val="single" w:sz="8" w:space="0" w:color="auto"/>
            </w:tcBorders>
            <w:vAlign w:val="center"/>
            <w:hideMark/>
          </w:tcPr>
          <w:p w14:paraId="46F77F69" w14:textId="77777777" w:rsidR="000E5963" w:rsidRPr="000E5963" w:rsidRDefault="000E5963" w:rsidP="000E5963">
            <w:pPr>
              <w:spacing w:after="0" w:line="240" w:lineRule="auto"/>
              <w:ind w:right="33" w:hanging="111"/>
              <w:rPr>
                <w:rFonts w:ascii="Calibri" w:eastAsia="Calibri" w:hAnsi="Calibri" w:cs="Calibri"/>
                <w:sz w:val="22"/>
                <w:szCs w:val="22"/>
                <w:lang w:val="en-IE" w:eastAsia="en-IE"/>
              </w:rPr>
            </w:pPr>
          </w:p>
        </w:tc>
      </w:tr>
      <w:tr w:rsidR="000E5963" w:rsidRPr="000E5963" w14:paraId="0BAD29D4" w14:textId="77777777" w:rsidTr="000E5963">
        <w:trPr>
          <w:trHeight w:val="249"/>
        </w:trPr>
        <w:tc>
          <w:tcPr>
            <w:tcW w:w="261" w:type="dxa"/>
            <w:shd w:val="clear" w:color="auto" w:fill="FFFFFF"/>
            <w:noWrap/>
            <w:vAlign w:val="bottom"/>
            <w:hideMark/>
          </w:tcPr>
          <w:p w14:paraId="679FAC7F"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73A97D11"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assets</w:t>
            </w:r>
          </w:p>
        </w:tc>
        <w:tc>
          <w:tcPr>
            <w:tcW w:w="3115" w:type="dxa"/>
            <w:shd w:val="clear" w:color="auto" w:fill="FFFFFF"/>
            <w:vAlign w:val="center"/>
          </w:tcPr>
          <w:p w14:paraId="482FFBD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left w:val="nil"/>
              <w:bottom w:val="single" w:sz="12" w:space="0" w:color="auto"/>
              <w:right w:val="nil"/>
            </w:tcBorders>
            <w:shd w:val="clear" w:color="auto" w:fill="FFFF00"/>
          </w:tcPr>
          <w:p w14:paraId="73DC90DC" w14:textId="1A682798" w:rsidR="000E5963" w:rsidRPr="000E5963" w:rsidRDefault="00F47AAB"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16,3</w:t>
            </w:r>
            <w:r w:rsidR="00B40352">
              <w:rPr>
                <w:rFonts w:ascii="Calibri" w:eastAsia="Calibri" w:hAnsi="Calibri" w:cs="Calibri"/>
                <w:b/>
                <w:sz w:val="22"/>
                <w:szCs w:val="22"/>
                <w:lang w:val="en-IE" w:eastAsia="en-IE"/>
              </w:rPr>
              <w:t>89.1</w:t>
            </w:r>
          </w:p>
        </w:tc>
        <w:tc>
          <w:tcPr>
            <w:tcW w:w="1137" w:type="dxa"/>
            <w:tcBorders>
              <w:left w:val="nil"/>
              <w:bottom w:val="single" w:sz="12" w:space="0" w:color="auto"/>
              <w:right w:val="nil"/>
            </w:tcBorders>
            <w:hideMark/>
          </w:tcPr>
          <w:p w14:paraId="6FAE4580" w14:textId="77777777" w:rsidR="000E5963" w:rsidRPr="000E5963" w:rsidRDefault="000E5963" w:rsidP="000E5963">
            <w:pPr>
              <w:spacing w:after="0" w:line="240" w:lineRule="auto"/>
              <w:ind w:right="33" w:hanging="111"/>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17,507.0</w:t>
            </w:r>
          </w:p>
        </w:tc>
      </w:tr>
      <w:tr w:rsidR="000E5963" w:rsidRPr="000E5963" w14:paraId="00BF96A3" w14:textId="77777777" w:rsidTr="000E5963">
        <w:trPr>
          <w:trHeight w:val="249"/>
        </w:trPr>
        <w:tc>
          <w:tcPr>
            <w:tcW w:w="261" w:type="dxa"/>
            <w:shd w:val="clear" w:color="auto" w:fill="FFFFFF"/>
            <w:noWrap/>
            <w:vAlign w:val="bottom"/>
            <w:hideMark/>
          </w:tcPr>
          <w:p w14:paraId="0D2A53E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BE18D00"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tcPr>
          <w:p w14:paraId="06EB08CD"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12" w:space="0" w:color="auto"/>
            </w:tcBorders>
            <w:shd w:val="clear" w:color="auto" w:fill="FFFF00"/>
            <w:vAlign w:val="bottom"/>
          </w:tcPr>
          <w:p w14:paraId="01BD651C"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tcBorders>
              <w:top w:val="single" w:sz="12" w:space="0" w:color="auto"/>
            </w:tcBorders>
            <w:vAlign w:val="bottom"/>
            <w:hideMark/>
          </w:tcPr>
          <w:p w14:paraId="59DCA555"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77C45353" w14:textId="77777777" w:rsidTr="000E5963">
        <w:trPr>
          <w:trHeight w:val="249"/>
        </w:trPr>
        <w:tc>
          <w:tcPr>
            <w:tcW w:w="261" w:type="dxa"/>
            <w:shd w:val="clear" w:color="auto" w:fill="FFFFFF"/>
            <w:noWrap/>
            <w:vAlign w:val="bottom"/>
            <w:hideMark/>
          </w:tcPr>
          <w:p w14:paraId="51028CC8"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69DFBCE1"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Current liabilities</w:t>
            </w:r>
          </w:p>
        </w:tc>
        <w:tc>
          <w:tcPr>
            <w:tcW w:w="3115" w:type="dxa"/>
            <w:shd w:val="clear" w:color="auto" w:fill="FFFFFF"/>
            <w:vAlign w:val="center"/>
          </w:tcPr>
          <w:p w14:paraId="475E0271"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7C9088CE"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hideMark/>
          </w:tcPr>
          <w:p w14:paraId="4FDD4C48"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50611FFF" w14:textId="77777777" w:rsidTr="000E5963">
        <w:trPr>
          <w:trHeight w:val="249"/>
        </w:trPr>
        <w:tc>
          <w:tcPr>
            <w:tcW w:w="261" w:type="dxa"/>
            <w:shd w:val="clear" w:color="auto" w:fill="FFFFFF"/>
            <w:noWrap/>
            <w:vAlign w:val="bottom"/>
            <w:hideMark/>
          </w:tcPr>
          <w:p w14:paraId="41BD89F1"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1F61C6E2"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Provisions</w:t>
            </w:r>
          </w:p>
        </w:tc>
        <w:tc>
          <w:tcPr>
            <w:tcW w:w="3115" w:type="dxa"/>
            <w:shd w:val="clear" w:color="auto" w:fill="FFFFFF"/>
            <w:vAlign w:val="center"/>
          </w:tcPr>
          <w:p w14:paraId="051787E6"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72C53414" w14:textId="40226DF1" w:rsidR="000E5963" w:rsidRPr="000E5963" w:rsidRDefault="00EA665F"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50.2</w:t>
            </w:r>
          </w:p>
        </w:tc>
        <w:tc>
          <w:tcPr>
            <w:tcW w:w="1137" w:type="dxa"/>
            <w:hideMark/>
          </w:tcPr>
          <w:p w14:paraId="126BE5F2"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53.5</w:t>
            </w:r>
          </w:p>
        </w:tc>
      </w:tr>
      <w:tr w:rsidR="000E5963" w:rsidRPr="000E5963" w14:paraId="490128B6" w14:textId="77777777" w:rsidTr="000E5963">
        <w:trPr>
          <w:trHeight w:val="249"/>
        </w:trPr>
        <w:tc>
          <w:tcPr>
            <w:tcW w:w="261" w:type="dxa"/>
            <w:shd w:val="clear" w:color="auto" w:fill="FFFFFF"/>
            <w:noWrap/>
            <w:vAlign w:val="bottom"/>
            <w:hideMark/>
          </w:tcPr>
          <w:p w14:paraId="3915647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04BCC3A4"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Trade payables</w:t>
            </w:r>
          </w:p>
        </w:tc>
        <w:tc>
          <w:tcPr>
            <w:tcW w:w="3115" w:type="dxa"/>
            <w:shd w:val="clear" w:color="auto" w:fill="FFFFFF"/>
            <w:vAlign w:val="center"/>
          </w:tcPr>
          <w:p w14:paraId="58AA0ED8" w14:textId="5FA3C4DF"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0F084B04" w14:textId="422D7B4E" w:rsidR="000E5963" w:rsidRPr="000E5963" w:rsidRDefault="005524A5"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582.4</w:t>
            </w:r>
          </w:p>
        </w:tc>
        <w:tc>
          <w:tcPr>
            <w:tcW w:w="1137" w:type="dxa"/>
            <w:hideMark/>
          </w:tcPr>
          <w:p w14:paraId="4C328410"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702.0</w:t>
            </w:r>
          </w:p>
        </w:tc>
      </w:tr>
      <w:tr w:rsidR="000E5963" w:rsidRPr="000E5963" w14:paraId="5B6300C9" w14:textId="77777777" w:rsidTr="000E5963">
        <w:trPr>
          <w:trHeight w:val="249"/>
        </w:trPr>
        <w:tc>
          <w:tcPr>
            <w:tcW w:w="261" w:type="dxa"/>
            <w:shd w:val="clear" w:color="auto" w:fill="FFFFFF"/>
            <w:noWrap/>
            <w:vAlign w:val="bottom"/>
            <w:hideMark/>
          </w:tcPr>
          <w:p w14:paraId="4C83B23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35901F5"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Accrued expenses and other liabilities</w:t>
            </w:r>
          </w:p>
        </w:tc>
        <w:tc>
          <w:tcPr>
            <w:tcW w:w="3115" w:type="dxa"/>
            <w:shd w:val="clear" w:color="auto" w:fill="FFFFFF"/>
            <w:vAlign w:val="center"/>
          </w:tcPr>
          <w:p w14:paraId="38ACF84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5EBCD750" w14:textId="6C5FB423" w:rsidR="000E5963" w:rsidRPr="000E5963" w:rsidRDefault="000C2903"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4,</w:t>
            </w:r>
            <w:r w:rsidR="009E5FB6">
              <w:rPr>
                <w:rFonts w:ascii="Calibri" w:eastAsia="Calibri" w:hAnsi="Calibri" w:cs="Calibri"/>
                <w:b/>
                <w:sz w:val="22"/>
                <w:szCs w:val="22"/>
                <w:lang w:val="en-IE" w:eastAsia="en-IE"/>
              </w:rPr>
              <w:t>0</w:t>
            </w:r>
            <w:r w:rsidR="00BF07AF">
              <w:rPr>
                <w:rFonts w:ascii="Calibri" w:eastAsia="Calibri" w:hAnsi="Calibri" w:cs="Calibri"/>
                <w:b/>
                <w:sz w:val="22"/>
                <w:szCs w:val="22"/>
                <w:lang w:val="en-IE" w:eastAsia="en-IE"/>
              </w:rPr>
              <w:t>47</w:t>
            </w:r>
            <w:r w:rsidR="00014CB9">
              <w:rPr>
                <w:rFonts w:ascii="Calibri" w:eastAsia="Calibri" w:hAnsi="Calibri" w:cs="Calibri"/>
                <w:b/>
                <w:sz w:val="22"/>
                <w:szCs w:val="22"/>
                <w:lang w:val="en-IE" w:eastAsia="en-IE"/>
              </w:rPr>
              <w:t>.</w:t>
            </w:r>
            <w:r w:rsidR="00961C7D">
              <w:rPr>
                <w:rFonts w:ascii="Calibri" w:eastAsia="Calibri" w:hAnsi="Calibri" w:cs="Calibri"/>
                <w:b/>
                <w:sz w:val="22"/>
                <w:szCs w:val="22"/>
                <w:lang w:val="en-IE" w:eastAsia="en-IE"/>
              </w:rPr>
              <w:t>4</w:t>
            </w:r>
          </w:p>
        </w:tc>
        <w:tc>
          <w:tcPr>
            <w:tcW w:w="1137" w:type="dxa"/>
            <w:hideMark/>
          </w:tcPr>
          <w:p w14:paraId="0D9D0204"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6,179.4</w:t>
            </w:r>
          </w:p>
        </w:tc>
      </w:tr>
      <w:tr w:rsidR="000E5963" w:rsidRPr="000E5963" w14:paraId="17EFF3D5" w14:textId="77777777" w:rsidTr="000E5963">
        <w:trPr>
          <w:trHeight w:val="249"/>
        </w:trPr>
        <w:tc>
          <w:tcPr>
            <w:tcW w:w="261" w:type="dxa"/>
            <w:shd w:val="clear" w:color="auto" w:fill="FFFFFF"/>
            <w:noWrap/>
            <w:vAlign w:val="bottom"/>
            <w:hideMark/>
          </w:tcPr>
          <w:p w14:paraId="0021F4BE"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1B6C8B5"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Current lease liability</w:t>
            </w:r>
          </w:p>
        </w:tc>
        <w:tc>
          <w:tcPr>
            <w:tcW w:w="3115" w:type="dxa"/>
            <w:shd w:val="clear" w:color="auto" w:fill="FFFFFF"/>
            <w:vAlign w:val="center"/>
          </w:tcPr>
          <w:p w14:paraId="4C3E9D9F"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1931CB22" w14:textId="01277386" w:rsidR="000E5963" w:rsidRPr="000E5963" w:rsidRDefault="00F37F40"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35.1</w:t>
            </w:r>
          </w:p>
        </w:tc>
        <w:tc>
          <w:tcPr>
            <w:tcW w:w="1137" w:type="dxa"/>
            <w:hideMark/>
          </w:tcPr>
          <w:p w14:paraId="264AA02F"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37.7</w:t>
            </w:r>
          </w:p>
        </w:tc>
      </w:tr>
      <w:tr w:rsidR="000E5963" w:rsidRPr="000E5963" w14:paraId="70A4D015" w14:textId="77777777" w:rsidTr="000E5963">
        <w:trPr>
          <w:trHeight w:val="249"/>
        </w:trPr>
        <w:tc>
          <w:tcPr>
            <w:tcW w:w="261" w:type="dxa"/>
            <w:shd w:val="clear" w:color="auto" w:fill="FFFFFF"/>
            <w:noWrap/>
            <w:vAlign w:val="bottom"/>
            <w:hideMark/>
          </w:tcPr>
          <w:p w14:paraId="6B69F42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5AC8DB87"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Current maturities of debt</w:t>
            </w:r>
          </w:p>
        </w:tc>
        <w:tc>
          <w:tcPr>
            <w:tcW w:w="3115" w:type="dxa"/>
            <w:shd w:val="clear" w:color="auto" w:fill="FFFFFF"/>
            <w:vAlign w:val="center"/>
          </w:tcPr>
          <w:p w14:paraId="669AB603" w14:textId="17AD0EB8"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shd w:val="clear" w:color="auto" w:fill="FFFF00"/>
          </w:tcPr>
          <w:p w14:paraId="5845877A" w14:textId="5A66DAE6" w:rsidR="000E5963" w:rsidRPr="000E5963" w:rsidRDefault="00F37F40"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1,198.8</w:t>
            </w:r>
          </w:p>
        </w:tc>
        <w:tc>
          <w:tcPr>
            <w:tcW w:w="1137" w:type="dxa"/>
            <w:hideMark/>
          </w:tcPr>
          <w:p w14:paraId="7E6B2CDB"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848.4</w:t>
            </w:r>
          </w:p>
        </w:tc>
      </w:tr>
      <w:tr w:rsidR="000E5963" w:rsidRPr="000E5963" w14:paraId="5FA58276" w14:textId="77777777" w:rsidTr="000E5963">
        <w:trPr>
          <w:trHeight w:val="249"/>
        </w:trPr>
        <w:tc>
          <w:tcPr>
            <w:tcW w:w="261" w:type="dxa"/>
            <w:shd w:val="clear" w:color="auto" w:fill="FFFFFF"/>
            <w:noWrap/>
            <w:vAlign w:val="bottom"/>
            <w:hideMark/>
          </w:tcPr>
          <w:p w14:paraId="7DCF9FA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12CA469"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Derivative financial instruments</w:t>
            </w:r>
          </w:p>
        </w:tc>
        <w:tc>
          <w:tcPr>
            <w:tcW w:w="3115" w:type="dxa"/>
            <w:shd w:val="clear" w:color="auto" w:fill="FFFFFF"/>
            <w:vAlign w:val="center"/>
          </w:tcPr>
          <w:p w14:paraId="48AC026C" w14:textId="410C53AD"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09E5BE82" w14:textId="0F27857E" w:rsidR="000E5963" w:rsidRPr="000E5963" w:rsidRDefault="00F37F40"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282.2</w:t>
            </w:r>
          </w:p>
        </w:tc>
        <w:tc>
          <w:tcPr>
            <w:tcW w:w="1137" w:type="dxa"/>
            <w:hideMark/>
          </w:tcPr>
          <w:p w14:paraId="4DCA2976"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224.7</w:t>
            </w:r>
          </w:p>
        </w:tc>
      </w:tr>
      <w:tr w:rsidR="000E5963" w:rsidRPr="000E5963" w14:paraId="5B3919ED" w14:textId="77777777" w:rsidTr="000E5963">
        <w:trPr>
          <w:trHeight w:val="249"/>
        </w:trPr>
        <w:tc>
          <w:tcPr>
            <w:tcW w:w="261" w:type="dxa"/>
            <w:shd w:val="clear" w:color="auto" w:fill="FFFFFF"/>
            <w:noWrap/>
            <w:vAlign w:val="bottom"/>
            <w:hideMark/>
          </w:tcPr>
          <w:p w14:paraId="6B8AC69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5F1E4B3"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Current tax</w:t>
            </w:r>
          </w:p>
        </w:tc>
        <w:tc>
          <w:tcPr>
            <w:tcW w:w="3115" w:type="dxa"/>
            <w:shd w:val="clear" w:color="auto" w:fill="FFFFFF"/>
            <w:vAlign w:val="center"/>
          </w:tcPr>
          <w:p w14:paraId="6BDF9073"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7AB57B6B" w14:textId="4C2B6DDC" w:rsidR="000E5963" w:rsidRPr="000E5963" w:rsidRDefault="00B40352"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405.5</w:t>
            </w:r>
          </w:p>
        </w:tc>
        <w:tc>
          <w:tcPr>
            <w:tcW w:w="1137" w:type="dxa"/>
            <w:hideMark/>
          </w:tcPr>
          <w:p w14:paraId="1F4CAA97"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107.1</w:t>
            </w:r>
          </w:p>
        </w:tc>
      </w:tr>
      <w:tr w:rsidR="000E5963" w:rsidRPr="000E5963" w14:paraId="60984DF5" w14:textId="77777777" w:rsidTr="000E5963">
        <w:trPr>
          <w:trHeight w:val="249"/>
        </w:trPr>
        <w:tc>
          <w:tcPr>
            <w:tcW w:w="261" w:type="dxa"/>
            <w:shd w:val="clear" w:color="auto" w:fill="FFFFFF"/>
            <w:noWrap/>
            <w:vAlign w:val="bottom"/>
            <w:hideMark/>
          </w:tcPr>
          <w:p w14:paraId="38A4865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AC2B15E"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current liabilities</w:t>
            </w:r>
          </w:p>
        </w:tc>
        <w:tc>
          <w:tcPr>
            <w:tcW w:w="3115" w:type="dxa"/>
            <w:shd w:val="clear" w:color="auto" w:fill="FFFFFF"/>
            <w:vAlign w:val="center"/>
          </w:tcPr>
          <w:p w14:paraId="3A1B1CFE"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single" w:sz="8" w:space="0" w:color="auto"/>
              <w:left w:val="nil"/>
              <w:bottom w:val="single" w:sz="8" w:space="0" w:color="auto"/>
              <w:right w:val="nil"/>
            </w:tcBorders>
            <w:shd w:val="clear" w:color="auto" w:fill="FFFF00"/>
          </w:tcPr>
          <w:p w14:paraId="3D341ECE" w14:textId="76C04AC0" w:rsidR="000E5963" w:rsidRPr="000E5963" w:rsidRDefault="005F208F"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w:t>
            </w:r>
            <w:r w:rsidR="00B40352">
              <w:rPr>
                <w:rFonts w:ascii="Calibri" w:eastAsia="Times New Roman" w:hAnsi="Calibri" w:cs="Calibri"/>
                <w:b/>
                <w:bCs/>
                <w:color w:val="000000"/>
                <w:sz w:val="22"/>
                <w:szCs w:val="22"/>
                <w:lang w:val="en-IE" w:eastAsia="en-IE"/>
              </w:rPr>
              <w:t>601.6</w:t>
            </w:r>
          </w:p>
        </w:tc>
        <w:tc>
          <w:tcPr>
            <w:tcW w:w="1137" w:type="dxa"/>
            <w:tcBorders>
              <w:top w:val="single" w:sz="8" w:space="0" w:color="auto"/>
              <w:left w:val="nil"/>
              <w:bottom w:val="single" w:sz="8" w:space="0" w:color="auto"/>
              <w:right w:val="nil"/>
            </w:tcBorders>
            <w:hideMark/>
          </w:tcPr>
          <w:p w14:paraId="138E9935"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8,152.8</w:t>
            </w:r>
          </w:p>
        </w:tc>
      </w:tr>
      <w:tr w:rsidR="000E5963" w:rsidRPr="000E5963" w14:paraId="1BA52515" w14:textId="77777777" w:rsidTr="000E5963">
        <w:trPr>
          <w:trHeight w:val="249"/>
        </w:trPr>
        <w:tc>
          <w:tcPr>
            <w:tcW w:w="261" w:type="dxa"/>
            <w:shd w:val="clear" w:color="auto" w:fill="FFFFFF"/>
            <w:noWrap/>
            <w:vAlign w:val="bottom"/>
            <w:hideMark/>
          </w:tcPr>
          <w:p w14:paraId="4DF3A9B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7C19E2E"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 </w:t>
            </w:r>
          </w:p>
        </w:tc>
        <w:tc>
          <w:tcPr>
            <w:tcW w:w="3115" w:type="dxa"/>
            <w:shd w:val="clear" w:color="auto" w:fill="FFFFFF"/>
            <w:vAlign w:val="center"/>
          </w:tcPr>
          <w:p w14:paraId="79DE0AFF"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5658D2FE"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hideMark/>
          </w:tcPr>
          <w:p w14:paraId="28A34BF1"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7D613454" w14:textId="77777777" w:rsidTr="000E5963">
        <w:trPr>
          <w:trHeight w:val="249"/>
        </w:trPr>
        <w:tc>
          <w:tcPr>
            <w:tcW w:w="261" w:type="dxa"/>
            <w:shd w:val="clear" w:color="auto" w:fill="FFFFFF"/>
            <w:noWrap/>
            <w:vAlign w:val="bottom"/>
            <w:hideMark/>
          </w:tcPr>
          <w:p w14:paraId="298C69E0"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0AC688A6"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Non-current liabilities</w:t>
            </w:r>
          </w:p>
        </w:tc>
        <w:tc>
          <w:tcPr>
            <w:tcW w:w="3115" w:type="dxa"/>
            <w:shd w:val="clear" w:color="auto" w:fill="FFFFFF"/>
            <w:vAlign w:val="center"/>
          </w:tcPr>
          <w:p w14:paraId="7D750CB6"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0E759C1B"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hideMark/>
          </w:tcPr>
          <w:p w14:paraId="50F26032"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43FF6025" w14:textId="77777777" w:rsidTr="000E5963">
        <w:trPr>
          <w:trHeight w:val="249"/>
        </w:trPr>
        <w:tc>
          <w:tcPr>
            <w:tcW w:w="261" w:type="dxa"/>
            <w:shd w:val="clear" w:color="auto" w:fill="FFFFFF"/>
            <w:noWrap/>
            <w:vAlign w:val="bottom"/>
            <w:hideMark/>
          </w:tcPr>
          <w:p w14:paraId="15217660"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3FC6FE17"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Provisions</w:t>
            </w:r>
          </w:p>
        </w:tc>
        <w:tc>
          <w:tcPr>
            <w:tcW w:w="3115" w:type="dxa"/>
            <w:shd w:val="clear" w:color="auto" w:fill="FFFFFF"/>
            <w:vAlign w:val="center"/>
          </w:tcPr>
          <w:p w14:paraId="500EA18E"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5C589F53" w14:textId="20EFD56D" w:rsidR="000E5963" w:rsidRPr="000E5963" w:rsidRDefault="00F20DCB"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w:t>
            </w:r>
            <w:r w:rsidR="00951DC1">
              <w:rPr>
                <w:rFonts w:ascii="Calibri" w:eastAsia="Calibri" w:hAnsi="Calibri" w:cs="Calibri"/>
                <w:b/>
                <w:sz w:val="22"/>
                <w:szCs w:val="22"/>
                <w:lang w:val="en-IE" w:eastAsia="en-IE"/>
              </w:rPr>
              <w:t>36.0</w:t>
            </w:r>
          </w:p>
        </w:tc>
        <w:tc>
          <w:tcPr>
            <w:tcW w:w="1137" w:type="dxa"/>
            <w:shd w:val="clear" w:color="auto" w:fill="FFFFFF"/>
            <w:hideMark/>
          </w:tcPr>
          <w:p w14:paraId="4EE50BB8"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141.1</w:t>
            </w:r>
          </w:p>
        </w:tc>
      </w:tr>
      <w:tr w:rsidR="000E5963" w:rsidRPr="000E5963" w14:paraId="32B2248D" w14:textId="77777777" w:rsidTr="000E5963">
        <w:trPr>
          <w:trHeight w:val="249"/>
        </w:trPr>
        <w:tc>
          <w:tcPr>
            <w:tcW w:w="261" w:type="dxa"/>
            <w:shd w:val="clear" w:color="auto" w:fill="FFFFFF"/>
            <w:noWrap/>
            <w:vAlign w:val="bottom"/>
            <w:hideMark/>
          </w:tcPr>
          <w:p w14:paraId="37183E2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815991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xml:space="preserve">Derivative financial instruments </w:t>
            </w:r>
          </w:p>
        </w:tc>
        <w:tc>
          <w:tcPr>
            <w:tcW w:w="3115" w:type="dxa"/>
            <w:shd w:val="clear" w:color="auto" w:fill="FFFFFF"/>
            <w:vAlign w:val="center"/>
          </w:tcPr>
          <w:p w14:paraId="2F9FCECB" w14:textId="50030839"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1</w:t>
            </w:r>
            <w:r w:rsidR="00AC688D">
              <w:rPr>
                <w:rFonts w:ascii="Calibri" w:eastAsia="Times New Roman" w:hAnsi="Calibri" w:cs="Calibri"/>
                <w:b/>
                <w:bCs/>
                <w:color w:val="000000"/>
                <w:sz w:val="22"/>
                <w:szCs w:val="22"/>
                <w:lang w:val="en-IE" w:eastAsia="en-IE"/>
              </w:rPr>
              <w:t>0</w:t>
            </w:r>
          </w:p>
        </w:tc>
        <w:tc>
          <w:tcPr>
            <w:tcW w:w="1134" w:type="dxa"/>
            <w:shd w:val="clear" w:color="auto" w:fill="FFFF00"/>
          </w:tcPr>
          <w:p w14:paraId="20CD12BF" w14:textId="18DAD370" w:rsidR="000E5963" w:rsidRPr="000E5963" w:rsidRDefault="00F20DCB"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74.9</w:t>
            </w:r>
          </w:p>
        </w:tc>
        <w:tc>
          <w:tcPr>
            <w:tcW w:w="1137" w:type="dxa"/>
            <w:shd w:val="clear" w:color="auto" w:fill="FFFFFF"/>
            <w:hideMark/>
          </w:tcPr>
          <w:p w14:paraId="7654EA6C"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2.5</w:t>
            </w:r>
          </w:p>
        </w:tc>
      </w:tr>
      <w:tr w:rsidR="000E5963" w:rsidRPr="000E5963" w14:paraId="73A2A4ED" w14:textId="77777777" w:rsidTr="000E5963">
        <w:trPr>
          <w:trHeight w:val="249"/>
        </w:trPr>
        <w:tc>
          <w:tcPr>
            <w:tcW w:w="261" w:type="dxa"/>
            <w:shd w:val="clear" w:color="auto" w:fill="FFFFFF"/>
            <w:noWrap/>
            <w:vAlign w:val="bottom"/>
            <w:hideMark/>
          </w:tcPr>
          <w:p w14:paraId="7730FDAD" w14:textId="77777777" w:rsidR="000E5963" w:rsidRPr="000E5963" w:rsidRDefault="000E5963" w:rsidP="000E5963">
            <w:pPr>
              <w:spacing w:after="0" w:line="240" w:lineRule="auto"/>
              <w:rPr>
                <w:rFonts w:ascii="Calibri" w:eastAsia="Times New Roman" w:hAnsi="Calibri" w:cs="Calibri"/>
                <w:color w:val="000000"/>
                <w:sz w:val="22"/>
                <w:szCs w:val="22"/>
                <w:highlight w:val="yellow"/>
                <w:lang w:val="en-IE" w:eastAsia="en-IE"/>
              </w:rPr>
            </w:pPr>
          </w:p>
        </w:tc>
        <w:tc>
          <w:tcPr>
            <w:tcW w:w="5414" w:type="dxa"/>
            <w:shd w:val="clear" w:color="auto" w:fill="FFFFFF"/>
            <w:vAlign w:val="center"/>
            <w:hideMark/>
          </w:tcPr>
          <w:p w14:paraId="2D80C87D"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Deferred tax</w:t>
            </w:r>
          </w:p>
        </w:tc>
        <w:tc>
          <w:tcPr>
            <w:tcW w:w="3115" w:type="dxa"/>
            <w:shd w:val="clear" w:color="auto" w:fill="FFFFFF"/>
            <w:vAlign w:val="center"/>
          </w:tcPr>
          <w:p w14:paraId="409839F4"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2AF4179D" w14:textId="7A9A8443" w:rsidR="000E5963" w:rsidRPr="000E5963" w:rsidRDefault="005A52FB"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w:t>
            </w:r>
            <w:r w:rsidR="00906C09">
              <w:rPr>
                <w:rFonts w:ascii="Calibri" w:eastAsia="Calibri" w:hAnsi="Calibri" w:cs="Calibri"/>
                <w:b/>
                <w:sz w:val="22"/>
                <w:szCs w:val="22"/>
                <w:lang w:val="en-IE" w:eastAsia="en-IE"/>
              </w:rPr>
              <w:t>73.7</w:t>
            </w:r>
          </w:p>
        </w:tc>
        <w:tc>
          <w:tcPr>
            <w:tcW w:w="1137" w:type="dxa"/>
            <w:shd w:val="clear" w:color="auto" w:fill="FFFFFF"/>
            <w:hideMark/>
          </w:tcPr>
          <w:p w14:paraId="713AB0EF"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377.1</w:t>
            </w:r>
          </w:p>
        </w:tc>
      </w:tr>
      <w:tr w:rsidR="000E5963" w:rsidRPr="000E5963" w14:paraId="4B6BEF60" w14:textId="77777777" w:rsidTr="000E5963">
        <w:trPr>
          <w:trHeight w:val="249"/>
        </w:trPr>
        <w:tc>
          <w:tcPr>
            <w:tcW w:w="261" w:type="dxa"/>
            <w:shd w:val="clear" w:color="auto" w:fill="FFFFFF"/>
            <w:noWrap/>
            <w:vAlign w:val="bottom"/>
            <w:hideMark/>
          </w:tcPr>
          <w:p w14:paraId="419E0BB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67342972"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Non-current lease liability</w:t>
            </w:r>
          </w:p>
        </w:tc>
        <w:tc>
          <w:tcPr>
            <w:tcW w:w="3115" w:type="dxa"/>
            <w:shd w:val="clear" w:color="auto" w:fill="FFFFFF"/>
            <w:vAlign w:val="center"/>
          </w:tcPr>
          <w:p w14:paraId="5726DC9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shd w:val="clear" w:color="auto" w:fill="FFFF00"/>
          </w:tcPr>
          <w:p w14:paraId="08E8A4EF" w14:textId="37138CD0" w:rsidR="000E5963" w:rsidRPr="000E5963" w:rsidRDefault="00F20DCB"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85.7</w:t>
            </w:r>
          </w:p>
        </w:tc>
        <w:tc>
          <w:tcPr>
            <w:tcW w:w="1137" w:type="dxa"/>
            <w:shd w:val="clear" w:color="auto" w:fill="FFFFFF"/>
            <w:hideMark/>
          </w:tcPr>
          <w:p w14:paraId="600C1AC5"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111.4</w:t>
            </w:r>
          </w:p>
        </w:tc>
      </w:tr>
      <w:tr w:rsidR="000E5963" w:rsidRPr="000E5963" w14:paraId="1EF33930" w14:textId="77777777" w:rsidTr="000E5963">
        <w:trPr>
          <w:trHeight w:val="249"/>
        </w:trPr>
        <w:tc>
          <w:tcPr>
            <w:tcW w:w="261" w:type="dxa"/>
            <w:shd w:val="clear" w:color="auto" w:fill="FFFFFF"/>
            <w:noWrap/>
            <w:vAlign w:val="bottom"/>
            <w:hideMark/>
          </w:tcPr>
          <w:p w14:paraId="06CB20B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9B333CC"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Non-current maturities of debt</w:t>
            </w:r>
          </w:p>
        </w:tc>
        <w:tc>
          <w:tcPr>
            <w:tcW w:w="3115" w:type="dxa"/>
            <w:shd w:val="clear" w:color="auto" w:fill="FFFFFF"/>
            <w:vAlign w:val="center"/>
          </w:tcPr>
          <w:p w14:paraId="2AD6E3BD" w14:textId="2969A19B" w:rsidR="000E5963" w:rsidRPr="000E5963" w:rsidRDefault="000E5963" w:rsidP="000E5963">
            <w:pPr>
              <w:spacing w:after="0" w:line="240" w:lineRule="auto"/>
              <w:jc w:val="right"/>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1</w:t>
            </w:r>
            <w:r w:rsidR="00AC688D">
              <w:rPr>
                <w:rFonts w:ascii="Calibri" w:eastAsia="Times New Roman" w:hAnsi="Calibri" w:cs="Calibri"/>
                <w:b/>
                <w:bCs/>
                <w:sz w:val="22"/>
                <w:szCs w:val="22"/>
                <w:lang w:val="en-IE" w:eastAsia="en-IE"/>
              </w:rPr>
              <w:t>0</w:t>
            </w:r>
          </w:p>
        </w:tc>
        <w:tc>
          <w:tcPr>
            <w:tcW w:w="1134" w:type="dxa"/>
            <w:tcBorders>
              <w:top w:val="nil"/>
              <w:left w:val="nil"/>
              <w:bottom w:val="single" w:sz="8" w:space="0" w:color="auto"/>
              <w:right w:val="nil"/>
            </w:tcBorders>
            <w:shd w:val="clear" w:color="auto" w:fill="FFFF00"/>
          </w:tcPr>
          <w:p w14:paraId="10EBA035" w14:textId="4D815F29" w:rsidR="000E5963" w:rsidRPr="000E5963" w:rsidRDefault="00F20DCB"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147.4</w:t>
            </w:r>
          </w:p>
        </w:tc>
        <w:tc>
          <w:tcPr>
            <w:tcW w:w="1137" w:type="dxa"/>
            <w:tcBorders>
              <w:top w:val="nil"/>
              <w:left w:val="nil"/>
              <w:bottom w:val="single" w:sz="8" w:space="0" w:color="auto"/>
              <w:right w:val="nil"/>
            </w:tcBorders>
            <w:shd w:val="clear" w:color="auto" w:fill="FFFFFF"/>
            <w:hideMark/>
          </w:tcPr>
          <w:p w14:paraId="3A6DBCDD" w14:textId="5D3CC689" w:rsidR="000E5963" w:rsidRPr="000E5963" w:rsidRDefault="00987727" w:rsidP="000E5963">
            <w:pPr>
              <w:spacing w:after="0" w:line="240" w:lineRule="auto"/>
              <w:ind w:right="33"/>
              <w:jc w:val="right"/>
              <w:rPr>
                <w:rFonts w:ascii="Calibri" w:eastAsia="Times New Roman" w:hAnsi="Calibri" w:cs="Calibri"/>
                <w:color w:val="000000"/>
                <w:sz w:val="22"/>
                <w:szCs w:val="22"/>
                <w:lang w:val="en-IE" w:eastAsia="en-IE"/>
              </w:rPr>
            </w:pPr>
            <w:r>
              <w:rPr>
                <w:rFonts w:ascii="Calibri" w:eastAsia="Calibri" w:hAnsi="Calibri" w:cs="Calibri"/>
                <w:sz w:val="22"/>
                <w:szCs w:val="22"/>
                <w:lang w:val="en-IE" w:eastAsia="en-IE"/>
              </w:rPr>
              <w:t>1</w:t>
            </w:r>
            <w:r w:rsidR="000E5963" w:rsidRPr="000E5963">
              <w:rPr>
                <w:rFonts w:ascii="Calibri" w:eastAsia="Calibri" w:hAnsi="Calibri" w:cs="Calibri"/>
                <w:sz w:val="22"/>
                <w:szCs w:val="22"/>
                <w:lang w:val="en-IE" w:eastAsia="en-IE"/>
              </w:rPr>
              <w:t>,685.2</w:t>
            </w:r>
          </w:p>
        </w:tc>
      </w:tr>
      <w:tr w:rsidR="000E5963" w:rsidRPr="000E5963" w14:paraId="0F056907" w14:textId="77777777" w:rsidTr="000E5963">
        <w:trPr>
          <w:trHeight w:val="249"/>
        </w:trPr>
        <w:tc>
          <w:tcPr>
            <w:tcW w:w="261" w:type="dxa"/>
            <w:shd w:val="clear" w:color="auto" w:fill="FFFFFF"/>
            <w:noWrap/>
            <w:vAlign w:val="bottom"/>
            <w:hideMark/>
          </w:tcPr>
          <w:p w14:paraId="73E5A42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BD845F6"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non-current liabilities</w:t>
            </w:r>
          </w:p>
        </w:tc>
        <w:tc>
          <w:tcPr>
            <w:tcW w:w="3115" w:type="dxa"/>
            <w:shd w:val="clear" w:color="auto" w:fill="FFFFFF"/>
            <w:vAlign w:val="center"/>
          </w:tcPr>
          <w:p w14:paraId="4300D2B2"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nil"/>
              <w:left w:val="nil"/>
              <w:bottom w:val="single" w:sz="8" w:space="0" w:color="auto"/>
              <w:right w:val="nil"/>
            </w:tcBorders>
            <w:shd w:val="clear" w:color="auto" w:fill="FFFF00"/>
          </w:tcPr>
          <w:p w14:paraId="119FD8D3" w14:textId="7107B21C" w:rsidR="000E5963" w:rsidRPr="000E5963" w:rsidRDefault="00951DC1"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8</w:t>
            </w:r>
            <w:r w:rsidR="00906C09">
              <w:rPr>
                <w:rFonts w:ascii="Calibri" w:eastAsia="Times New Roman" w:hAnsi="Calibri" w:cs="Calibri"/>
                <w:b/>
                <w:bCs/>
                <w:color w:val="000000"/>
                <w:sz w:val="22"/>
                <w:szCs w:val="22"/>
                <w:lang w:val="en-IE" w:eastAsia="en-IE"/>
              </w:rPr>
              <w:t>17.7</w:t>
            </w:r>
          </w:p>
        </w:tc>
        <w:tc>
          <w:tcPr>
            <w:tcW w:w="1137" w:type="dxa"/>
            <w:tcBorders>
              <w:top w:val="nil"/>
              <w:left w:val="nil"/>
              <w:bottom w:val="single" w:sz="8" w:space="0" w:color="auto"/>
              <w:right w:val="nil"/>
            </w:tcBorders>
            <w:shd w:val="clear" w:color="auto" w:fill="FFFFFF"/>
            <w:hideMark/>
          </w:tcPr>
          <w:p w14:paraId="3C4DC82E" w14:textId="77777777" w:rsidR="000E5963" w:rsidRPr="000E5963" w:rsidRDefault="000E5963" w:rsidP="000E5963">
            <w:pPr>
              <w:spacing w:after="0" w:line="240" w:lineRule="auto"/>
              <w:ind w:right="33"/>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2,317.3</w:t>
            </w:r>
          </w:p>
        </w:tc>
      </w:tr>
      <w:tr w:rsidR="000E5963" w:rsidRPr="000E5963" w14:paraId="079A611E" w14:textId="77777777" w:rsidTr="000E5963">
        <w:trPr>
          <w:trHeight w:val="249"/>
        </w:trPr>
        <w:tc>
          <w:tcPr>
            <w:tcW w:w="261" w:type="dxa"/>
            <w:shd w:val="clear" w:color="auto" w:fill="FFFFFF"/>
            <w:noWrap/>
            <w:vAlign w:val="bottom"/>
            <w:hideMark/>
          </w:tcPr>
          <w:p w14:paraId="5D9ADCA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190ED0FA"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tcPr>
          <w:p w14:paraId="6873BB0B"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shd w:val="clear" w:color="auto" w:fill="FFFF00"/>
            <w:vAlign w:val="center"/>
          </w:tcPr>
          <w:p w14:paraId="3ADB85FD"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vAlign w:val="center"/>
            <w:hideMark/>
          </w:tcPr>
          <w:p w14:paraId="12B01175"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72176889" w14:textId="77777777" w:rsidTr="000E5963">
        <w:trPr>
          <w:trHeight w:val="249"/>
        </w:trPr>
        <w:tc>
          <w:tcPr>
            <w:tcW w:w="261" w:type="dxa"/>
            <w:shd w:val="clear" w:color="auto" w:fill="FFFFFF"/>
            <w:noWrap/>
            <w:vAlign w:val="bottom"/>
            <w:hideMark/>
          </w:tcPr>
          <w:p w14:paraId="488C646F"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4CF5DA6E"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Shareholders' equity</w:t>
            </w:r>
          </w:p>
        </w:tc>
        <w:tc>
          <w:tcPr>
            <w:tcW w:w="3115" w:type="dxa"/>
            <w:shd w:val="clear" w:color="auto" w:fill="FFFFFF"/>
            <w:vAlign w:val="center"/>
          </w:tcPr>
          <w:p w14:paraId="0EC97B37" w14:textId="77777777" w:rsidR="000E5963" w:rsidRPr="000E5963" w:rsidRDefault="000E5963" w:rsidP="000E5963">
            <w:pPr>
              <w:spacing w:after="0" w:line="240" w:lineRule="auto"/>
              <w:rPr>
                <w:rFonts w:ascii="Calibri" w:eastAsia="Times New Roman" w:hAnsi="Calibri" w:cs="Calibri"/>
                <w:b/>
                <w:bCs/>
                <w:sz w:val="22"/>
                <w:szCs w:val="22"/>
                <w:highlight w:val="red"/>
                <w:lang w:val="en-IE" w:eastAsia="en-IE"/>
              </w:rPr>
            </w:pPr>
          </w:p>
        </w:tc>
        <w:tc>
          <w:tcPr>
            <w:tcW w:w="1134" w:type="dxa"/>
            <w:shd w:val="clear" w:color="auto" w:fill="FFFF00"/>
          </w:tcPr>
          <w:p w14:paraId="6288AADF"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hideMark/>
          </w:tcPr>
          <w:p w14:paraId="30100833"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621BE324" w14:textId="77777777" w:rsidTr="000E5963">
        <w:trPr>
          <w:trHeight w:val="249"/>
        </w:trPr>
        <w:tc>
          <w:tcPr>
            <w:tcW w:w="261" w:type="dxa"/>
            <w:shd w:val="clear" w:color="auto" w:fill="FFFFFF"/>
            <w:noWrap/>
            <w:vAlign w:val="bottom"/>
            <w:hideMark/>
          </w:tcPr>
          <w:p w14:paraId="07125213"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64E35195"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Issued share capital</w:t>
            </w:r>
          </w:p>
        </w:tc>
        <w:tc>
          <w:tcPr>
            <w:tcW w:w="3115" w:type="dxa"/>
            <w:shd w:val="clear" w:color="auto" w:fill="FFFFFF"/>
            <w:vAlign w:val="center"/>
          </w:tcPr>
          <w:p w14:paraId="7FBDA12F" w14:textId="77777777" w:rsidR="000E5963" w:rsidRPr="000E5963" w:rsidRDefault="000E5963" w:rsidP="000E5963">
            <w:pPr>
              <w:spacing w:after="0" w:line="240" w:lineRule="auto"/>
              <w:jc w:val="right"/>
              <w:rPr>
                <w:rFonts w:ascii="Calibri" w:eastAsia="Times New Roman" w:hAnsi="Calibri" w:cs="Calibri"/>
                <w:b/>
                <w:bCs/>
                <w:color w:val="000000"/>
                <w:sz w:val="22"/>
                <w:szCs w:val="22"/>
                <w:highlight w:val="red"/>
                <w:lang w:val="en-IE" w:eastAsia="en-IE"/>
              </w:rPr>
            </w:pPr>
          </w:p>
        </w:tc>
        <w:tc>
          <w:tcPr>
            <w:tcW w:w="1134" w:type="dxa"/>
            <w:shd w:val="clear" w:color="auto" w:fill="FFFF00"/>
          </w:tcPr>
          <w:p w14:paraId="28DD8309" w14:textId="6E6B587B" w:rsidR="000E5963" w:rsidRPr="000E5963" w:rsidRDefault="006E62AD"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w:t>
            </w:r>
            <w:r w:rsidR="00751969">
              <w:rPr>
                <w:rFonts w:ascii="Calibri" w:eastAsia="Times New Roman" w:hAnsi="Calibri" w:cs="Calibri"/>
                <w:b/>
                <w:bCs/>
                <w:color w:val="000000"/>
                <w:sz w:val="22"/>
                <w:szCs w:val="22"/>
                <w:lang w:val="en-IE" w:eastAsia="en-IE"/>
              </w:rPr>
              <w:t>4</w:t>
            </w:r>
          </w:p>
        </w:tc>
        <w:tc>
          <w:tcPr>
            <w:tcW w:w="1137" w:type="dxa"/>
            <w:shd w:val="clear" w:color="auto" w:fill="FFFFFF"/>
            <w:hideMark/>
          </w:tcPr>
          <w:p w14:paraId="54F8A697"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6.4</w:t>
            </w:r>
          </w:p>
        </w:tc>
      </w:tr>
      <w:tr w:rsidR="000E5963" w:rsidRPr="000E5963" w14:paraId="27B13827" w14:textId="77777777" w:rsidTr="000E5963">
        <w:trPr>
          <w:trHeight w:val="249"/>
        </w:trPr>
        <w:tc>
          <w:tcPr>
            <w:tcW w:w="261" w:type="dxa"/>
            <w:shd w:val="clear" w:color="auto" w:fill="FFFFFF"/>
            <w:noWrap/>
            <w:vAlign w:val="bottom"/>
            <w:hideMark/>
          </w:tcPr>
          <w:p w14:paraId="62E5D8A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26B68E0A"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Share premium account</w:t>
            </w:r>
          </w:p>
        </w:tc>
        <w:tc>
          <w:tcPr>
            <w:tcW w:w="3115" w:type="dxa"/>
            <w:shd w:val="clear" w:color="auto" w:fill="FFFFFF"/>
            <w:vAlign w:val="center"/>
          </w:tcPr>
          <w:p w14:paraId="4473CEA7"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29CBBF46" w14:textId="4899CEAB" w:rsidR="000E5963" w:rsidRPr="000E5963" w:rsidRDefault="006E62AD"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1,43</w:t>
            </w:r>
            <w:r w:rsidR="00800F8C">
              <w:rPr>
                <w:rFonts w:ascii="Calibri" w:eastAsia="Times New Roman" w:hAnsi="Calibri" w:cs="Calibri"/>
                <w:b/>
                <w:bCs/>
                <w:color w:val="000000"/>
                <w:sz w:val="22"/>
                <w:szCs w:val="22"/>
                <w:lang w:val="en-IE" w:eastAsia="en-IE"/>
              </w:rPr>
              <w:t>1</w:t>
            </w:r>
            <w:r>
              <w:rPr>
                <w:rFonts w:ascii="Calibri" w:eastAsia="Times New Roman" w:hAnsi="Calibri" w:cs="Calibri"/>
                <w:b/>
                <w:bCs/>
                <w:color w:val="000000"/>
                <w:sz w:val="22"/>
                <w:szCs w:val="22"/>
                <w:lang w:val="en-IE" w:eastAsia="en-IE"/>
              </w:rPr>
              <w:t>.</w:t>
            </w:r>
            <w:r w:rsidR="00B5232E">
              <w:rPr>
                <w:rFonts w:ascii="Calibri" w:eastAsia="Times New Roman" w:hAnsi="Calibri" w:cs="Calibri"/>
                <w:b/>
                <w:bCs/>
                <w:color w:val="000000"/>
                <w:sz w:val="22"/>
                <w:szCs w:val="22"/>
                <w:lang w:val="en-IE" w:eastAsia="en-IE"/>
              </w:rPr>
              <w:t>8</w:t>
            </w:r>
          </w:p>
        </w:tc>
        <w:tc>
          <w:tcPr>
            <w:tcW w:w="1137" w:type="dxa"/>
            <w:shd w:val="clear" w:color="auto" w:fill="FFFFFF"/>
            <w:hideMark/>
          </w:tcPr>
          <w:p w14:paraId="0875BBC5"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1,421.6</w:t>
            </w:r>
          </w:p>
        </w:tc>
      </w:tr>
      <w:tr w:rsidR="000E5963" w:rsidRPr="000E5963" w14:paraId="5B13AC91" w14:textId="77777777" w:rsidTr="000E5963">
        <w:trPr>
          <w:trHeight w:val="249"/>
        </w:trPr>
        <w:tc>
          <w:tcPr>
            <w:tcW w:w="261" w:type="dxa"/>
            <w:shd w:val="clear" w:color="auto" w:fill="FFFFFF"/>
            <w:noWrap/>
            <w:vAlign w:val="bottom"/>
            <w:hideMark/>
          </w:tcPr>
          <w:p w14:paraId="54C403D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ED50B00"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xml:space="preserve">Other </w:t>
            </w:r>
            <w:proofErr w:type="spellStart"/>
            <w:r w:rsidRPr="000E5963">
              <w:rPr>
                <w:rFonts w:ascii="Calibri" w:eastAsia="Times New Roman" w:hAnsi="Calibri" w:cs="Calibri"/>
                <w:sz w:val="22"/>
                <w:szCs w:val="22"/>
                <w:lang w:val="en-IE" w:eastAsia="en-IE"/>
              </w:rPr>
              <w:t>undenominated</w:t>
            </w:r>
            <w:proofErr w:type="spellEnd"/>
            <w:r w:rsidRPr="000E5963">
              <w:rPr>
                <w:rFonts w:ascii="Calibri" w:eastAsia="Times New Roman" w:hAnsi="Calibri" w:cs="Calibri"/>
                <w:sz w:val="22"/>
                <w:szCs w:val="22"/>
                <w:lang w:val="en-IE" w:eastAsia="en-IE"/>
              </w:rPr>
              <w:t xml:space="preserve"> capital</w:t>
            </w:r>
          </w:p>
        </w:tc>
        <w:tc>
          <w:tcPr>
            <w:tcW w:w="3115" w:type="dxa"/>
            <w:shd w:val="clear" w:color="auto" w:fill="FFFFFF"/>
            <w:vAlign w:val="center"/>
          </w:tcPr>
          <w:p w14:paraId="4E13F769"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6F074D16" w14:textId="0395E3B9" w:rsidR="000E5963" w:rsidRPr="000E5963" w:rsidRDefault="006E62AD"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w:t>
            </w:r>
            <w:r w:rsidR="00B5232E">
              <w:rPr>
                <w:rFonts w:ascii="Calibri" w:eastAsia="Times New Roman" w:hAnsi="Calibri" w:cs="Calibri"/>
                <w:b/>
                <w:bCs/>
                <w:color w:val="000000"/>
                <w:sz w:val="22"/>
                <w:szCs w:val="22"/>
                <w:lang w:val="en-IE" w:eastAsia="en-IE"/>
              </w:rPr>
              <w:t>0</w:t>
            </w:r>
          </w:p>
        </w:tc>
        <w:tc>
          <w:tcPr>
            <w:tcW w:w="1137" w:type="dxa"/>
            <w:shd w:val="clear" w:color="auto" w:fill="FFFFFF"/>
            <w:hideMark/>
          </w:tcPr>
          <w:p w14:paraId="06252BF3"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4.0</w:t>
            </w:r>
          </w:p>
        </w:tc>
      </w:tr>
      <w:tr w:rsidR="000E5963" w:rsidRPr="000E5963" w14:paraId="1CE025BC" w14:textId="77777777" w:rsidTr="000E5963">
        <w:trPr>
          <w:trHeight w:val="249"/>
        </w:trPr>
        <w:tc>
          <w:tcPr>
            <w:tcW w:w="261" w:type="dxa"/>
            <w:shd w:val="clear" w:color="auto" w:fill="FFFFFF"/>
            <w:noWrap/>
            <w:vAlign w:val="bottom"/>
            <w:hideMark/>
          </w:tcPr>
          <w:p w14:paraId="1CD025B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843E506"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Retained earnings</w:t>
            </w:r>
          </w:p>
        </w:tc>
        <w:tc>
          <w:tcPr>
            <w:tcW w:w="3115" w:type="dxa"/>
            <w:shd w:val="clear" w:color="auto" w:fill="FFFFFF"/>
            <w:vAlign w:val="center"/>
            <w:hideMark/>
          </w:tcPr>
          <w:p w14:paraId="5FB60792"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shd w:val="clear" w:color="auto" w:fill="FFFF00"/>
          </w:tcPr>
          <w:p w14:paraId="654D578F" w14:textId="540FEB9E" w:rsidR="000E5963" w:rsidRPr="000E5963" w:rsidRDefault="006E62AD"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7,</w:t>
            </w:r>
            <w:r w:rsidR="0092024A">
              <w:rPr>
                <w:rFonts w:ascii="Calibri" w:eastAsia="Times New Roman" w:hAnsi="Calibri" w:cs="Calibri"/>
                <w:b/>
                <w:bCs/>
                <w:color w:val="000000"/>
                <w:sz w:val="22"/>
                <w:szCs w:val="22"/>
                <w:lang w:val="en-IE" w:eastAsia="en-IE"/>
              </w:rPr>
              <w:t>684.3</w:t>
            </w:r>
          </w:p>
        </w:tc>
        <w:tc>
          <w:tcPr>
            <w:tcW w:w="1137" w:type="dxa"/>
            <w:shd w:val="clear" w:color="auto" w:fill="FFFFFF"/>
            <w:hideMark/>
          </w:tcPr>
          <w:p w14:paraId="6324FBE3"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5,588.6</w:t>
            </w:r>
          </w:p>
        </w:tc>
      </w:tr>
      <w:tr w:rsidR="000E5963" w:rsidRPr="000E5963" w14:paraId="56766737" w14:textId="77777777" w:rsidTr="000E5963">
        <w:trPr>
          <w:trHeight w:val="249"/>
        </w:trPr>
        <w:tc>
          <w:tcPr>
            <w:tcW w:w="261" w:type="dxa"/>
            <w:shd w:val="clear" w:color="auto" w:fill="FFFFFF"/>
            <w:noWrap/>
            <w:vAlign w:val="bottom"/>
            <w:hideMark/>
          </w:tcPr>
          <w:p w14:paraId="5E1450D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4C6E6D79" w14:textId="77777777" w:rsidR="000E5963" w:rsidRPr="000E5963" w:rsidRDefault="000E5963" w:rsidP="000E5963">
            <w:pPr>
              <w:spacing w:after="0" w:line="240" w:lineRule="auto"/>
              <w:ind w:left="60"/>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Other reserves</w:t>
            </w:r>
          </w:p>
        </w:tc>
        <w:tc>
          <w:tcPr>
            <w:tcW w:w="3115" w:type="dxa"/>
            <w:shd w:val="clear" w:color="auto" w:fill="FFFFFF"/>
            <w:vAlign w:val="center"/>
            <w:hideMark/>
          </w:tcPr>
          <w:p w14:paraId="436A903A" w14:textId="77777777" w:rsidR="000E5963" w:rsidRPr="000E5963" w:rsidRDefault="000E5963" w:rsidP="000E5963">
            <w:pPr>
              <w:spacing w:after="0" w:line="240" w:lineRule="auto"/>
              <w:rPr>
                <w:rFonts w:ascii="Calibri" w:eastAsia="Times New Roman" w:hAnsi="Calibri" w:cs="Calibri"/>
                <w:sz w:val="22"/>
                <w:szCs w:val="22"/>
                <w:lang w:val="en-IE" w:eastAsia="en-IE"/>
              </w:rPr>
            </w:pPr>
          </w:p>
        </w:tc>
        <w:tc>
          <w:tcPr>
            <w:tcW w:w="1134" w:type="dxa"/>
            <w:tcBorders>
              <w:top w:val="nil"/>
              <w:left w:val="nil"/>
              <w:bottom w:val="single" w:sz="8" w:space="0" w:color="auto"/>
              <w:right w:val="nil"/>
            </w:tcBorders>
            <w:shd w:val="clear" w:color="auto" w:fill="FFFF00"/>
          </w:tcPr>
          <w:p w14:paraId="6A2BCFAB" w14:textId="321B147F" w:rsidR="000E5963" w:rsidRPr="000E5963" w:rsidRDefault="006B5E5D" w:rsidP="000E5963">
            <w:pPr>
              <w:spacing w:after="0" w:line="240" w:lineRule="auto"/>
              <w:ind w:left="-45" w:right="27" w:firstLine="45"/>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(156.</w:t>
            </w:r>
            <w:r w:rsidR="0047228C">
              <w:rPr>
                <w:rFonts w:ascii="Calibri" w:eastAsia="Calibri" w:hAnsi="Calibri" w:cs="Calibri"/>
                <w:b/>
                <w:sz w:val="22"/>
                <w:szCs w:val="22"/>
                <w:lang w:val="en-IE" w:eastAsia="en-IE"/>
              </w:rPr>
              <w:t>7</w:t>
            </w:r>
            <w:r>
              <w:rPr>
                <w:rFonts w:ascii="Calibri" w:eastAsia="Calibri" w:hAnsi="Calibri" w:cs="Calibri"/>
                <w:b/>
                <w:sz w:val="22"/>
                <w:szCs w:val="22"/>
                <w:lang w:val="en-IE" w:eastAsia="en-IE"/>
              </w:rPr>
              <w:t>)</w:t>
            </w:r>
          </w:p>
        </w:tc>
        <w:tc>
          <w:tcPr>
            <w:tcW w:w="1137" w:type="dxa"/>
            <w:tcBorders>
              <w:top w:val="nil"/>
              <w:left w:val="nil"/>
              <w:bottom w:val="single" w:sz="8" w:space="0" w:color="auto"/>
              <w:right w:val="nil"/>
            </w:tcBorders>
            <w:shd w:val="clear" w:color="auto" w:fill="FFFFFF"/>
            <w:hideMark/>
          </w:tcPr>
          <w:p w14:paraId="2DCAC1B7"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Calibri" w:hAnsi="Calibri" w:cs="Calibri"/>
                <w:sz w:val="22"/>
                <w:szCs w:val="22"/>
                <w:lang w:val="en-IE" w:eastAsia="en-IE"/>
              </w:rPr>
              <w:t>16.3</w:t>
            </w:r>
          </w:p>
        </w:tc>
      </w:tr>
      <w:tr w:rsidR="000E5963" w:rsidRPr="000E5963" w14:paraId="3FE6636F" w14:textId="77777777" w:rsidTr="000E5963">
        <w:trPr>
          <w:trHeight w:val="249"/>
        </w:trPr>
        <w:tc>
          <w:tcPr>
            <w:tcW w:w="261" w:type="dxa"/>
            <w:shd w:val="clear" w:color="auto" w:fill="FFFFFF"/>
            <w:noWrap/>
            <w:vAlign w:val="bottom"/>
            <w:hideMark/>
          </w:tcPr>
          <w:p w14:paraId="17628BB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3A979492"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shareholders' equity</w:t>
            </w:r>
          </w:p>
        </w:tc>
        <w:tc>
          <w:tcPr>
            <w:tcW w:w="3115" w:type="dxa"/>
            <w:shd w:val="clear" w:color="auto" w:fill="FFFFFF"/>
            <w:vAlign w:val="center"/>
            <w:hideMark/>
          </w:tcPr>
          <w:p w14:paraId="642B86BE"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nil"/>
              <w:left w:val="nil"/>
              <w:bottom w:val="single" w:sz="8" w:space="0" w:color="auto"/>
              <w:right w:val="nil"/>
            </w:tcBorders>
            <w:shd w:val="clear" w:color="auto" w:fill="FFFF00"/>
          </w:tcPr>
          <w:p w14:paraId="74DD21D4" w14:textId="29E05FE5" w:rsidR="000E5963" w:rsidRPr="000E5963" w:rsidRDefault="0047228C"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8,</w:t>
            </w:r>
            <w:r w:rsidR="0092024A">
              <w:rPr>
                <w:rFonts w:ascii="Calibri" w:eastAsia="Times New Roman" w:hAnsi="Calibri" w:cs="Calibri"/>
                <w:b/>
                <w:bCs/>
                <w:color w:val="000000"/>
                <w:sz w:val="22"/>
                <w:szCs w:val="22"/>
                <w:lang w:val="en-IE" w:eastAsia="en-IE"/>
              </w:rPr>
              <w:t>969</w:t>
            </w:r>
            <w:r w:rsidR="00F9556F">
              <w:rPr>
                <w:rFonts w:ascii="Calibri" w:eastAsia="Times New Roman" w:hAnsi="Calibri" w:cs="Calibri"/>
                <w:b/>
                <w:bCs/>
                <w:color w:val="000000"/>
                <w:sz w:val="22"/>
                <w:szCs w:val="22"/>
                <w:lang w:val="en-IE" w:eastAsia="en-IE"/>
              </w:rPr>
              <w:t>.8</w:t>
            </w:r>
          </w:p>
        </w:tc>
        <w:tc>
          <w:tcPr>
            <w:tcW w:w="1137" w:type="dxa"/>
            <w:tcBorders>
              <w:top w:val="nil"/>
              <w:left w:val="nil"/>
              <w:bottom w:val="single" w:sz="8" w:space="0" w:color="auto"/>
              <w:right w:val="nil"/>
            </w:tcBorders>
            <w:shd w:val="clear" w:color="auto" w:fill="FFFFFF"/>
            <w:hideMark/>
          </w:tcPr>
          <w:p w14:paraId="6267B70D"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7,036.9</w:t>
            </w:r>
          </w:p>
        </w:tc>
      </w:tr>
      <w:tr w:rsidR="000E5963" w:rsidRPr="000E5963" w14:paraId="4B6C3EC4" w14:textId="77777777" w:rsidTr="000E5963">
        <w:trPr>
          <w:trHeight w:val="249"/>
        </w:trPr>
        <w:tc>
          <w:tcPr>
            <w:tcW w:w="261" w:type="dxa"/>
            <w:shd w:val="clear" w:color="auto" w:fill="FFFFFF"/>
            <w:noWrap/>
            <w:vAlign w:val="bottom"/>
            <w:hideMark/>
          </w:tcPr>
          <w:p w14:paraId="048180E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p>
        </w:tc>
        <w:tc>
          <w:tcPr>
            <w:tcW w:w="5414" w:type="dxa"/>
            <w:shd w:val="clear" w:color="auto" w:fill="FFFFFF"/>
            <w:vAlign w:val="center"/>
            <w:hideMark/>
          </w:tcPr>
          <w:p w14:paraId="7739EC43" w14:textId="77777777" w:rsidR="000E5963" w:rsidRPr="000E5963" w:rsidRDefault="000E5963" w:rsidP="000E5963">
            <w:pPr>
              <w:spacing w:after="0" w:line="240" w:lineRule="auto"/>
              <w:ind w:left="60"/>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3115" w:type="dxa"/>
            <w:shd w:val="clear" w:color="auto" w:fill="FFFFFF"/>
            <w:vAlign w:val="center"/>
            <w:hideMark/>
          </w:tcPr>
          <w:p w14:paraId="0429ACD9" w14:textId="77777777" w:rsidR="000E5963" w:rsidRPr="000E5963" w:rsidRDefault="000E5963" w:rsidP="000E5963">
            <w:pPr>
              <w:spacing w:after="0" w:line="240" w:lineRule="auto"/>
              <w:rPr>
                <w:rFonts w:ascii="Calibri" w:eastAsia="Times New Roman" w:hAnsi="Calibri" w:cs="Calibri"/>
                <w:sz w:val="22"/>
                <w:szCs w:val="22"/>
                <w:lang w:val="en-IE" w:eastAsia="en-IE"/>
              </w:rPr>
            </w:pPr>
          </w:p>
        </w:tc>
        <w:tc>
          <w:tcPr>
            <w:tcW w:w="1134" w:type="dxa"/>
            <w:shd w:val="clear" w:color="auto" w:fill="FFFF00"/>
            <w:vAlign w:val="center"/>
          </w:tcPr>
          <w:p w14:paraId="4DD8A087" w14:textId="77777777" w:rsidR="000E5963" w:rsidRPr="000E5963" w:rsidRDefault="000E5963" w:rsidP="000E5963">
            <w:pPr>
              <w:spacing w:after="0" w:line="240" w:lineRule="auto"/>
              <w:ind w:left="-45" w:right="27" w:firstLine="45"/>
              <w:jc w:val="right"/>
              <w:rPr>
                <w:rFonts w:ascii="Calibri" w:eastAsia="Calibri" w:hAnsi="Calibri" w:cs="Calibri"/>
                <w:b/>
                <w:sz w:val="22"/>
                <w:szCs w:val="22"/>
                <w:lang w:val="en-IE" w:eastAsia="en-IE"/>
              </w:rPr>
            </w:pPr>
          </w:p>
        </w:tc>
        <w:tc>
          <w:tcPr>
            <w:tcW w:w="1137" w:type="dxa"/>
            <w:shd w:val="clear" w:color="auto" w:fill="FFFFFF"/>
            <w:vAlign w:val="center"/>
            <w:hideMark/>
          </w:tcPr>
          <w:p w14:paraId="0A932E84" w14:textId="77777777" w:rsidR="000E5963" w:rsidRPr="000E5963" w:rsidRDefault="000E5963" w:rsidP="000E5963">
            <w:pPr>
              <w:spacing w:after="0" w:line="240" w:lineRule="auto"/>
              <w:ind w:right="33"/>
              <w:rPr>
                <w:rFonts w:ascii="Calibri" w:eastAsia="Calibri" w:hAnsi="Calibri" w:cs="Calibri"/>
                <w:sz w:val="22"/>
                <w:szCs w:val="22"/>
                <w:lang w:val="en-IE" w:eastAsia="en-IE"/>
              </w:rPr>
            </w:pPr>
          </w:p>
        </w:tc>
      </w:tr>
      <w:tr w:rsidR="000E5963" w:rsidRPr="000E5963" w14:paraId="5C20D77B" w14:textId="77777777" w:rsidTr="000E5963">
        <w:trPr>
          <w:trHeight w:val="249"/>
        </w:trPr>
        <w:tc>
          <w:tcPr>
            <w:tcW w:w="261" w:type="dxa"/>
            <w:shd w:val="clear" w:color="auto" w:fill="FFFFFF"/>
            <w:noWrap/>
            <w:vAlign w:val="bottom"/>
            <w:hideMark/>
          </w:tcPr>
          <w:p w14:paraId="12B0C39E" w14:textId="77777777" w:rsidR="000E5963" w:rsidRPr="000E5963" w:rsidRDefault="000E5963" w:rsidP="000E5963">
            <w:pPr>
              <w:spacing w:after="0" w:line="240" w:lineRule="auto"/>
              <w:rPr>
                <w:rFonts w:ascii="Calibri" w:eastAsia="Calibri" w:hAnsi="Calibri" w:cs="Calibri"/>
                <w:sz w:val="22"/>
                <w:szCs w:val="22"/>
                <w:lang w:val="en-IE" w:eastAsia="en-IE"/>
              </w:rPr>
            </w:pPr>
          </w:p>
        </w:tc>
        <w:tc>
          <w:tcPr>
            <w:tcW w:w="5414" w:type="dxa"/>
            <w:shd w:val="clear" w:color="auto" w:fill="FFFFFF"/>
            <w:vAlign w:val="center"/>
            <w:hideMark/>
          </w:tcPr>
          <w:p w14:paraId="224D32C8" w14:textId="77777777" w:rsidR="000E5963" w:rsidRPr="000E5963" w:rsidRDefault="000E5963" w:rsidP="000E5963">
            <w:pPr>
              <w:spacing w:after="0" w:line="240" w:lineRule="auto"/>
              <w:ind w:left="60"/>
              <w:rPr>
                <w:rFonts w:ascii="Calibri" w:eastAsia="Times New Roman" w:hAnsi="Calibri" w:cs="Calibri"/>
                <w:b/>
                <w:bCs/>
                <w:sz w:val="22"/>
                <w:szCs w:val="22"/>
                <w:lang w:val="en-IE" w:eastAsia="en-IE"/>
              </w:rPr>
            </w:pPr>
            <w:r w:rsidRPr="000E5963">
              <w:rPr>
                <w:rFonts w:ascii="Calibri" w:eastAsia="Times New Roman" w:hAnsi="Calibri" w:cs="Calibri"/>
                <w:b/>
                <w:bCs/>
                <w:sz w:val="22"/>
                <w:szCs w:val="22"/>
                <w:lang w:val="en-IE" w:eastAsia="en-IE"/>
              </w:rPr>
              <w:t>Total liabilities and shareholders' equity</w:t>
            </w:r>
          </w:p>
        </w:tc>
        <w:tc>
          <w:tcPr>
            <w:tcW w:w="3115" w:type="dxa"/>
            <w:shd w:val="clear" w:color="auto" w:fill="FFFFFF"/>
            <w:vAlign w:val="center"/>
            <w:hideMark/>
          </w:tcPr>
          <w:p w14:paraId="06A1E6D8" w14:textId="77777777" w:rsidR="000E5963" w:rsidRPr="000E5963" w:rsidRDefault="000E5963" w:rsidP="000E5963">
            <w:pPr>
              <w:spacing w:after="0" w:line="240" w:lineRule="auto"/>
              <w:rPr>
                <w:rFonts w:ascii="Calibri" w:eastAsia="Times New Roman" w:hAnsi="Calibri" w:cs="Calibri"/>
                <w:b/>
                <w:bCs/>
                <w:sz w:val="22"/>
                <w:szCs w:val="22"/>
                <w:lang w:val="en-IE" w:eastAsia="en-IE"/>
              </w:rPr>
            </w:pPr>
          </w:p>
        </w:tc>
        <w:tc>
          <w:tcPr>
            <w:tcW w:w="1134" w:type="dxa"/>
            <w:tcBorders>
              <w:top w:val="nil"/>
              <w:left w:val="nil"/>
              <w:bottom w:val="single" w:sz="12" w:space="0" w:color="auto"/>
              <w:right w:val="nil"/>
            </w:tcBorders>
            <w:shd w:val="clear" w:color="auto" w:fill="FFFF00"/>
            <w:vAlign w:val="center"/>
          </w:tcPr>
          <w:p w14:paraId="0C21AB30" w14:textId="06F446DD" w:rsidR="000E5963" w:rsidRPr="000E5963" w:rsidRDefault="006B5E5D" w:rsidP="000E5963">
            <w:pPr>
              <w:spacing w:after="0" w:line="240" w:lineRule="auto"/>
              <w:ind w:left="-45" w:right="27" w:firstLine="45"/>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16,</w:t>
            </w:r>
            <w:r w:rsidR="00F9556F">
              <w:rPr>
                <w:rFonts w:ascii="Calibri" w:eastAsia="Times New Roman" w:hAnsi="Calibri" w:cs="Calibri"/>
                <w:b/>
                <w:bCs/>
                <w:color w:val="000000"/>
                <w:sz w:val="22"/>
                <w:szCs w:val="22"/>
                <w:lang w:val="en-IE" w:eastAsia="en-IE"/>
              </w:rPr>
              <w:t>389.1</w:t>
            </w:r>
          </w:p>
        </w:tc>
        <w:tc>
          <w:tcPr>
            <w:tcW w:w="1137" w:type="dxa"/>
            <w:tcBorders>
              <w:top w:val="nil"/>
              <w:left w:val="nil"/>
              <w:bottom w:val="single" w:sz="12" w:space="0" w:color="auto"/>
              <w:right w:val="nil"/>
            </w:tcBorders>
            <w:shd w:val="clear" w:color="auto" w:fill="FFFFFF"/>
            <w:vAlign w:val="center"/>
            <w:hideMark/>
          </w:tcPr>
          <w:p w14:paraId="02B10531" w14:textId="77777777" w:rsidR="000E5963" w:rsidRPr="000E5963" w:rsidRDefault="000E5963" w:rsidP="000E5963">
            <w:pPr>
              <w:spacing w:after="0" w:line="240" w:lineRule="auto"/>
              <w:ind w:right="33"/>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17,507.0</w:t>
            </w:r>
          </w:p>
        </w:tc>
      </w:tr>
      <w:bookmarkEnd w:id="1"/>
    </w:tbl>
    <w:p w14:paraId="72F769BE" w14:textId="77777777" w:rsidR="000E5963" w:rsidRPr="000E5963" w:rsidRDefault="000E5963" w:rsidP="000E5963">
      <w:pPr>
        <w:autoSpaceDE w:val="0"/>
        <w:autoSpaceDN w:val="0"/>
        <w:adjustRightInd w:val="0"/>
        <w:spacing w:after="0" w:line="240" w:lineRule="auto"/>
        <w:rPr>
          <w:rFonts w:ascii="Calibri" w:eastAsia="Times New Roman" w:hAnsi="Calibri" w:cs="Calibri"/>
          <w:b/>
          <w:bCs/>
          <w:color w:val="000000"/>
          <w:lang w:val="en-IE" w:eastAsia="en-US"/>
        </w:rPr>
      </w:pPr>
      <w:r w:rsidRPr="000E5963">
        <w:rPr>
          <w:rFonts w:ascii="Calibri" w:eastAsia="Times New Roman" w:hAnsi="Calibri" w:cs="Calibri"/>
          <w:b/>
          <w:bCs/>
          <w:color w:val="000000"/>
          <w:lang w:val="en-IE" w:eastAsia="en-US"/>
        </w:rPr>
        <w:br w:type="page"/>
      </w:r>
      <w:r w:rsidRPr="000E5963">
        <w:rPr>
          <w:rFonts w:ascii="Calibri" w:eastAsia="Times New Roman" w:hAnsi="Calibri" w:cs="Calibri"/>
          <w:b/>
          <w:bCs/>
          <w:color w:val="000000"/>
          <w:lang w:val="en-IE" w:eastAsia="en-US"/>
        </w:rPr>
        <w:lastRenderedPageBreak/>
        <w:t xml:space="preserve">Ryanair Holdings plc and Subsidiaries </w:t>
      </w:r>
    </w:p>
    <w:p w14:paraId="7FB120D2" w14:textId="5BBEA657" w:rsidR="00E12B06" w:rsidRPr="000E5963" w:rsidRDefault="000E5963" w:rsidP="00970E0B">
      <w:pPr>
        <w:spacing w:after="0" w:line="240" w:lineRule="auto"/>
        <w:ind w:right="283"/>
        <w:jc w:val="both"/>
        <w:rPr>
          <w:rFonts w:ascii="Calibri" w:eastAsia="Times New Roman" w:hAnsi="Calibri" w:cs="Calibri"/>
          <w:b/>
          <w:bCs/>
          <w:i/>
          <w:color w:val="000000"/>
          <w:lang w:val="en-IE" w:eastAsia="en-US"/>
        </w:rPr>
      </w:pPr>
      <w:r w:rsidRPr="000E5963">
        <w:rPr>
          <w:rFonts w:ascii="Calibri" w:eastAsia="Times New Roman" w:hAnsi="Calibri" w:cs="Calibri"/>
          <w:b/>
          <w:bCs/>
          <w:i/>
          <w:color w:val="000000"/>
          <w:lang w:val="en-IE" w:eastAsia="en-US"/>
        </w:rPr>
        <w:t>Condensed Consolidated</w:t>
      </w:r>
      <w:r w:rsidRPr="000E5963">
        <w:rPr>
          <w:rFonts w:ascii="Times New Roman" w:eastAsia="Times New Roman" w:hAnsi="Times New Roman" w:cs="Times New Roman"/>
          <w:lang w:val="en-IE" w:eastAsia="en-US"/>
        </w:rPr>
        <w:t xml:space="preserve"> </w:t>
      </w:r>
      <w:r w:rsidRPr="000E5963">
        <w:rPr>
          <w:rFonts w:ascii="Calibri" w:eastAsia="Times New Roman" w:hAnsi="Calibri" w:cs="Calibri"/>
          <w:b/>
          <w:bCs/>
          <w:i/>
          <w:color w:val="000000"/>
          <w:lang w:val="en-IE" w:eastAsia="en-US"/>
        </w:rPr>
        <w:t xml:space="preserve">Interim Income Statement for the </w:t>
      </w:r>
      <w:r w:rsidR="00A22F99">
        <w:rPr>
          <w:rFonts w:ascii="Calibri" w:eastAsia="Times New Roman" w:hAnsi="Calibri" w:cs="Calibri"/>
          <w:b/>
          <w:bCs/>
          <w:i/>
          <w:color w:val="000000"/>
          <w:lang w:val="en-IE" w:eastAsia="en-US"/>
        </w:rPr>
        <w:t>Half-Year</w:t>
      </w:r>
      <w:r w:rsidRPr="000E5963">
        <w:rPr>
          <w:rFonts w:ascii="Calibri" w:eastAsia="Times New Roman" w:hAnsi="Calibri" w:cs="Calibri"/>
          <w:b/>
          <w:bCs/>
          <w:i/>
          <w:color w:val="000000"/>
          <w:lang w:val="en-IE" w:eastAsia="en-US"/>
        </w:rPr>
        <w:t xml:space="preserve"> Ended </w:t>
      </w:r>
      <w:r w:rsidR="00A22F99">
        <w:rPr>
          <w:rFonts w:ascii="Calibri" w:eastAsia="Times New Roman" w:hAnsi="Calibri" w:cs="Calibri"/>
          <w:b/>
          <w:bCs/>
          <w:i/>
          <w:color w:val="000000"/>
          <w:lang w:val="en-IE" w:eastAsia="en-US"/>
        </w:rPr>
        <w:t>September</w:t>
      </w:r>
      <w:r w:rsidRPr="000E5963">
        <w:rPr>
          <w:rFonts w:ascii="Calibri" w:eastAsia="Times New Roman" w:hAnsi="Calibri" w:cs="Calibri"/>
          <w:b/>
          <w:bCs/>
          <w:i/>
          <w:color w:val="000000"/>
          <w:lang w:val="en-IE" w:eastAsia="en-US"/>
        </w:rPr>
        <w:t xml:space="preserve"> 30, 2025 (unaudited)</w:t>
      </w:r>
    </w:p>
    <w:p w14:paraId="61CC6C4E" w14:textId="77777777" w:rsidR="000E5963" w:rsidRPr="000E5963" w:rsidRDefault="000E5963" w:rsidP="000E5963">
      <w:pPr>
        <w:spacing w:after="0" w:line="240" w:lineRule="auto"/>
        <w:ind w:right="-284"/>
        <w:jc w:val="both"/>
        <w:rPr>
          <w:rFonts w:ascii="Times New Roman" w:eastAsia="Times New Roman" w:hAnsi="Times New Roman" w:cs="Times New Roman"/>
          <w:lang w:val="en-IE" w:eastAsia="en-US"/>
        </w:rPr>
      </w:pPr>
    </w:p>
    <w:tbl>
      <w:tblPr>
        <w:tblW w:w="10632" w:type="dxa"/>
        <w:tblInd w:w="108" w:type="dxa"/>
        <w:tblLayout w:type="fixed"/>
        <w:tblLook w:val="04A0" w:firstRow="1" w:lastRow="0" w:firstColumn="1" w:lastColumn="0" w:noHBand="0" w:noVBand="1"/>
      </w:tblPr>
      <w:tblGrid>
        <w:gridCol w:w="349"/>
        <w:gridCol w:w="6314"/>
        <w:gridCol w:w="708"/>
        <w:gridCol w:w="993"/>
        <w:gridCol w:w="1134"/>
        <w:gridCol w:w="1134"/>
      </w:tblGrid>
      <w:tr w:rsidR="00C01ADE" w:rsidRPr="000E5963" w14:paraId="7D6678F8" w14:textId="77777777" w:rsidTr="00C01ADE">
        <w:trPr>
          <w:trHeight w:val="188"/>
        </w:trPr>
        <w:tc>
          <w:tcPr>
            <w:tcW w:w="349" w:type="dxa"/>
            <w:vAlign w:val="center"/>
          </w:tcPr>
          <w:p w14:paraId="4D256635" w14:textId="77777777" w:rsidR="00C01ADE" w:rsidRPr="000E5963" w:rsidRDefault="00C01ADE" w:rsidP="009E52F4">
            <w:pPr>
              <w:spacing w:after="0" w:line="240" w:lineRule="auto"/>
              <w:rPr>
                <w:rFonts w:ascii="Calibri" w:eastAsia="Times New Roman" w:hAnsi="Calibri" w:cs="Calibri"/>
                <w:color w:val="000000"/>
                <w:sz w:val="22"/>
                <w:szCs w:val="22"/>
                <w:lang w:val="en-IE" w:eastAsia="en-IE"/>
              </w:rPr>
            </w:pPr>
          </w:p>
        </w:tc>
        <w:tc>
          <w:tcPr>
            <w:tcW w:w="6314" w:type="dxa"/>
            <w:vAlign w:val="center"/>
          </w:tcPr>
          <w:p w14:paraId="2ECED87F" w14:textId="77777777" w:rsidR="00C01ADE" w:rsidRPr="000E5963" w:rsidRDefault="00C01ADE" w:rsidP="009E52F4">
            <w:pPr>
              <w:spacing w:after="0" w:line="240" w:lineRule="auto"/>
              <w:rPr>
                <w:rFonts w:ascii="Calibri" w:eastAsia="Times New Roman" w:hAnsi="Calibri" w:cs="Calibri"/>
                <w:color w:val="000000"/>
                <w:sz w:val="22"/>
                <w:szCs w:val="22"/>
                <w:lang w:val="en-IE" w:eastAsia="en-IE"/>
              </w:rPr>
            </w:pPr>
          </w:p>
        </w:tc>
        <w:tc>
          <w:tcPr>
            <w:tcW w:w="708" w:type="dxa"/>
            <w:vAlign w:val="center"/>
          </w:tcPr>
          <w:p w14:paraId="5054406D" w14:textId="77777777" w:rsidR="00C01ADE" w:rsidRPr="000E5963" w:rsidRDefault="00C01ADE" w:rsidP="009E52F4">
            <w:pPr>
              <w:spacing w:after="0" w:line="240" w:lineRule="auto"/>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vAlign w:val="center"/>
          </w:tcPr>
          <w:p w14:paraId="4B386998" w14:textId="77777777" w:rsidR="00C01ADE" w:rsidRPr="000E5963" w:rsidRDefault="00C01ADE" w:rsidP="009E52F4">
            <w:pPr>
              <w:spacing w:after="0" w:line="240" w:lineRule="auto"/>
              <w:jc w:val="right"/>
              <w:rPr>
                <w:rFonts w:ascii="Calibri" w:eastAsia="Times New Roman" w:hAnsi="Calibri" w:cs="Calibri"/>
                <w:sz w:val="22"/>
                <w:szCs w:val="22"/>
                <w:lang w:val="en-IE" w:eastAsia="en-IE"/>
              </w:rPr>
            </w:pPr>
          </w:p>
        </w:tc>
        <w:tc>
          <w:tcPr>
            <w:tcW w:w="1134" w:type="dxa"/>
            <w:tcBorders>
              <w:top w:val="single" w:sz="8" w:space="0" w:color="auto"/>
              <w:left w:val="single" w:sz="8" w:space="0" w:color="auto"/>
              <w:right w:val="single" w:sz="8" w:space="0" w:color="auto"/>
            </w:tcBorders>
            <w:shd w:val="clear" w:color="auto" w:fill="FFFF00"/>
            <w:vAlign w:val="center"/>
          </w:tcPr>
          <w:p w14:paraId="4E37B772" w14:textId="6188135C" w:rsidR="00C01ADE" w:rsidRPr="007C71F1" w:rsidRDefault="00C01ADE" w:rsidP="009E52F4">
            <w:pPr>
              <w:spacing w:after="0" w:line="240" w:lineRule="auto"/>
              <w:jc w:val="right"/>
              <w:rPr>
                <w:rFonts w:ascii="Calibri" w:hAnsi="Calibri" w:cs="Calibri"/>
                <w:b/>
                <w:bCs/>
                <w:color w:val="000000"/>
                <w:sz w:val="22"/>
                <w:szCs w:val="22"/>
                <w:lang w:eastAsia="en-IE"/>
              </w:rPr>
            </w:pPr>
            <w:r>
              <w:rPr>
                <w:rFonts w:ascii="Calibri" w:hAnsi="Calibri" w:cs="Calibri"/>
                <w:b/>
                <w:bCs/>
                <w:color w:val="000000"/>
                <w:sz w:val="22"/>
                <w:szCs w:val="22"/>
                <w:lang w:eastAsia="en-IE"/>
              </w:rPr>
              <w:t>IFRS</w:t>
            </w:r>
          </w:p>
        </w:tc>
        <w:tc>
          <w:tcPr>
            <w:tcW w:w="1134" w:type="dxa"/>
            <w:tcBorders>
              <w:top w:val="single" w:sz="8" w:space="0" w:color="auto"/>
              <w:left w:val="single" w:sz="8" w:space="0" w:color="auto"/>
              <w:right w:val="single" w:sz="8" w:space="0" w:color="auto"/>
            </w:tcBorders>
            <w:shd w:val="clear" w:color="auto" w:fill="FFFFFF"/>
            <w:vAlign w:val="center"/>
          </w:tcPr>
          <w:p w14:paraId="4A857857" w14:textId="02BA0484" w:rsidR="00C01ADE" w:rsidRPr="007C71F1" w:rsidRDefault="00C01ADE" w:rsidP="009E52F4">
            <w:pPr>
              <w:spacing w:after="0" w:line="240" w:lineRule="auto"/>
              <w:jc w:val="right"/>
              <w:rPr>
                <w:rFonts w:ascii="Calibri" w:hAnsi="Calibri" w:cs="Calibri"/>
                <w:color w:val="000000"/>
                <w:sz w:val="22"/>
                <w:szCs w:val="22"/>
                <w:lang w:eastAsia="en-IE"/>
              </w:rPr>
            </w:pPr>
            <w:r>
              <w:rPr>
                <w:rFonts w:ascii="Calibri" w:hAnsi="Calibri" w:cs="Calibri"/>
                <w:color w:val="000000"/>
                <w:sz w:val="22"/>
                <w:szCs w:val="22"/>
                <w:lang w:eastAsia="en-IE"/>
              </w:rPr>
              <w:t>IFRS</w:t>
            </w:r>
          </w:p>
        </w:tc>
      </w:tr>
      <w:tr w:rsidR="009E52F4" w:rsidRPr="000E5963" w14:paraId="19ECF269" w14:textId="77777777" w:rsidTr="00C01ADE">
        <w:trPr>
          <w:trHeight w:val="188"/>
        </w:trPr>
        <w:tc>
          <w:tcPr>
            <w:tcW w:w="349" w:type="dxa"/>
            <w:vMerge w:val="restart"/>
            <w:vAlign w:val="center"/>
            <w:hideMark/>
          </w:tcPr>
          <w:p w14:paraId="7A63DA7A" w14:textId="77777777" w:rsidR="009E52F4" w:rsidRPr="000E5963" w:rsidRDefault="009E52F4" w:rsidP="009E52F4">
            <w:pPr>
              <w:spacing w:after="0" w:line="240" w:lineRule="auto"/>
              <w:rPr>
                <w:rFonts w:ascii="Calibri" w:eastAsia="Times New Roman" w:hAnsi="Calibri" w:cs="Calibri"/>
                <w:color w:val="000000"/>
                <w:sz w:val="22"/>
                <w:szCs w:val="22"/>
                <w:lang w:val="en-IE" w:eastAsia="en-IE"/>
              </w:rPr>
            </w:pPr>
          </w:p>
        </w:tc>
        <w:tc>
          <w:tcPr>
            <w:tcW w:w="6314" w:type="dxa"/>
            <w:vMerge w:val="restart"/>
            <w:vAlign w:val="center"/>
            <w:hideMark/>
          </w:tcPr>
          <w:p w14:paraId="63C17AF8" w14:textId="77777777" w:rsidR="009E52F4" w:rsidRPr="000E5963" w:rsidRDefault="009E52F4" w:rsidP="009E52F4">
            <w:pPr>
              <w:spacing w:after="0" w:line="240" w:lineRule="auto"/>
              <w:rPr>
                <w:rFonts w:ascii="Calibri" w:eastAsia="Times New Roman" w:hAnsi="Calibri" w:cs="Calibri"/>
                <w:color w:val="000000"/>
                <w:sz w:val="22"/>
                <w:szCs w:val="22"/>
                <w:lang w:val="en-IE" w:eastAsia="en-IE"/>
              </w:rPr>
            </w:pPr>
          </w:p>
        </w:tc>
        <w:tc>
          <w:tcPr>
            <w:tcW w:w="708" w:type="dxa"/>
            <w:vMerge w:val="restart"/>
            <w:vAlign w:val="center"/>
            <w:hideMark/>
          </w:tcPr>
          <w:p w14:paraId="109777A7" w14:textId="77777777" w:rsidR="009E52F4" w:rsidRPr="000E5963" w:rsidRDefault="009E52F4" w:rsidP="009E52F4">
            <w:pPr>
              <w:spacing w:after="0" w:line="240" w:lineRule="auto"/>
              <w:rPr>
                <w:rFonts w:ascii="Calibri" w:eastAsia="Times New Roman" w:hAnsi="Calibri" w:cs="Calibri"/>
                <w:color w:val="000000"/>
                <w:sz w:val="22"/>
                <w:szCs w:val="22"/>
                <w:lang w:val="en-IE" w:eastAsia="en-IE"/>
              </w:rPr>
            </w:pPr>
          </w:p>
        </w:tc>
        <w:tc>
          <w:tcPr>
            <w:tcW w:w="993" w:type="dxa"/>
            <w:vMerge w:val="restart"/>
            <w:tcBorders>
              <w:top w:val="nil"/>
              <w:left w:val="nil"/>
              <w:bottom w:val="nil"/>
              <w:right w:val="single" w:sz="8" w:space="0" w:color="auto"/>
            </w:tcBorders>
            <w:vAlign w:val="center"/>
            <w:hideMark/>
          </w:tcPr>
          <w:p w14:paraId="1DD6094D" w14:textId="77777777" w:rsidR="009E52F4" w:rsidRPr="000E5963" w:rsidRDefault="009E52F4" w:rsidP="009E52F4">
            <w:pPr>
              <w:spacing w:after="0" w:line="240" w:lineRule="auto"/>
              <w:jc w:val="right"/>
              <w:rPr>
                <w:rFonts w:ascii="Calibri" w:eastAsia="Times New Roman" w:hAnsi="Calibri" w:cs="Calibri"/>
                <w:sz w:val="22"/>
                <w:szCs w:val="22"/>
                <w:lang w:val="en-IE" w:eastAsia="en-IE"/>
              </w:rPr>
            </w:pPr>
          </w:p>
          <w:p w14:paraId="372F9B53" w14:textId="77777777" w:rsidR="009E52F4" w:rsidRPr="000E5963" w:rsidRDefault="009E52F4" w:rsidP="009E52F4">
            <w:pPr>
              <w:spacing w:after="0" w:line="240" w:lineRule="auto"/>
              <w:jc w:val="right"/>
              <w:rPr>
                <w:rFonts w:ascii="Calibri" w:eastAsia="Times New Roman" w:hAnsi="Calibri" w:cs="Calibri"/>
                <w:sz w:val="22"/>
                <w:szCs w:val="22"/>
                <w:lang w:val="en-IE" w:eastAsia="en-IE"/>
              </w:rPr>
            </w:pPr>
          </w:p>
          <w:p w14:paraId="38669C84" w14:textId="77777777" w:rsidR="009E52F4" w:rsidRPr="000E5963" w:rsidRDefault="009E52F4" w:rsidP="009E52F4">
            <w:pPr>
              <w:spacing w:after="0" w:line="240" w:lineRule="auto"/>
              <w:jc w:val="right"/>
              <w:rPr>
                <w:rFonts w:ascii="Calibri" w:eastAsia="Times New Roman" w:hAnsi="Calibri" w:cs="Calibri"/>
                <w:sz w:val="22"/>
                <w:szCs w:val="22"/>
                <w:lang w:val="en-IE" w:eastAsia="en-IE"/>
              </w:rPr>
            </w:pPr>
          </w:p>
          <w:p w14:paraId="538F33DE" w14:textId="77777777" w:rsidR="009E52F4" w:rsidRPr="000E5963" w:rsidRDefault="009E52F4" w:rsidP="009E52F4">
            <w:pPr>
              <w:spacing w:after="0" w:line="240" w:lineRule="auto"/>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Change</w:t>
            </w:r>
          </w:p>
        </w:tc>
        <w:tc>
          <w:tcPr>
            <w:tcW w:w="1134" w:type="dxa"/>
            <w:tcBorders>
              <w:left w:val="single" w:sz="8" w:space="0" w:color="auto"/>
              <w:bottom w:val="nil"/>
              <w:right w:val="single" w:sz="8" w:space="0" w:color="auto"/>
            </w:tcBorders>
            <w:shd w:val="clear" w:color="auto" w:fill="FFFF00"/>
            <w:vAlign w:val="center"/>
            <w:hideMark/>
          </w:tcPr>
          <w:p w14:paraId="37C5A32A" w14:textId="7F34A3AB" w:rsidR="009E52F4" w:rsidRPr="000E5963" w:rsidRDefault="009E52F4" w:rsidP="009E52F4">
            <w:pPr>
              <w:spacing w:after="0" w:line="240" w:lineRule="auto"/>
              <w:jc w:val="right"/>
              <w:rPr>
                <w:rFonts w:ascii="Calibri" w:eastAsia="Times New Roman" w:hAnsi="Calibri" w:cs="Calibri"/>
                <w:b/>
                <w:bCs/>
                <w:color w:val="000000"/>
                <w:sz w:val="22"/>
                <w:szCs w:val="22"/>
                <w:lang w:val="en-IE" w:eastAsia="en-IE"/>
              </w:rPr>
            </w:pPr>
            <w:r w:rsidRPr="007C71F1">
              <w:rPr>
                <w:rFonts w:ascii="Calibri" w:hAnsi="Calibri" w:cs="Calibri"/>
                <w:b/>
                <w:bCs/>
                <w:color w:val="000000"/>
                <w:sz w:val="22"/>
                <w:szCs w:val="22"/>
                <w:lang w:eastAsia="en-IE"/>
              </w:rPr>
              <w:t>Half-Year Ended</w:t>
            </w:r>
          </w:p>
        </w:tc>
        <w:tc>
          <w:tcPr>
            <w:tcW w:w="1134" w:type="dxa"/>
            <w:tcBorders>
              <w:left w:val="single" w:sz="8" w:space="0" w:color="auto"/>
              <w:bottom w:val="nil"/>
              <w:right w:val="single" w:sz="8" w:space="0" w:color="auto"/>
            </w:tcBorders>
            <w:shd w:val="clear" w:color="auto" w:fill="FFFFFF"/>
            <w:vAlign w:val="center"/>
            <w:hideMark/>
          </w:tcPr>
          <w:p w14:paraId="34116218" w14:textId="455DA815" w:rsidR="009E52F4" w:rsidRPr="000E5963" w:rsidRDefault="009E52F4" w:rsidP="009E52F4">
            <w:pPr>
              <w:spacing w:after="0" w:line="240" w:lineRule="auto"/>
              <w:jc w:val="right"/>
              <w:rPr>
                <w:rFonts w:ascii="Calibri" w:eastAsia="Times New Roman" w:hAnsi="Calibri" w:cs="Calibri"/>
                <w:color w:val="000000"/>
                <w:sz w:val="22"/>
                <w:szCs w:val="22"/>
                <w:lang w:val="en-IE" w:eastAsia="en-IE"/>
              </w:rPr>
            </w:pPr>
            <w:r w:rsidRPr="007C71F1">
              <w:rPr>
                <w:rFonts w:ascii="Calibri" w:hAnsi="Calibri" w:cs="Calibri"/>
                <w:color w:val="000000"/>
                <w:sz w:val="22"/>
                <w:szCs w:val="22"/>
                <w:lang w:eastAsia="en-IE"/>
              </w:rPr>
              <w:t>Half-Year Ended</w:t>
            </w:r>
          </w:p>
        </w:tc>
      </w:tr>
      <w:tr w:rsidR="009E52F4" w:rsidRPr="000E5963" w14:paraId="7B6397F8" w14:textId="77777777" w:rsidTr="000E5963">
        <w:trPr>
          <w:trHeight w:val="549"/>
        </w:trPr>
        <w:tc>
          <w:tcPr>
            <w:tcW w:w="349" w:type="dxa"/>
            <w:vMerge/>
            <w:vAlign w:val="center"/>
            <w:hideMark/>
          </w:tcPr>
          <w:p w14:paraId="321C68C2" w14:textId="77777777" w:rsidR="009E52F4" w:rsidRPr="000E5963" w:rsidRDefault="009E52F4" w:rsidP="009E52F4">
            <w:pPr>
              <w:spacing w:after="0" w:line="240" w:lineRule="auto"/>
              <w:rPr>
                <w:rFonts w:ascii="Calibri" w:eastAsia="Times New Roman" w:hAnsi="Calibri" w:cs="Calibri"/>
                <w:color w:val="000000"/>
                <w:sz w:val="22"/>
                <w:szCs w:val="22"/>
                <w:lang w:val="en-IE" w:eastAsia="en-IE"/>
              </w:rPr>
            </w:pPr>
          </w:p>
        </w:tc>
        <w:tc>
          <w:tcPr>
            <w:tcW w:w="6314" w:type="dxa"/>
            <w:vMerge/>
            <w:vAlign w:val="center"/>
            <w:hideMark/>
          </w:tcPr>
          <w:p w14:paraId="06EBA050" w14:textId="77777777" w:rsidR="009E52F4" w:rsidRPr="000E5963" w:rsidRDefault="009E52F4" w:rsidP="009E52F4">
            <w:pPr>
              <w:spacing w:after="0" w:line="240" w:lineRule="auto"/>
              <w:rPr>
                <w:rFonts w:ascii="Calibri" w:eastAsia="Times New Roman" w:hAnsi="Calibri" w:cs="Calibri"/>
                <w:color w:val="000000"/>
                <w:sz w:val="22"/>
                <w:szCs w:val="22"/>
                <w:lang w:val="en-IE" w:eastAsia="en-IE"/>
              </w:rPr>
            </w:pPr>
          </w:p>
        </w:tc>
        <w:tc>
          <w:tcPr>
            <w:tcW w:w="708" w:type="dxa"/>
            <w:vMerge/>
            <w:vAlign w:val="center"/>
            <w:hideMark/>
          </w:tcPr>
          <w:p w14:paraId="1871DBA1" w14:textId="77777777" w:rsidR="009E52F4" w:rsidRPr="000E5963" w:rsidRDefault="009E52F4" w:rsidP="009E52F4">
            <w:pPr>
              <w:spacing w:after="0" w:line="240" w:lineRule="auto"/>
              <w:rPr>
                <w:rFonts w:ascii="Calibri" w:eastAsia="Times New Roman" w:hAnsi="Calibri" w:cs="Calibri"/>
                <w:color w:val="000000"/>
                <w:sz w:val="22"/>
                <w:szCs w:val="22"/>
                <w:lang w:val="en-IE" w:eastAsia="en-IE"/>
              </w:rPr>
            </w:pPr>
          </w:p>
        </w:tc>
        <w:tc>
          <w:tcPr>
            <w:tcW w:w="993" w:type="dxa"/>
            <w:vMerge/>
            <w:tcBorders>
              <w:top w:val="nil"/>
              <w:left w:val="nil"/>
              <w:bottom w:val="nil"/>
              <w:right w:val="single" w:sz="8" w:space="0" w:color="auto"/>
            </w:tcBorders>
            <w:vAlign w:val="center"/>
            <w:hideMark/>
          </w:tcPr>
          <w:p w14:paraId="63037CAA" w14:textId="77777777" w:rsidR="009E52F4" w:rsidRPr="000E5963" w:rsidRDefault="009E52F4" w:rsidP="009E52F4">
            <w:pPr>
              <w:spacing w:after="0" w:line="240" w:lineRule="auto"/>
              <w:rPr>
                <w:rFonts w:ascii="Calibri" w:eastAsia="Times New Roman" w:hAnsi="Calibri" w:cs="Calibri"/>
                <w:sz w:val="22"/>
                <w:szCs w:val="22"/>
                <w:lang w:val="en-IE" w:eastAsia="en-IE"/>
              </w:rPr>
            </w:pPr>
          </w:p>
        </w:tc>
        <w:tc>
          <w:tcPr>
            <w:tcW w:w="1134" w:type="dxa"/>
            <w:tcBorders>
              <w:left w:val="single" w:sz="8" w:space="0" w:color="auto"/>
              <w:bottom w:val="nil"/>
              <w:right w:val="single" w:sz="8" w:space="0" w:color="auto"/>
            </w:tcBorders>
            <w:shd w:val="clear" w:color="auto" w:fill="FFFF00"/>
            <w:vAlign w:val="center"/>
            <w:hideMark/>
          </w:tcPr>
          <w:p w14:paraId="17D2630C" w14:textId="78C6F234" w:rsidR="009E52F4" w:rsidRPr="000E5963" w:rsidRDefault="009E52F4" w:rsidP="009E52F4">
            <w:pPr>
              <w:spacing w:after="0" w:line="240" w:lineRule="auto"/>
              <w:jc w:val="right"/>
              <w:rPr>
                <w:rFonts w:ascii="Calibri" w:eastAsia="Times New Roman" w:hAnsi="Calibri" w:cs="Calibri"/>
                <w:b/>
                <w:bCs/>
                <w:color w:val="000000"/>
                <w:sz w:val="22"/>
                <w:szCs w:val="22"/>
                <w:lang w:val="en-IE" w:eastAsia="en-IE"/>
              </w:rPr>
            </w:pPr>
            <w:r w:rsidRPr="007C71F1">
              <w:rPr>
                <w:rFonts w:ascii="Calibri" w:hAnsi="Calibri" w:cs="Calibri"/>
                <w:b/>
                <w:bCs/>
                <w:color w:val="000000"/>
                <w:sz w:val="22"/>
                <w:szCs w:val="22"/>
                <w:lang w:eastAsia="en-IE"/>
              </w:rPr>
              <w:t>Sep 30, 202</w:t>
            </w:r>
            <w:r>
              <w:rPr>
                <w:rFonts w:ascii="Calibri" w:hAnsi="Calibri" w:cs="Calibri"/>
                <w:b/>
                <w:bCs/>
                <w:color w:val="000000"/>
                <w:sz w:val="22"/>
                <w:szCs w:val="22"/>
                <w:lang w:eastAsia="en-IE"/>
              </w:rPr>
              <w:t>5</w:t>
            </w:r>
          </w:p>
        </w:tc>
        <w:tc>
          <w:tcPr>
            <w:tcW w:w="1134" w:type="dxa"/>
            <w:tcBorders>
              <w:top w:val="nil"/>
              <w:left w:val="single" w:sz="8" w:space="0" w:color="auto"/>
              <w:bottom w:val="nil"/>
              <w:right w:val="single" w:sz="8" w:space="0" w:color="auto"/>
            </w:tcBorders>
            <w:shd w:val="clear" w:color="auto" w:fill="FFFFFF"/>
            <w:vAlign w:val="center"/>
            <w:hideMark/>
          </w:tcPr>
          <w:p w14:paraId="7D2E7C4D" w14:textId="687421A7" w:rsidR="009E52F4" w:rsidRPr="000E5963" w:rsidRDefault="009E52F4" w:rsidP="009E52F4">
            <w:pPr>
              <w:spacing w:after="0" w:line="240" w:lineRule="auto"/>
              <w:jc w:val="right"/>
              <w:rPr>
                <w:rFonts w:ascii="Calibri" w:eastAsia="Times New Roman" w:hAnsi="Calibri" w:cs="Calibri"/>
                <w:color w:val="000000"/>
                <w:sz w:val="22"/>
                <w:szCs w:val="22"/>
                <w:lang w:val="en-IE" w:eastAsia="en-IE"/>
              </w:rPr>
            </w:pPr>
            <w:r w:rsidRPr="007C71F1">
              <w:rPr>
                <w:rFonts w:ascii="Calibri" w:hAnsi="Calibri" w:cs="Calibri"/>
                <w:color w:val="000000"/>
                <w:sz w:val="22"/>
                <w:szCs w:val="22"/>
                <w:lang w:eastAsia="en-IE"/>
              </w:rPr>
              <w:t>Sep 30, 202</w:t>
            </w:r>
            <w:r>
              <w:rPr>
                <w:rFonts w:ascii="Calibri" w:hAnsi="Calibri" w:cs="Calibri"/>
                <w:color w:val="000000"/>
                <w:sz w:val="22"/>
                <w:szCs w:val="22"/>
                <w:lang w:eastAsia="en-IE"/>
              </w:rPr>
              <w:t>4</w:t>
            </w:r>
          </w:p>
        </w:tc>
      </w:tr>
      <w:tr w:rsidR="000E5963" w:rsidRPr="000E5963" w14:paraId="32F5E36A" w14:textId="77777777" w:rsidTr="000E5963">
        <w:trPr>
          <w:trHeight w:val="274"/>
        </w:trPr>
        <w:tc>
          <w:tcPr>
            <w:tcW w:w="349" w:type="dxa"/>
            <w:shd w:val="clear" w:color="auto" w:fill="FFFFFF"/>
            <w:vAlign w:val="center"/>
            <w:hideMark/>
          </w:tcPr>
          <w:p w14:paraId="36CA0AF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0147C88"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2CFA211C"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Note</w:t>
            </w:r>
          </w:p>
        </w:tc>
        <w:tc>
          <w:tcPr>
            <w:tcW w:w="993" w:type="dxa"/>
            <w:tcBorders>
              <w:top w:val="nil"/>
              <w:left w:val="nil"/>
              <w:bottom w:val="nil"/>
              <w:right w:val="single" w:sz="8" w:space="0" w:color="auto"/>
            </w:tcBorders>
            <w:shd w:val="clear" w:color="auto" w:fill="FFFFFF"/>
            <w:vAlign w:val="center"/>
            <w:hideMark/>
          </w:tcPr>
          <w:p w14:paraId="12D4EF64" w14:textId="77777777" w:rsidR="000E5963" w:rsidRPr="000E5963" w:rsidRDefault="000E5963" w:rsidP="000E5963">
            <w:pPr>
              <w:spacing w:after="0" w:line="240" w:lineRule="auto"/>
              <w:jc w:val="right"/>
              <w:rPr>
                <w:rFonts w:ascii="Calibri" w:eastAsia="Times New Roman" w:hAnsi="Calibri" w:cs="Calibri"/>
                <w:sz w:val="22"/>
                <w:szCs w:val="22"/>
                <w:u w:val="single"/>
                <w:lang w:val="en-IE" w:eastAsia="en-IE"/>
              </w:rPr>
            </w:pPr>
            <w:r w:rsidRPr="000E5963">
              <w:rPr>
                <w:rFonts w:ascii="Calibri" w:eastAsia="Times New Roman" w:hAnsi="Calibri" w:cs="Calibri"/>
                <w:sz w:val="22"/>
                <w:szCs w:val="22"/>
                <w:u w:val="single"/>
                <w:lang w:val="en-IE" w:eastAsia="en-IE"/>
              </w:rPr>
              <w:t>%*</w:t>
            </w:r>
          </w:p>
        </w:tc>
        <w:tc>
          <w:tcPr>
            <w:tcW w:w="1134" w:type="dxa"/>
            <w:tcBorders>
              <w:top w:val="nil"/>
              <w:left w:val="single" w:sz="8" w:space="0" w:color="auto"/>
              <w:bottom w:val="nil"/>
              <w:right w:val="single" w:sz="8" w:space="0" w:color="auto"/>
            </w:tcBorders>
            <w:shd w:val="clear" w:color="auto" w:fill="FFFF00"/>
            <w:vAlign w:val="center"/>
            <w:hideMark/>
          </w:tcPr>
          <w:p w14:paraId="0DF083A2" w14:textId="77777777" w:rsidR="000E5963" w:rsidRPr="000E5963" w:rsidRDefault="000E5963" w:rsidP="000E5963">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€M</w:t>
            </w:r>
          </w:p>
        </w:tc>
        <w:tc>
          <w:tcPr>
            <w:tcW w:w="1134" w:type="dxa"/>
            <w:tcBorders>
              <w:top w:val="nil"/>
              <w:left w:val="single" w:sz="8" w:space="0" w:color="auto"/>
              <w:bottom w:val="nil"/>
              <w:right w:val="single" w:sz="8" w:space="0" w:color="auto"/>
            </w:tcBorders>
            <w:shd w:val="clear" w:color="auto" w:fill="FFFFFF"/>
            <w:vAlign w:val="center"/>
            <w:hideMark/>
          </w:tcPr>
          <w:p w14:paraId="5EF68915" w14:textId="77777777" w:rsidR="000E5963" w:rsidRPr="000E5963" w:rsidRDefault="000E5963" w:rsidP="000E5963">
            <w:pPr>
              <w:spacing w:after="0" w:line="240" w:lineRule="auto"/>
              <w:jc w:val="right"/>
              <w:rPr>
                <w:rFonts w:ascii="Calibri" w:eastAsia="Times New Roman" w:hAnsi="Calibri" w:cs="Calibri"/>
                <w:color w:val="000000"/>
                <w:sz w:val="22"/>
                <w:szCs w:val="22"/>
                <w:u w:val="single"/>
                <w:lang w:val="en-IE" w:eastAsia="en-IE"/>
              </w:rPr>
            </w:pPr>
            <w:r w:rsidRPr="000E5963">
              <w:rPr>
                <w:rFonts w:ascii="Calibri" w:eastAsia="Times New Roman" w:hAnsi="Calibri" w:cs="Calibri"/>
                <w:color w:val="000000"/>
                <w:sz w:val="22"/>
                <w:szCs w:val="22"/>
                <w:u w:val="single"/>
                <w:lang w:val="en-IE" w:eastAsia="en-IE"/>
              </w:rPr>
              <w:t>€M</w:t>
            </w:r>
          </w:p>
        </w:tc>
      </w:tr>
      <w:tr w:rsidR="000E5963" w:rsidRPr="000E5963" w14:paraId="1846B7C2" w14:textId="77777777" w:rsidTr="000E5963">
        <w:trPr>
          <w:trHeight w:val="274"/>
        </w:trPr>
        <w:tc>
          <w:tcPr>
            <w:tcW w:w="6663" w:type="dxa"/>
            <w:gridSpan w:val="2"/>
            <w:shd w:val="clear" w:color="auto" w:fill="FFFFFF"/>
            <w:vAlign w:val="center"/>
            <w:hideMark/>
          </w:tcPr>
          <w:p w14:paraId="1E222BDB"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revenues</w:t>
            </w:r>
          </w:p>
        </w:tc>
        <w:tc>
          <w:tcPr>
            <w:tcW w:w="708" w:type="dxa"/>
            <w:shd w:val="clear" w:color="auto" w:fill="FFFFFF"/>
            <w:vAlign w:val="center"/>
          </w:tcPr>
          <w:p w14:paraId="1FF93BF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377D35B0" w14:textId="77777777" w:rsidR="000E5963" w:rsidRPr="000E5963" w:rsidRDefault="000E5963" w:rsidP="000E5963">
            <w:pPr>
              <w:spacing w:after="0" w:line="240" w:lineRule="auto"/>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1134" w:type="dxa"/>
            <w:tcBorders>
              <w:top w:val="nil"/>
              <w:left w:val="single" w:sz="8" w:space="0" w:color="auto"/>
              <w:right w:val="single" w:sz="8" w:space="0" w:color="auto"/>
            </w:tcBorders>
            <w:shd w:val="clear" w:color="auto" w:fill="FFFF00"/>
            <w:vAlign w:val="center"/>
          </w:tcPr>
          <w:p w14:paraId="5981700F"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hideMark/>
          </w:tcPr>
          <w:p w14:paraId="55B4E87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698F8823" w14:textId="77777777" w:rsidTr="000E5963">
        <w:trPr>
          <w:trHeight w:val="274"/>
        </w:trPr>
        <w:tc>
          <w:tcPr>
            <w:tcW w:w="349" w:type="dxa"/>
            <w:shd w:val="clear" w:color="auto" w:fill="FFFFFF"/>
            <w:vAlign w:val="center"/>
            <w:hideMark/>
          </w:tcPr>
          <w:p w14:paraId="6C044C7D"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BF74E6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Scheduled revenues </w:t>
            </w:r>
          </w:p>
        </w:tc>
        <w:tc>
          <w:tcPr>
            <w:tcW w:w="708" w:type="dxa"/>
            <w:shd w:val="clear" w:color="auto" w:fill="FFFFFF"/>
            <w:vAlign w:val="center"/>
          </w:tcPr>
          <w:p w14:paraId="5987639D"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3A055FAB" w14:textId="71261B25" w:rsidR="000E5963" w:rsidRPr="00DD4FE6" w:rsidRDefault="000E5963"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w:t>
            </w:r>
            <w:r w:rsidR="00A8663F" w:rsidRPr="00DD4FE6">
              <w:rPr>
                <w:rFonts w:ascii="Calibri" w:eastAsia="Times New Roman" w:hAnsi="Calibri" w:cs="Calibri"/>
                <w:sz w:val="22"/>
                <w:szCs w:val="22"/>
                <w:lang w:val="en-IE" w:eastAsia="en-IE"/>
              </w:rPr>
              <w:t>1</w:t>
            </w:r>
            <w:r w:rsidR="009A3E83" w:rsidRPr="00DD4FE6">
              <w:rPr>
                <w:rFonts w:ascii="Calibri" w:eastAsia="Times New Roman" w:hAnsi="Calibri" w:cs="Calibri"/>
                <w:sz w:val="22"/>
                <w:szCs w:val="22"/>
                <w:lang w:val="en-IE" w:eastAsia="en-IE"/>
              </w:rPr>
              <w:t>6</w:t>
            </w:r>
            <w:r w:rsidRPr="00DD4FE6">
              <w:rPr>
                <w:rFonts w:ascii="Calibri" w:eastAsia="Times New Roman" w:hAnsi="Calibri" w:cs="Calibri"/>
                <w:sz w:val="22"/>
                <w:szCs w:val="22"/>
                <w:lang w:val="en-IE" w:eastAsia="en-IE"/>
              </w:rPr>
              <w:t>%</w:t>
            </w:r>
          </w:p>
        </w:tc>
        <w:tc>
          <w:tcPr>
            <w:tcW w:w="1134" w:type="dxa"/>
            <w:tcBorders>
              <w:left w:val="single" w:sz="4" w:space="0" w:color="auto"/>
              <w:right w:val="single" w:sz="8" w:space="0" w:color="auto"/>
            </w:tcBorders>
            <w:shd w:val="clear" w:color="auto" w:fill="FFFF00"/>
          </w:tcPr>
          <w:p w14:paraId="7B33F098" w14:textId="4712EAB1" w:rsidR="000E5963" w:rsidRPr="000E5963" w:rsidRDefault="00A8663F"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6,908.6</w:t>
            </w:r>
          </w:p>
        </w:tc>
        <w:tc>
          <w:tcPr>
            <w:tcW w:w="1134" w:type="dxa"/>
            <w:tcBorders>
              <w:top w:val="nil"/>
              <w:left w:val="single" w:sz="8" w:space="0" w:color="auto"/>
              <w:right w:val="single" w:sz="8" w:space="0" w:color="auto"/>
            </w:tcBorders>
            <w:vAlign w:val="center"/>
          </w:tcPr>
          <w:p w14:paraId="12A1F062" w14:textId="164D7490" w:rsidR="000E5963" w:rsidRPr="004A7F01" w:rsidRDefault="00430884"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5,949.9</w:t>
            </w:r>
          </w:p>
        </w:tc>
      </w:tr>
      <w:tr w:rsidR="000E5963" w:rsidRPr="000E5963" w14:paraId="46C26BAE" w14:textId="77777777" w:rsidTr="000E5963">
        <w:trPr>
          <w:trHeight w:val="284"/>
        </w:trPr>
        <w:tc>
          <w:tcPr>
            <w:tcW w:w="349" w:type="dxa"/>
            <w:shd w:val="clear" w:color="auto" w:fill="FFFFFF"/>
            <w:vAlign w:val="center"/>
            <w:hideMark/>
          </w:tcPr>
          <w:p w14:paraId="42668AD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2E8678A"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Ancillary revenues</w:t>
            </w:r>
          </w:p>
        </w:tc>
        <w:tc>
          <w:tcPr>
            <w:tcW w:w="708" w:type="dxa"/>
            <w:shd w:val="clear" w:color="auto" w:fill="FFFFFF"/>
            <w:vAlign w:val="center"/>
          </w:tcPr>
          <w:p w14:paraId="58D8FD6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177D9A4E" w14:textId="4BD7A64C" w:rsidR="000E5963" w:rsidRPr="00DD4FE6" w:rsidRDefault="000E5963"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w:t>
            </w:r>
            <w:r w:rsidR="00A8663F" w:rsidRPr="00DD4FE6">
              <w:rPr>
                <w:rFonts w:ascii="Calibri" w:eastAsia="Times New Roman" w:hAnsi="Calibri" w:cs="Calibri"/>
                <w:sz w:val="22"/>
                <w:szCs w:val="22"/>
                <w:lang w:val="en-IE" w:eastAsia="en-IE"/>
              </w:rPr>
              <w:t>6</w:t>
            </w:r>
            <w:r w:rsidRPr="00DD4FE6">
              <w:rPr>
                <w:rFonts w:ascii="Calibri" w:eastAsia="Times New Roman" w:hAnsi="Calibri" w:cs="Calibri"/>
                <w:sz w:val="22"/>
                <w:szCs w:val="22"/>
                <w:lang w:val="en-IE" w:eastAsia="en-IE"/>
              </w:rPr>
              <w:t>%</w:t>
            </w:r>
          </w:p>
        </w:tc>
        <w:tc>
          <w:tcPr>
            <w:tcW w:w="1134" w:type="dxa"/>
            <w:tcBorders>
              <w:left w:val="single" w:sz="4" w:space="0" w:color="auto"/>
              <w:bottom w:val="single" w:sz="4" w:space="0" w:color="auto"/>
              <w:right w:val="single" w:sz="8" w:space="0" w:color="auto"/>
            </w:tcBorders>
            <w:shd w:val="clear" w:color="auto" w:fill="FFFF00"/>
          </w:tcPr>
          <w:p w14:paraId="489565EC" w14:textId="223CD1AB" w:rsidR="000E5963" w:rsidRPr="000E5963" w:rsidRDefault="00E0476D"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2,908.</w:t>
            </w:r>
            <w:r w:rsidR="0074685A">
              <w:rPr>
                <w:rFonts w:ascii="Calibri" w:eastAsia="Times New Roman" w:hAnsi="Calibri" w:cs="Calibri"/>
                <w:b/>
                <w:bCs/>
                <w:color w:val="000000"/>
                <w:sz w:val="22"/>
                <w:szCs w:val="22"/>
                <w:lang w:val="en-IE" w:eastAsia="en-IE"/>
              </w:rPr>
              <w:t>9</w:t>
            </w:r>
          </w:p>
        </w:tc>
        <w:tc>
          <w:tcPr>
            <w:tcW w:w="1134" w:type="dxa"/>
            <w:tcBorders>
              <w:top w:val="nil"/>
              <w:left w:val="single" w:sz="8" w:space="0" w:color="auto"/>
              <w:right w:val="single" w:sz="8" w:space="0" w:color="auto"/>
            </w:tcBorders>
            <w:vAlign w:val="center"/>
          </w:tcPr>
          <w:p w14:paraId="2673E26E" w14:textId="390C77C0" w:rsidR="000E5963" w:rsidRPr="004A7F01" w:rsidRDefault="00430884"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2,742.1</w:t>
            </w:r>
          </w:p>
        </w:tc>
      </w:tr>
      <w:tr w:rsidR="000E5963" w:rsidRPr="000E5963" w14:paraId="0FB23AC6" w14:textId="77777777" w:rsidTr="000E5963">
        <w:trPr>
          <w:trHeight w:val="284"/>
        </w:trPr>
        <w:tc>
          <w:tcPr>
            <w:tcW w:w="6663" w:type="dxa"/>
            <w:gridSpan w:val="2"/>
            <w:shd w:val="clear" w:color="auto" w:fill="FFFFFF"/>
            <w:vAlign w:val="center"/>
            <w:hideMark/>
          </w:tcPr>
          <w:p w14:paraId="2BA9C44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operating revenues</w:t>
            </w:r>
          </w:p>
        </w:tc>
        <w:tc>
          <w:tcPr>
            <w:tcW w:w="708" w:type="dxa"/>
            <w:shd w:val="clear" w:color="auto" w:fill="FFFFFF"/>
            <w:vAlign w:val="center"/>
          </w:tcPr>
          <w:p w14:paraId="2ADAEDD9" w14:textId="20F3D0C3" w:rsidR="000E5963" w:rsidRPr="000E5963" w:rsidRDefault="00CE6878" w:rsidP="000E5963">
            <w:pPr>
              <w:spacing w:after="0" w:line="240" w:lineRule="auto"/>
              <w:jc w:val="right"/>
              <w:rPr>
                <w:rFonts w:ascii="Calibri" w:eastAsia="Times New Roman" w:hAnsi="Calibri" w:cs="Calibri"/>
                <w:b/>
                <w:bCs/>
                <w:color w:val="000000"/>
                <w:sz w:val="22"/>
                <w:szCs w:val="22"/>
                <w:highlight w:val="yellow"/>
                <w:lang w:val="en-IE" w:eastAsia="en-IE"/>
              </w:rPr>
            </w:pPr>
            <w:r w:rsidRPr="00BD4672">
              <w:rPr>
                <w:rFonts w:ascii="Calibri" w:eastAsia="Times New Roman" w:hAnsi="Calibri" w:cs="Calibri"/>
                <w:b/>
                <w:color w:val="000000"/>
                <w:sz w:val="22"/>
                <w:szCs w:val="22"/>
                <w:lang w:val="en-IE" w:eastAsia="en-IE"/>
              </w:rPr>
              <w:t>7</w:t>
            </w:r>
          </w:p>
        </w:tc>
        <w:tc>
          <w:tcPr>
            <w:tcW w:w="993" w:type="dxa"/>
            <w:tcBorders>
              <w:top w:val="single" w:sz="8" w:space="0" w:color="auto"/>
              <w:left w:val="nil"/>
              <w:bottom w:val="single" w:sz="8" w:space="0" w:color="auto"/>
              <w:right w:val="single" w:sz="8" w:space="0" w:color="auto"/>
            </w:tcBorders>
            <w:shd w:val="clear" w:color="auto" w:fill="FFFFFF"/>
            <w:vAlign w:val="center"/>
          </w:tcPr>
          <w:p w14:paraId="2BE35774" w14:textId="1E15D282" w:rsidR="000E5963" w:rsidRPr="00DD4FE6" w:rsidRDefault="000E5963" w:rsidP="000E5963">
            <w:pPr>
              <w:spacing w:after="0" w:line="240" w:lineRule="auto"/>
              <w:ind w:left="810" w:hanging="810"/>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w:t>
            </w:r>
            <w:r w:rsidR="00A8663F" w:rsidRPr="00DD4FE6">
              <w:rPr>
                <w:rFonts w:ascii="Calibri" w:eastAsia="Times New Roman" w:hAnsi="Calibri" w:cs="Calibri"/>
                <w:sz w:val="22"/>
                <w:szCs w:val="22"/>
                <w:lang w:val="en-IE" w:eastAsia="en-IE"/>
              </w:rPr>
              <w:t>13</w:t>
            </w:r>
            <w:r w:rsidRPr="00DD4FE6">
              <w:rPr>
                <w:rFonts w:ascii="Calibri" w:eastAsia="Times New Roman" w:hAnsi="Calibri" w:cs="Calibri"/>
                <w:sz w:val="22"/>
                <w:szCs w:val="22"/>
                <w:lang w:val="en-IE" w:eastAsia="en-IE"/>
              </w:rPr>
              <w:t>%</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4B9ECAC4" w14:textId="36853AB1" w:rsidR="000E5963" w:rsidRPr="000E5963" w:rsidRDefault="00E0476D"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9,81</w:t>
            </w:r>
            <w:r w:rsidR="00CD1C7D">
              <w:rPr>
                <w:rFonts w:ascii="Calibri" w:eastAsia="Times New Roman" w:hAnsi="Calibri" w:cs="Calibri"/>
                <w:b/>
                <w:bCs/>
                <w:color w:val="000000"/>
                <w:sz w:val="22"/>
                <w:szCs w:val="22"/>
                <w:lang w:val="en-IE" w:eastAsia="en-IE"/>
              </w:rPr>
              <w:t>7.</w:t>
            </w:r>
            <w:r w:rsidR="00580E4D">
              <w:rPr>
                <w:rFonts w:ascii="Calibri" w:eastAsia="Times New Roman" w:hAnsi="Calibri" w:cs="Calibri"/>
                <w:b/>
                <w:bCs/>
                <w:color w:val="000000"/>
                <w:sz w:val="22"/>
                <w:szCs w:val="22"/>
                <w:lang w:val="en-IE" w:eastAsia="en-IE"/>
              </w:rPr>
              <w:t>5</w:t>
            </w:r>
          </w:p>
        </w:tc>
        <w:tc>
          <w:tcPr>
            <w:tcW w:w="1134" w:type="dxa"/>
            <w:tcBorders>
              <w:top w:val="single" w:sz="8" w:space="0" w:color="auto"/>
              <w:left w:val="single" w:sz="8" w:space="0" w:color="auto"/>
              <w:bottom w:val="single" w:sz="8" w:space="0" w:color="auto"/>
              <w:right w:val="single" w:sz="8" w:space="0" w:color="auto"/>
            </w:tcBorders>
          </w:tcPr>
          <w:p w14:paraId="25D5A1F0" w14:textId="2B34D7B6" w:rsidR="000E5963" w:rsidRPr="004A7F01" w:rsidRDefault="00430884"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8,692.0</w:t>
            </w:r>
          </w:p>
        </w:tc>
      </w:tr>
      <w:tr w:rsidR="000E5963" w:rsidRPr="000E5963" w14:paraId="0FB6D947" w14:textId="77777777" w:rsidTr="000E5963">
        <w:trPr>
          <w:trHeight w:val="274"/>
        </w:trPr>
        <w:tc>
          <w:tcPr>
            <w:tcW w:w="6663" w:type="dxa"/>
            <w:gridSpan w:val="2"/>
            <w:shd w:val="clear" w:color="auto" w:fill="FFFFFF"/>
            <w:vAlign w:val="center"/>
            <w:hideMark/>
          </w:tcPr>
          <w:p w14:paraId="43857574"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708" w:type="dxa"/>
            <w:shd w:val="clear" w:color="auto" w:fill="FFFFFF"/>
            <w:vAlign w:val="center"/>
          </w:tcPr>
          <w:p w14:paraId="71F7AD7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45C6B5A0" w14:textId="77777777" w:rsidR="000E5963" w:rsidRPr="00DD4FE6" w:rsidRDefault="000E5963" w:rsidP="000E5963">
            <w:pPr>
              <w:spacing w:after="0" w:line="240" w:lineRule="auto"/>
              <w:rPr>
                <w:rFonts w:ascii="Calibri" w:eastAsia="Times New Roman" w:hAnsi="Calibri" w:cs="Calibri"/>
                <w:sz w:val="22"/>
                <w:szCs w:val="22"/>
                <w:lang w:val="en-IE" w:eastAsia="en-IE"/>
              </w:rPr>
            </w:pPr>
          </w:p>
        </w:tc>
        <w:tc>
          <w:tcPr>
            <w:tcW w:w="1134" w:type="dxa"/>
            <w:tcBorders>
              <w:top w:val="single" w:sz="8" w:space="0" w:color="auto"/>
              <w:left w:val="single" w:sz="8" w:space="0" w:color="auto"/>
              <w:bottom w:val="nil"/>
              <w:right w:val="single" w:sz="8" w:space="0" w:color="auto"/>
            </w:tcBorders>
            <w:shd w:val="clear" w:color="auto" w:fill="FFFF00"/>
            <w:vAlign w:val="center"/>
          </w:tcPr>
          <w:p w14:paraId="73329DA7"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single" w:sz="8" w:space="0" w:color="auto"/>
              <w:left w:val="single" w:sz="8" w:space="0" w:color="auto"/>
              <w:bottom w:val="nil"/>
              <w:right w:val="single" w:sz="8" w:space="0" w:color="auto"/>
            </w:tcBorders>
            <w:vAlign w:val="center"/>
          </w:tcPr>
          <w:p w14:paraId="77D70A66" w14:textId="77777777" w:rsidR="000E5963" w:rsidRPr="004A7F01"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10AA5FF0" w14:textId="77777777" w:rsidTr="000E5963">
        <w:trPr>
          <w:trHeight w:val="274"/>
        </w:trPr>
        <w:tc>
          <w:tcPr>
            <w:tcW w:w="6663" w:type="dxa"/>
            <w:gridSpan w:val="2"/>
            <w:shd w:val="clear" w:color="auto" w:fill="FFFFFF"/>
            <w:vAlign w:val="center"/>
            <w:hideMark/>
          </w:tcPr>
          <w:p w14:paraId="74BA33C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expenses</w:t>
            </w:r>
          </w:p>
        </w:tc>
        <w:tc>
          <w:tcPr>
            <w:tcW w:w="708" w:type="dxa"/>
            <w:shd w:val="clear" w:color="auto" w:fill="FFFFFF"/>
            <w:vAlign w:val="center"/>
          </w:tcPr>
          <w:p w14:paraId="266097CF"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62AC9D44" w14:textId="77777777" w:rsidR="000E5963" w:rsidRPr="00DD4FE6" w:rsidRDefault="000E5963" w:rsidP="000E5963">
            <w:pPr>
              <w:spacing w:after="0" w:line="240" w:lineRule="auto"/>
              <w:jc w:val="right"/>
              <w:rPr>
                <w:rFonts w:ascii="Calibri" w:eastAsia="Times New Roman" w:hAnsi="Calibri" w:cs="Calibri"/>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31A14F8"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vAlign w:val="center"/>
          </w:tcPr>
          <w:p w14:paraId="6AA32AB5" w14:textId="77777777" w:rsidR="000E5963" w:rsidRPr="004A7F01"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298B9399" w14:textId="77777777" w:rsidTr="000E5963">
        <w:trPr>
          <w:trHeight w:val="274"/>
        </w:trPr>
        <w:tc>
          <w:tcPr>
            <w:tcW w:w="349" w:type="dxa"/>
            <w:shd w:val="clear" w:color="auto" w:fill="FFFFFF"/>
            <w:vAlign w:val="center"/>
            <w:hideMark/>
          </w:tcPr>
          <w:p w14:paraId="732F292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34B2C3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Fuel and oil</w:t>
            </w:r>
          </w:p>
        </w:tc>
        <w:tc>
          <w:tcPr>
            <w:tcW w:w="708" w:type="dxa"/>
            <w:shd w:val="clear" w:color="auto" w:fill="FFFFFF"/>
            <w:vAlign w:val="center"/>
            <w:hideMark/>
          </w:tcPr>
          <w:p w14:paraId="25EB1810"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4706E392" w14:textId="77777777" w:rsidR="000E5963" w:rsidRPr="00DD4FE6" w:rsidRDefault="000E5963"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-2%</w:t>
            </w:r>
          </w:p>
        </w:tc>
        <w:tc>
          <w:tcPr>
            <w:tcW w:w="1134" w:type="dxa"/>
            <w:tcBorders>
              <w:top w:val="nil"/>
              <w:left w:val="single" w:sz="8" w:space="0" w:color="auto"/>
              <w:bottom w:val="nil"/>
              <w:right w:val="single" w:sz="8" w:space="0" w:color="auto"/>
            </w:tcBorders>
            <w:shd w:val="clear" w:color="auto" w:fill="FFFF00"/>
            <w:vAlign w:val="center"/>
          </w:tcPr>
          <w:p w14:paraId="6E5535FF" w14:textId="5ABF82C7" w:rsidR="000E5963" w:rsidRPr="000E5963" w:rsidRDefault="00DD4FE6"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w:t>
            </w:r>
            <w:r w:rsidR="00706180">
              <w:rPr>
                <w:rFonts w:ascii="Calibri" w:eastAsia="Times New Roman" w:hAnsi="Calibri" w:cs="Calibri"/>
                <w:b/>
                <w:bCs/>
                <w:color w:val="000000"/>
                <w:sz w:val="22"/>
                <w:szCs w:val="22"/>
                <w:lang w:val="en-IE" w:eastAsia="en-IE"/>
              </w:rPr>
              <w:t>969.</w:t>
            </w:r>
            <w:r w:rsidR="00F64847">
              <w:rPr>
                <w:rFonts w:ascii="Calibri" w:eastAsia="Times New Roman" w:hAnsi="Calibri" w:cs="Calibri"/>
                <w:b/>
                <w:bCs/>
                <w:color w:val="000000"/>
                <w:sz w:val="22"/>
                <w:szCs w:val="22"/>
                <w:lang w:val="en-IE" w:eastAsia="en-IE"/>
              </w:rPr>
              <w:t>7</w:t>
            </w:r>
          </w:p>
        </w:tc>
        <w:tc>
          <w:tcPr>
            <w:tcW w:w="1134" w:type="dxa"/>
            <w:tcBorders>
              <w:top w:val="nil"/>
              <w:bottom w:val="nil"/>
              <w:right w:val="single" w:sz="8" w:space="0" w:color="auto"/>
            </w:tcBorders>
            <w:vAlign w:val="center"/>
          </w:tcPr>
          <w:p w14:paraId="56056F4C" w14:textId="0BCF2738" w:rsidR="000E5963" w:rsidRPr="004A7F01" w:rsidRDefault="00E232D1"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2,904.3</w:t>
            </w:r>
          </w:p>
        </w:tc>
      </w:tr>
      <w:tr w:rsidR="000E5963" w:rsidRPr="000E5963" w14:paraId="4908E29C" w14:textId="77777777" w:rsidTr="000E5963">
        <w:trPr>
          <w:trHeight w:val="274"/>
        </w:trPr>
        <w:tc>
          <w:tcPr>
            <w:tcW w:w="349" w:type="dxa"/>
            <w:shd w:val="clear" w:color="auto" w:fill="FFFFFF"/>
            <w:vAlign w:val="center"/>
          </w:tcPr>
          <w:p w14:paraId="6AAA1804"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1A683D94" w14:textId="5ADD60A8" w:rsidR="000E5963" w:rsidRPr="000E5963" w:rsidRDefault="00330DEB"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Airport and handling charges</w:t>
            </w:r>
          </w:p>
        </w:tc>
        <w:tc>
          <w:tcPr>
            <w:tcW w:w="708" w:type="dxa"/>
            <w:shd w:val="clear" w:color="auto" w:fill="FFFFFF"/>
            <w:vAlign w:val="center"/>
          </w:tcPr>
          <w:p w14:paraId="2C0F0E5D" w14:textId="79D1FCF9" w:rsidR="000E5963" w:rsidRPr="000E5963" w:rsidRDefault="00330DEB"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8A6D715" w14:textId="3A165CC1" w:rsidR="000E5963" w:rsidRPr="00DD4FE6" w:rsidRDefault="000E5963"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w:t>
            </w:r>
            <w:r w:rsidR="00E0476D" w:rsidRPr="00DD4FE6">
              <w:rPr>
                <w:rFonts w:ascii="Calibri" w:eastAsia="Times New Roman" w:hAnsi="Calibri" w:cs="Calibri"/>
                <w:sz w:val="22"/>
                <w:szCs w:val="22"/>
                <w:lang w:val="en-IE" w:eastAsia="en-IE"/>
              </w:rPr>
              <w:t>4</w:t>
            </w:r>
            <w:r w:rsidRPr="00DD4FE6">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3961D8B" w14:textId="5BEBC8F4" w:rsidR="000E5963" w:rsidRPr="000E5963" w:rsidRDefault="00876B3F"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1,00</w:t>
            </w:r>
            <w:r w:rsidR="00F64847">
              <w:rPr>
                <w:rFonts w:ascii="Calibri" w:eastAsia="Times New Roman" w:hAnsi="Calibri" w:cs="Calibri"/>
                <w:b/>
                <w:bCs/>
                <w:color w:val="000000"/>
                <w:sz w:val="22"/>
                <w:szCs w:val="22"/>
                <w:lang w:val="en-IE" w:eastAsia="en-IE"/>
              </w:rPr>
              <w:t>6.0</w:t>
            </w:r>
          </w:p>
        </w:tc>
        <w:tc>
          <w:tcPr>
            <w:tcW w:w="1134" w:type="dxa"/>
            <w:tcBorders>
              <w:top w:val="nil"/>
              <w:bottom w:val="nil"/>
              <w:right w:val="single" w:sz="8" w:space="0" w:color="auto"/>
            </w:tcBorders>
            <w:vAlign w:val="center"/>
          </w:tcPr>
          <w:p w14:paraId="00F819F8" w14:textId="5D7E6D55" w:rsidR="000E5963" w:rsidRPr="004A7F01" w:rsidRDefault="00E232D1"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964.9</w:t>
            </w:r>
          </w:p>
        </w:tc>
      </w:tr>
      <w:tr w:rsidR="00330DEB" w:rsidRPr="000E5963" w14:paraId="04B1E1DB" w14:textId="77777777" w:rsidTr="000E5963">
        <w:trPr>
          <w:trHeight w:val="274"/>
        </w:trPr>
        <w:tc>
          <w:tcPr>
            <w:tcW w:w="349" w:type="dxa"/>
            <w:shd w:val="clear" w:color="auto" w:fill="FFFFFF"/>
            <w:vAlign w:val="center"/>
          </w:tcPr>
          <w:p w14:paraId="38B2DEA9" w14:textId="77777777" w:rsidR="00330DEB" w:rsidRPr="000E5963" w:rsidRDefault="00330DEB" w:rsidP="00330DEB">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4114DA34" w14:textId="747C7E14" w:rsidR="00330DEB" w:rsidRPr="000E5963" w:rsidRDefault="00330DEB" w:rsidP="00330DEB">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Staff costs</w:t>
            </w:r>
          </w:p>
        </w:tc>
        <w:tc>
          <w:tcPr>
            <w:tcW w:w="708" w:type="dxa"/>
            <w:shd w:val="clear" w:color="auto" w:fill="FFFFFF"/>
            <w:vAlign w:val="center"/>
          </w:tcPr>
          <w:p w14:paraId="5803CA71" w14:textId="77777777" w:rsidR="00330DEB" w:rsidRPr="000E5963" w:rsidRDefault="00330DEB" w:rsidP="00330DEB">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247A2AD1" w14:textId="66FDC95D" w:rsidR="00330DEB" w:rsidRPr="00DD4FE6" w:rsidRDefault="00330DEB" w:rsidP="00330DEB">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-3%</w:t>
            </w:r>
          </w:p>
        </w:tc>
        <w:tc>
          <w:tcPr>
            <w:tcW w:w="1134" w:type="dxa"/>
            <w:tcBorders>
              <w:top w:val="nil"/>
              <w:left w:val="single" w:sz="8" w:space="0" w:color="auto"/>
              <w:bottom w:val="nil"/>
              <w:right w:val="single" w:sz="8" w:space="0" w:color="auto"/>
            </w:tcBorders>
            <w:shd w:val="clear" w:color="auto" w:fill="FFFF00"/>
            <w:vAlign w:val="center"/>
          </w:tcPr>
          <w:p w14:paraId="7DC95EA0" w14:textId="301D3E59" w:rsidR="00330DEB" w:rsidRDefault="00D87046" w:rsidP="00330DE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925.6</w:t>
            </w:r>
          </w:p>
        </w:tc>
        <w:tc>
          <w:tcPr>
            <w:tcW w:w="1134" w:type="dxa"/>
            <w:tcBorders>
              <w:top w:val="nil"/>
              <w:bottom w:val="nil"/>
              <w:right w:val="single" w:sz="8" w:space="0" w:color="auto"/>
            </w:tcBorders>
            <w:vAlign w:val="center"/>
          </w:tcPr>
          <w:p w14:paraId="31402400" w14:textId="41189F63" w:rsidR="00330DEB" w:rsidRPr="004A7F01" w:rsidRDefault="00E232D1" w:rsidP="00330DEB">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897.0</w:t>
            </w:r>
          </w:p>
        </w:tc>
      </w:tr>
      <w:tr w:rsidR="00B26005" w:rsidRPr="000E5963" w14:paraId="6E5AB8CB" w14:textId="77777777" w:rsidTr="000E5963">
        <w:trPr>
          <w:trHeight w:val="274"/>
        </w:trPr>
        <w:tc>
          <w:tcPr>
            <w:tcW w:w="349" w:type="dxa"/>
            <w:shd w:val="clear" w:color="auto" w:fill="FFFFFF"/>
            <w:vAlign w:val="center"/>
          </w:tcPr>
          <w:p w14:paraId="3F41DF29" w14:textId="77777777" w:rsidR="00B26005" w:rsidRPr="000E5963" w:rsidRDefault="00B26005" w:rsidP="00B26005">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5D1AF90A" w14:textId="2E0B8839" w:rsidR="00B26005" w:rsidRPr="000E5963" w:rsidRDefault="00B26005" w:rsidP="00B26005">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Route charges</w:t>
            </w:r>
          </w:p>
        </w:tc>
        <w:tc>
          <w:tcPr>
            <w:tcW w:w="708" w:type="dxa"/>
            <w:shd w:val="clear" w:color="auto" w:fill="FFFFFF"/>
            <w:vAlign w:val="center"/>
          </w:tcPr>
          <w:p w14:paraId="6ED0E9F8" w14:textId="0B75BCAA" w:rsidR="00B26005" w:rsidRPr="000E5963" w:rsidRDefault="00B26005" w:rsidP="00B26005">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FACBA2A" w14:textId="05FA61EB" w:rsidR="00B26005" w:rsidRPr="00DD4FE6" w:rsidRDefault="00B26005" w:rsidP="00B26005">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-1</w:t>
            </w:r>
            <w:r w:rsidR="00DD4FE6" w:rsidRPr="00DD4FE6">
              <w:rPr>
                <w:rFonts w:ascii="Calibri" w:eastAsia="Times New Roman" w:hAnsi="Calibri" w:cs="Calibri"/>
                <w:sz w:val="22"/>
                <w:szCs w:val="22"/>
                <w:lang w:val="en-IE" w:eastAsia="en-IE"/>
              </w:rPr>
              <w:t>4</w:t>
            </w:r>
            <w:r w:rsidRPr="00DD4FE6">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006ECCD5" w14:textId="2AB793E7" w:rsidR="00B26005" w:rsidRDefault="00D87046" w:rsidP="00B26005">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724.</w:t>
            </w:r>
            <w:r w:rsidR="00C64B8C">
              <w:rPr>
                <w:rFonts w:ascii="Calibri" w:eastAsia="Times New Roman" w:hAnsi="Calibri" w:cs="Calibri"/>
                <w:b/>
                <w:bCs/>
                <w:color w:val="000000"/>
                <w:sz w:val="22"/>
                <w:szCs w:val="22"/>
                <w:lang w:val="en-IE" w:eastAsia="en-IE"/>
              </w:rPr>
              <w:t>7</w:t>
            </w:r>
          </w:p>
        </w:tc>
        <w:tc>
          <w:tcPr>
            <w:tcW w:w="1134" w:type="dxa"/>
            <w:tcBorders>
              <w:top w:val="nil"/>
              <w:bottom w:val="nil"/>
              <w:right w:val="single" w:sz="8" w:space="0" w:color="auto"/>
            </w:tcBorders>
            <w:vAlign w:val="center"/>
          </w:tcPr>
          <w:p w14:paraId="35B4A640" w14:textId="4AF33D0F" w:rsidR="00B26005" w:rsidRPr="004A7F01" w:rsidRDefault="003D5CDA" w:rsidP="00B26005">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633.2</w:t>
            </w:r>
          </w:p>
        </w:tc>
      </w:tr>
      <w:tr w:rsidR="000E5963" w:rsidRPr="000E5963" w14:paraId="5363F64F" w14:textId="77777777" w:rsidTr="000E5963">
        <w:trPr>
          <w:trHeight w:val="274"/>
        </w:trPr>
        <w:tc>
          <w:tcPr>
            <w:tcW w:w="349" w:type="dxa"/>
            <w:shd w:val="clear" w:color="auto" w:fill="FFFFFF"/>
            <w:vAlign w:val="center"/>
          </w:tcPr>
          <w:p w14:paraId="20D07717"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7875634D" w14:textId="7FF06994" w:rsidR="000E5963" w:rsidRPr="000E5963" w:rsidRDefault="00B26005"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Depreciation</w:t>
            </w:r>
          </w:p>
        </w:tc>
        <w:tc>
          <w:tcPr>
            <w:tcW w:w="708" w:type="dxa"/>
            <w:shd w:val="clear" w:color="auto" w:fill="FFFFFF"/>
            <w:vAlign w:val="center"/>
          </w:tcPr>
          <w:p w14:paraId="4A6F78C8" w14:textId="450F572A"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31797B95" w14:textId="02FD3C14" w:rsidR="000E5963" w:rsidRPr="00DD4FE6" w:rsidRDefault="000E5963"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w:t>
            </w:r>
            <w:r w:rsidR="00B26005" w:rsidRPr="00DD4FE6">
              <w:rPr>
                <w:rFonts w:ascii="Calibri" w:eastAsia="Times New Roman" w:hAnsi="Calibri" w:cs="Calibri"/>
                <w:sz w:val="22"/>
                <w:szCs w:val="22"/>
                <w:lang w:val="en-IE" w:eastAsia="en-IE"/>
              </w:rPr>
              <w:t>1</w:t>
            </w:r>
            <w:r w:rsidR="00DD4FE6" w:rsidRPr="00DD4FE6">
              <w:rPr>
                <w:rFonts w:ascii="Calibri" w:eastAsia="Times New Roman" w:hAnsi="Calibri" w:cs="Calibri"/>
                <w:sz w:val="22"/>
                <w:szCs w:val="22"/>
                <w:lang w:val="en-IE" w:eastAsia="en-IE"/>
              </w:rPr>
              <w:t>0</w:t>
            </w:r>
            <w:r w:rsidRPr="00DD4FE6">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C86BE53" w14:textId="3D05097D" w:rsidR="000E5963" w:rsidRPr="000E5963" w:rsidRDefault="008452F3"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687.5</w:t>
            </w:r>
          </w:p>
        </w:tc>
        <w:tc>
          <w:tcPr>
            <w:tcW w:w="1134" w:type="dxa"/>
            <w:tcBorders>
              <w:top w:val="nil"/>
              <w:bottom w:val="nil"/>
              <w:right w:val="single" w:sz="8" w:space="0" w:color="auto"/>
            </w:tcBorders>
            <w:vAlign w:val="center"/>
          </w:tcPr>
          <w:p w14:paraId="78403CA8" w14:textId="14586B0F" w:rsidR="000E5963" w:rsidRPr="004A7F01" w:rsidRDefault="003D5CDA"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627.4</w:t>
            </w:r>
          </w:p>
        </w:tc>
      </w:tr>
      <w:tr w:rsidR="000E5963" w:rsidRPr="000E5963" w14:paraId="58F61B87" w14:textId="77777777" w:rsidTr="000E5963">
        <w:trPr>
          <w:trHeight w:val="363"/>
        </w:trPr>
        <w:tc>
          <w:tcPr>
            <w:tcW w:w="349" w:type="dxa"/>
            <w:shd w:val="clear" w:color="auto" w:fill="FFFFFF"/>
            <w:vAlign w:val="center"/>
          </w:tcPr>
          <w:p w14:paraId="3CED298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715E673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Marketing, distribution and other</w:t>
            </w:r>
          </w:p>
        </w:tc>
        <w:tc>
          <w:tcPr>
            <w:tcW w:w="708" w:type="dxa"/>
            <w:shd w:val="clear" w:color="auto" w:fill="FFFFFF"/>
            <w:vAlign w:val="center"/>
          </w:tcPr>
          <w:p w14:paraId="4DABC1DD"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1391D5E" w14:textId="3F2AA744" w:rsidR="000E5963" w:rsidRPr="00DD4FE6" w:rsidRDefault="00DD4FE6"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+6</w:t>
            </w:r>
            <w:r w:rsidR="000E5963" w:rsidRPr="00DD4FE6">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7287013" w14:textId="2EB8B6D7" w:rsidR="000E5963" w:rsidRPr="000E5963" w:rsidRDefault="002F780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438.</w:t>
            </w:r>
            <w:r w:rsidR="00B071DE">
              <w:rPr>
                <w:rFonts w:ascii="Calibri" w:eastAsia="Times New Roman" w:hAnsi="Calibri" w:cs="Calibri"/>
                <w:b/>
                <w:bCs/>
                <w:color w:val="000000"/>
                <w:sz w:val="22"/>
                <w:szCs w:val="22"/>
                <w:lang w:val="en-IE" w:eastAsia="en-IE"/>
              </w:rPr>
              <w:t>6</w:t>
            </w:r>
          </w:p>
        </w:tc>
        <w:tc>
          <w:tcPr>
            <w:tcW w:w="1134" w:type="dxa"/>
            <w:tcBorders>
              <w:top w:val="nil"/>
              <w:right w:val="single" w:sz="8" w:space="0" w:color="auto"/>
            </w:tcBorders>
            <w:vAlign w:val="center"/>
          </w:tcPr>
          <w:p w14:paraId="056042FA" w14:textId="13E1B57D" w:rsidR="000E5963" w:rsidRPr="004A7F01" w:rsidRDefault="003D5CDA"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466.7</w:t>
            </w:r>
          </w:p>
        </w:tc>
      </w:tr>
      <w:tr w:rsidR="000E5963" w:rsidRPr="000E5963" w14:paraId="1F2A93A4" w14:textId="77777777" w:rsidTr="000E5963">
        <w:trPr>
          <w:trHeight w:val="274"/>
        </w:trPr>
        <w:tc>
          <w:tcPr>
            <w:tcW w:w="349" w:type="dxa"/>
            <w:shd w:val="clear" w:color="auto" w:fill="FFFFFF"/>
            <w:vAlign w:val="center"/>
          </w:tcPr>
          <w:p w14:paraId="748AF869"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tcPr>
          <w:p w14:paraId="1268C35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Maintenance, materials and repairs</w:t>
            </w:r>
          </w:p>
        </w:tc>
        <w:tc>
          <w:tcPr>
            <w:tcW w:w="708" w:type="dxa"/>
            <w:shd w:val="clear" w:color="auto" w:fill="FFFFFF"/>
            <w:vAlign w:val="center"/>
          </w:tcPr>
          <w:p w14:paraId="581AA95C"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11E01693" w14:textId="53BEE5B0" w:rsidR="000E5963" w:rsidRPr="00DD4FE6" w:rsidRDefault="000E5963"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w:t>
            </w:r>
            <w:r w:rsidR="00DD4FE6" w:rsidRPr="00DD4FE6">
              <w:rPr>
                <w:rFonts w:ascii="Calibri" w:eastAsia="Times New Roman" w:hAnsi="Calibri" w:cs="Calibri"/>
                <w:sz w:val="22"/>
                <w:szCs w:val="22"/>
                <w:lang w:val="en-IE" w:eastAsia="en-IE"/>
              </w:rPr>
              <w:t>11</w:t>
            </w:r>
            <w:r w:rsidRPr="00DD4FE6">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5CCECB4F" w14:textId="7B689E04" w:rsidR="000E5963" w:rsidRPr="000E5963" w:rsidRDefault="002F780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204.9</w:t>
            </w:r>
          </w:p>
        </w:tc>
        <w:tc>
          <w:tcPr>
            <w:tcW w:w="1134" w:type="dxa"/>
            <w:tcBorders>
              <w:bottom w:val="nil"/>
              <w:right w:val="single" w:sz="8" w:space="0" w:color="auto"/>
            </w:tcBorders>
            <w:vAlign w:val="center"/>
          </w:tcPr>
          <w:p w14:paraId="045A819A" w14:textId="4CDF038A" w:rsidR="000E5963" w:rsidRPr="004A7F01" w:rsidRDefault="003D5CDA" w:rsidP="000E5963">
            <w:pPr>
              <w:spacing w:after="0" w:line="240" w:lineRule="auto"/>
              <w:jc w:val="right"/>
              <w:rPr>
                <w:rFonts w:ascii="Calibri" w:eastAsia="Times New Roman" w:hAnsi="Calibri" w:cs="Calibri"/>
                <w:color w:val="000000"/>
                <w:sz w:val="22"/>
                <w:szCs w:val="22"/>
                <w:lang w:val="en-IE" w:eastAsia="en-IE"/>
              </w:rPr>
            </w:pPr>
            <w:r w:rsidRPr="004A7F01">
              <w:rPr>
                <w:rFonts w:ascii="Calibri" w:eastAsia="Times New Roman" w:hAnsi="Calibri" w:cs="Calibri"/>
                <w:color w:val="000000"/>
                <w:sz w:val="22"/>
                <w:szCs w:val="22"/>
                <w:lang w:val="en-IE" w:eastAsia="en-IE"/>
              </w:rPr>
              <w:t>184.0</w:t>
            </w:r>
          </w:p>
        </w:tc>
      </w:tr>
      <w:tr w:rsidR="000E5963" w:rsidRPr="000E5963" w14:paraId="268B9411" w14:textId="77777777" w:rsidTr="000E5963">
        <w:trPr>
          <w:trHeight w:val="284"/>
        </w:trPr>
        <w:tc>
          <w:tcPr>
            <w:tcW w:w="6663" w:type="dxa"/>
            <w:gridSpan w:val="2"/>
            <w:shd w:val="clear" w:color="auto" w:fill="FFFFFF"/>
            <w:vAlign w:val="center"/>
            <w:hideMark/>
          </w:tcPr>
          <w:p w14:paraId="3F6EB1E0"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operating expenses</w:t>
            </w:r>
          </w:p>
        </w:tc>
        <w:tc>
          <w:tcPr>
            <w:tcW w:w="708" w:type="dxa"/>
            <w:shd w:val="clear" w:color="auto" w:fill="FFFFFF"/>
            <w:vAlign w:val="center"/>
            <w:hideMark/>
          </w:tcPr>
          <w:p w14:paraId="14AABA2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single" w:sz="8" w:space="0" w:color="auto"/>
              <w:left w:val="nil"/>
              <w:bottom w:val="nil"/>
              <w:right w:val="single" w:sz="8" w:space="0" w:color="auto"/>
            </w:tcBorders>
            <w:shd w:val="clear" w:color="auto" w:fill="FFFFFF"/>
            <w:vAlign w:val="center"/>
          </w:tcPr>
          <w:p w14:paraId="74B4A449" w14:textId="55B0A784" w:rsidR="000E5963" w:rsidRPr="00DD4FE6" w:rsidRDefault="000E5963" w:rsidP="000E5963">
            <w:pPr>
              <w:spacing w:after="0" w:line="240" w:lineRule="auto"/>
              <w:jc w:val="right"/>
              <w:rPr>
                <w:rFonts w:ascii="Calibri" w:eastAsia="Times New Roman" w:hAnsi="Calibri" w:cs="Calibri"/>
                <w:sz w:val="22"/>
                <w:szCs w:val="22"/>
                <w:lang w:val="en-IE" w:eastAsia="en-IE"/>
              </w:rPr>
            </w:pPr>
            <w:r w:rsidRPr="00DD4FE6">
              <w:rPr>
                <w:rFonts w:ascii="Calibri" w:eastAsia="Times New Roman" w:hAnsi="Calibri" w:cs="Calibri"/>
                <w:sz w:val="22"/>
                <w:szCs w:val="22"/>
                <w:lang w:val="en-IE" w:eastAsia="en-IE"/>
              </w:rPr>
              <w:t>-</w:t>
            </w:r>
            <w:r w:rsidR="00DD4FE6" w:rsidRPr="00DD4FE6">
              <w:rPr>
                <w:rFonts w:ascii="Calibri" w:eastAsia="Times New Roman" w:hAnsi="Calibri" w:cs="Calibri"/>
                <w:sz w:val="22"/>
                <w:szCs w:val="22"/>
                <w:lang w:val="en-IE" w:eastAsia="en-IE"/>
              </w:rPr>
              <w:t>4</w:t>
            </w:r>
            <w:r w:rsidRPr="00DD4FE6">
              <w:rPr>
                <w:rFonts w:ascii="Calibri" w:eastAsia="Times New Roman" w:hAnsi="Calibri" w:cs="Calibri"/>
                <w:sz w:val="22"/>
                <w:szCs w:val="22"/>
                <w:lang w:val="en-IE" w:eastAsia="en-IE"/>
              </w:rPr>
              <w:t>%</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510F8C37" w14:textId="725FF864" w:rsidR="000E5963" w:rsidRPr="000E5963" w:rsidRDefault="002F780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6,95</w:t>
            </w:r>
            <w:r w:rsidR="00B071DE">
              <w:rPr>
                <w:rFonts w:ascii="Calibri" w:eastAsia="Times New Roman" w:hAnsi="Calibri" w:cs="Calibri"/>
                <w:b/>
                <w:bCs/>
                <w:color w:val="000000"/>
                <w:sz w:val="22"/>
                <w:szCs w:val="22"/>
                <w:lang w:val="en-IE" w:eastAsia="en-IE"/>
              </w:rPr>
              <w:t>7.0</w:t>
            </w:r>
          </w:p>
        </w:tc>
        <w:tc>
          <w:tcPr>
            <w:tcW w:w="1134" w:type="dxa"/>
            <w:tcBorders>
              <w:top w:val="single" w:sz="8" w:space="0" w:color="auto"/>
              <w:left w:val="single" w:sz="8" w:space="0" w:color="auto"/>
              <w:bottom w:val="single" w:sz="8" w:space="0" w:color="auto"/>
              <w:right w:val="single" w:sz="8" w:space="0" w:color="auto"/>
            </w:tcBorders>
          </w:tcPr>
          <w:p w14:paraId="5C82F205" w14:textId="7938FFAB" w:rsidR="000E5963" w:rsidRPr="004A7F01" w:rsidRDefault="00C63326" w:rsidP="000E5963">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6,677.5</w:t>
            </w:r>
          </w:p>
        </w:tc>
      </w:tr>
      <w:tr w:rsidR="000E5963" w:rsidRPr="000E5963" w14:paraId="06BDD04B" w14:textId="77777777" w:rsidTr="00672E40">
        <w:trPr>
          <w:trHeight w:val="274"/>
        </w:trPr>
        <w:tc>
          <w:tcPr>
            <w:tcW w:w="349" w:type="dxa"/>
            <w:shd w:val="clear" w:color="auto" w:fill="FFFFFF"/>
            <w:vAlign w:val="center"/>
            <w:hideMark/>
          </w:tcPr>
          <w:p w14:paraId="53BC1961"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22689D5"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4B82AA49"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single" w:sz="8" w:space="0" w:color="auto"/>
              <w:left w:val="nil"/>
              <w:bottom w:val="nil"/>
              <w:right w:val="single" w:sz="8" w:space="0" w:color="auto"/>
            </w:tcBorders>
            <w:shd w:val="clear" w:color="auto" w:fill="FFFFFF"/>
            <w:vAlign w:val="center"/>
          </w:tcPr>
          <w:p w14:paraId="6ECBA0BD"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4E253EC"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c>
          <w:tcPr>
            <w:tcW w:w="1134" w:type="dxa"/>
            <w:tcBorders>
              <w:top w:val="nil"/>
              <w:left w:val="single" w:sz="8" w:space="0" w:color="auto"/>
              <w:right w:val="single" w:sz="8" w:space="0" w:color="auto"/>
            </w:tcBorders>
            <w:shd w:val="clear" w:color="auto" w:fill="FFFFFF"/>
            <w:vAlign w:val="center"/>
          </w:tcPr>
          <w:p w14:paraId="49BA2F8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1B7AD893" w14:textId="77777777" w:rsidTr="000E5963">
        <w:trPr>
          <w:trHeight w:val="548"/>
        </w:trPr>
        <w:tc>
          <w:tcPr>
            <w:tcW w:w="6663" w:type="dxa"/>
            <w:gridSpan w:val="2"/>
            <w:shd w:val="clear" w:color="auto" w:fill="FFFFFF"/>
            <w:vAlign w:val="center"/>
            <w:hideMark/>
          </w:tcPr>
          <w:p w14:paraId="3AEC91F5"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profit</w:t>
            </w:r>
          </w:p>
        </w:tc>
        <w:tc>
          <w:tcPr>
            <w:tcW w:w="708" w:type="dxa"/>
            <w:shd w:val="clear" w:color="auto" w:fill="FFFFFF"/>
            <w:vAlign w:val="center"/>
            <w:hideMark/>
          </w:tcPr>
          <w:p w14:paraId="20A82D2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6ED855FA" w14:textId="1F86F23B" w:rsidR="000E5963" w:rsidRPr="002F7804" w:rsidRDefault="009E0AB8" w:rsidP="000E5963">
            <w:pPr>
              <w:spacing w:after="0" w:line="240" w:lineRule="auto"/>
              <w:jc w:val="right"/>
              <w:rPr>
                <w:rFonts w:ascii="Calibri" w:eastAsia="Times New Roman" w:hAnsi="Calibri" w:cs="Calibri"/>
                <w:sz w:val="22"/>
                <w:szCs w:val="22"/>
                <w:lang w:val="en-IE" w:eastAsia="en-IE"/>
              </w:rPr>
            </w:pPr>
            <w:r w:rsidRPr="002F7804">
              <w:rPr>
                <w:rFonts w:ascii="Calibri" w:eastAsia="Times New Roman" w:hAnsi="Calibri" w:cs="Calibri"/>
                <w:sz w:val="22"/>
                <w:szCs w:val="22"/>
                <w:lang w:val="en-IE" w:eastAsia="en-IE"/>
              </w:rPr>
              <w:t>+</w:t>
            </w:r>
            <w:r w:rsidR="002F7804" w:rsidRPr="002F7804">
              <w:rPr>
                <w:rFonts w:ascii="Calibri" w:eastAsia="Times New Roman" w:hAnsi="Calibri" w:cs="Calibri"/>
                <w:sz w:val="22"/>
                <w:szCs w:val="22"/>
                <w:lang w:val="en-IE" w:eastAsia="en-IE"/>
              </w:rPr>
              <w:t>42</w:t>
            </w:r>
            <w:r w:rsidR="000E5963" w:rsidRPr="002F7804">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7C6755D9" w14:textId="47475026" w:rsidR="000E5963" w:rsidRPr="000E5963" w:rsidRDefault="002F780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2,860.</w:t>
            </w:r>
            <w:r w:rsidR="00417201">
              <w:rPr>
                <w:rFonts w:ascii="Calibri" w:eastAsia="Times New Roman" w:hAnsi="Calibri" w:cs="Calibri"/>
                <w:b/>
                <w:bCs/>
                <w:color w:val="000000"/>
                <w:sz w:val="22"/>
                <w:szCs w:val="22"/>
                <w:lang w:val="en-IE" w:eastAsia="en-IE"/>
              </w:rPr>
              <w:t>5</w:t>
            </w:r>
          </w:p>
        </w:tc>
        <w:tc>
          <w:tcPr>
            <w:tcW w:w="1134" w:type="dxa"/>
            <w:tcBorders>
              <w:top w:val="nil"/>
              <w:left w:val="single" w:sz="8" w:space="0" w:color="auto"/>
              <w:bottom w:val="nil"/>
              <w:right w:val="single" w:sz="8" w:space="0" w:color="auto"/>
            </w:tcBorders>
            <w:shd w:val="clear" w:color="auto" w:fill="FFFFFF"/>
            <w:vAlign w:val="center"/>
          </w:tcPr>
          <w:p w14:paraId="235553C1" w14:textId="53BBF08C" w:rsidR="000E5963" w:rsidRPr="000E5963" w:rsidRDefault="00C63326" w:rsidP="000E5963">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2,014.5</w:t>
            </w:r>
          </w:p>
        </w:tc>
      </w:tr>
      <w:tr w:rsidR="000E5963" w:rsidRPr="000E5963" w14:paraId="00124237" w14:textId="77777777" w:rsidTr="000E5963">
        <w:trPr>
          <w:trHeight w:val="274"/>
        </w:trPr>
        <w:tc>
          <w:tcPr>
            <w:tcW w:w="6663" w:type="dxa"/>
            <w:gridSpan w:val="2"/>
            <w:shd w:val="clear" w:color="auto" w:fill="FFFFFF"/>
            <w:vAlign w:val="center"/>
            <w:hideMark/>
          </w:tcPr>
          <w:p w14:paraId="52D3417D"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Other income</w:t>
            </w:r>
          </w:p>
        </w:tc>
        <w:tc>
          <w:tcPr>
            <w:tcW w:w="708" w:type="dxa"/>
            <w:shd w:val="clear" w:color="auto" w:fill="FFFFFF"/>
            <w:vAlign w:val="center"/>
            <w:hideMark/>
          </w:tcPr>
          <w:p w14:paraId="0D843A3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24B94537" w14:textId="77777777" w:rsidR="000E5963" w:rsidRPr="002F7804" w:rsidRDefault="000E5963" w:rsidP="000E5963">
            <w:pPr>
              <w:spacing w:after="0" w:line="240" w:lineRule="auto"/>
              <w:jc w:val="right"/>
              <w:rPr>
                <w:rFonts w:ascii="Calibri" w:eastAsia="Times New Roman" w:hAnsi="Calibri" w:cs="Calibri"/>
                <w:sz w:val="22"/>
                <w:szCs w:val="22"/>
                <w:lang w:val="en-IE" w:eastAsia="en-IE"/>
              </w:rPr>
            </w:pPr>
          </w:p>
        </w:tc>
        <w:tc>
          <w:tcPr>
            <w:tcW w:w="1134" w:type="dxa"/>
            <w:tcBorders>
              <w:top w:val="nil"/>
              <w:left w:val="nil"/>
              <w:bottom w:val="nil"/>
              <w:right w:val="single" w:sz="8" w:space="0" w:color="auto"/>
            </w:tcBorders>
            <w:shd w:val="clear" w:color="auto" w:fill="FFFF00"/>
            <w:vAlign w:val="center"/>
          </w:tcPr>
          <w:p w14:paraId="72A11988"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295D6C58"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r>
      <w:tr w:rsidR="000E5963" w:rsidRPr="000E5963" w14:paraId="30E3793C" w14:textId="77777777" w:rsidTr="00672E40">
        <w:trPr>
          <w:trHeight w:val="274"/>
        </w:trPr>
        <w:tc>
          <w:tcPr>
            <w:tcW w:w="349" w:type="dxa"/>
            <w:shd w:val="clear" w:color="auto" w:fill="FFFFFF"/>
            <w:vAlign w:val="center"/>
            <w:hideMark/>
          </w:tcPr>
          <w:p w14:paraId="5782EE14"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54F454A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Net finance and other income</w:t>
            </w:r>
          </w:p>
        </w:tc>
        <w:tc>
          <w:tcPr>
            <w:tcW w:w="708" w:type="dxa"/>
            <w:shd w:val="clear" w:color="auto" w:fill="FFFFFF"/>
            <w:vAlign w:val="center"/>
            <w:hideMark/>
          </w:tcPr>
          <w:p w14:paraId="3C60548C"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56985C72" w14:textId="2B002F95" w:rsidR="000E5963" w:rsidRPr="002F7804" w:rsidRDefault="002F7804" w:rsidP="000E5963">
            <w:pPr>
              <w:spacing w:after="0" w:line="240" w:lineRule="auto"/>
              <w:jc w:val="right"/>
              <w:rPr>
                <w:rFonts w:ascii="Calibri" w:eastAsia="Times New Roman" w:hAnsi="Calibri" w:cs="Calibri"/>
                <w:sz w:val="22"/>
                <w:szCs w:val="22"/>
                <w:lang w:val="en-IE" w:eastAsia="en-IE"/>
              </w:rPr>
            </w:pPr>
            <w:r w:rsidRPr="002F7804">
              <w:rPr>
                <w:rFonts w:ascii="Calibri" w:eastAsia="Times New Roman" w:hAnsi="Calibri" w:cs="Calibri"/>
                <w:sz w:val="22"/>
                <w:szCs w:val="22"/>
                <w:lang w:val="en-IE" w:eastAsia="en-IE"/>
              </w:rPr>
              <w:t>+22%</w:t>
            </w:r>
          </w:p>
        </w:tc>
        <w:tc>
          <w:tcPr>
            <w:tcW w:w="1134" w:type="dxa"/>
            <w:tcBorders>
              <w:top w:val="nil"/>
              <w:left w:val="nil"/>
              <w:bottom w:val="nil"/>
              <w:right w:val="single" w:sz="8" w:space="0" w:color="auto"/>
            </w:tcBorders>
            <w:shd w:val="clear" w:color="auto" w:fill="FFFF00"/>
            <w:vAlign w:val="center"/>
          </w:tcPr>
          <w:p w14:paraId="2E1F563C" w14:textId="1398EB9C" w:rsidR="000E5963" w:rsidRPr="000E5963" w:rsidRDefault="002F7804"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60.8</w:t>
            </w:r>
          </w:p>
        </w:tc>
        <w:tc>
          <w:tcPr>
            <w:tcW w:w="1134" w:type="dxa"/>
            <w:tcBorders>
              <w:top w:val="nil"/>
              <w:right w:val="single" w:sz="8" w:space="0" w:color="auto"/>
            </w:tcBorders>
            <w:vAlign w:val="center"/>
          </w:tcPr>
          <w:p w14:paraId="033C06F4" w14:textId="6AF766A3" w:rsidR="000E5963" w:rsidRPr="000E5963" w:rsidRDefault="00C63326" w:rsidP="000E5963">
            <w:pPr>
              <w:spacing w:after="0" w:line="240" w:lineRule="auto"/>
              <w:jc w:val="right"/>
              <w:rPr>
                <w:rFonts w:ascii="Calibri" w:eastAsia="Times New Roman" w:hAnsi="Calibri" w:cs="Calibri"/>
                <w:color w:val="000000"/>
                <w:sz w:val="22"/>
                <w:szCs w:val="22"/>
                <w:lang w:val="en-IE" w:eastAsia="en-IE"/>
              </w:rPr>
            </w:pPr>
            <w:r>
              <w:rPr>
                <w:rFonts w:ascii="Calibri" w:eastAsia="Calibri" w:hAnsi="Calibri" w:cs="Calibri"/>
                <w:sz w:val="21"/>
                <w:szCs w:val="21"/>
                <w:lang w:val="en-IE" w:eastAsia="en-IE"/>
              </w:rPr>
              <w:t>50.0</w:t>
            </w:r>
          </w:p>
        </w:tc>
      </w:tr>
      <w:tr w:rsidR="000E5963" w:rsidRPr="000E5963" w14:paraId="174333D7" w14:textId="77777777" w:rsidTr="00672E40">
        <w:trPr>
          <w:trHeight w:val="284"/>
        </w:trPr>
        <w:tc>
          <w:tcPr>
            <w:tcW w:w="349" w:type="dxa"/>
            <w:shd w:val="clear" w:color="auto" w:fill="FFFFFF"/>
            <w:vAlign w:val="center"/>
            <w:hideMark/>
          </w:tcPr>
          <w:p w14:paraId="21AECE4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4A2CAF0B" w14:textId="58B482C9"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Foreign </w:t>
            </w:r>
            <w:r w:rsidRPr="007B5055">
              <w:rPr>
                <w:rFonts w:ascii="Calibri" w:eastAsia="Times New Roman" w:hAnsi="Calibri" w:cs="Calibri"/>
                <w:color w:val="000000"/>
                <w:sz w:val="22"/>
                <w:szCs w:val="22"/>
                <w:lang w:val="en-IE" w:eastAsia="en-IE"/>
              </w:rPr>
              <w:t xml:space="preserve">exchange </w:t>
            </w:r>
            <w:r w:rsidR="003B6C9F" w:rsidRPr="007B5055">
              <w:rPr>
                <w:rFonts w:ascii="Calibri" w:eastAsia="Times New Roman" w:hAnsi="Calibri" w:cs="Calibri"/>
                <w:color w:val="000000"/>
                <w:sz w:val="22"/>
                <w:szCs w:val="22"/>
                <w:lang w:val="en-IE" w:eastAsia="en-IE"/>
              </w:rPr>
              <w:t>(loss)/</w:t>
            </w:r>
            <w:r w:rsidRPr="007B5055">
              <w:rPr>
                <w:rFonts w:ascii="Calibri" w:eastAsia="Times New Roman" w:hAnsi="Calibri" w:cs="Calibri"/>
                <w:color w:val="000000"/>
                <w:sz w:val="22"/>
                <w:szCs w:val="22"/>
                <w:lang w:val="en-IE" w:eastAsia="en-IE"/>
              </w:rPr>
              <w:t>gain</w:t>
            </w:r>
          </w:p>
        </w:tc>
        <w:tc>
          <w:tcPr>
            <w:tcW w:w="708" w:type="dxa"/>
            <w:shd w:val="clear" w:color="auto" w:fill="FFFFFF"/>
            <w:vAlign w:val="center"/>
            <w:hideMark/>
          </w:tcPr>
          <w:p w14:paraId="2F4421BF"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right w:val="single" w:sz="8" w:space="0" w:color="auto"/>
            </w:tcBorders>
            <w:shd w:val="clear" w:color="auto" w:fill="FFFFFF"/>
            <w:vAlign w:val="center"/>
          </w:tcPr>
          <w:p w14:paraId="63CF73AD" w14:textId="412E36DA" w:rsidR="000E5963" w:rsidRPr="000E5963"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nil"/>
              <w:bottom w:val="nil"/>
              <w:right w:val="single" w:sz="8" w:space="0" w:color="auto"/>
            </w:tcBorders>
            <w:shd w:val="clear" w:color="auto" w:fill="FFFF00"/>
            <w:vAlign w:val="center"/>
          </w:tcPr>
          <w:p w14:paraId="2895A524" w14:textId="4A63599A" w:rsidR="000E5963" w:rsidRPr="000E5963" w:rsidRDefault="002F7804"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(29.</w:t>
            </w:r>
            <w:r w:rsidR="00A4626E">
              <w:rPr>
                <w:rFonts w:ascii="Calibri" w:eastAsia="Calibri" w:hAnsi="Calibri" w:cs="Calibri"/>
                <w:b/>
                <w:bCs/>
                <w:sz w:val="22"/>
                <w:szCs w:val="22"/>
                <w:lang w:val="en-IE" w:eastAsia="en-IE"/>
              </w:rPr>
              <w:t>7</w:t>
            </w:r>
            <w:r>
              <w:rPr>
                <w:rFonts w:ascii="Calibri" w:eastAsia="Calibri" w:hAnsi="Calibri" w:cs="Calibri"/>
                <w:b/>
                <w:bCs/>
                <w:sz w:val="22"/>
                <w:szCs w:val="22"/>
                <w:lang w:val="en-IE" w:eastAsia="en-IE"/>
              </w:rPr>
              <w:t>)</w:t>
            </w:r>
          </w:p>
        </w:tc>
        <w:tc>
          <w:tcPr>
            <w:tcW w:w="1134" w:type="dxa"/>
            <w:tcBorders>
              <w:top w:val="nil"/>
              <w:right w:val="single" w:sz="8" w:space="0" w:color="auto"/>
            </w:tcBorders>
            <w:vAlign w:val="center"/>
          </w:tcPr>
          <w:p w14:paraId="0FED2222" w14:textId="3DDC6CF1" w:rsidR="000E5963" w:rsidRPr="000E5963" w:rsidRDefault="00C63326" w:rsidP="000E5963">
            <w:pPr>
              <w:spacing w:after="0" w:line="240" w:lineRule="auto"/>
              <w:jc w:val="right"/>
              <w:rPr>
                <w:rFonts w:ascii="Calibri" w:eastAsia="Times New Roman" w:hAnsi="Calibri" w:cs="Calibri"/>
                <w:color w:val="000000"/>
                <w:sz w:val="22"/>
                <w:szCs w:val="22"/>
                <w:lang w:val="en-IE" w:eastAsia="en-IE"/>
              </w:rPr>
            </w:pPr>
            <w:r>
              <w:rPr>
                <w:rFonts w:ascii="Calibri" w:eastAsia="Calibri" w:hAnsi="Calibri" w:cs="Calibri"/>
                <w:sz w:val="21"/>
                <w:szCs w:val="21"/>
                <w:lang w:val="en-IE" w:eastAsia="en-IE"/>
              </w:rPr>
              <w:t>2.4</w:t>
            </w:r>
          </w:p>
        </w:tc>
      </w:tr>
      <w:tr w:rsidR="000E5963" w:rsidRPr="000E5963" w14:paraId="7F6A56E7" w14:textId="77777777" w:rsidTr="000E5963">
        <w:trPr>
          <w:trHeight w:val="284"/>
        </w:trPr>
        <w:tc>
          <w:tcPr>
            <w:tcW w:w="6663" w:type="dxa"/>
            <w:gridSpan w:val="2"/>
            <w:shd w:val="clear" w:color="auto" w:fill="FFFFFF"/>
            <w:vAlign w:val="center"/>
            <w:hideMark/>
          </w:tcPr>
          <w:p w14:paraId="08288F8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other income</w:t>
            </w:r>
          </w:p>
        </w:tc>
        <w:tc>
          <w:tcPr>
            <w:tcW w:w="708" w:type="dxa"/>
            <w:shd w:val="clear" w:color="auto" w:fill="FFFFFF"/>
            <w:vAlign w:val="center"/>
            <w:hideMark/>
          </w:tcPr>
          <w:p w14:paraId="17161DE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left w:val="nil"/>
              <w:right w:val="single" w:sz="8" w:space="0" w:color="auto"/>
            </w:tcBorders>
            <w:shd w:val="clear" w:color="auto" w:fill="FFFFFF"/>
            <w:vAlign w:val="center"/>
          </w:tcPr>
          <w:p w14:paraId="46852EA8" w14:textId="6D60F38D" w:rsidR="000E5963" w:rsidRPr="000E5963" w:rsidRDefault="00D9769C" w:rsidP="000E5963">
            <w:pPr>
              <w:spacing w:after="0" w:line="240" w:lineRule="auto"/>
              <w:jc w:val="right"/>
              <w:rPr>
                <w:rFonts w:ascii="Calibri" w:eastAsia="Times New Roman" w:hAnsi="Calibri" w:cs="Calibri"/>
                <w:sz w:val="22"/>
                <w:szCs w:val="22"/>
                <w:highlight w:val="red"/>
                <w:lang w:val="en-IE" w:eastAsia="en-IE"/>
              </w:rPr>
            </w:pPr>
            <w:r w:rsidRPr="00D9769C">
              <w:rPr>
                <w:rFonts w:ascii="Calibri" w:eastAsia="Times New Roman" w:hAnsi="Calibri" w:cs="Calibri"/>
                <w:sz w:val="22"/>
                <w:szCs w:val="22"/>
                <w:lang w:val="en-IE" w:eastAsia="en-IE"/>
              </w:rPr>
              <w:t>-41%</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7E5BCEC6" w14:textId="720542BE" w:rsidR="000E5963" w:rsidRPr="000E5963" w:rsidRDefault="002F780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31.</w:t>
            </w:r>
            <w:r w:rsidR="00A4626E">
              <w:rPr>
                <w:rFonts w:ascii="Calibri" w:eastAsia="Times New Roman" w:hAnsi="Calibri" w:cs="Calibri"/>
                <w:b/>
                <w:bCs/>
                <w:color w:val="000000"/>
                <w:sz w:val="22"/>
                <w:szCs w:val="22"/>
                <w:lang w:val="en-IE" w:eastAsia="en-IE"/>
              </w:rPr>
              <w:t>1</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231889C7" w14:textId="3EED5B51" w:rsidR="000E5963" w:rsidRPr="000E5963" w:rsidRDefault="00C63326" w:rsidP="000E5963">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52.4</w:t>
            </w:r>
          </w:p>
        </w:tc>
      </w:tr>
      <w:tr w:rsidR="000E5963" w:rsidRPr="000E5963" w14:paraId="0A26881D" w14:textId="77777777" w:rsidTr="000E5963">
        <w:trPr>
          <w:trHeight w:val="274"/>
        </w:trPr>
        <w:tc>
          <w:tcPr>
            <w:tcW w:w="349" w:type="dxa"/>
            <w:shd w:val="clear" w:color="auto" w:fill="FFFFFF"/>
            <w:vAlign w:val="center"/>
            <w:hideMark/>
          </w:tcPr>
          <w:p w14:paraId="2D94E44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4406B4D6"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50545A4C"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left w:val="nil"/>
              <w:bottom w:val="nil"/>
              <w:right w:val="single" w:sz="8" w:space="0" w:color="auto"/>
            </w:tcBorders>
            <w:shd w:val="clear" w:color="auto" w:fill="FFFFFF"/>
            <w:vAlign w:val="center"/>
          </w:tcPr>
          <w:p w14:paraId="4F18E64E"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0948303B"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316EFE82"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3E5A1243" w14:textId="77777777" w:rsidTr="000E5963">
        <w:trPr>
          <w:trHeight w:val="274"/>
        </w:trPr>
        <w:tc>
          <w:tcPr>
            <w:tcW w:w="6663" w:type="dxa"/>
            <w:gridSpan w:val="2"/>
            <w:shd w:val="clear" w:color="auto" w:fill="FFFFFF"/>
            <w:vAlign w:val="center"/>
            <w:hideMark/>
          </w:tcPr>
          <w:p w14:paraId="03406D92"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Profit before tax</w:t>
            </w:r>
          </w:p>
        </w:tc>
        <w:tc>
          <w:tcPr>
            <w:tcW w:w="708" w:type="dxa"/>
            <w:shd w:val="clear" w:color="auto" w:fill="FFFFFF"/>
            <w:vAlign w:val="center"/>
            <w:hideMark/>
          </w:tcPr>
          <w:p w14:paraId="59B833E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0AAB47A3" w14:textId="18704D96" w:rsidR="000E5963" w:rsidRPr="000E5963" w:rsidRDefault="007868F0" w:rsidP="000E5963">
            <w:pPr>
              <w:spacing w:after="0" w:line="240" w:lineRule="auto"/>
              <w:jc w:val="right"/>
              <w:rPr>
                <w:rFonts w:ascii="Calibri" w:eastAsia="Times New Roman" w:hAnsi="Calibri" w:cs="Calibri"/>
                <w:sz w:val="22"/>
                <w:szCs w:val="22"/>
                <w:highlight w:val="red"/>
                <w:lang w:val="en-IE" w:eastAsia="en-IE"/>
              </w:rPr>
            </w:pPr>
            <w:r w:rsidRPr="005109DB">
              <w:rPr>
                <w:rFonts w:ascii="Calibri" w:eastAsia="Times New Roman" w:hAnsi="Calibri" w:cs="Calibri"/>
                <w:sz w:val="22"/>
                <w:szCs w:val="22"/>
                <w:lang w:val="en-IE" w:eastAsia="en-IE"/>
              </w:rPr>
              <w:t>+</w:t>
            </w:r>
            <w:r w:rsidR="005109DB" w:rsidRPr="005109DB">
              <w:rPr>
                <w:rFonts w:ascii="Calibri" w:eastAsia="Times New Roman" w:hAnsi="Calibri" w:cs="Calibri"/>
                <w:sz w:val="22"/>
                <w:szCs w:val="22"/>
                <w:lang w:val="en-IE" w:eastAsia="en-IE"/>
              </w:rPr>
              <w:t>40</w:t>
            </w:r>
            <w:r w:rsidR="000E5963" w:rsidRPr="005109DB">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67E7FD39" w14:textId="425FDF3D" w:rsidR="000E5963" w:rsidRPr="000E5963" w:rsidRDefault="005109DB"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2,891.6</w:t>
            </w:r>
          </w:p>
        </w:tc>
        <w:tc>
          <w:tcPr>
            <w:tcW w:w="1134" w:type="dxa"/>
            <w:tcBorders>
              <w:top w:val="nil"/>
              <w:left w:val="single" w:sz="8" w:space="0" w:color="auto"/>
              <w:bottom w:val="nil"/>
              <w:right w:val="single" w:sz="8" w:space="0" w:color="auto"/>
            </w:tcBorders>
            <w:shd w:val="clear" w:color="auto" w:fill="FFFFFF"/>
            <w:vAlign w:val="center"/>
          </w:tcPr>
          <w:p w14:paraId="49EA58B6" w14:textId="6A24C2D7" w:rsidR="000E5963" w:rsidRPr="000E5963" w:rsidRDefault="00C63326" w:rsidP="000E5963">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2,066.9</w:t>
            </w:r>
          </w:p>
        </w:tc>
      </w:tr>
      <w:tr w:rsidR="000E5963" w:rsidRPr="000E5963" w14:paraId="33916959" w14:textId="77777777" w:rsidTr="000E5963">
        <w:trPr>
          <w:trHeight w:val="274"/>
        </w:trPr>
        <w:tc>
          <w:tcPr>
            <w:tcW w:w="349" w:type="dxa"/>
            <w:shd w:val="clear" w:color="auto" w:fill="FFFFFF"/>
            <w:vAlign w:val="center"/>
            <w:hideMark/>
          </w:tcPr>
          <w:p w14:paraId="207B6D82"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3A24CD8C"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30EE4BF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right w:val="single" w:sz="8" w:space="0" w:color="auto"/>
            </w:tcBorders>
            <w:shd w:val="clear" w:color="auto" w:fill="FFFFFF"/>
            <w:vAlign w:val="center"/>
          </w:tcPr>
          <w:p w14:paraId="40E580AD" w14:textId="77777777" w:rsidR="000E5963" w:rsidRPr="000E5963" w:rsidRDefault="000E5963" w:rsidP="000E5963">
            <w:pPr>
              <w:spacing w:after="0" w:line="240" w:lineRule="auto"/>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3F8631EF"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1A36636F"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6AA4C7A9" w14:textId="77777777" w:rsidTr="000E5963">
        <w:trPr>
          <w:trHeight w:val="284"/>
        </w:trPr>
        <w:tc>
          <w:tcPr>
            <w:tcW w:w="349" w:type="dxa"/>
            <w:shd w:val="clear" w:color="auto" w:fill="FFFFFF"/>
            <w:vAlign w:val="center"/>
            <w:hideMark/>
          </w:tcPr>
          <w:p w14:paraId="6C8354DE"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55BCB2D"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Tax (expense)</w:t>
            </w:r>
          </w:p>
        </w:tc>
        <w:tc>
          <w:tcPr>
            <w:tcW w:w="708" w:type="dxa"/>
            <w:shd w:val="clear" w:color="auto" w:fill="FFFFFF"/>
            <w:vAlign w:val="center"/>
            <w:hideMark/>
          </w:tcPr>
          <w:p w14:paraId="2D8E4102" w14:textId="183F004A" w:rsidR="000E5963" w:rsidRPr="000E5963" w:rsidRDefault="003A11E4"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w:t>
            </w:r>
          </w:p>
        </w:tc>
        <w:tc>
          <w:tcPr>
            <w:tcW w:w="993" w:type="dxa"/>
            <w:tcBorders>
              <w:top w:val="nil"/>
              <w:left w:val="nil"/>
              <w:right w:val="single" w:sz="8" w:space="0" w:color="auto"/>
            </w:tcBorders>
            <w:shd w:val="clear" w:color="auto" w:fill="FFFFFF"/>
            <w:vAlign w:val="center"/>
          </w:tcPr>
          <w:p w14:paraId="4560C464" w14:textId="54DF0E3E" w:rsidR="000E5963" w:rsidRPr="000E5963" w:rsidRDefault="002455BE" w:rsidP="000E5963">
            <w:pPr>
              <w:spacing w:after="0" w:line="240" w:lineRule="auto"/>
              <w:jc w:val="right"/>
              <w:rPr>
                <w:rFonts w:ascii="Calibri" w:eastAsia="Times New Roman" w:hAnsi="Calibri" w:cs="Calibri"/>
                <w:sz w:val="22"/>
                <w:szCs w:val="22"/>
                <w:highlight w:val="red"/>
                <w:lang w:val="en-IE" w:eastAsia="en-IE"/>
              </w:rPr>
            </w:pPr>
            <w:r w:rsidRPr="002455BE">
              <w:rPr>
                <w:rFonts w:ascii="Calibri" w:eastAsia="Times New Roman" w:hAnsi="Calibri" w:cs="Calibri"/>
                <w:sz w:val="22"/>
                <w:szCs w:val="22"/>
                <w:lang w:val="en-IE" w:eastAsia="en-IE"/>
              </w:rPr>
              <w:t>-28%</w:t>
            </w:r>
          </w:p>
        </w:tc>
        <w:tc>
          <w:tcPr>
            <w:tcW w:w="1134" w:type="dxa"/>
            <w:tcBorders>
              <w:top w:val="nil"/>
              <w:left w:val="single" w:sz="8" w:space="0" w:color="auto"/>
              <w:bottom w:val="single" w:sz="8" w:space="0" w:color="auto"/>
              <w:right w:val="single" w:sz="8" w:space="0" w:color="auto"/>
            </w:tcBorders>
            <w:shd w:val="clear" w:color="auto" w:fill="FFFF00"/>
            <w:vAlign w:val="center"/>
          </w:tcPr>
          <w:p w14:paraId="2C5B01ED" w14:textId="0C46A14A" w:rsidR="000E5963" w:rsidRPr="000E5963" w:rsidRDefault="005109DB"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(352.8)</w:t>
            </w:r>
          </w:p>
        </w:tc>
        <w:tc>
          <w:tcPr>
            <w:tcW w:w="1134" w:type="dxa"/>
            <w:tcBorders>
              <w:top w:val="nil"/>
              <w:left w:val="single" w:sz="8" w:space="0" w:color="auto"/>
              <w:bottom w:val="single" w:sz="8" w:space="0" w:color="auto"/>
              <w:right w:val="single" w:sz="8" w:space="0" w:color="auto"/>
            </w:tcBorders>
            <w:shd w:val="clear" w:color="auto" w:fill="FFFFFF"/>
            <w:vAlign w:val="center"/>
          </w:tcPr>
          <w:p w14:paraId="3A65B385" w14:textId="443E98DE"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w:t>
            </w:r>
            <w:r w:rsidR="002F1D97">
              <w:rPr>
                <w:rFonts w:ascii="Calibri" w:eastAsia="Calibri" w:hAnsi="Calibri" w:cs="Calibri"/>
                <w:sz w:val="21"/>
                <w:szCs w:val="21"/>
                <w:lang w:val="en-IE" w:eastAsia="en-IE"/>
              </w:rPr>
              <w:t>275.7</w:t>
            </w:r>
            <w:r w:rsidRPr="000E5963">
              <w:rPr>
                <w:rFonts w:ascii="Calibri" w:eastAsia="Calibri" w:hAnsi="Calibri" w:cs="Calibri"/>
                <w:sz w:val="21"/>
                <w:szCs w:val="21"/>
                <w:lang w:val="en-IE" w:eastAsia="en-IE"/>
              </w:rPr>
              <w:t>)</w:t>
            </w:r>
          </w:p>
        </w:tc>
      </w:tr>
      <w:tr w:rsidR="000E5963" w:rsidRPr="000E5963" w14:paraId="3B08FD42" w14:textId="77777777" w:rsidTr="000E5963">
        <w:trPr>
          <w:trHeight w:val="274"/>
        </w:trPr>
        <w:tc>
          <w:tcPr>
            <w:tcW w:w="349" w:type="dxa"/>
            <w:shd w:val="clear" w:color="auto" w:fill="FFFFFF"/>
            <w:vAlign w:val="center"/>
            <w:hideMark/>
          </w:tcPr>
          <w:p w14:paraId="4E8C902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1825E3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0165331C"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left w:val="nil"/>
              <w:right w:val="single" w:sz="8" w:space="0" w:color="auto"/>
            </w:tcBorders>
            <w:shd w:val="clear" w:color="auto" w:fill="FFFFFF"/>
            <w:vAlign w:val="center"/>
          </w:tcPr>
          <w:p w14:paraId="22666575" w14:textId="77777777" w:rsidR="000E5963" w:rsidRPr="000E5963" w:rsidRDefault="000E5963" w:rsidP="000E5963">
            <w:pPr>
              <w:spacing w:after="0" w:line="240" w:lineRule="auto"/>
              <w:rPr>
                <w:rFonts w:ascii="Calibri" w:eastAsia="Times New Roman" w:hAnsi="Calibri" w:cs="Calibri"/>
                <w:b/>
                <w:bCs/>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4D4F05E4"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6BA1D8D9"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4A1349CB" w14:textId="77777777" w:rsidTr="000E5963">
        <w:trPr>
          <w:trHeight w:val="284"/>
        </w:trPr>
        <w:tc>
          <w:tcPr>
            <w:tcW w:w="7371" w:type="dxa"/>
            <w:gridSpan w:val="3"/>
            <w:shd w:val="clear" w:color="auto" w:fill="FFFFFF"/>
            <w:vAlign w:val="bottom"/>
            <w:hideMark/>
          </w:tcPr>
          <w:p w14:paraId="62E8B3B4" w14:textId="4710321B"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xml:space="preserve">Profit for the </w:t>
            </w:r>
            <w:r w:rsidR="008E452A">
              <w:rPr>
                <w:rFonts w:ascii="Calibri" w:eastAsia="Times New Roman" w:hAnsi="Calibri" w:cs="Calibri"/>
                <w:b/>
                <w:bCs/>
                <w:color w:val="000000"/>
                <w:sz w:val="22"/>
                <w:szCs w:val="22"/>
                <w:lang w:val="en-IE" w:eastAsia="en-IE"/>
              </w:rPr>
              <w:t>half-year</w:t>
            </w:r>
            <w:r w:rsidRPr="000E5963">
              <w:rPr>
                <w:rFonts w:ascii="Calibri" w:eastAsia="Times New Roman" w:hAnsi="Calibri" w:cs="Calibri"/>
                <w:b/>
                <w:bCs/>
                <w:color w:val="000000"/>
                <w:sz w:val="22"/>
                <w:szCs w:val="22"/>
                <w:lang w:val="en-IE" w:eastAsia="en-IE"/>
              </w:rPr>
              <w:t xml:space="preserve"> – all attributable to equity holders of parent</w:t>
            </w:r>
          </w:p>
        </w:tc>
        <w:tc>
          <w:tcPr>
            <w:tcW w:w="993" w:type="dxa"/>
            <w:tcBorders>
              <w:top w:val="nil"/>
              <w:left w:val="nil"/>
              <w:right w:val="single" w:sz="8" w:space="0" w:color="auto"/>
            </w:tcBorders>
            <w:shd w:val="clear" w:color="auto" w:fill="FFFFFF"/>
            <w:vAlign w:val="bottom"/>
          </w:tcPr>
          <w:p w14:paraId="1442DB5B" w14:textId="5FE07AE6" w:rsidR="000E5963" w:rsidRPr="000E5963" w:rsidRDefault="007868F0" w:rsidP="000E5963">
            <w:pPr>
              <w:spacing w:after="0" w:line="240" w:lineRule="auto"/>
              <w:jc w:val="right"/>
              <w:rPr>
                <w:rFonts w:ascii="Calibri" w:eastAsia="Times New Roman" w:hAnsi="Calibri" w:cs="Calibri"/>
                <w:sz w:val="22"/>
                <w:szCs w:val="22"/>
                <w:highlight w:val="red"/>
                <w:lang w:val="en-IE" w:eastAsia="en-IE"/>
              </w:rPr>
            </w:pPr>
            <w:r w:rsidRPr="007B5055">
              <w:rPr>
                <w:rFonts w:ascii="Calibri" w:eastAsia="Times New Roman" w:hAnsi="Calibri" w:cs="Calibri"/>
                <w:sz w:val="22"/>
                <w:szCs w:val="22"/>
                <w:lang w:val="en-IE" w:eastAsia="en-IE"/>
              </w:rPr>
              <w:t>+</w:t>
            </w:r>
            <w:r w:rsidR="007B5055" w:rsidRPr="007B5055">
              <w:rPr>
                <w:rFonts w:ascii="Calibri" w:eastAsia="Times New Roman" w:hAnsi="Calibri" w:cs="Calibri"/>
                <w:sz w:val="22"/>
                <w:szCs w:val="22"/>
                <w:lang w:val="en-IE" w:eastAsia="en-IE"/>
              </w:rPr>
              <w:t>42</w:t>
            </w:r>
            <w:r w:rsidR="000E5963" w:rsidRPr="007B5055">
              <w:rPr>
                <w:rFonts w:ascii="Calibri" w:eastAsia="Times New Roman" w:hAnsi="Calibri" w:cs="Calibri"/>
                <w:sz w:val="22"/>
                <w:szCs w:val="22"/>
                <w:lang w:val="en-IE" w:eastAsia="en-IE"/>
              </w:rPr>
              <w:t>%</w:t>
            </w:r>
          </w:p>
        </w:tc>
        <w:tc>
          <w:tcPr>
            <w:tcW w:w="1134" w:type="dxa"/>
            <w:tcBorders>
              <w:top w:val="nil"/>
              <w:left w:val="single" w:sz="8" w:space="0" w:color="auto"/>
              <w:bottom w:val="double" w:sz="6" w:space="0" w:color="auto"/>
              <w:right w:val="single" w:sz="8" w:space="0" w:color="auto"/>
            </w:tcBorders>
            <w:shd w:val="clear" w:color="auto" w:fill="FFFF00"/>
            <w:vAlign w:val="bottom"/>
          </w:tcPr>
          <w:p w14:paraId="63E5F92A" w14:textId="74ABA7EC" w:rsidR="000E5963" w:rsidRPr="000E5963" w:rsidRDefault="005109DB" w:rsidP="000E5963">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2,538.8</w:t>
            </w:r>
          </w:p>
        </w:tc>
        <w:tc>
          <w:tcPr>
            <w:tcW w:w="1134" w:type="dxa"/>
            <w:tcBorders>
              <w:top w:val="nil"/>
              <w:left w:val="single" w:sz="8" w:space="0" w:color="auto"/>
              <w:bottom w:val="double" w:sz="6" w:space="0" w:color="auto"/>
              <w:right w:val="single" w:sz="8" w:space="0" w:color="auto"/>
            </w:tcBorders>
            <w:shd w:val="clear" w:color="auto" w:fill="FFFFFF"/>
            <w:vAlign w:val="bottom"/>
          </w:tcPr>
          <w:p w14:paraId="0894A890" w14:textId="73F4068F" w:rsidR="000E5963" w:rsidRPr="000E5963" w:rsidRDefault="002F1D97" w:rsidP="000E5963">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1,791.2</w:t>
            </w:r>
          </w:p>
        </w:tc>
      </w:tr>
      <w:tr w:rsidR="000E5963" w:rsidRPr="000E5963" w14:paraId="052C4280" w14:textId="77777777" w:rsidTr="000E5963">
        <w:trPr>
          <w:trHeight w:val="284"/>
        </w:trPr>
        <w:tc>
          <w:tcPr>
            <w:tcW w:w="7371" w:type="dxa"/>
            <w:gridSpan w:val="3"/>
            <w:shd w:val="clear" w:color="auto" w:fill="FFFFFF"/>
            <w:vAlign w:val="center"/>
            <w:hideMark/>
          </w:tcPr>
          <w:p w14:paraId="6102D466" w14:textId="77777777" w:rsidR="000E5963" w:rsidRPr="000E5963" w:rsidRDefault="000E5963" w:rsidP="000E5963">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449B3D39" w14:textId="78560530" w:rsidR="000E5963" w:rsidRPr="0010725B" w:rsidRDefault="000E5963" w:rsidP="000E5963">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2888A54"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1B2F6B18"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32EF3998" w14:textId="77777777" w:rsidTr="000E5963">
        <w:trPr>
          <w:trHeight w:val="274"/>
        </w:trPr>
        <w:tc>
          <w:tcPr>
            <w:tcW w:w="349" w:type="dxa"/>
            <w:shd w:val="clear" w:color="auto" w:fill="FFFFFF"/>
            <w:vAlign w:val="center"/>
            <w:hideMark/>
          </w:tcPr>
          <w:p w14:paraId="0DFFE69E"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2D3F052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Earnings per ordinary share (€)</w:t>
            </w:r>
          </w:p>
        </w:tc>
        <w:tc>
          <w:tcPr>
            <w:tcW w:w="708" w:type="dxa"/>
            <w:shd w:val="clear" w:color="auto" w:fill="FFFFFF"/>
            <w:vAlign w:val="center"/>
            <w:hideMark/>
          </w:tcPr>
          <w:p w14:paraId="65B492A3"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5B6A5446" w14:textId="77777777" w:rsidR="000E5963" w:rsidRPr="0010725B" w:rsidRDefault="000E5963" w:rsidP="000E5963">
            <w:pPr>
              <w:spacing w:after="0" w:line="240" w:lineRule="auto"/>
              <w:rPr>
                <w:rFonts w:ascii="Calibri" w:eastAsia="Times New Roman" w:hAnsi="Calibri" w:cs="Calibri"/>
                <w:b/>
                <w:color w:val="FF0000"/>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92FF233" w14:textId="77777777" w:rsidR="000E5963" w:rsidRPr="000E5963" w:rsidRDefault="000E5963" w:rsidP="000E5963">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5F6B502A"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6C6530BB" w14:textId="77777777" w:rsidTr="00672E40">
        <w:trPr>
          <w:trHeight w:val="274"/>
        </w:trPr>
        <w:tc>
          <w:tcPr>
            <w:tcW w:w="349" w:type="dxa"/>
            <w:shd w:val="clear" w:color="auto" w:fill="FFFFFF"/>
            <w:vAlign w:val="center"/>
            <w:hideMark/>
          </w:tcPr>
          <w:p w14:paraId="1E8149F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610083F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Basic</w:t>
            </w:r>
          </w:p>
        </w:tc>
        <w:tc>
          <w:tcPr>
            <w:tcW w:w="708" w:type="dxa"/>
            <w:shd w:val="clear" w:color="auto" w:fill="FFFFFF"/>
            <w:vAlign w:val="center"/>
            <w:hideMark/>
          </w:tcPr>
          <w:p w14:paraId="6BD29941"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094E3140" w14:textId="5A7E6C37" w:rsidR="000E5963" w:rsidRPr="004A1017" w:rsidRDefault="00FD4063" w:rsidP="000E5963">
            <w:pPr>
              <w:spacing w:after="0" w:line="240" w:lineRule="auto"/>
              <w:jc w:val="right"/>
              <w:rPr>
                <w:rFonts w:ascii="Calibri" w:eastAsia="Times New Roman" w:hAnsi="Calibri" w:cs="Calibri"/>
                <w:sz w:val="22"/>
                <w:szCs w:val="22"/>
                <w:lang w:val="en-IE" w:eastAsia="en-IE"/>
              </w:rPr>
            </w:pPr>
            <w:r w:rsidRPr="004A1017">
              <w:rPr>
                <w:rFonts w:ascii="Calibri" w:eastAsia="Times New Roman" w:hAnsi="Calibri" w:cs="Calibri"/>
                <w:sz w:val="22"/>
                <w:szCs w:val="22"/>
                <w:lang w:val="en-IE" w:eastAsia="en-IE"/>
              </w:rPr>
              <w:t>+</w:t>
            </w:r>
            <w:r w:rsidR="00D24BCD" w:rsidRPr="004A1017">
              <w:rPr>
                <w:rFonts w:ascii="Calibri" w:eastAsia="Times New Roman" w:hAnsi="Calibri" w:cs="Calibri"/>
                <w:sz w:val="22"/>
                <w:szCs w:val="22"/>
                <w:lang w:val="en-IE" w:eastAsia="en-IE"/>
              </w:rPr>
              <w:t>50</w:t>
            </w:r>
            <w:r w:rsidR="000E5963" w:rsidRPr="004A1017">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7C4279D" w14:textId="2090E327" w:rsidR="000E5963" w:rsidRPr="000E5963" w:rsidRDefault="00D24BCD"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2.</w:t>
            </w:r>
            <w:r w:rsidR="00BF6286">
              <w:rPr>
                <w:rFonts w:ascii="Calibri" w:eastAsia="Calibri" w:hAnsi="Calibri" w:cs="Calibri"/>
                <w:b/>
                <w:bCs/>
                <w:sz w:val="22"/>
                <w:szCs w:val="22"/>
                <w:lang w:val="en-IE" w:eastAsia="en-IE"/>
              </w:rPr>
              <w:t>3926</w:t>
            </w:r>
          </w:p>
        </w:tc>
        <w:tc>
          <w:tcPr>
            <w:tcW w:w="1134" w:type="dxa"/>
            <w:tcBorders>
              <w:top w:val="nil"/>
              <w:bottom w:val="nil"/>
              <w:right w:val="single" w:sz="8" w:space="0" w:color="auto"/>
            </w:tcBorders>
            <w:vAlign w:val="center"/>
          </w:tcPr>
          <w:p w14:paraId="5B3070D3" w14:textId="5FF042CE" w:rsidR="000E5963" w:rsidRPr="000E5963" w:rsidRDefault="002F1D97" w:rsidP="000E5963">
            <w:pPr>
              <w:spacing w:after="0" w:line="240" w:lineRule="auto"/>
              <w:jc w:val="right"/>
              <w:rPr>
                <w:rFonts w:ascii="Calibri" w:eastAsia="Times New Roman" w:hAnsi="Calibri" w:cs="Calibri"/>
                <w:color w:val="000000"/>
                <w:sz w:val="22"/>
                <w:szCs w:val="22"/>
                <w:lang w:val="en-IE" w:eastAsia="en-IE"/>
              </w:rPr>
            </w:pPr>
            <w:r>
              <w:rPr>
                <w:rFonts w:ascii="Calibri" w:eastAsia="Calibri" w:hAnsi="Calibri" w:cs="Calibri"/>
                <w:sz w:val="21"/>
                <w:szCs w:val="21"/>
                <w:lang w:val="en-IE" w:eastAsia="en-IE"/>
              </w:rPr>
              <w:t>1.5943</w:t>
            </w:r>
          </w:p>
        </w:tc>
      </w:tr>
      <w:tr w:rsidR="000E5963" w:rsidRPr="000E5963" w14:paraId="5DB85679" w14:textId="77777777" w:rsidTr="00672E40">
        <w:trPr>
          <w:trHeight w:val="274"/>
        </w:trPr>
        <w:tc>
          <w:tcPr>
            <w:tcW w:w="349" w:type="dxa"/>
            <w:shd w:val="clear" w:color="auto" w:fill="FFFFFF"/>
            <w:vAlign w:val="center"/>
            <w:hideMark/>
          </w:tcPr>
          <w:p w14:paraId="010B6D39"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2E69DDC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Diluted</w:t>
            </w:r>
          </w:p>
        </w:tc>
        <w:tc>
          <w:tcPr>
            <w:tcW w:w="708" w:type="dxa"/>
            <w:shd w:val="clear" w:color="auto" w:fill="FFFFFF"/>
            <w:vAlign w:val="center"/>
            <w:hideMark/>
          </w:tcPr>
          <w:p w14:paraId="2E6DEC5E"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4A11A5A8" w14:textId="1A2A38A3" w:rsidR="000E5963" w:rsidRPr="004A1017" w:rsidRDefault="00FD4063" w:rsidP="000E5963">
            <w:pPr>
              <w:spacing w:after="0" w:line="240" w:lineRule="auto"/>
              <w:jc w:val="right"/>
              <w:rPr>
                <w:rFonts w:ascii="Calibri" w:eastAsia="Times New Roman" w:hAnsi="Calibri" w:cs="Calibri"/>
                <w:sz w:val="22"/>
                <w:szCs w:val="22"/>
                <w:lang w:val="en-IE" w:eastAsia="en-IE"/>
              </w:rPr>
            </w:pPr>
            <w:r w:rsidRPr="004A1017">
              <w:rPr>
                <w:rFonts w:ascii="Calibri" w:eastAsia="Times New Roman" w:hAnsi="Calibri" w:cs="Calibri"/>
                <w:sz w:val="22"/>
                <w:szCs w:val="22"/>
                <w:lang w:val="en-IE" w:eastAsia="en-IE"/>
              </w:rPr>
              <w:t>+</w:t>
            </w:r>
            <w:r w:rsidR="00D24BCD" w:rsidRPr="004A1017">
              <w:rPr>
                <w:rFonts w:ascii="Calibri" w:eastAsia="Times New Roman" w:hAnsi="Calibri" w:cs="Calibri"/>
                <w:sz w:val="22"/>
                <w:szCs w:val="22"/>
                <w:lang w:val="en-IE" w:eastAsia="en-IE"/>
              </w:rPr>
              <w:t>50</w:t>
            </w:r>
            <w:r w:rsidR="000E5963" w:rsidRPr="004A1017">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220CF583" w14:textId="403708D3" w:rsidR="000E5963" w:rsidRPr="000E5963" w:rsidRDefault="00BF6286"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2.</w:t>
            </w:r>
            <w:r w:rsidR="004A1017">
              <w:rPr>
                <w:rFonts w:ascii="Calibri" w:eastAsia="Calibri" w:hAnsi="Calibri" w:cs="Calibri"/>
                <w:b/>
                <w:bCs/>
                <w:sz w:val="22"/>
                <w:szCs w:val="22"/>
                <w:lang w:val="en-IE" w:eastAsia="en-IE"/>
              </w:rPr>
              <w:t>3738</w:t>
            </w:r>
          </w:p>
        </w:tc>
        <w:tc>
          <w:tcPr>
            <w:tcW w:w="1134" w:type="dxa"/>
            <w:tcBorders>
              <w:top w:val="nil"/>
              <w:bottom w:val="nil"/>
              <w:right w:val="single" w:sz="8" w:space="0" w:color="auto"/>
            </w:tcBorders>
            <w:vAlign w:val="center"/>
          </w:tcPr>
          <w:p w14:paraId="66336BB8" w14:textId="787C62CF" w:rsidR="000E5963" w:rsidRPr="000E5963" w:rsidRDefault="00FD7B81" w:rsidP="000E5963">
            <w:pPr>
              <w:spacing w:after="0" w:line="240" w:lineRule="auto"/>
              <w:jc w:val="right"/>
              <w:rPr>
                <w:rFonts w:ascii="Calibri" w:eastAsia="Times New Roman" w:hAnsi="Calibri" w:cs="Calibri"/>
                <w:color w:val="000000"/>
                <w:sz w:val="22"/>
                <w:szCs w:val="22"/>
                <w:lang w:val="en-IE" w:eastAsia="en-IE"/>
              </w:rPr>
            </w:pPr>
            <w:r>
              <w:rPr>
                <w:rFonts w:ascii="Calibri" w:eastAsia="Calibri" w:hAnsi="Calibri" w:cs="Calibri"/>
                <w:sz w:val="21"/>
                <w:szCs w:val="21"/>
                <w:lang w:val="en-IE" w:eastAsia="en-IE"/>
              </w:rPr>
              <w:t>1.5861</w:t>
            </w:r>
          </w:p>
        </w:tc>
      </w:tr>
      <w:tr w:rsidR="000E5963" w:rsidRPr="000E5963" w14:paraId="00BAA8B1" w14:textId="77777777" w:rsidTr="00672E40">
        <w:trPr>
          <w:trHeight w:val="274"/>
        </w:trPr>
        <w:tc>
          <w:tcPr>
            <w:tcW w:w="349" w:type="dxa"/>
            <w:shd w:val="clear" w:color="auto" w:fill="FFFFFF"/>
            <w:vAlign w:val="center"/>
            <w:hideMark/>
          </w:tcPr>
          <w:p w14:paraId="03DA37A1"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6594BC88"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Weighted avg. no. of ord. shares (in Ms)</w:t>
            </w:r>
          </w:p>
        </w:tc>
        <w:tc>
          <w:tcPr>
            <w:tcW w:w="708" w:type="dxa"/>
            <w:shd w:val="clear" w:color="auto" w:fill="FFFFFF"/>
            <w:vAlign w:val="center"/>
            <w:hideMark/>
          </w:tcPr>
          <w:p w14:paraId="16118B38"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3A16A6B4" w14:textId="77777777" w:rsidR="000E5963" w:rsidRPr="000E5963" w:rsidRDefault="000E5963" w:rsidP="000E5963">
            <w:pPr>
              <w:spacing w:after="0" w:line="240" w:lineRule="auto"/>
              <w:rPr>
                <w:rFonts w:ascii="Calibri" w:eastAsia="Times New Roman" w:hAnsi="Calibri" w:cs="Calibri"/>
                <w:b/>
                <w:bCs/>
                <w:color w:val="FF0000"/>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2062C8C" w14:textId="77777777" w:rsidR="000E5963" w:rsidRPr="000E5963" w:rsidRDefault="000E5963" w:rsidP="000E5963">
            <w:pPr>
              <w:spacing w:after="0" w:line="240" w:lineRule="auto"/>
              <w:jc w:val="right"/>
              <w:rPr>
                <w:rFonts w:ascii="Calibri" w:eastAsia="Calibri" w:hAnsi="Calibri" w:cs="Calibri"/>
                <w:b/>
                <w:bCs/>
                <w:sz w:val="22"/>
                <w:szCs w:val="22"/>
                <w:highlight w:val="green"/>
                <w:lang w:val="en-IE" w:eastAsia="en-IE"/>
              </w:rPr>
            </w:pPr>
          </w:p>
        </w:tc>
        <w:tc>
          <w:tcPr>
            <w:tcW w:w="1134" w:type="dxa"/>
            <w:tcBorders>
              <w:top w:val="nil"/>
              <w:right w:val="single" w:sz="8" w:space="0" w:color="auto"/>
            </w:tcBorders>
            <w:vAlign w:val="center"/>
          </w:tcPr>
          <w:p w14:paraId="11E7B295" w14:textId="77777777" w:rsidR="000E5963" w:rsidRPr="000E5963" w:rsidRDefault="000E5963" w:rsidP="000E5963">
            <w:pPr>
              <w:spacing w:after="0" w:line="240" w:lineRule="auto"/>
              <w:jc w:val="right"/>
              <w:rPr>
                <w:rFonts w:ascii="Calibri" w:eastAsia="Calibri" w:hAnsi="Calibri" w:cs="Calibri"/>
                <w:sz w:val="22"/>
                <w:szCs w:val="22"/>
                <w:lang w:val="en-IE" w:eastAsia="en-IE"/>
              </w:rPr>
            </w:pPr>
          </w:p>
        </w:tc>
      </w:tr>
      <w:tr w:rsidR="000E5963" w:rsidRPr="000E5963" w14:paraId="04942079" w14:textId="77777777" w:rsidTr="00672E40">
        <w:trPr>
          <w:trHeight w:val="274"/>
        </w:trPr>
        <w:tc>
          <w:tcPr>
            <w:tcW w:w="349" w:type="dxa"/>
            <w:shd w:val="clear" w:color="auto" w:fill="FFFFFF"/>
            <w:vAlign w:val="center"/>
            <w:hideMark/>
          </w:tcPr>
          <w:p w14:paraId="13E6486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4733597"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Basic</w:t>
            </w:r>
          </w:p>
        </w:tc>
        <w:tc>
          <w:tcPr>
            <w:tcW w:w="708" w:type="dxa"/>
            <w:shd w:val="clear" w:color="auto" w:fill="FFFFFF"/>
            <w:vAlign w:val="center"/>
            <w:hideMark/>
          </w:tcPr>
          <w:p w14:paraId="52DB8F00"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4C09CA7A"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2EA999D1" w14:textId="54AB6BB8" w:rsidR="000E5963" w:rsidRPr="000E5963" w:rsidRDefault="004A1017"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1,061.1</w:t>
            </w:r>
          </w:p>
        </w:tc>
        <w:tc>
          <w:tcPr>
            <w:tcW w:w="1134" w:type="dxa"/>
            <w:tcBorders>
              <w:top w:val="nil"/>
              <w:right w:val="single" w:sz="8" w:space="0" w:color="auto"/>
            </w:tcBorders>
            <w:vAlign w:val="center"/>
          </w:tcPr>
          <w:p w14:paraId="3B7EA531" w14:textId="0D4D274D"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1,1</w:t>
            </w:r>
            <w:r w:rsidR="00E5468A">
              <w:rPr>
                <w:rFonts w:ascii="Calibri" w:eastAsia="Calibri" w:hAnsi="Calibri" w:cs="Calibri"/>
                <w:sz w:val="21"/>
                <w:szCs w:val="21"/>
                <w:lang w:val="en-IE" w:eastAsia="en-IE"/>
              </w:rPr>
              <w:t>23.5</w:t>
            </w:r>
          </w:p>
        </w:tc>
      </w:tr>
      <w:tr w:rsidR="000E5963" w:rsidRPr="000E5963" w14:paraId="06010A18" w14:textId="77777777" w:rsidTr="00672E40">
        <w:trPr>
          <w:trHeight w:val="284"/>
        </w:trPr>
        <w:tc>
          <w:tcPr>
            <w:tcW w:w="349" w:type="dxa"/>
            <w:shd w:val="clear" w:color="auto" w:fill="FFFFFF"/>
            <w:vAlign w:val="center"/>
            <w:hideMark/>
          </w:tcPr>
          <w:p w14:paraId="41AE6300"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5A18D4CF" w14:textId="77777777" w:rsidR="000E5963" w:rsidRPr="000E5963" w:rsidRDefault="000E5963" w:rsidP="000E5963">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Diluted</w:t>
            </w:r>
          </w:p>
        </w:tc>
        <w:tc>
          <w:tcPr>
            <w:tcW w:w="708" w:type="dxa"/>
            <w:shd w:val="clear" w:color="auto" w:fill="FFFFFF"/>
            <w:vAlign w:val="center"/>
            <w:hideMark/>
          </w:tcPr>
          <w:p w14:paraId="05A8F2ED" w14:textId="77777777" w:rsidR="000E5963" w:rsidRPr="000E5963" w:rsidRDefault="000E5963" w:rsidP="000E5963">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3D7C2CE3" w14:textId="77777777"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5FD2E28B" w14:textId="65874CD5" w:rsidR="000E5963" w:rsidRPr="000E5963" w:rsidRDefault="004A1017" w:rsidP="000E5963">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1,069.5</w:t>
            </w:r>
          </w:p>
        </w:tc>
        <w:tc>
          <w:tcPr>
            <w:tcW w:w="1134" w:type="dxa"/>
            <w:tcBorders>
              <w:top w:val="nil"/>
              <w:bottom w:val="single" w:sz="8" w:space="0" w:color="auto"/>
              <w:right w:val="single" w:sz="8" w:space="0" w:color="auto"/>
            </w:tcBorders>
            <w:vAlign w:val="center"/>
          </w:tcPr>
          <w:p w14:paraId="3849E5C8" w14:textId="3C492BA2" w:rsidR="000E5963" w:rsidRPr="000E5963" w:rsidRDefault="000E5963" w:rsidP="000E5963">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1,1</w:t>
            </w:r>
            <w:r w:rsidR="00E5468A">
              <w:rPr>
                <w:rFonts w:ascii="Calibri" w:eastAsia="Calibri" w:hAnsi="Calibri" w:cs="Calibri"/>
                <w:sz w:val="21"/>
                <w:szCs w:val="21"/>
                <w:lang w:val="en-IE" w:eastAsia="en-IE"/>
              </w:rPr>
              <w:t>29.3</w:t>
            </w:r>
          </w:p>
        </w:tc>
      </w:tr>
    </w:tbl>
    <w:p w14:paraId="70ECE56D" w14:textId="77777777" w:rsidR="000E5963" w:rsidRPr="000E5963" w:rsidRDefault="000E5963" w:rsidP="000E5963">
      <w:pPr>
        <w:autoSpaceDE w:val="0"/>
        <w:autoSpaceDN w:val="0"/>
        <w:adjustRightInd w:val="0"/>
        <w:spacing w:before="120" w:after="0" w:line="240" w:lineRule="auto"/>
        <w:rPr>
          <w:rFonts w:ascii="Calibri" w:eastAsia="Times New Roman" w:hAnsi="Calibri" w:cs="Calibri"/>
          <w:b/>
          <w:bCs/>
          <w:i/>
          <w:color w:val="000000"/>
          <w:sz w:val="18"/>
          <w:szCs w:val="18"/>
          <w:lang w:val="en-IE" w:eastAsia="en-US"/>
        </w:rPr>
      </w:pPr>
    </w:p>
    <w:p w14:paraId="4B2A74F7" w14:textId="77777777" w:rsidR="000E5963" w:rsidRPr="000E5963" w:rsidRDefault="000E5963" w:rsidP="000E5963">
      <w:pPr>
        <w:autoSpaceDE w:val="0"/>
        <w:autoSpaceDN w:val="0"/>
        <w:adjustRightInd w:val="0"/>
        <w:spacing w:after="0" w:line="240" w:lineRule="auto"/>
        <w:ind w:left="142"/>
        <w:rPr>
          <w:rFonts w:ascii="Calibri" w:eastAsia="Times New Roman" w:hAnsi="Calibri" w:cs="Calibri"/>
          <w:i/>
          <w:color w:val="000000"/>
          <w:sz w:val="18"/>
          <w:szCs w:val="18"/>
          <w:lang w:val="en-IE" w:eastAsia="en-US"/>
        </w:rPr>
      </w:pPr>
      <w:r w:rsidRPr="000E5963">
        <w:rPr>
          <w:rFonts w:ascii="Calibri" w:eastAsia="Times New Roman" w:hAnsi="Calibri" w:cs="Calibri"/>
          <w:i/>
          <w:color w:val="000000"/>
          <w:sz w:val="18"/>
          <w:szCs w:val="18"/>
          <w:lang w:val="en-IE" w:eastAsia="en-US"/>
        </w:rPr>
        <w:t>*’+’ is favourable and ‘-‘ is adverse period-on-period.</w:t>
      </w:r>
    </w:p>
    <w:p w14:paraId="14677575" w14:textId="6FF3A1F7" w:rsidR="004413EC" w:rsidRPr="000E5963" w:rsidRDefault="000E5963" w:rsidP="004413EC">
      <w:pPr>
        <w:autoSpaceDE w:val="0"/>
        <w:autoSpaceDN w:val="0"/>
        <w:adjustRightInd w:val="0"/>
        <w:spacing w:after="0" w:line="240" w:lineRule="auto"/>
        <w:rPr>
          <w:rFonts w:ascii="Calibri" w:eastAsia="Times New Roman" w:hAnsi="Calibri" w:cs="Calibri"/>
          <w:b/>
          <w:bCs/>
          <w:color w:val="000000"/>
          <w:lang w:val="en-IE" w:eastAsia="en-US"/>
        </w:rPr>
      </w:pPr>
      <w:r w:rsidRPr="000E5963">
        <w:rPr>
          <w:rFonts w:ascii="Calibri" w:eastAsia="Times New Roman" w:hAnsi="Calibri" w:cs="Calibri"/>
          <w:i/>
          <w:color w:val="000000"/>
          <w:sz w:val="18"/>
          <w:szCs w:val="18"/>
          <w:lang w:val="en-IE" w:eastAsia="en-US"/>
        </w:rPr>
        <w:br w:type="page"/>
      </w:r>
      <w:r w:rsidR="004413EC" w:rsidRPr="000E5963">
        <w:rPr>
          <w:rFonts w:ascii="Calibri" w:eastAsia="Times New Roman" w:hAnsi="Calibri" w:cs="Calibri"/>
          <w:b/>
          <w:bCs/>
          <w:color w:val="000000"/>
          <w:lang w:val="en-IE" w:eastAsia="en-US"/>
        </w:rPr>
        <w:lastRenderedPageBreak/>
        <w:t xml:space="preserve">Ryanair Holdings plc and Subsidiaries </w:t>
      </w:r>
    </w:p>
    <w:p w14:paraId="6011C898" w14:textId="1AD07586" w:rsidR="004413EC" w:rsidRPr="000E5963" w:rsidRDefault="004413EC" w:rsidP="004413EC">
      <w:pPr>
        <w:spacing w:after="0" w:line="240" w:lineRule="auto"/>
        <w:ind w:right="283"/>
        <w:rPr>
          <w:rFonts w:ascii="Calibri" w:eastAsia="Times New Roman" w:hAnsi="Calibri" w:cs="Calibri"/>
          <w:b/>
          <w:bCs/>
          <w:i/>
          <w:color w:val="000000"/>
          <w:lang w:val="en-IE" w:eastAsia="en-US"/>
        </w:rPr>
      </w:pPr>
      <w:r w:rsidRPr="000E5963">
        <w:rPr>
          <w:rFonts w:ascii="Calibri" w:eastAsia="Times New Roman" w:hAnsi="Calibri" w:cs="Calibri"/>
          <w:b/>
          <w:bCs/>
          <w:i/>
          <w:color w:val="000000"/>
          <w:lang w:val="en-IE" w:eastAsia="en-US"/>
        </w:rPr>
        <w:t>Condensed Consolidated</w:t>
      </w:r>
      <w:r w:rsidRPr="000E5963">
        <w:rPr>
          <w:rFonts w:ascii="Times New Roman" w:eastAsia="Times New Roman" w:hAnsi="Times New Roman" w:cs="Times New Roman"/>
          <w:lang w:val="en-IE" w:eastAsia="en-US"/>
        </w:rPr>
        <w:t xml:space="preserve"> </w:t>
      </w:r>
      <w:r w:rsidRPr="000E5963">
        <w:rPr>
          <w:rFonts w:ascii="Calibri" w:eastAsia="Times New Roman" w:hAnsi="Calibri" w:cs="Calibri"/>
          <w:b/>
          <w:bCs/>
          <w:i/>
          <w:color w:val="000000"/>
          <w:lang w:val="en-IE" w:eastAsia="en-US"/>
        </w:rPr>
        <w:t xml:space="preserve">Interim Income Statement for the Quarter Ended </w:t>
      </w:r>
      <w:r w:rsidR="00C96375">
        <w:rPr>
          <w:rFonts w:ascii="Calibri" w:eastAsia="Times New Roman" w:hAnsi="Calibri" w:cs="Calibri"/>
          <w:b/>
          <w:bCs/>
          <w:i/>
          <w:color w:val="000000"/>
          <w:lang w:val="en-IE" w:eastAsia="en-US"/>
        </w:rPr>
        <w:t>September</w:t>
      </w:r>
      <w:r w:rsidRPr="000E5963">
        <w:rPr>
          <w:rFonts w:ascii="Calibri" w:eastAsia="Times New Roman" w:hAnsi="Calibri" w:cs="Calibri"/>
          <w:b/>
          <w:bCs/>
          <w:i/>
          <w:color w:val="000000"/>
          <w:lang w:val="en-IE" w:eastAsia="en-US"/>
        </w:rPr>
        <w:t xml:space="preserve"> 30, 2025 (unaudited)</w:t>
      </w:r>
    </w:p>
    <w:p w14:paraId="254946D0" w14:textId="77777777" w:rsidR="004413EC" w:rsidRPr="000E5963" w:rsidRDefault="004413EC" w:rsidP="004413EC">
      <w:pPr>
        <w:spacing w:after="0" w:line="240" w:lineRule="auto"/>
        <w:ind w:right="-284"/>
        <w:jc w:val="both"/>
        <w:rPr>
          <w:rFonts w:ascii="Times New Roman" w:eastAsia="Times New Roman" w:hAnsi="Times New Roman" w:cs="Times New Roman"/>
          <w:lang w:val="en-IE" w:eastAsia="en-US"/>
        </w:rPr>
      </w:pPr>
    </w:p>
    <w:tbl>
      <w:tblPr>
        <w:tblW w:w="10632" w:type="dxa"/>
        <w:tblInd w:w="108" w:type="dxa"/>
        <w:tblLayout w:type="fixed"/>
        <w:tblLook w:val="04A0" w:firstRow="1" w:lastRow="0" w:firstColumn="1" w:lastColumn="0" w:noHBand="0" w:noVBand="1"/>
      </w:tblPr>
      <w:tblGrid>
        <w:gridCol w:w="349"/>
        <w:gridCol w:w="6314"/>
        <w:gridCol w:w="708"/>
        <w:gridCol w:w="993"/>
        <w:gridCol w:w="1134"/>
        <w:gridCol w:w="1134"/>
      </w:tblGrid>
      <w:tr w:rsidR="004413EC" w:rsidRPr="000E5963" w14:paraId="39EF10CE" w14:textId="77777777" w:rsidTr="00EB7986">
        <w:trPr>
          <w:trHeight w:val="188"/>
        </w:trPr>
        <w:tc>
          <w:tcPr>
            <w:tcW w:w="349" w:type="dxa"/>
            <w:vMerge w:val="restart"/>
            <w:vAlign w:val="center"/>
            <w:hideMark/>
          </w:tcPr>
          <w:p w14:paraId="072E5A01"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p>
        </w:tc>
        <w:tc>
          <w:tcPr>
            <w:tcW w:w="6314" w:type="dxa"/>
            <w:vMerge w:val="restart"/>
            <w:vAlign w:val="center"/>
            <w:hideMark/>
          </w:tcPr>
          <w:p w14:paraId="183F93EF"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p>
        </w:tc>
        <w:tc>
          <w:tcPr>
            <w:tcW w:w="708" w:type="dxa"/>
            <w:vMerge w:val="restart"/>
            <w:vAlign w:val="center"/>
            <w:hideMark/>
          </w:tcPr>
          <w:p w14:paraId="5A1AFACF"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p>
        </w:tc>
        <w:tc>
          <w:tcPr>
            <w:tcW w:w="993" w:type="dxa"/>
            <w:vMerge w:val="restart"/>
            <w:tcBorders>
              <w:top w:val="nil"/>
              <w:left w:val="nil"/>
              <w:bottom w:val="nil"/>
              <w:right w:val="single" w:sz="8" w:space="0" w:color="auto"/>
            </w:tcBorders>
            <w:vAlign w:val="center"/>
            <w:hideMark/>
          </w:tcPr>
          <w:p w14:paraId="5814BFDF" w14:textId="77777777" w:rsidR="004413EC" w:rsidRPr="000E5963" w:rsidRDefault="004413EC" w:rsidP="00EB7986">
            <w:pPr>
              <w:spacing w:after="0" w:line="240" w:lineRule="auto"/>
              <w:jc w:val="right"/>
              <w:rPr>
                <w:rFonts w:ascii="Calibri" w:eastAsia="Times New Roman" w:hAnsi="Calibri" w:cs="Calibri"/>
                <w:sz w:val="22"/>
                <w:szCs w:val="22"/>
                <w:lang w:val="en-IE" w:eastAsia="en-IE"/>
              </w:rPr>
            </w:pPr>
          </w:p>
          <w:p w14:paraId="2F11C4B3" w14:textId="77777777" w:rsidR="004413EC" w:rsidRPr="000E5963" w:rsidRDefault="004413EC" w:rsidP="00EB7986">
            <w:pPr>
              <w:spacing w:after="0" w:line="240" w:lineRule="auto"/>
              <w:jc w:val="right"/>
              <w:rPr>
                <w:rFonts w:ascii="Calibri" w:eastAsia="Times New Roman" w:hAnsi="Calibri" w:cs="Calibri"/>
                <w:sz w:val="22"/>
                <w:szCs w:val="22"/>
                <w:lang w:val="en-IE" w:eastAsia="en-IE"/>
              </w:rPr>
            </w:pPr>
          </w:p>
          <w:p w14:paraId="57B3D613" w14:textId="77777777" w:rsidR="004413EC" w:rsidRPr="000E5963" w:rsidRDefault="004413EC" w:rsidP="00EB7986">
            <w:pPr>
              <w:spacing w:after="0" w:line="240" w:lineRule="auto"/>
              <w:jc w:val="right"/>
              <w:rPr>
                <w:rFonts w:ascii="Calibri" w:eastAsia="Times New Roman" w:hAnsi="Calibri" w:cs="Calibri"/>
                <w:sz w:val="22"/>
                <w:szCs w:val="22"/>
                <w:lang w:val="en-IE" w:eastAsia="en-IE"/>
              </w:rPr>
            </w:pPr>
          </w:p>
          <w:p w14:paraId="292888F2" w14:textId="77777777" w:rsidR="004413EC" w:rsidRPr="000E5963" w:rsidRDefault="004413EC" w:rsidP="00EB7986">
            <w:pPr>
              <w:spacing w:after="0" w:line="240" w:lineRule="auto"/>
              <w:jc w:val="right"/>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Change</w:t>
            </w:r>
          </w:p>
        </w:tc>
        <w:tc>
          <w:tcPr>
            <w:tcW w:w="1134" w:type="dxa"/>
            <w:tcBorders>
              <w:top w:val="single" w:sz="8" w:space="0" w:color="auto"/>
              <w:left w:val="single" w:sz="8" w:space="0" w:color="auto"/>
              <w:bottom w:val="nil"/>
              <w:right w:val="single" w:sz="8" w:space="0" w:color="auto"/>
            </w:tcBorders>
            <w:shd w:val="clear" w:color="auto" w:fill="FFFF00"/>
            <w:vAlign w:val="center"/>
            <w:hideMark/>
          </w:tcPr>
          <w:p w14:paraId="131A70ED" w14:textId="76E4F13A"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IFRS Quarter Ended</w:t>
            </w:r>
          </w:p>
        </w:tc>
        <w:tc>
          <w:tcPr>
            <w:tcW w:w="1134" w:type="dxa"/>
            <w:tcBorders>
              <w:top w:val="single" w:sz="8" w:space="0" w:color="auto"/>
              <w:left w:val="single" w:sz="8" w:space="0" w:color="auto"/>
              <w:bottom w:val="nil"/>
              <w:right w:val="single" w:sz="8" w:space="0" w:color="auto"/>
            </w:tcBorders>
            <w:shd w:val="clear" w:color="auto" w:fill="FFFFFF"/>
            <w:vAlign w:val="center"/>
            <w:hideMark/>
          </w:tcPr>
          <w:p w14:paraId="786AF2BC" w14:textId="5934B1DE"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IFRS Quarter Ended</w:t>
            </w:r>
          </w:p>
        </w:tc>
      </w:tr>
      <w:tr w:rsidR="004413EC" w:rsidRPr="000E5963" w14:paraId="54EBEFE7" w14:textId="77777777" w:rsidTr="00EB7986">
        <w:trPr>
          <w:trHeight w:val="549"/>
        </w:trPr>
        <w:tc>
          <w:tcPr>
            <w:tcW w:w="349" w:type="dxa"/>
            <w:vMerge/>
            <w:vAlign w:val="center"/>
            <w:hideMark/>
          </w:tcPr>
          <w:p w14:paraId="23648814"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p>
        </w:tc>
        <w:tc>
          <w:tcPr>
            <w:tcW w:w="6314" w:type="dxa"/>
            <w:vMerge/>
            <w:vAlign w:val="center"/>
            <w:hideMark/>
          </w:tcPr>
          <w:p w14:paraId="62C5278D"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p>
        </w:tc>
        <w:tc>
          <w:tcPr>
            <w:tcW w:w="708" w:type="dxa"/>
            <w:vMerge/>
            <w:vAlign w:val="center"/>
            <w:hideMark/>
          </w:tcPr>
          <w:p w14:paraId="408B4695"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p>
        </w:tc>
        <w:tc>
          <w:tcPr>
            <w:tcW w:w="993" w:type="dxa"/>
            <w:vMerge/>
            <w:tcBorders>
              <w:top w:val="nil"/>
              <w:left w:val="nil"/>
              <w:bottom w:val="nil"/>
              <w:right w:val="single" w:sz="8" w:space="0" w:color="auto"/>
            </w:tcBorders>
            <w:vAlign w:val="center"/>
            <w:hideMark/>
          </w:tcPr>
          <w:p w14:paraId="3A1F8D5C" w14:textId="77777777" w:rsidR="004413EC" w:rsidRPr="000E5963" w:rsidRDefault="004413EC" w:rsidP="00EB7986">
            <w:pPr>
              <w:spacing w:after="0" w:line="240" w:lineRule="auto"/>
              <w:rPr>
                <w:rFonts w:ascii="Calibri" w:eastAsia="Times New Roman" w:hAnsi="Calibri" w:cs="Calibri"/>
                <w:sz w:val="22"/>
                <w:szCs w:val="22"/>
                <w:lang w:val="en-IE" w:eastAsia="en-IE"/>
              </w:rPr>
            </w:pPr>
          </w:p>
        </w:tc>
        <w:tc>
          <w:tcPr>
            <w:tcW w:w="1134" w:type="dxa"/>
            <w:tcBorders>
              <w:left w:val="single" w:sz="8" w:space="0" w:color="auto"/>
              <w:bottom w:val="nil"/>
              <w:right w:val="single" w:sz="8" w:space="0" w:color="auto"/>
            </w:tcBorders>
            <w:shd w:val="clear" w:color="auto" w:fill="FFFF00"/>
            <w:vAlign w:val="center"/>
            <w:hideMark/>
          </w:tcPr>
          <w:p w14:paraId="677EC3FB" w14:textId="25E696C4" w:rsidR="004413EC" w:rsidRPr="000E5963" w:rsidRDefault="00C96375"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Sep</w:t>
            </w:r>
            <w:r w:rsidR="004413EC" w:rsidRPr="000E5963">
              <w:rPr>
                <w:rFonts w:ascii="Calibri" w:eastAsia="Times New Roman" w:hAnsi="Calibri" w:cs="Calibri"/>
                <w:b/>
                <w:bCs/>
                <w:color w:val="000000"/>
                <w:sz w:val="22"/>
                <w:szCs w:val="22"/>
                <w:lang w:val="en-IE" w:eastAsia="en-IE"/>
              </w:rPr>
              <w:t xml:space="preserve"> 30, 2025</w:t>
            </w:r>
          </w:p>
        </w:tc>
        <w:tc>
          <w:tcPr>
            <w:tcW w:w="1134" w:type="dxa"/>
            <w:tcBorders>
              <w:top w:val="nil"/>
              <w:left w:val="single" w:sz="8" w:space="0" w:color="auto"/>
              <w:bottom w:val="nil"/>
              <w:right w:val="single" w:sz="8" w:space="0" w:color="auto"/>
            </w:tcBorders>
            <w:shd w:val="clear" w:color="auto" w:fill="FFFFFF"/>
            <w:vAlign w:val="center"/>
            <w:hideMark/>
          </w:tcPr>
          <w:p w14:paraId="053171EB" w14:textId="6F2A01D8" w:rsidR="004413EC" w:rsidRPr="000E5963" w:rsidRDefault="00C96375"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Sep</w:t>
            </w:r>
            <w:r w:rsidR="004413EC" w:rsidRPr="000E5963">
              <w:rPr>
                <w:rFonts w:ascii="Calibri" w:eastAsia="Times New Roman" w:hAnsi="Calibri" w:cs="Calibri"/>
                <w:color w:val="000000"/>
                <w:sz w:val="22"/>
                <w:szCs w:val="22"/>
                <w:lang w:val="en-IE" w:eastAsia="en-IE"/>
              </w:rPr>
              <w:t xml:space="preserve"> 30, 2024</w:t>
            </w:r>
          </w:p>
        </w:tc>
      </w:tr>
      <w:tr w:rsidR="004413EC" w:rsidRPr="000E5963" w14:paraId="1EF78A83" w14:textId="77777777" w:rsidTr="00EB7986">
        <w:trPr>
          <w:trHeight w:val="274"/>
        </w:trPr>
        <w:tc>
          <w:tcPr>
            <w:tcW w:w="349" w:type="dxa"/>
            <w:shd w:val="clear" w:color="auto" w:fill="FFFFFF"/>
            <w:vAlign w:val="center"/>
            <w:hideMark/>
          </w:tcPr>
          <w:p w14:paraId="7A5F5F36"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37D482D8"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6EAC656B" w14:textId="77777777" w:rsidR="004413EC" w:rsidRPr="000E5963" w:rsidRDefault="004413EC" w:rsidP="00EB7986">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Note</w:t>
            </w:r>
          </w:p>
        </w:tc>
        <w:tc>
          <w:tcPr>
            <w:tcW w:w="993" w:type="dxa"/>
            <w:tcBorders>
              <w:top w:val="nil"/>
              <w:left w:val="nil"/>
              <w:bottom w:val="nil"/>
              <w:right w:val="single" w:sz="8" w:space="0" w:color="auto"/>
            </w:tcBorders>
            <w:shd w:val="clear" w:color="auto" w:fill="FFFFFF"/>
            <w:vAlign w:val="center"/>
            <w:hideMark/>
          </w:tcPr>
          <w:p w14:paraId="66BBA89D" w14:textId="77777777" w:rsidR="004413EC" w:rsidRPr="000E5963" w:rsidRDefault="004413EC" w:rsidP="00EB7986">
            <w:pPr>
              <w:spacing w:after="0" w:line="240" w:lineRule="auto"/>
              <w:jc w:val="right"/>
              <w:rPr>
                <w:rFonts w:ascii="Calibri" w:eastAsia="Times New Roman" w:hAnsi="Calibri" w:cs="Calibri"/>
                <w:sz w:val="22"/>
                <w:szCs w:val="22"/>
                <w:u w:val="single"/>
                <w:lang w:val="en-IE" w:eastAsia="en-IE"/>
              </w:rPr>
            </w:pPr>
            <w:r w:rsidRPr="000E5963">
              <w:rPr>
                <w:rFonts w:ascii="Calibri" w:eastAsia="Times New Roman" w:hAnsi="Calibri" w:cs="Calibri"/>
                <w:sz w:val="22"/>
                <w:szCs w:val="22"/>
                <w:u w:val="single"/>
                <w:lang w:val="en-IE" w:eastAsia="en-IE"/>
              </w:rPr>
              <w:t>%*</w:t>
            </w:r>
          </w:p>
        </w:tc>
        <w:tc>
          <w:tcPr>
            <w:tcW w:w="1134" w:type="dxa"/>
            <w:tcBorders>
              <w:top w:val="nil"/>
              <w:left w:val="single" w:sz="8" w:space="0" w:color="auto"/>
              <w:bottom w:val="nil"/>
              <w:right w:val="single" w:sz="8" w:space="0" w:color="auto"/>
            </w:tcBorders>
            <w:shd w:val="clear" w:color="auto" w:fill="FFFF00"/>
            <w:vAlign w:val="center"/>
            <w:hideMark/>
          </w:tcPr>
          <w:p w14:paraId="48407ADB" w14:textId="77777777" w:rsidR="004413EC" w:rsidRPr="000E5963" w:rsidRDefault="004413EC" w:rsidP="00EB7986">
            <w:pPr>
              <w:spacing w:after="0" w:line="240" w:lineRule="auto"/>
              <w:jc w:val="right"/>
              <w:rPr>
                <w:rFonts w:ascii="Calibri" w:eastAsia="Times New Roman" w:hAnsi="Calibri" w:cs="Calibri"/>
                <w:b/>
                <w:bCs/>
                <w:color w:val="000000"/>
                <w:sz w:val="22"/>
                <w:szCs w:val="22"/>
                <w:u w:val="single"/>
                <w:lang w:val="en-IE" w:eastAsia="en-IE"/>
              </w:rPr>
            </w:pPr>
            <w:r w:rsidRPr="000E5963">
              <w:rPr>
                <w:rFonts w:ascii="Calibri" w:eastAsia="Times New Roman" w:hAnsi="Calibri" w:cs="Calibri"/>
                <w:b/>
                <w:bCs/>
                <w:color w:val="000000"/>
                <w:sz w:val="22"/>
                <w:szCs w:val="22"/>
                <w:u w:val="single"/>
                <w:lang w:val="en-IE" w:eastAsia="en-IE"/>
              </w:rPr>
              <w:t>€M</w:t>
            </w:r>
          </w:p>
        </w:tc>
        <w:tc>
          <w:tcPr>
            <w:tcW w:w="1134" w:type="dxa"/>
            <w:tcBorders>
              <w:top w:val="nil"/>
              <w:left w:val="single" w:sz="8" w:space="0" w:color="auto"/>
              <w:bottom w:val="nil"/>
              <w:right w:val="single" w:sz="8" w:space="0" w:color="auto"/>
            </w:tcBorders>
            <w:shd w:val="clear" w:color="auto" w:fill="FFFFFF"/>
            <w:vAlign w:val="center"/>
            <w:hideMark/>
          </w:tcPr>
          <w:p w14:paraId="6CB60C02" w14:textId="77777777" w:rsidR="004413EC" w:rsidRPr="000E5963" w:rsidRDefault="004413EC" w:rsidP="00EB7986">
            <w:pPr>
              <w:spacing w:after="0" w:line="240" w:lineRule="auto"/>
              <w:jc w:val="right"/>
              <w:rPr>
                <w:rFonts w:ascii="Calibri" w:eastAsia="Times New Roman" w:hAnsi="Calibri" w:cs="Calibri"/>
                <w:color w:val="000000"/>
                <w:sz w:val="22"/>
                <w:szCs w:val="22"/>
                <w:u w:val="single"/>
                <w:lang w:val="en-IE" w:eastAsia="en-IE"/>
              </w:rPr>
            </w:pPr>
            <w:r w:rsidRPr="000E5963">
              <w:rPr>
                <w:rFonts w:ascii="Calibri" w:eastAsia="Times New Roman" w:hAnsi="Calibri" w:cs="Calibri"/>
                <w:color w:val="000000"/>
                <w:sz w:val="22"/>
                <w:szCs w:val="22"/>
                <w:u w:val="single"/>
                <w:lang w:val="en-IE" w:eastAsia="en-IE"/>
              </w:rPr>
              <w:t>€M</w:t>
            </w:r>
          </w:p>
        </w:tc>
      </w:tr>
      <w:tr w:rsidR="004413EC" w:rsidRPr="000E5963" w14:paraId="6C676BC2" w14:textId="77777777" w:rsidTr="0009474A">
        <w:trPr>
          <w:trHeight w:val="325"/>
        </w:trPr>
        <w:tc>
          <w:tcPr>
            <w:tcW w:w="6663" w:type="dxa"/>
            <w:gridSpan w:val="2"/>
            <w:shd w:val="clear" w:color="auto" w:fill="FFFFFF"/>
            <w:vAlign w:val="center"/>
            <w:hideMark/>
          </w:tcPr>
          <w:p w14:paraId="198978B7" w14:textId="4B716E09"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revenues</w:t>
            </w:r>
          </w:p>
        </w:tc>
        <w:tc>
          <w:tcPr>
            <w:tcW w:w="708" w:type="dxa"/>
            <w:shd w:val="clear" w:color="auto" w:fill="FFFFFF"/>
            <w:vAlign w:val="center"/>
          </w:tcPr>
          <w:p w14:paraId="49E8D601"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0466AFD2" w14:textId="77777777" w:rsidR="004413EC" w:rsidRPr="000E5963" w:rsidRDefault="004413EC" w:rsidP="00943AC1">
            <w:pPr>
              <w:spacing w:after="0" w:line="240" w:lineRule="auto"/>
              <w:jc w:val="center"/>
              <w:rPr>
                <w:rFonts w:ascii="Calibri" w:eastAsia="Times New Roman" w:hAnsi="Calibri" w:cs="Calibri"/>
                <w:sz w:val="22"/>
                <w:szCs w:val="22"/>
                <w:lang w:val="en-IE" w:eastAsia="en-IE"/>
              </w:rPr>
            </w:pPr>
            <w:r w:rsidRPr="000E5963">
              <w:rPr>
                <w:rFonts w:ascii="Calibri" w:eastAsia="Times New Roman" w:hAnsi="Calibri" w:cs="Calibri"/>
                <w:sz w:val="22"/>
                <w:szCs w:val="22"/>
                <w:lang w:val="en-IE" w:eastAsia="en-IE"/>
              </w:rPr>
              <w:t> </w:t>
            </w:r>
          </w:p>
        </w:tc>
        <w:tc>
          <w:tcPr>
            <w:tcW w:w="1134" w:type="dxa"/>
            <w:tcBorders>
              <w:top w:val="nil"/>
              <w:left w:val="single" w:sz="8" w:space="0" w:color="auto"/>
              <w:right w:val="single" w:sz="8" w:space="0" w:color="auto"/>
            </w:tcBorders>
            <w:shd w:val="clear" w:color="auto" w:fill="FFFF00"/>
            <w:vAlign w:val="center"/>
          </w:tcPr>
          <w:p w14:paraId="7273BB64" w14:textId="77777777" w:rsidR="004413EC" w:rsidRPr="000E5963" w:rsidRDefault="004413EC" w:rsidP="00100E73">
            <w:pPr>
              <w:spacing w:after="0" w:line="240" w:lineRule="auto"/>
              <w:rPr>
                <w:rFonts w:ascii="Calibri" w:eastAsia="Times New Roman" w:hAnsi="Calibri" w:cs="Calibri"/>
                <w:b/>
                <w:bCs/>
                <w:color w:val="000000"/>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hideMark/>
          </w:tcPr>
          <w:p w14:paraId="5CE8DCB1" w14:textId="77777777" w:rsidR="004413EC" w:rsidRPr="000E5963" w:rsidRDefault="004413EC" w:rsidP="00100E73">
            <w:pPr>
              <w:spacing w:after="0" w:line="240" w:lineRule="auto"/>
              <w:rPr>
                <w:rFonts w:ascii="Calibri" w:eastAsia="Calibri" w:hAnsi="Calibri" w:cs="Calibri"/>
                <w:sz w:val="22"/>
                <w:szCs w:val="22"/>
                <w:lang w:val="en-IE" w:eastAsia="en-IE"/>
              </w:rPr>
            </w:pPr>
          </w:p>
        </w:tc>
      </w:tr>
      <w:tr w:rsidR="004413EC" w:rsidRPr="000E5963" w14:paraId="4FF8142A" w14:textId="77777777" w:rsidTr="00EB7986">
        <w:trPr>
          <w:trHeight w:val="274"/>
        </w:trPr>
        <w:tc>
          <w:tcPr>
            <w:tcW w:w="349" w:type="dxa"/>
            <w:shd w:val="clear" w:color="auto" w:fill="FFFFFF"/>
            <w:vAlign w:val="center"/>
            <w:hideMark/>
          </w:tcPr>
          <w:p w14:paraId="569DDC2C"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1147701"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xml:space="preserve">Scheduled revenues </w:t>
            </w:r>
          </w:p>
        </w:tc>
        <w:tc>
          <w:tcPr>
            <w:tcW w:w="708" w:type="dxa"/>
            <w:shd w:val="clear" w:color="auto" w:fill="FFFFFF"/>
            <w:vAlign w:val="center"/>
          </w:tcPr>
          <w:p w14:paraId="09260DE0"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13EEF9CF" w14:textId="75C8E0BD" w:rsidR="004413EC" w:rsidRPr="00CE7408" w:rsidRDefault="004413EC" w:rsidP="00EB7986">
            <w:pPr>
              <w:spacing w:after="0" w:line="240" w:lineRule="auto"/>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w:t>
            </w:r>
            <w:r w:rsidR="00CE7408" w:rsidRPr="00CE7408">
              <w:rPr>
                <w:rFonts w:ascii="Calibri" w:eastAsia="Times New Roman" w:hAnsi="Calibri" w:cs="Calibri"/>
                <w:sz w:val="22"/>
                <w:szCs w:val="22"/>
                <w:lang w:val="en-IE" w:eastAsia="en-IE"/>
              </w:rPr>
              <w:t>9</w:t>
            </w:r>
            <w:r w:rsidRPr="00CE7408">
              <w:rPr>
                <w:rFonts w:ascii="Calibri" w:eastAsia="Times New Roman" w:hAnsi="Calibri" w:cs="Calibri"/>
                <w:sz w:val="22"/>
                <w:szCs w:val="22"/>
                <w:lang w:val="en-IE" w:eastAsia="en-IE"/>
              </w:rPr>
              <w:t>%</w:t>
            </w:r>
          </w:p>
        </w:tc>
        <w:tc>
          <w:tcPr>
            <w:tcW w:w="1134" w:type="dxa"/>
            <w:tcBorders>
              <w:left w:val="single" w:sz="4" w:space="0" w:color="auto"/>
              <w:right w:val="single" w:sz="8" w:space="0" w:color="auto"/>
            </w:tcBorders>
            <w:shd w:val="clear" w:color="auto" w:fill="FFFF00"/>
          </w:tcPr>
          <w:p w14:paraId="51F2385A" w14:textId="3DDC162C" w:rsidR="004413EC" w:rsidRPr="000E5963" w:rsidRDefault="008B5310"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3,964.8</w:t>
            </w:r>
          </w:p>
        </w:tc>
        <w:tc>
          <w:tcPr>
            <w:tcW w:w="1134" w:type="dxa"/>
            <w:tcBorders>
              <w:top w:val="nil"/>
              <w:left w:val="single" w:sz="8" w:space="0" w:color="auto"/>
              <w:right w:val="single" w:sz="8" w:space="0" w:color="auto"/>
            </w:tcBorders>
            <w:vAlign w:val="center"/>
          </w:tcPr>
          <w:p w14:paraId="5468B517" w14:textId="5DB3BDBE" w:rsidR="004413EC" w:rsidRPr="000E5963" w:rsidRDefault="00B55B58"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1"/>
                <w:szCs w:val="21"/>
                <w:lang w:val="en-IE" w:eastAsia="en-IE"/>
              </w:rPr>
              <w:t>3,621.0</w:t>
            </w:r>
          </w:p>
        </w:tc>
      </w:tr>
      <w:tr w:rsidR="004413EC" w:rsidRPr="000E5963" w14:paraId="624F3118" w14:textId="77777777" w:rsidTr="00EB7986">
        <w:trPr>
          <w:trHeight w:val="284"/>
        </w:trPr>
        <w:tc>
          <w:tcPr>
            <w:tcW w:w="349" w:type="dxa"/>
            <w:shd w:val="clear" w:color="auto" w:fill="FFFFFF"/>
            <w:vAlign w:val="center"/>
            <w:hideMark/>
          </w:tcPr>
          <w:p w14:paraId="7B2A5CCE"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23374AF7"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Ancillary revenues</w:t>
            </w:r>
          </w:p>
        </w:tc>
        <w:tc>
          <w:tcPr>
            <w:tcW w:w="708" w:type="dxa"/>
            <w:shd w:val="clear" w:color="auto" w:fill="FFFFFF"/>
            <w:vAlign w:val="center"/>
          </w:tcPr>
          <w:p w14:paraId="1B43B096"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0EDA2F94" w14:textId="0260A674" w:rsidR="004413EC" w:rsidRPr="00CE7408" w:rsidRDefault="004413EC" w:rsidP="00EB7986">
            <w:pPr>
              <w:spacing w:after="0" w:line="240" w:lineRule="auto"/>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w:t>
            </w:r>
            <w:r w:rsidR="00CE7408" w:rsidRPr="00CE7408">
              <w:rPr>
                <w:rFonts w:ascii="Calibri" w:eastAsia="Times New Roman" w:hAnsi="Calibri" w:cs="Calibri"/>
                <w:sz w:val="22"/>
                <w:szCs w:val="22"/>
                <w:lang w:val="en-IE" w:eastAsia="en-IE"/>
              </w:rPr>
              <w:t>5</w:t>
            </w:r>
            <w:r w:rsidRPr="00CE7408">
              <w:rPr>
                <w:rFonts w:ascii="Calibri" w:eastAsia="Times New Roman" w:hAnsi="Calibri" w:cs="Calibri"/>
                <w:sz w:val="22"/>
                <w:szCs w:val="22"/>
                <w:lang w:val="en-IE" w:eastAsia="en-IE"/>
              </w:rPr>
              <w:t>%</w:t>
            </w:r>
          </w:p>
        </w:tc>
        <w:tc>
          <w:tcPr>
            <w:tcW w:w="1134" w:type="dxa"/>
            <w:tcBorders>
              <w:left w:val="single" w:sz="4" w:space="0" w:color="auto"/>
              <w:bottom w:val="single" w:sz="4" w:space="0" w:color="auto"/>
              <w:right w:val="single" w:sz="8" w:space="0" w:color="auto"/>
            </w:tcBorders>
            <w:shd w:val="clear" w:color="auto" w:fill="FFFF00"/>
          </w:tcPr>
          <w:p w14:paraId="6360065F" w14:textId="4DC2FA88" w:rsidR="004413EC" w:rsidRPr="000E5963" w:rsidRDefault="008B5310"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1,51</w:t>
            </w:r>
            <w:r w:rsidR="00995CF4">
              <w:rPr>
                <w:rFonts w:ascii="Calibri" w:eastAsia="Times New Roman" w:hAnsi="Calibri" w:cs="Calibri"/>
                <w:b/>
                <w:bCs/>
                <w:color w:val="000000"/>
                <w:sz w:val="22"/>
                <w:szCs w:val="22"/>
                <w:lang w:val="en-IE" w:eastAsia="en-IE"/>
              </w:rPr>
              <w:t>5</w:t>
            </w:r>
            <w:r>
              <w:rPr>
                <w:rFonts w:ascii="Calibri" w:eastAsia="Times New Roman" w:hAnsi="Calibri" w:cs="Calibri"/>
                <w:b/>
                <w:bCs/>
                <w:color w:val="000000"/>
                <w:sz w:val="22"/>
                <w:szCs w:val="22"/>
                <w:lang w:val="en-IE" w:eastAsia="en-IE"/>
              </w:rPr>
              <w:t>.</w:t>
            </w:r>
            <w:r w:rsidR="00995CF4">
              <w:rPr>
                <w:rFonts w:ascii="Calibri" w:eastAsia="Times New Roman" w:hAnsi="Calibri" w:cs="Calibri"/>
                <w:b/>
                <w:bCs/>
                <w:color w:val="000000"/>
                <w:sz w:val="22"/>
                <w:szCs w:val="22"/>
                <w:lang w:val="en-IE" w:eastAsia="en-IE"/>
              </w:rPr>
              <w:t>1</w:t>
            </w:r>
          </w:p>
        </w:tc>
        <w:tc>
          <w:tcPr>
            <w:tcW w:w="1134" w:type="dxa"/>
            <w:tcBorders>
              <w:top w:val="nil"/>
              <w:left w:val="single" w:sz="8" w:space="0" w:color="auto"/>
              <w:right w:val="single" w:sz="8" w:space="0" w:color="auto"/>
            </w:tcBorders>
            <w:vAlign w:val="center"/>
          </w:tcPr>
          <w:p w14:paraId="75E160E5" w14:textId="0A39F3B3" w:rsidR="004413EC" w:rsidRPr="000E5963" w:rsidRDefault="00B55B58"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1,444.9</w:t>
            </w:r>
          </w:p>
        </w:tc>
      </w:tr>
      <w:tr w:rsidR="004413EC" w:rsidRPr="000E5963" w14:paraId="1F3D2D7A" w14:textId="77777777" w:rsidTr="00EB7986">
        <w:trPr>
          <w:trHeight w:val="284"/>
        </w:trPr>
        <w:tc>
          <w:tcPr>
            <w:tcW w:w="6663" w:type="dxa"/>
            <w:gridSpan w:val="2"/>
            <w:shd w:val="clear" w:color="auto" w:fill="FFFFFF"/>
            <w:vAlign w:val="center"/>
            <w:hideMark/>
          </w:tcPr>
          <w:p w14:paraId="131B41F5"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operating revenues</w:t>
            </w:r>
          </w:p>
        </w:tc>
        <w:tc>
          <w:tcPr>
            <w:tcW w:w="708" w:type="dxa"/>
            <w:shd w:val="clear" w:color="auto" w:fill="FFFFFF"/>
            <w:vAlign w:val="center"/>
          </w:tcPr>
          <w:p w14:paraId="17BE1E7C" w14:textId="77777777" w:rsidR="004413EC" w:rsidRPr="000E5963" w:rsidRDefault="004413EC" w:rsidP="00EB7986">
            <w:pPr>
              <w:spacing w:after="0" w:line="240" w:lineRule="auto"/>
              <w:jc w:val="right"/>
              <w:rPr>
                <w:rFonts w:ascii="Calibri" w:eastAsia="Times New Roman" w:hAnsi="Calibri" w:cs="Calibri"/>
                <w:b/>
                <w:bCs/>
                <w:color w:val="000000"/>
                <w:sz w:val="22"/>
                <w:szCs w:val="22"/>
                <w:highlight w:val="yellow"/>
                <w:lang w:val="en-IE" w:eastAsia="en-IE"/>
              </w:rPr>
            </w:pPr>
            <w:r w:rsidRPr="00BD4672">
              <w:rPr>
                <w:rFonts w:ascii="Calibri" w:eastAsia="Times New Roman" w:hAnsi="Calibri" w:cs="Calibri"/>
                <w:b/>
                <w:color w:val="000000"/>
                <w:sz w:val="22"/>
                <w:szCs w:val="22"/>
                <w:lang w:val="en-IE" w:eastAsia="en-IE"/>
              </w:rPr>
              <w:t>7</w:t>
            </w:r>
          </w:p>
        </w:tc>
        <w:tc>
          <w:tcPr>
            <w:tcW w:w="993" w:type="dxa"/>
            <w:tcBorders>
              <w:top w:val="single" w:sz="8" w:space="0" w:color="auto"/>
              <w:left w:val="nil"/>
              <w:bottom w:val="single" w:sz="8" w:space="0" w:color="auto"/>
              <w:right w:val="single" w:sz="8" w:space="0" w:color="auto"/>
            </w:tcBorders>
            <w:shd w:val="clear" w:color="auto" w:fill="FFFFFF"/>
            <w:vAlign w:val="center"/>
          </w:tcPr>
          <w:p w14:paraId="73A443A6" w14:textId="5C018CC4" w:rsidR="004413EC" w:rsidRPr="00CE7408" w:rsidRDefault="004413EC" w:rsidP="00EB7986">
            <w:pPr>
              <w:spacing w:after="0" w:line="240" w:lineRule="auto"/>
              <w:ind w:left="810" w:hanging="810"/>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w:t>
            </w:r>
            <w:r w:rsidR="00CE7408" w:rsidRPr="00CE7408">
              <w:rPr>
                <w:rFonts w:ascii="Calibri" w:eastAsia="Times New Roman" w:hAnsi="Calibri" w:cs="Calibri"/>
                <w:sz w:val="22"/>
                <w:szCs w:val="22"/>
                <w:lang w:val="en-IE" w:eastAsia="en-IE"/>
              </w:rPr>
              <w:t>8</w:t>
            </w:r>
            <w:r w:rsidRPr="00CE7408">
              <w:rPr>
                <w:rFonts w:ascii="Calibri" w:eastAsia="Times New Roman" w:hAnsi="Calibri" w:cs="Calibri"/>
                <w:sz w:val="22"/>
                <w:szCs w:val="22"/>
                <w:lang w:val="en-IE" w:eastAsia="en-IE"/>
              </w:rPr>
              <w:t>%</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7FC437E1" w14:textId="61FEEF28" w:rsidR="004413EC" w:rsidRPr="000E5963" w:rsidRDefault="008B5310"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5,479.</w:t>
            </w:r>
            <w:r w:rsidR="002B02AB">
              <w:rPr>
                <w:rFonts w:ascii="Calibri" w:eastAsia="Times New Roman" w:hAnsi="Calibri" w:cs="Calibri"/>
                <w:b/>
                <w:bCs/>
                <w:color w:val="000000"/>
                <w:sz w:val="22"/>
                <w:szCs w:val="22"/>
                <w:lang w:val="en-IE" w:eastAsia="en-IE"/>
              </w:rPr>
              <w:t>9</w:t>
            </w:r>
          </w:p>
        </w:tc>
        <w:tc>
          <w:tcPr>
            <w:tcW w:w="1134" w:type="dxa"/>
            <w:tcBorders>
              <w:top w:val="single" w:sz="8" w:space="0" w:color="auto"/>
              <w:left w:val="single" w:sz="8" w:space="0" w:color="auto"/>
              <w:bottom w:val="single" w:sz="8" w:space="0" w:color="auto"/>
              <w:right w:val="single" w:sz="8" w:space="0" w:color="auto"/>
            </w:tcBorders>
          </w:tcPr>
          <w:p w14:paraId="25A0A741" w14:textId="665CA646" w:rsidR="004413EC" w:rsidRPr="000E5963" w:rsidRDefault="00B55B58"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5,065.9</w:t>
            </w:r>
          </w:p>
        </w:tc>
      </w:tr>
      <w:tr w:rsidR="004413EC" w:rsidRPr="000E5963" w14:paraId="565E9A79" w14:textId="77777777" w:rsidTr="00EB7986">
        <w:trPr>
          <w:trHeight w:val="274"/>
        </w:trPr>
        <w:tc>
          <w:tcPr>
            <w:tcW w:w="6663" w:type="dxa"/>
            <w:gridSpan w:val="2"/>
            <w:shd w:val="clear" w:color="auto" w:fill="FFFFFF"/>
            <w:vAlign w:val="center"/>
            <w:hideMark/>
          </w:tcPr>
          <w:p w14:paraId="09065207"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708" w:type="dxa"/>
            <w:shd w:val="clear" w:color="auto" w:fill="FFFFFF"/>
            <w:vAlign w:val="center"/>
          </w:tcPr>
          <w:p w14:paraId="52858C91"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686E6F17" w14:textId="77777777" w:rsidR="004413EC" w:rsidRPr="000E5963" w:rsidRDefault="004413EC" w:rsidP="00EB7986">
            <w:pPr>
              <w:spacing w:after="0" w:line="240" w:lineRule="auto"/>
              <w:rPr>
                <w:rFonts w:ascii="Calibri" w:eastAsia="Times New Roman" w:hAnsi="Calibri" w:cs="Calibri"/>
                <w:sz w:val="22"/>
                <w:szCs w:val="22"/>
                <w:highlight w:val="red"/>
                <w:lang w:val="en-IE" w:eastAsia="en-IE"/>
              </w:rPr>
            </w:pPr>
          </w:p>
        </w:tc>
        <w:tc>
          <w:tcPr>
            <w:tcW w:w="1134" w:type="dxa"/>
            <w:tcBorders>
              <w:top w:val="single" w:sz="8" w:space="0" w:color="auto"/>
              <w:left w:val="single" w:sz="8" w:space="0" w:color="auto"/>
              <w:bottom w:val="nil"/>
              <w:right w:val="single" w:sz="8" w:space="0" w:color="auto"/>
            </w:tcBorders>
            <w:shd w:val="clear" w:color="auto" w:fill="FFFF00"/>
            <w:vAlign w:val="center"/>
          </w:tcPr>
          <w:p w14:paraId="6FA8AC14"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single" w:sz="8" w:space="0" w:color="auto"/>
              <w:left w:val="single" w:sz="8" w:space="0" w:color="auto"/>
              <w:bottom w:val="nil"/>
              <w:right w:val="single" w:sz="8" w:space="0" w:color="auto"/>
            </w:tcBorders>
            <w:vAlign w:val="center"/>
          </w:tcPr>
          <w:p w14:paraId="34DE7C98"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285EF868" w14:textId="77777777" w:rsidTr="00EB7986">
        <w:trPr>
          <w:trHeight w:val="274"/>
        </w:trPr>
        <w:tc>
          <w:tcPr>
            <w:tcW w:w="6663" w:type="dxa"/>
            <w:gridSpan w:val="2"/>
            <w:shd w:val="clear" w:color="auto" w:fill="FFFFFF"/>
            <w:vAlign w:val="center"/>
            <w:hideMark/>
          </w:tcPr>
          <w:p w14:paraId="06590A33"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expenses</w:t>
            </w:r>
          </w:p>
        </w:tc>
        <w:tc>
          <w:tcPr>
            <w:tcW w:w="708" w:type="dxa"/>
            <w:shd w:val="clear" w:color="auto" w:fill="FFFFFF"/>
            <w:vAlign w:val="center"/>
          </w:tcPr>
          <w:p w14:paraId="20E8EBC5"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22A9A29C" w14:textId="77777777" w:rsidR="004413EC" w:rsidRPr="000E5963" w:rsidRDefault="004413EC" w:rsidP="00EB7986">
            <w:pPr>
              <w:spacing w:after="0" w:line="240" w:lineRule="auto"/>
              <w:jc w:val="right"/>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60CFFD6E"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vAlign w:val="center"/>
          </w:tcPr>
          <w:p w14:paraId="263A5F19"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08C61ACD" w14:textId="77777777" w:rsidTr="00EB7986">
        <w:trPr>
          <w:trHeight w:val="274"/>
        </w:trPr>
        <w:tc>
          <w:tcPr>
            <w:tcW w:w="349" w:type="dxa"/>
            <w:shd w:val="clear" w:color="auto" w:fill="FFFFFF"/>
            <w:vAlign w:val="center"/>
            <w:hideMark/>
          </w:tcPr>
          <w:p w14:paraId="5E6C7BB5"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2D2A500"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Fuel and oil</w:t>
            </w:r>
          </w:p>
        </w:tc>
        <w:tc>
          <w:tcPr>
            <w:tcW w:w="708" w:type="dxa"/>
            <w:shd w:val="clear" w:color="auto" w:fill="FFFFFF"/>
            <w:vAlign w:val="center"/>
            <w:hideMark/>
          </w:tcPr>
          <w:p w14:paraId="6610A719"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27E74978" w14:textId="77777777" w:rsidR="004413EC" w:rsidRPr="00593042" w:rsidRDefault="004413EC"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-2%</w:t>
            </w:r>
          </w:p>
        </w:tc>
        <w:tc>
          <w:tcPr>
            <w:tcW w:w="1134" w:type="dxa"/>
            <w:tcBorders>
              <w:top w:val="nil"/>
              <w:left w:val="single" w:sz="8" w:space="0" w:color="auto"/>
              <w:bottom w:val="nil"/>
              <w:right w:val="single" w:sz="8" w:space="0" w:color="auto"/>
            </w:tcBorders>
            <w:shd w:val="clear" w:color="auto" w:fill="FFFF00"/>
            <w:vAlign w:val="center"/>
          </w:tcPr>
          <w:p w14:paraId="6EFA53D6" w14:textId="4C214BF6" w:rsidR="004413EC" w:rsidRPr="000E5963" w:rsidRDefault="008B5310"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1,51</w:t>
            </w:r>
            <w:r w:rsidR="006531D9">
              <w:rPr>
                <w:rFonts w:ascii="Calibri" w:eastAsia="Times New Roman" w:hAnsi="Calibri" w:cs="Calibri"/>
                <w:b/>
                <w:bCs/>
                <w:color w:val="000000"/>
                <w:sz w:val="22"/>
                <w:szCs w:val="22"/>
                <w:lang w:val="en-IE" w:eastAsia="en-IE"/>
              </w:rPr>
              <w:t>2.9</w:t>
            </w:r>
          </w:p>
        </w:tc>
        <w:tc>
          <w:tcPr>
            <w:tcW w:w="1134" w:type="dxa"/>
            <w:tcBorders>
              <w:top w:val="nil"/>
              <w:bottom w:val="nil"/>
              <w:right w:val="single" w:sz="8" w:space="0" w:color="auto"/>
            </w:tcBorders>
            <w:vAlign w:val="center"/>
          </w:tcPr>
          <w:p w14:paraId="146F3161" w14:textId="3D1690A9"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1,4</w:t>
            </w:r>
            <w:r w:rsidR="00B55B58">
              <w:rPr>
                <w:rFonts w:ascii="Calibri" w:eastAsia="Times New Roman" w:hAnsi="Calibri" w:cs="Calibri"/>
                <w:color w:val="000000"/>
                <w:sz w:val="21"/>
                <w:szCs w:val="21"/>
                <w:lang w:val="en-IE" w:eastAsia="en-IE"/>
              </w:rPr>
              <w:t>82.4</w:t>
            </w:r>
          </w:p>
        </w:tc>
      </w:tr>
      <w:tr w:rsidR="004413EC" w:rsidRPr="000E5963" w14:paraId="33A474F6" w14:textId="77777777" w:rsidTr="00EB7986">
        <w:trPr>
          <w:trHeight w:val="274"/>
        </w:trPr>
        <w:tc>
          <w:tcPr>
            <w:tcW w:w="349" w:type="dxa"/>
            <w:shd w:val="clear" w:color="auto" w:fill="FFFFFF"/>
            <w:vAlign w:val="center"/>
          </w:tcPr>
          <w:p w14:paraId="32FEE5AB"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77BD97A0"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Airport and handling charges</w:t>
            </w:r>
          </w:p>
        </w:tc>
        <w:tc>
          <w:tcPr>
            <w:tcW w:w="708" w:type="dxa"/>
            <w:shd w:val="clear" w:color="auto" w:fill="FFFFFF"/>
            <w:vAlign w:val="center"/>
          </w:tcPr>
          <w:p w14:paraId="3F6ED268"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198AAE3C" w14:textId="21266424" w:rsidR="004413EC" w:rsidRPr="00593042" w:rsidRDefault="004413EC"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w:t>
            </w:r>
            <w:r w:rsidR="00CE7408" w:rsidRPr="00593042">
              <w:rPr>
                <w:rFonts w:ascii="Calibri" w:eastAsia="Times New Roman" w:hAnsi="Calibri" w:cs="Calibri"/>
                <w:sz w:val="22"/>
                <w:szCs w:val="22"/>
                <w:lang w:val="en-IE" w:eastAsia="en-IE"/>
              </w:rPr>
              <w:t>3</w:t>
            </w:r>
            <w:r w:rsidRPr="00593042">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784AEE17" w14:textId="4DF7B7E3" w:rsidR="004413EC" w:rsidRPr="000E5963" w:rsidRDefault="008B5310"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510.</w:t>
            </w:r>
            <w:r w:rsidR="006449F3">
              <w:rPr>
                <w:rFonts w:ascii="Calibri" w:eastAsia="Times New Roman" w:hAnsi="Calibri" w:cs="Calibri"/>
                <w:b/>
                <w:bCs/>
                <w:color w:val="000000"/>
                <w:sz w:val="22"/>
                <w:szCs w:val="22"/>
                <w:lang w:val="en-IE" w:eastAsia="en-IE"/>
              </w:rPr>
              <w:t>9</w:t>
            </w:r>
          </w:p>
        </w:tc>
        <w:tc>
          <w:tcPr>
            <w:tcW w:w="1134" w:type="dxa"/>
            <w:tcBorders>
              <w:top w:val="nil"/>
              <w:bottom w:val="nil"/>
              <w:right w:val="single" w:sz="8" w:space="0" w:color="auto"/>
            </w:tcBorders>
            <w:vAlign w:val="center"/>
          </w:tcPr>
          <w:p w14:paraId="6D9CCE55" w14:textId="2C0C6362"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4</w:t>
            </w:r>
            <w:r w:rsidR="00B55B58">
              <w:rPr>
                <w:rFonts w:ascii="Calibri" w:eastAsia="Times New Roman" w:hAnsi="Calibri" w:cs="Calibri"/>
                <w:color w:val="000000"/>
                <w:sz w:val="21"/>
                <w:szCs w:val="21"/>
                <w:lang w:val="en-IE" w:eastAsia="en-IE"/>
              </w:rPr>
              <w:t>97.7</w:t>
            </w:r>
          </w:p>
        </w:tc>
      </w:tr>
      <w:tr w:rsidR="004413EC" w:rsidRPr="000E5963" w14:paraId="63CAF9B2" w14:textId="77777777" w:rsidTr="00EB7986">
        <w:trPr>
          <w:trHeight w:val="274"/>
        </w:trPr>
        <w:tc>
          <w:tcPr>
            <w:tcW w:w="349" w:type="dxa"/>
            <w:shd w:val="clear" w:color="auto" w:fill="FFFFFF"/>
            <w:vAlign w:val="center"/>
          </w:tcPr>
          <w:p w14:paraId="4727D25D"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5DBE212F"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Staff costs</w:t>
            </w:r>
          </w:p>
        </w:tc>
        <w:tc>
          <w:tcPr>
            <w:tcW w:w="708" w:type="dxa"/>
            <w:shd w:val="clear" w:color="auto" w:fill="FFFFFF"/>
            <w:vAlign w:val="center"/>
          </w:tcPr>
          <w:p w14:paraId="620BFB63"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tcPr>
          <w:p w14:paraId="00B7F3B7" w14:textId="77777777" w:rsidR="004413EC" w:rsidRPr="00593042" w:rsidRDefault="004413EC"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-3%</w:t>
            </w:r>
          </w:p>
        </w:tc>
        <w:tc>
          <w:tcPr>
            <w:tcW w:w="1134" w:type="dxa"/>
            <w:tcBorders>
              <w:top w:val="nil"/>
              <w:left w:val="single" w:sz="8" w:space="0" w:color="auto"/>
              <w:bottom w:val="nil"/>
              <w:right w:val="single" w:sz="8" w:space="0" w:color="auto"/>
            </w:tcBorders>
            <w:shd w:val="clear" w:color="auto" w:fill="FFFF00"/>
            <w:vAlign w:val="center"/>
          </w:tcPr>
          <w:p w14:paraId="2C0D526D" w14:textId="31912D34" w:rsidR="004413EC" w:rsidRDefault="008B5310"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463.9</w:t>
            </w:r>
          </w:p>
        </w:tc>
        <w:tc>
          <w:tcPr>
            <w:tcW w:w="1134" w:type="dxa"/>
            <w:tcBorders>
              <w:top w:val="nil"/>
              <w:bottom w:val="nil"/>
              <w:right w:val="single" w:sz="8" w:space="0" w:color="auto"/>
            </w:tcBorders>
            <w:vAlign w:val="center"/>
          </w:tcPr>
          <w:p w14:paraId="161FFA1D" w14:textId="1555CDB9"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448.</w:t>
            </w:r>
            <w:r w:rsidR="00E56786">
              <w:rPr>
                <w:rFonts w:ascii="Calibri" w:eastAsia="Times New Roman" w:hAnsi="Calibri" w:cs="Calibri"/>
                <w:color w:val="000000"/>
                <w:sz w:val="22"/>
                <w:szCs w:val="22"/>
                <w:lang w:val="en-IE" w:eastAsia="en-IE"/>
              </w:rPr>
              <w:t>7</w:t>
            </w:r>
          </w:p>
        </w:tc>
      </w:tr>
      <w:tr w:rsidR="004413EC" w:rsidRPr="000E5963" w14:paraId="20C5F507" w14:textId="77777777" w:rsidTr="00EB7986">
        <w:trPr>
          <w:trHeight w:val="274"/>
        </w:trPr>
        <w:tc>
          <w:tcPr>
            <w:tcW w:w="349" w:type="dxa"/>
            <w:shd w:val="clear" w:color="auto" w:fill="FFFFFF"/>
            <w:vAlign w:val="center"/>
          </w:tcPr>
          <w:p w14:paraId="7CDA0AF9"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53E3EACA"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Route charges</w:t>
            </w:r>
          </w:p>
        </w:tc>
        <w:tc>
          <w:tcPr>
            <w:tcW w:w="708" w:type="dxa"/>
            <w:shd w:val="clear" w:color="auto" w:fill="FFFFFF"/>
            <w:vAlign w:val="center"/>
          </w:tcPr>
          <w:p w14:paraId="69B33CCB"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1C3029CA" w14:textId="0C00B0B8" w:rsidR="004413EC" w:rsidRPr="00593042" w:rsidRDefault="004413EC"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-1</w:t>
            </w:r>
            <w:r w:rsidR="00E50A2F" w:rsidRPr="00593042">
              <w:rPr>
                <w:rFonts w:ascii="Calibri" w:eastAsia="Times New Roman" w:hAnsi="Calibri" w:cs="Calibri"/>
                <w:sz w:val="22"/>
                <w:szCs w:val="22"/>
                <w:lang w:val="en-IE" w:eastAsia="en-IE"/>
              </w:rPr>
              <w:t>3</w:t>
            </w:r>
            <w:r w:rsidRPr="00593042">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7EBFEF63" w14:textId="06D169E4" w:rsidR="004413EC"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368.</w:t>
            </w:r>
            <w:r w:rsidR="00FF28AF">
              <w:rPr>
                <w:rFonts w:ascii="Calibri" w:eastAsia="Times New Roman" w:hAnsi="Calibri" w:cs="Calibri"/>
                <w:b/>
                <w:bCs/>
                <w:color w:val="000000"/>
                <w:sz w:val="22"/>
                <w:szCs w:val="22"/>
                <w:lang w:val="en-IE" w:eastAsia="en-IE"/>
              </w:rPr>
              <w:t>4</w:t>
            </w:r>
          </w:p>
        </w:tc>
        <w:tc>
          <w:tcPr>
            <w:tcW w:w="1134" w:type="dxa"/>
            <w:tcBorders>
              <w:top w:val="nil"/>
              <w:bottom w:val="nil"/>
              <w:right w:val="single" w:sz="8" w:space="0" w:color="auto"/>
            </w:tcBorders>
            <w:vAlign w:val="center"/>
          </w:tcPr>
          <w:p w14:paraId="244FB455" w14:textId="0F337852" w:rsidR="004413EC" w:rsidRPr="000E5963" w:rsidRDefault="0007409A" w:rsidP="00EB7986">
            <w:pPr>
              <w:spacing w:after="0" w:line="240" w:lineRule="auto"/>
              <w:jc w:val="right"/>
              <w:rPr>
                <w:rFonts w:ascii="Calibri" w:eastAsia="Times New Roman" w:hAnsi="Calibri" w:cs="Calibri"/>
                <w:color w:val="000000"/>
                <w:sz w:val="21"/>
                <w:szCs w:val="21"/>
                <w:lang w:val="en-IE" w:eastAsia="en-IE"/>
              </w:rPr>
            </w:pPr>
            <w:r>
              <w:rPr>
                <w:rFonts w:ascii="Calibri" w:eastAsia="Times New Roman" w:hAnsi="Calibri" w:cs="Calibri"/>
                <w:color w:val="000000"/>
                <w:sz w:val="21"/>
                <w:szCs w:val="21"/>
                <w:lang w:val="en-IE" w:eastAsia="en-IE"/>
              </w:rPr>
              <w:t>325.7</w:t>
            </w:r>
          </w:p>
        </w:tc>
      </w:tr>
      <w:tr w:rsidR="004413EC" w:rsidRPr="000E5963" w14:paraId="1C2B9A3D" w14:textId="77777777" w:rsidTr="00EB7986">
        <w:trPr>
          <w:trHeight w:val="274"/>
        </w:trPr>
        <w:tc>
          <w:tcPr>
            <w:tcW w:w="349" w:type="dxa"/>
            <w:shd w:val="clear" w:color="auto" w:fill="FFFFFF"/>
            <w:vAlign w:val="center"/>
          </w:tcPr>
          <w:p w14:paraId="6555C058"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25C0CFA7"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Depreciation</w:t>
            </w:r>
          </w:p>
        </w:tc>
        <w:tc>
          <w:tcPr>
            <w:tcW w:w="708" w:type="dxa"/>
            <w:shd w:val="clear" w:color="auto" w:fill="FFFFFF"/>
            <w:vAlign w:val="center"/>
          </w:tcPr>
          <w:p w14:paraId="70EB11C8"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051616E0" w14:textId="77777777" w:rsidR="004413EC" w:rsidRPr="00593042" w:rsidRDefault="004413EC"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-10%</w:t>
            </w:r>
          </w:p>
        </w:tc>
        <w:tc>
          <w:tcPr>
            <w:tcW w:w="1134" w:type="dxa"/>
            <w:tcBorders>
              <w:top w:val="nil"/>
              <w:left w:val="single" w:sz="8" w:space="0" w:color="auto"/>
              <w:bottom w:val="nil"/>
              <w:right w:val="single" w:sz="8" w:space="0" w:color="auto"/>
            </w:tcBorders>
            <w:shd w:val="clear" w:color="auto" w:fill="FFFF00"/>
            <w:vAlign w:val="center"/>
          </w:tcPr>
          <w:p w14:paraId="3B785489" w14:textId="36A90E53" w:rsidR="004413EC" w:rsidRPr="000E5963"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344.2</w:t>
            </w:r>
          </w:p>
        </w:tc>
        <w:tc>
          <w:tcPr>
            <w:tcW w:w="1134" w:type="dxa"/>
            <w:tcBorders>
              <w:top w:val="nil"/>
              <w:bottom w:val="nil"/>
              <w:right w:val="single" w:sz="8" w:space="0" w:color="auto"/>
            </w:tcBorders>
            <w:vAlign w:val="center"/>
          </w:tcPr>
          <w:p w14:paraId="124FD859" w14:textId="22E57548"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31</w:t>
            </w:r>
            <w:r w:rsidR="0007409A">
              <w:rPr>
                <w:rFonts w:ascii="Calibri" w:eastAsia="Times New Roman" w:hAnsi="Calibri" w:cs="Calibri"/>
                <w:color w:val="000000"/>
                <w:sz w:val="21"/>
                <w:szCs w:val="21"/>
                <w:lang w:val="en-IE" w:eastAsia="en-IE"/>
              </w:rPr>
              <w:t>4.2</w:t>
            </w:r>
          </w:p>
        </w:tc>
      </w:tr>
      <w:tr w:rsidR="004413EC" w:rsidRPr="000E5963" w14:paraId="3B06E952" w14:textId="77777777" w:rsidTr="00EB7986">
        <w:trPr>
          <w:trHeight w:val="363"/>
        </w:trPr>
        <w:tc>
          <w:tcPr>
            <w:tcW w:w="349" w:type="dxa"/>
            <w:shd w:val="clear" w:color="auto" w:fill="FFFFFF"/>
            <w:vAlign w:val="center"/>
          </w:tcPr>
          <w:p w14:paraId="4FC8C9B6"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6314" w:type="dxa"/>
            <w:shd w:val="clear" w:color="auto" w:fill="FFFFFF"/>
            <w:vAlign w:val="center"/>
          </w:tcPr>
          <w:p w14:paraId="64EF23C1"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Marketing, distribution and other</w:t>
            </w:r>
          </w:p>
        </w:tc>
        <w:tc>
          <w:tcPr>
            <w:tcW w:w="708" w:type="dxa"/>
            <w:shd w:val="clear" w:color="auto" w:fill="FFFFFF"/>
            <w:vAlign w:val="center"/>
          </w:tcPr>
          <w:p w14:paraId="453B9EBF"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1B45D3FD" w14:textId="1834BC4F" w:rsidR="004413EC" w:rsidRPr="00593042" w:rsidRDefault="00CA4E69"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+12</w:t>
            </w:r>
            <w:r w:rsidR="004413EC" w:rsidRPr="00593042">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60E25924" w14:textId="3701BD47" w:rsidR="004413EC" w:rsidRPr="000E5963"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217.</w:t>
            </w:r>
            <w:r w:rsidR="002B02AB">
              <w:rPr>
                <w:rFonts w:ascii="Calibri" w:eastAsia="Times New Roman" w:hAnsi="Calibri" w:cs="Calibri"/>
                <w:b/>
                <w:bCs/>
                <w:color w:val="000000"/>
                <w:sz w:val="22"/>
                <w:szCs w:val="22"/>
                <w:lang w:val="en-IE" w:eastAsia="en-IE"/>
              </w:rPr>
              <w:t>4</w:t>
            </w:r>
          </w:p>
        </w:tc>
        <w:tc>
          <w:tcPr>
            <w:tcW w:w="1134" w:type="dxa"/>
            <w:tcBorders>
              <w:top w:val="nil"/>
              <w:right w:val="single" w:sz="8" w:space="0" w:color="auto"/>
            </w:tcBorders>
            <w:vAlign w:val="center"/>
          </w:tcPr>
          <w:p w14:paraId="668297D0" w14:textId="2A979D0F"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1"/>
                <w:szCs w:val="21"/>
                <w:lang w:val="en-IE" w:eastAsia="en-IE"/>
              </w:rPr>
              <w:t>2</w:t>
            </w:r>
            <w:r w:rsidR="0007409A">
              <w:rPr>
                <w:rFonts w:ascii="Calibri" w:eastAsia="Times New Roman" w:hAnsi="Calibri" w:cs="Calibri"/>
                <w:color w:val="000000"/>
                <w:sz w:val="21"/>
                <w:szCs w:val="21"/>
                <w:lang w:val="en-IE" w:eastAsia="en-IE"/>
              </w:rPr>
              <w:t>47.4</w:t>
            </w:r>
          </w:p>
        </w:tc>
      </w:tr>
      <w:tr w:rsidR="004413EC" w:rsidRPr="000E5963" w14:paraId="6AD610E8" w14:textId="77777777" w:rsidTr="00EB7986">
        <w:trPr>
          <w:trHeight w:val="274"/>
        </w:trPr>
        <w:tc>
          <w:tcPr>
            <w:tcW w:w="349" w:type="dxa"/>
            <w:shd w:val="clear" w:color="auto" w:fill="FFFFFF"/>
            <w:vAlign w:val="center"/>
          </w:tcPr>
          <w:p w14:paraId="1331B1B4"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tcPr>
          <w:p w14:paraId="747B01BB"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Maintenance, materials and repairs</w:t>
            </w:r>
          </w:p>
        </w:tc>
        <w:tc>
          <w:tcPr>
            <w:tcW w:w="708" w:type="dxa"/>
            <w:shd w:val="clear" w:color="auto" w:fill="FFFFFF"/>
            <w:vAlign w:val="center"/>
          </w:tcPr>
          <w:p w14:paraId="2DFE5DBE"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125F10C7" w14:textId="63751D8B" w:rsidR="004413EC" w:rsidRPr="00593042" w:rsidRDefault="004413EC"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w:t>
            </w:r>
            <w:r w:rsidR="00593042" w:rsidRPr="00593042">
              <w:rPr>
                <w:rFonts w:ascii="Calibri" w:eastAsia="Times New Roman" w:hAnsi="Calibri" w:cs="Calibri"/>
                <w:sz w:val="22"/>
                <w:szCs w:val="22"/>
                <w:lang w:val="en-IE" w:eastAsia="en-IE"/>
              </w:rPr>
              <w:t>14</w:t>
            </w:r>
            <w:r w:rsidRPr="00593042">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64135218" w14:textId="3385BE53" w:rsidR="004413EC" w:rsidRPr="000E5963"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115.0</w:t>
            </w:r>
          </w:p>
        </w:tc>
        <w:tc>
          <w:tcPr>
            <w:tcW w:w="1134" w:type="dxa"/>
            <w:tcBorders>
              <w:bottom w:val="nil"/>
              <w:right w:val="single" w:sz="8" w:space="0" w:color="auto"/>
            </w:tcBorders>
            <w:vAlign w:val="center"/>
          </w:tcPr>
          <w:p w14:paraId="54415E93" w14:textId="30750279" w:rsidR="004413EC" w:rsidRPr="000E5963" w:rsidRDefault="0007409A"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1"/>
                <w:szCs w:val="21"/>
                <w:lang w:val="en-IE" w:eastAsia="en-IE"/>
              </w:rPr>
              <w:t>101.0</w:t>
            </w:r>
          </w:p>
        </w:tc>
      </w:tr>
      <w:tr w:rsidR="004413EC" w:rsidRPr="000E5963" w14:paraId="37E7C898" w14:textId="77777777" w:rsidTr="00EB7986">
        <w:trPr>
          <w:trHeight w:val="284"/>
        </w:trPr>
        <w:tc>
          <w:tcPr>
            <w:tcW w:w="6663" w:type="dxa"/>
            <w:gridSpan w:val="2"/>
            <w:shd w:val="clear" w:color="auto" w:fill="FFFFFF"/>
            <w:vAlign w:val="center"/>
            <w:hideMark/>
          </w:tcPr>
          <w:p w14:paraId="31537683"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operating expenses</w:t>
            </w:r>
          </w:p>
        </w:tc>
        <w:tc>
          <w:tcPr>
            <w:tcW w:w="708" w:type="dxa"/>
            <w:shd w:val="clear" w:color="auto" w:fill="FFFFFF"/>
            <w:vAlign w:val="center"/>
            <w:hideMark/>
          </w:tcPr>
          <w:p w14:paraId="69F65E86"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single" w:sz="8" w:space="0" w:color="auto"/>
              <w:left w:val="nil"/>
              <w:bottom w:val="nil"/>
              <w:right w:val="single" w:sz="8" w:space="0" w:color="auto"/>
            </w:tcBorders>
            <w:shd w:val="clear" w:color="auto" w:fill="FFFFFF"/>
            <w:vAlign w:val="center"/>
          </w:tcPr>
          <w:p w14:paraId="2B9519D7" w14:textId="26B78DB8" w:rsidR="004413EC" w:rsidRPr="00593042" w:rsidRDefault="004413EC" w:rsidP="00EB7986">
            <w:pPr>
              <w:spacing w:after="0" w:line="240" w:lineRule="auto"/>
              <w:jc w:val="right"/>
              <w:rPr>
                <w:rFonts w:ascii="Calibri" w:eastAsia="Times New Roman" w:hAnsi="Calibri" w:cs="Calibri"/>
                <w:sz w:val="22"/>
                <w:szCs w:val="22"/>
                <w:lang w:val="en-IE" w:eastAsia="en-IE"/>
              </w:rPr>
            </w:pPr>
            <w:r w:rsidRPr="00593042">
              <w:rPr>
                <w:rFonts w:ascii="Calibri" w:eastAsia="Times New Roman" w:hAnsi="Calibri" w:cs="Calibri"/>
                <w:sz w:val="22"/>
                <w:szCs w:val="22"/>
                <w:lang w:val="en-IE" w:eastAsia="en-IE"/>
              </w:rPr>
              <w:t>-</w:t>
            </w:r>
            <w:r w:rsidR="00593042" w:rsidRPr="00593042">
              <w:rPr>
                <w:rFonts w:ascii="Calibri" w:eastAsia="Times New Roman" w:hAnsi="Calibri" w:cs="Calibri"/>
                <w:sz w:val="22"/>
                <w:szCs w:val="22"/>
                <w:lang w:val="en-IE" w:eastAsia="en-IE"/>
              </w:rPr>
              <w:t>3</w:t>
            </w:r>
            <w:r w:rsidRPr="00593042">
              <w:rPr>
                <w:rFonts w:ascii="Calibri" w:eastAsia="Times New Roman" w:hAnsi="Calibri" w:cs="Calibri"/>
                <w:sz w:val="22"/>
                <w:szCs w:val="22"/>
                <w:lang w:val="en-IE" w:eastAsia="en-IE"/>
              </w:rPr>
              <w:t>%</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120D1ACF" w14:textId="69D75565" w:rsidR="004413EC" w:rsidRPr="000E5963"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3,532.</w:t>
            </w:r>
            <w:r w:rsidR="002B02AB">
              <w:rPr>
                <w:rFonts w:ascii="Calibri" w:eastAsia="Times New Roman" w:hAnsi="Calibri" w:cs="Calibri"/>
                <w:b/>
                <w:bCs/>
                <w:color w:val="000000"/>
                <w:sz w:val="22"/>
                <w:szCs w:val="22"/>
                <w:lang w:val="en-IE" w:eastAsia="en-IE"/>
              </w:rPr>
              <w:t>7</w:t>
            </w:r>
          </w:p>
        </w:tc>
        <w:tc>
          <w:tcPr>
            <w:tcW w:w="1134" w:type="dxa"/>
            <w:tcBorders>
              <w:top w:val="single" w:sz="8" w:space="0" w:color="auto"/>
              <w:left w:val="single" w:sz="8" w:space="0" w:color="auto"/>
              <w:bottom w:val="single" w:sz="8" w:space="0" w:color="auto"/>
              <w:right w:val="single" w:sz="8" w:space="0" w:color="auto"/>
            </w:tcBorders>
          </w:tcPr>
          <w:p w14:paraId="1BCA388A" w14:textId="0F65BA8F"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3,</w:t>
            </w:r>
            <w:r w:rsidR="0007409A">
              <w:rPr>
                <w:rFonts w:ascii="Calibri" w:eastAsia="Times New Roman" w:hAnsi="Calibri" w:cs="Calibri"/>
                <w:color w:val="000000"/>
                <w:sz w:val="22"/>
                <w:szCs w:val="22"/>
                <w:lang w:val="en-IE" w:eastAsia="en-IE"/>
              </w:rPr>
              <w:t>417.1</w:t>
            </w:r>
          </w:p>
        </w:tc>
      </w:tr>
      <w:tr w:rsidR="004413EC" w:rsidRPr="000E5963" w14:paraId="6078A3D2" w14:textId="77777777" w:rsidTr="00672E40">
        <w:trPr>
          <w:trHeight w:val="274"/>
        </w:trPr>
        <w:tc>
          <w:tcPr>
            <w:tcW w:w="349" w:type="dxa"/>
            <w:shd w:val="clear" w:color="auto" w:fill="FFFFFF"/>
            <w:vAlign w:val="center"/>
            <w:hideMark/>
          </w:tcPr>
          <w:p w14:paraId="52074D7A"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7D342E7D"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55E86433"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single" w:sz="8" w:space="0" w:color="auto"/>
              <w:left w:val="nil"/>
              <w:bottom w:val="nil"/>
              <w:right w:val="single" w:sz="8" w:space="0" w:color="auto"/>
            </w:tcBorders>
            <w:shd w:val="clear" w:color="auto" w:fill="FFFFFF"/>
            <w:vAlign w:val="center"/>
          </w:tcPr>
          <w:p w14:paraId="4F58DCDB" w14:textId="77777777" w:rsidR="004413EC" w:rsidRPr="000E5963" w:rsidRDefault="004413EC" w:rsidP="00EB7986">
            <w:pPr>
              <w:spacing w:after="0" w:line="240" w:lineRule="auto"/>
              <w:rPr>
                <w:rFonts w:ascii="Calibri" w:eastAsia="Times New Roman" w:hAnsi="Calibri" w:cs="Calibri"/>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F1D9FB8"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c>
          <w:tcPr>
            <w:tcW w:w="1134" w:type="dxa"/>
            <w:tcBorders>
              <w:top w:val="nil"/>
              <w:left w:val="single" w:sz="8" w:space="0" w:color="auto"/>
              <w:right w:val="single" w:sz="8" w:space="0" w:color="auto"/>
            </w:tcBorders>
            <w:shd w:val="clear" w:color="auto" w:fill="FFFFFF"/>
            <w:vAlign w:val="center"/>
          </w:tcPr>
          <w:p w14:paraId="4E85075F"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72691905" w14:textId="77777777" w:rsidTr="00EB7986">
        <w:trPr>
          <w:trHeight w:val="548"/>
        </w:trPr>
        <w:tc>
          <w:tcPr>
            <w:tcW w:w="6663" w:type="dxa"/>
            <w:gridSpan w:val="2"/>
            <w:shd w:val="clear" w:color="auto" w:fill="FFFFFF"/>
            <w:vAlign w:val="center"/>
            <w:hideMark/>
          </w:tcPr>
          <w:p w14:paraId="0F31A71A"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Operating profit</w:t>
            </w:r>
          </w:p>
        </w:tc>
        <w:tc>
          <w:tcPr>
            <w:tcW w:w="708" w:type="dxa"/>
            <w:shd w:val="clear" w:color="auto" w:fill="FFFFFF"/>
            <w:vAlign w:val="center"/>
            <w:hideMark/>
          </w:tcPr>
          <w:p w14:paraId="7EE454ED"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189B090D" w14:textId="571CDA41" w:rsidR="004413EC" w:rsidRPr="00CE7408" w:rsidRDefault="004413EC" w:rsidP="00EB7986">
            <w:pPr>
              <w:spacing w:after="0" w:line="240" w:lineRule="auto"/>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+1</w:t>
            </w:r>
            <w:r w:rsidR="00C9563C" w:rsidRPr="00CE7408">
              <w:rPr>
                <w:rFonts w:ascii="Calibri" w:eastAsia="Times New Roman" w:hAnsi="Calibri" w:cs="Calibri"/>
                <w:sz w:val="22"/>
                <w:szCs w:val="22"/>
                <w:lang w:val="en-IE" w:eastAsia="en-IE"/>
              </w:rPr>
              <w:t>8</w:t>
            </w:r>
            <w:r w:rsidRPr="00CE7408">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0EB7026E" w14:textId="4ED1421B" w:rsidR="004413EC" w:rsidRPr="000E5963"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1,9</w:t>
            </w:r>
            <w:r w:rsidR="006D36FE">
              <w:rPr>
                <w:rFonts w:ascii="Calibri" w:eastAsia="Times New Roman" w:hAnsi="Calibri" w:cs="Calibri"/>
                <w:b/>
                <w:bCs/>
                <w:color w:val="000000"/>
                <w:sz w:val="22"/>
                <w:szCs w:val="22"/>
                <w:lang w:val="en-IE" w:eastAsia="en-IE"/>
              </w:rPr>
              <w:t>47.2</w:t>
            </w:r>
          </w:p>
        </w:tc>
        <w:tc>
          <w:tcPr>
            <w:tcW w:w="1134" w:type="dxa"/>
            <w:tcBorders>
              <w:top w:val="nil"/>
              <w:left w:val="single" w:sz="8" w:space="0" w:color="auto"/>
              <w:bottom w:val="nil"/>
              <w:right w:val="single" w:sz="8" w:space="0" w:color="auto"/>
            </w:tcBorders>
            <w:shd w:val="clear" w:color="auto" w:fill="FFFFFF"/>
            <w:vAlign w:val="center"/>
          </w:tcPr>
          <w:p w14:paraId="1DE4ED1C" w14:textId="6AD205E0" w:rsidR="004413EC" w:rsidRPr="000E5963" w:rsidRDefault="001D5CFC"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1,648.8</w:t>
            </w:r>
          </w:p>
        </w:tc>
      </w:tr>
      <w:tr w:rsidR="004413EC" w:rsidRPr="000E5963" w14:paraId="0502AB91" w14:textId="77777777" w:rsidTr="00672E40">
        <w:trPr>
          <w:trHeight w:val="274"/>
        </w:trPr>
        <w:tc>
          <w:tcPr>
            <w:tcW w:w="6663" w:type="dxa"/>
            <w:gridSpan w:val="2"/>
            <w:shd w:val="clear" w:color="auto" w:fill="FFFFFF"/>
            <w:vAlign w:val="center"/>
            <w:hideMark/>
          </w:tcPr>
          <w:p w14:paraId="44F1CA74"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Other income</w:t>
            </w:r>
          </w:p>
        </w:tc>
        <w:tc>
          <w:tcPr>
            <w:tcW w:w="708" w:type="dxa"/>
            <w:shd w:val="clear" w:color="auto" w:fill="FFFFFF"/>
            <w:vAlign w:val="center"/>
            <w:hideMark/>
          </w:tcPr>
          <w:p w14:paraId="0AF0A4E0"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4CF1EBF5" w14:textId="77777777" w:rsidR="004413EC" w:rsidRPr="00CE7408" w:rsidRDefault="004413EC" w:rsidP="00EB7986">
            <w:pPr>
              <w:spacing w:after="0" w:line="240" w:lineRule="auto"/>
              <w:jc w:val="right"/>
              <w:rPr>
                <w:rFonts w:ascii="Calibri" w:eastAsia="Times New Roman" w:hAnsi="Calibri" w:cs="Calibri"/>
                <w:sz w:val="22"/>
                <w:szCs w:val="22"/>
                <w:lang w:val="en-IE" w:eastAsia="en-IE"/>
              </w:rPr>
            </w:pPr>
          </w:p>
        </w:tc>
        <w:tc>
          <w:tcPr>
            <w:tcW w:w="1134" w:type="dxa"/>
            <w:tcBorders>
              <w:top w:val="nil"/>
              <w:left w:val="nil"/>
              <w:bottom w:val="nil"/>
              <w:right w:val="single" w:sz="8" w:space="0" w:color="auto"/>
            </w:tcBorders>
            <w:shd w:val="clear" w:color="auto" w:fill="FFFF00"/>
            <w:vAlign w:val="center"/>
          </w:tcPr>
          <w:p w14:paraId="77F5F3E3"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right w:val="single" w:sz="8" w:space="0" w:color="auto"/>
            </w:tcBorders>
            <w:shd w:val="clear" w:color="auto" w:fill="FFFFFF"/>
            <w:vAlign w:val="center"/>
          </w:tcPr>
          <w:p w14:paraId="319A3C28"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r>
      <w:tr w:rsidR="004413EC" w:rsidRPr="000E5963" w14:paraId="2041D2E5" w14:textId="77777777" w:rsidTr="00672E40">
        <w:trPr>
          <w:trHeight w:val="274"/>
        </w:trPr>
        <w:tc>
          <w:tcPr>
            <w:tcW w:w="349" w:type="dxa"/>
            <w:shd w:val="clear" w:color="auto" w:fill="FFFFFF"/>
            <w:vAlign w:val="center"/>
            <w:hideMark/>
          </w:tcPr>
          <w:p w14:paraId="527C95C4"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108A73F8"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Net finance and other income</w:t>
            </w:r>
          </w:p>
        </w:tc>
        <w:tc>
          <w:tcPr>
            <w:tcW w:w="708" w:type="dxa"/>
            <w:shd w:val="clear" w:color="auto" w:fill="FFFFFF"/>
            <w:vAlign w:val="center"/>
            <w:hideMark/>
          </w:tcPr>
          <w:p w14:paraId="2A8FBCEC"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674F7CAE" w14:textId="15237A37" w:rsidR="004413EC" w:rsidRPr="00CE7408" w:rsidRDefault="00C9563C" w:rsidP="00EB7986">
            <w:pPr>
              <w:spacing w:after="0" w:line="240" w:lineRule="auto"/>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-45%</w:t>
            </w:r>
          </w:p>
        </w:tc>
        <w:tc>
          <w:tcPr>
            <w:tcW w:w="1134" w:type="dxa"/>
            <w:tcBorders>
              <w:top w:val="nil"/>
              <w:left w:val="nil"/>
              <w:bottom w:val="nil"/>
              <w:right w:val="single" w:sz="8" w:space="0" w:color="auto"/>
            </w:tcBorders>
            <w:shd w:val="clear" w:color="auto" w:fill="FFFF00"/>
            <w:vAlign w:val="center"/>
          </w:tcPr>
          <w:p w14:paraId="6F6EFBF8" w14:textId="0C9D37B9" w:rsidR="004413EC" w:rsidRPr="000E5963" w:rsidRDefault="00513FD3" w:rsidP="00EB7986">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12.1</w:t>
            </w:r>
          </w:p>
        </w:tc>
        <w:tc>
          <w:tcPr>
            <w:tcW w:w="1134" w:type="dxa"/>
            <w:tcBorders>
              <w:top w:val="nil"/>
              <w:right w:val="single" w:sz="8" w:space="0" w:color="auto"/>
            </w:tcBorders>
            <w:vAlign w:val="center"/>
          </w:tcPr>
          <w:p w14:paraId="0FC5545B" w14:textId="183A6F2E"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2</w:t>
            </w:r>
            <w:r w:rsidR="001D5CFC">
              <w:rPr>
                <w:rFonts w:ascii="Calibri" w:eastAsia="Calibri" w:hAnsi="Calibri" w:cs="Calibri"/>
                <w:sz w:val="21"/>
                <w:szCs w:val="21"/>
                <w:lang w:val="en-IE" w:eastAsia="en-IE"/>
              </w:rPr>
              <w:t>1.9</w:t>
            </w:r>
          </w:p>
        </w:tc>
      </w:tr>
      <w:tr w:rsidR="004413EC" w:rsidRPr="000E5963" w14:paraId="1F087B7D" w14:textId="77777777" w:rsidTr="00672E40">
        <w:trPr>
          <w:trHeight w:val="284"/>
        </w:trPr>
        <w:tc>
          <w:tcPr>
            <w:tcW w:w="349" w:type="dxa"/>
            <w:shd w:val="clear" w:color="auto" w:fill="FFFFFF"/>
            <w:vAlign w:val="center"/>
            <w:hideMark/>
          </w:tcPr>
          <w:p w14:paraId="184458A3"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11091699" w14:textId="662F9688"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Foreign exchange</w:t>
            </w:r>
            <w:r w:rsidR="00513FD3">
              <w:rPr>
                <w:rFonts w:ascii="Calibri" w:eastAsia="Times New Roman" w:hAnsi="Calibri" w:cs="Calibri"/>
                <w:color w:val="000000"/>
                <w:sz w:val="22"/>
                <w:szCs w:val="22"/>
                <w:lang w:val="en-IE" w:eastAsia="en-IE"/>
              </w:rPr>
              <w:t xml:space="preserve"> </w:t>
            </w:r>
            <w:r w:rsidRPr="000E5963">
              <w:rPr>
                <w:rFonts w:ascii="Calibri" w:eastAsia="Times New Roman" w:hAnsi="Calibri" w:cs="Calibri"/>
                <w:color w:val="000000"/>
                <w:sz w:val="22"/>
                <w:szCs w:val="22"/>
                <w:lang w:val="en-IE" w:eastAsia="en-IE"/>
              </w:rPr>
              <w:t>gain</w:t>
            </w:r>
            <w:r w:rsidR="00513FD3">
              <w:rPr>
                <w:rFonts w:ascii="Calibri" w:eastAsia="Times New Roman" w:hAnsi="Calibri" w:cs="Calibri"/>
                <w:color w:val="000000"/>
                <w:sz w:val="22"/>
                <w:szCs w:val="22"/>
                <w:lang w:val="en-IE" w:eastAsia="en-IE"/>
              </w:rPr>
              <w:t>/(loss)</w:t>
            </w:r>
          </w:p>
        </w:tc>
        <w:tc>
          <w:tcPr>
            <w:tcW w:w="708" w:type="dxa"/>
            <w:shd w:val="clear" w:color="auto" w:fill="FFFFFF"/>
            <w:vAlign w:val="center"/>
            <w:hideMark/>
          </w:tcPr>
          <w:p w14:paraId="24B49399"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right w:val="single" w:sz="8" w:space="0" w:color="auto"/>
            </w:tcBorders>
            <w:shd w:val="clear" w:color="auto" w:fill="FFFFFF"/>
            <w:vAlign w:val="center"/>
          </w:tcPr>
          <w:p w14:paraId="3E8F07E9" w14:textId="09A5E27E" w:rsidR="004413EC" w:rsidRPr="00CE7408" w:rsidRDefault="004413EC" w:rsidP="00EB7986">
            <w:pPr>
              <w:spacing w:after="0" w:line="240" w:lineRule="auto"/>
              <w:jc w:val="right"/>
              <w:rPr>
                <w:rFonts w:ascii="Calibri" w:eastAsia="Times New Roman" w:hAnsi="Calibri" w:cs="Calibri"/>
                <w:sz w:val="22"/>
                <w:szCs w:val="22"/>
                <w:lang w:val="en-IE" w:eastAsia="en-IE"/>
              </w:rPr>
            </w:pPr>
          </w:p>
        </w:tc>
        <w:tc>
          <w:tcPr>
            <w:tcW w:w="1134" w:type="dxa"/>
            <w:tcBorders>
              <w:top w:val="nil"/>
              <w:left w:val="nil"/>
              <w:bottom w:val="nil"/>
              <w:right w:val="single" w:sz="8" w:space="0" w:color="auto"/>
            </w:tcBorders>
            <w:shd w:val="clear" w:color="auto" w:fill="FFFF00"/>
            <w:vAlign w:val="center"/>
          </w:tcPr>
          <w:p w14:paraId="102F3962" w14:textId="12FCB612" w:rsidR="004413EC" w:rsidRPr="000E5963" w:rsidRDefault="00513FD3" w:rsidP="00EB7986">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2.</w:t>
            </w:r>
            <w:r w:rsidR="006D36FE">
              <w:rPr>
                <w:rFonts w:ascii="Calibri" w:eastAsia="Calibri" w:hAnsi="Calibri" w:cs="Calibri"/>
                <w:b/>
                <w:bCs/>
                <w:sz w:val="22"/>
                <w:szCs w:val="22"/>
                <w:lang w:val="en-IE" w:eastAsia="en-IE"/>
              </w:rPr>
              <w:t>1</w:t>
            </w:r>
          </w:p>
        </w:tc>
        <w:tc>
          <w:tcPr>
            <w:tcW w:w="1134" w:type="dxa"/>
            <w:tcBorders>
              <w:top w:val="nil"/>
              <w:right w:val="single" w:sz="8" w:space="0" w:color="auto"/>
            </w:tcBorders>
            <w:vAlign w:val="center"/>
          </w:tcPr>
          <w:p w14:paraId="7EB91FDE" w14:textId="41C8AB9F" w:rsidR="004413EC" w:rsidRPr="000E5963" w:rsidRDefault="001D5CFC" w:rsidP="00EB7986">
            <w:pPr>
              <w:spacing w:after="0" w:line="240" w:lineRule="auto"/>
              <w:jc w:val="right"/>
              <w:rPr>
                <w:rFonts w:ascii="Calibri" w:eastAsia="Times New Roman" w:hAnsi="Calibri" w:cs="Calibri"/>
                <w:color w:val="000000"/>
                <w:sz w:val="22"/>
                <w:szCs w:val="22"/>
                <w:lang w:val="en-IE" w:eastAsia="en-IE"/>
              </w:rPr>
            </w:pPr>
            <w:r>
              <w:rPr>
                <w:rFonts w:ascii="Calibri" w:eastAsia="Calibri" w:hAnsi="Calibri" w:cs="Calibri"/>
                <w:sz w:val="21"/>
                <w:szCs w:val="21"/>
                <w:lang w:val="en-IE" w:eastAsia="en-IE"/>
              </w:rPr>
              <w:t>(4.6)</w:t>
            </w:r>
          </w:p>
        </w:tc>
      </w:tr>
      <w:tr w:rsidR="004413EC" w:rsidRPr="000E5963" w14:paraId="2AB818F0" w14:textId="77777777" w:rsidTr="00EB7986">
        <w:trPr>
          <w:trHeight w:val="284"/>
        </w:trPr>
        <w:tc>
          <w:tcPr>
            <w:tcW w:w="6663" w:type="dxa"/>
            <w:gridSpan w:val="2"/>
            <w:shd w:val="clear" w:color="auto" w:fill="FFFFFF"/>
            <w:vAlign w:val="center"/>
            <w:hideMark/>
          </w:tcPr>
          <w:p w14:paraId="23763D5C"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Total other income</w:t>
            </w:r>
          </w:p>
        </w:tc>
        <w:tc>
          <w:tcPr>
            <w:tcW w:w="708" w:type="dxa"/>
            <w:shd w:val="clear" w:color="auto" w:fill="FFFFFF"/>
            <w:vAlign w:val="center"/>
            <w:hideMark/>
          </w:tcPr>
          <w:p w14:paraId="0A1CA8D3"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left w:val="nil"/>
              <w:right w:val="single" w:sz="8" w:space="0" w:color="auto"/>
            </w:tcBorders>
            <w:shd w:val="clear" w:color="auto" w:fill="FFFFFF"/>
            <w:vAlign w:val="center"/>
          </w:tcPr>
          <w:p w14:paraId="08855530" w14:textId="631B11A7" w:rsidR="004413EC" w:rsidRPr="00CE7408" w:rsidRDefault="0068096E" w:rsidP="00EB7986">
            <w:pPr>
              <w:spacing w:after="0" w:line="240" w:lineRule="auto"/>
              <w:jc w:val="right"/>
              <w:rPr>
                <w:rFonts w:ascii="Calibri" w:eastAsia="Times New Roman" w:hAnsi="Calibri" w:cs="Calibri"/>
                <w:sz w:val="22"/>
                <w:szCs w:val="22"/>
                <w:lang w:val="en-IE" w:eastAsia="en-IE"/>
              </w:rPr>
            </w:pPr>
            <w:r>
              <w:rPr>
                <w:rFonts w:ascii="Calibri" w:eastAsia="Times New Roman" w:hAnsi="Calibri" w:cs="Calibri"/>
                <w:sz w:val="22"/>
                <w:szCs w:val="22"/>
                <w:lang w:val="en-IE" w:eastAsia="en-IE"/>
              </w:rPr>
              <w:t>-18%</w:t>
            </w:r>
          </w:p>
        </w:tc>
        <w:tc>
          <w:tcPr>
            <w:tcW w:w="1134" w:type="dxa"/>
            <w:tcBorders>
              <w:top w:val="single" w:sz="8" w:space="0" w:color="auto"/>
              <w:left w:val="single" w:sz="8" w:space="0" w:color="auto"/>
              <w:bottom w:val="single" w:sz="8" w:space="0" w:color="auto"/>
              <w:right w:val="single" w:sz="8" w:space="0" w:color="auto"/>
            </w:tcBorders>
            <w:shd w:val="clear" w:color="auto" w:fill="FFFF00"/>
            <w:vAlign w:val="center"/>
          </w:tcPr>
          <w:p w14:paraId="7E21BE31" w14:textId="7F612A4D" w:rsidR="004413EC" w:rsidRPr="000E5963"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14.</w:t>
            </w:r>
            <w:r w:rsidR="006D36FE">
              <w:rPr>
                <w:rFonts w:ascii="Calibri" w:eastAsia="Times New Roman" w:hAnsi="Calibri" w:cs="Calibri"/>
                <w:b/>
                <w:bCs/>
                <w:color w:val="000000"/>
                <w:sz w:val="22"/>
                <w:szCs w:val="22"/>
                <w:lang w:val="en-IE" w:eastAsia="en-IE"/>
              </w:rPr>
              <w:t>2</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14:paraId="6F8A60FF" w14:textId="6695D115" w:rsidR="004413EC" w:rsidRPr="000E5963" w:rsidRDefault="001D5CFC"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17.3</w:t>
            </w:r>
          </w:p>
        </w:tc>
      </w:tr>
      <w:tr w:rsidR="004413EC" w:rsidRPr="000E5963" w14:paraId="42A3BEC8" w14:textId="77777777" w:rsidTr="00EB7986">
        <w:trPr>
          <w:trHeight w:val="274"/>
        </w:trPr>
        <w:tc>
          <w:tcPr>
            <w:tcW w:w="349" w:type="dxa"/>
            <w:shd w:val="clear" w:color="auto" w:fill="FFFFFF"/>
            <w:vAlign w:val="center"/>
            <w:hideMark/>
          </w:tcPr>
          <w:p w14:paraId="73A1843A"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165AAB7F"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2F71D585"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left w:val="nil"/>
              <w:bottom w:val="nil"/>
              <w:right w:val="single" w:sz="8" w:space="0" w:color="auto"/>
            </w:tcBorders>
            <w:shd w:val="clear" w:color="auto" w:fill="FFFFFF"/>
            <w:vAlign w:val="center"/>
          </w:tcPr>
          <w:p w14:paraId="3D191380" w14:textId="77777777" w:rsidR="004413EC" w:rsidRPr="00CE7408" w:rsidRDefault="004413EC" w:rsidP="00EB7986">
            <w:pPr>
              <w:spacing w:after="0" w:line="240" w:lineRule="auto"/>
              <w:rPr>
                <w:rFonts w:ascii="Calibri" w:eastAsia="Times New Roman" w:hAnsi="Calibri" w:cs="Calibri"/>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060DFA95"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6152DAE0"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036D57D1" w14:textId="77777777" w:rsidTr="00EB7986">
        <w:trPr>
          <w:trHeight w:val="274"/>
        </w:trPr>
        <w:tc>
          <w:tcPr>
            <w:tcW w:w="6663" w:type="dxa"/>
            <w:gridSpan w:val="2"/>
            <w:shd w:val="clear" w:color="auto" w:fill="FFFFFF"/>
            <w:vAlign w:val="center"/>
            <w:hideMark/>
          </w:tcPr>
          <w:p w14:paraId="1EDADEB7"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Profit before tax</w:t>
            </w:r>
          </w:p>
        </w:tc>
        <w:tc>
          <w:tcPr>
            <w:tcW w:w="708" w:type="dxa"/>
            <w:shd w:val="clear" w:color="auto" w:fill="FFFFFF"/>
            <w:vAlign w:val="center"/>
            <w:hideMark/>
          </w:tcPr>
          <w:p w14:paraId="4D9EE713"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tcPr>
          <w:p w14:paraId="6413A083" w14:textId="025B750B" w:rsidR="004413EC" w:rsidRPr="00CE7408" w:rsidRDefault="004413EC" w:rsidP="00EB7986">
            <w:pPr>
              <w:spacing w:after="0" w:line="240" w:lineRule="auto"/>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+1</w:t>
            </w:r>
            <w:r w:rsidR="00C9563C" w:rsidRPr="00CE7408">
              <w:rPr>
                <w:rFonts w:ascii="Calibri" w:eastAsia="Times New Roman" w:hAnsi="Calibri" w:cs="Calibri"/>
                <w:sz w:val="22"/>
                <w:szCs w:val="22"/>
                <w:lang w:val="en-IE" w:eastAsia="en-IE"/>
              </w:rPr>
              <w:t>8</w:t>
            </w:r>
            <w:r w:rsidRPr="00CE7408">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6001AEE9" w14:textId="4EA0BF89" w:rsidR="004413EC" w:rsidRPr="000E5963" w:rsidRDefault="00513FD3"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1,961.4</w:t>
            </w:r>
          </w:p>
        </w:tc>
        <w:tc>
          <w:tcPr>
            <w:tcW w:w="1134" w:type="dxa"/>
            <w:tcBorders>
              <w:top w:val="nil"/>
              <w:left w:val="single" w:sz="8" w:space="0" w:color="auto"/>
              <w:bottom w:val="nil"/>
              <w:right w:val="single" w:sz="8" w:space="0" w:color="auto"/>
            </w:tcBorders>
            <w:shd w:val="clear" w:color="auto" w:fill="FFFFFF"/>
            <w:vAlign w:val="center"/>
          </w:tcPr>
          <w:p w14:paraId="3B9FFB02" w14:textId="382E4632" w:rsidR="004413EC" w:rsidRPr="000E5963" w:rsidRDefault="00C04833"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1,666.1</w:t>
            </w:r>
          </w:p>
        </w:tc>
      </w:tr>
      <w:tr w:rsidR="004413EC" w:rsidRPr="000E5963" w14:paraId="2CA634FF" w14:textId="77777777" w:rsidTr="00EB7986">
        <w:trPr>
          <w:trHeight w:val="274"/>
        </w:trPr>
        <w:tc>
          <w:tcPr>
            <w:tcW w:w="349" w:type="dxa"/>
            <w:shd w:val="clear" w:color="auto" w:fill="FFFFFF"/>
            <w:vAlign w:val="center"/>
            <w:hideMark/>
          </w:tcPr>
          <w:p w14:paraId="14CEA979"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57483171"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079D9585"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993" w:type="dxa"/>
            <w:tcBorders>
              <w:top w:val="nil"/>
              <w:left w:val="nil"/>
              <w:right w:val="single" w:sz="8" w:space="0" w:color="auto"/>
            </w:tcBorders>
            <w:shd w:val="clear" w:color="auto" w:fill="FFFFFF"/>
            <w:vAlign w:val="center"/>
          </w:tcPr>
          <w:p w14:paraId="437DBE26" w14:textId="77777777" w:rsidR="004413EC" w:rsidRPr="00CE7408" w:rsidRDefault="004413EC" w:rsidP="00EB7986">
            <w:pPr>
              <w:spacing w:after="0" w:line="240" w:lineRule="auto"/>
              <w:rPr>
                <w:rFonts w:ascii="Calibri" w:eastAsia="Times New Roman" w:hAnsi="Calibri" w:cs="Calibri"/>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49F47F70"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43C9B80A"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323A3297" w14:textId="77777777" w:rsidTr="00EB7986">
        <w:trPr>
          <w:trHeight w:val="284"/>
        </w:trPr>
        <w:tc>
          <w:tcPr>
            <w:tcW w:w="349" w:type="dxa"/>
            <w:shd w:val="clear" w:color="auto" w:fill="FFFFFF"/>
            <w:vAlign w:val="center"/>
            <w:hideMark/>
          </w:tcPr>
          <w:p w14:paraId="7F4BDA8C"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1C0C2ABE"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Tax (expense)</w:t>
            </w:r>
          </w:p>
        </w:tc>
        <w:tc>
          <w:tcPr>
            <w:tcW w:w="708" w:type="dxa"/>
            <w:shd w:val="clear" w:color="auto" w:fill="FFFFFF"/>
            <w:vAlign w:val="center"/>
            <w:hideMark/>
          </w:tcPr>
          <w:p w14:paraId="19D0747F"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w:t>
            </w:r>
          </w:p>
        </w:tc>
        <w:tc>
          <w:tcPr>
            <w:tcW w:w="993" w:type="dxa"/>
            <w:tcBorders>
              <w:top w:val="nil"/>
              <w:left w:val="nil"/>
              <w:right w:val="single" w:sz="8" w:space="0" w:color="auto"/>
            </w:tcBorders>
            <w:shd w:val="clear" w:color="auto" w:fill="FFFFFF"/>
            <w:vAlign w:val="center"/>
          </w:tcPr>
          <w:p w14:paraId="6D11EBD3" w14:textId="2BECF9E6" w:rsidR="004413EC" w:rsidRPr="00CE7408" w:rsidRDefault="003320F8" w:rsidP="00EB7986">
            <w:pPr>
              <w:spacing w:after="0" w:line="240" w:lineRule="auto"/>
              <w:jc w:val="right"/>
              <w:rPr>
                <w:rFonts w:ascii="Calibri" w:eastAsia="Times New Roman" w:hAnsi="Calibri" w:cs="Calibri"/>
                <w:sz w:val="22"/>
                <w:szCs w:val="22"/>
                <w:lang w:val="en-IE" w:eastAsia="en-IE"/>
              </w:rPr>
            </w:pPr>
            <w:r>
              <w:rPr>
                <w:rFonts w:ascii="Calibri" w:eastAsia="Times New Roman" w:hAnsi="Calibri" w:cs="Calibri"/>
                <w:sz w:val="22"/>
                <w:szCs w:val="22"/>
                <w:lang w:val="en-IE" w:eastAsia="en-IE"/>
              </w:rPr>
              <w:t>-3%</w:t>
            </w:r>
          </w:p>
        </w:tc>
        <w:tc>
          <w:tcPr>
            <w:tcW w:w="1134" w:type="dxa"/>
            <w:tcBorders>
              <w:top w:val="nil"/>
              <w:left w:val="single" w:sz="8" w:space="0" w:color="auto"/>
              <w:bottom w:val="single" w:sz="8" w:space="0" w:color="auto"/>
              <w:right w:val="single" w:sz="8" w:space="0" w:color="auto"/>
            </w:tcBorders>
            <w:shd w:val="clear" w:color="auto" w:fill="FFFF00"/>
            <w:vAlign w:val="center"/>
          </w:tcPr>
          <w:p w14:paraId="6390E6A0" w14:textId="5EC090CB" w:rsidR="004413EC" w:rsidRPr="000E5963" w:rsidRDefault="00513FD3" w:rsidP="00EB7986">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(242.5)</w:t>
            </w:r>
          </w:p>
        </w:tc>
        <w:tc>
          <w:tcPr>
            <w:tcW w:w="1134" w:type="dxa"/>
            <w:tcBorders>
              <w:top w:val="nil"/>
              <w:left w:val="single" w:sz="8" w:space="0" w:color="auto"/>
              <w:bottom w:val="single" w:sz="8" w:space="0" w:color="auto"/>
              <w:right w:val="single" w:sz="8" w:space="0" w:color="auto"/>
            </w:tcBorders>
            <w:shd w:val="clear" w:color="auto" w:fill="FFFFFF"/>
            <w:vAlign w:val="center"/>
          </w:tcPr>
          <w:p w14:paraId="48EC7465" w14:textId="312A724A"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w:t>
            </w:r>
            <w:r w:rsidR="00E2142C">
              <w:rPr>
                <w:rFonts w:ascii="Calibri" w:eastAsia="Calibri" w:hAnsi="Calibri" w:cs="Calibri"/>
                <w:sz w:val="21"/>
                <w:szCs w:val="21"/>
                <w:lang w:val="en-IE" w:eastAsia="en-IE"/>
              </w:rPr>
              <w:t>234.9</w:t>
            </w:r>
            <w:r w:rsidRPr="000E5963">
              <w:rPr>
                <w:rFonts w:ascii="Calibri" w:eastAsia="Calibri" w:hAnsi="Calibri" w:cs="Calibri"/>
                <w:sz w:val="21"/>
                <w:szCs w:val="21"/>
                <w:lang w:val="en-IE" w:eastAsia="en-IE"/>
              </w:rPr>
              <w:t>)</w:t>
            </w:r>
          </w:p>
        </w:tc>
      </w:tr>
      <w:tr w:rsidR="004413EC" w:rsidRPr="000E5963" w14:paraId="2F0E99F9" w14:textId="77777777" w:rsidTr="00EB7986">
        <w:trPr>
          <w:trHeight w:val="274"/>
        </w:trPr>
        <w:tc>
          <w:tcPr>
            <w:tcW w:w="349" w:type="dxa"/>
            <w:shd w:val="clear" w:color="auto" w:fill="FFFFFF"/>
            <w:vAlign w:val="center"/>
            <w:hideMark/>
          </w:tcPr>
          <w:p w14:paraId="7DB393E8"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6D3E2F4D"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708" w:type="dxa"/>
            <w:shd w:val="clear" w:color="auto" w:fill="FFFFFF"/>
            <w:vAlign w:val="center"/>
            <w:hideMark/>
          </w:tcPr>
          <w:p w14:paraId="05A99F47"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left w:val="nil"/>
              <w:right w:val="single" w:sz="8" w:space="0" w:color="auto"/>
            </w:tcBorders>
            <w:shd w:val="clear" w:color="auto" w:fill="FFFFFF"/>
            <w:vAlign w:val="center"/>
          </w:tcPr>
          <w:p w14:paraId="57501579" w14:textId="77777777" w:rsidR="004413EC" w:rsidRPr="00CE7408" w:rsidRDefault="004413EC" w:rsidP="00EB7986">
            <w:pPr>
              <w:spacing w:after="0" w:line="240" w:lineRule="auto"/>
              <w:rPr>
                <w:rFonts w:ascii="Calibri" w:eastAsia="Times New Roman"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3654A304"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67FEA50C"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53590EC2" w14:textId="77777777" w:rsidTr="00EB7986">
        <w:trPr>
          <w:trHeight w:val="284"/>
        </w:trPr>
        <w:tc>
          <w:tcPr>
            <w:tcW w:w="7371" w:type="dxa"/>
            <w:gridSpan w:val="3"/>
            <w:shd w:val="clear" w:color="auto" w:fill="FFFFFF"/>
            <w:vAlign w:val="bottom"/>
            <w:hideMark/>
          </w:tcPr>
          <w:p w14:paraId="5E35AC6A"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Profit for the quarter – all attributable to equity holders of parent</w:t>
            </w:r>
          </w:p>
        </w:tc>
        <w:tc>
          <w:tcPr>
            <w:tcW w:w="993" w:type="dxa"/>
            <w:tcBorders>
              <w:top w:val="nil"/>
              <w:left w:val="nil"/>
              <w:right w:val="single" w:sz="8" w:space="0" w:color="auto"/>
            </w:tcBorders>
            <w:shd w:val="clear" w:color="auto" w:fill="FFFFFF"/>
            <w:vAlign w:val="bottom"/>
          </w:tcPr>
          <w:p w14:paraId="4C2438DF" w14:textId="7C48252E" w:rsidR="004413EC" w:rsidRPr="00CE7408" w:rsidRDefault="004413EC" w:rsidP="00EB7986">
            <w:pPr>
              <w:spacing w:after="0" w:line="240" w:lineRule="auto"/>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w:t>
            </w:r>
            <w:r w:rsidR="00C9563C" w:rsidRPr="00CE7408">
              <w:rPr>
                <w:rFonts w:ascii="Calibri" w:eastAsia="Times New Roman" w:hAnsi="Calibri" w:cs="Calibri"/>
                <w:sz w:val="22"/>
                <w:szCs w:val="22"/>
                <w:lang w:val="en-IE" w:eastAsia="en-IE"/>
              </w:rPr>
              <w:t>20</w:t>
            </w:r>
            <w:r w:rsidRPr="00CE7408">
              <w:rPr>
                <w:rFonts w:ascii="Calibri" w:eastAsia="Times New Roman" w:hAnsi="Calibri" w:cs="Calibri"/>
                <w:sz w:val="22"/>
                <w:szCs w:val="22"/>
                <w:lang w:val="en-IE" w:eastAsia="en-IE"/>
              </w:rPr>
              <w:t>%</w:t>
            </w:r>
          </w:p>
        </w:tc>
        <w:tc>
          <w:tcPr>
            <w:tcW w:w="1134" w:type="dxa"/>
            <w:tcBorders>
              <w:top w:val="nil"/>
              <w:left w:val="single" w:sz="8" w:space="0" w:color="auto"/>
              <w:bottom w:val="double" w:sz="6" w:space="0" w:color="auto"/>
              <w:right w:val="single" w:sz="8" w:space="0" w:color="auto"/>
            </w:tcBorders>
            <w:shd w:val="clear" w:color="auto" w:fill="FFFF00"/>
            <w:vAlign w:val="bottom"/>
          </w:tcPr>
          <w:p w14:paraId="24A69F1A" w14:textId="6776EDB4" w:rsidR="004413EC" w:rsidRPr="000E5963" w:rsidRDefault="00C9563C" w:rsidP="00EB7986">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1,718.9</w:t>
            </w:r>
          </w:p>
        </w:tc>
        <w:tc>
          <w:tcPr>
            <w:tcW w:w="1134" w:type="dxa"/>
            <w:tcBorders>
              <w:top w:val="nil"/>
              <w:left w:val="single" w:sz="8" w:space="0" w:color="auto"/>
              <w:bottom w:val="double" w:sz="6" w:space="0" w:color="auto"/>
              <w:right w:val="single" w:sz="8" w:space="0" w:color="auto"/>
            </w:tcBorders>
            <w:shd w:val="clear" w:color="auto" w:fill="FFFFFF"/>
            <w:vAlign w:val="bottom"/>
          </w:tcPr>
          <w:p w14:paraId="273264FD" w14:textId="026B12B7" w:rsidR="004413EC" w:rsidRPr="000E5963" w:rsidRDefault="00E2142C" w:rsidP="00EB7986">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1,431.2</w:t>
            </w:r>
          </w:p>
        </w:tc>
      </w:tr>
      <w:tr w:rsidR="004413EC" w:rsidRPr="000E5963" w14:paraId="68D894FB" w14:textId="77777777" w:rsidTr="00EB7986">
        <w:trPr>
          <w:trHeight w:val="284"/>
        </w:trPr>
        <w:tc>
          <w:tcPr>
            <w:tcW w:w="7371" w:type="dxa"/>
            <w:gridSpan w:val="3"/>
            <w:shd w:val="clear" w:color="auto" w:fill="FFFFFF"/>
            <w:vAlign w:val="center"/>
            <w:hideMark/>
          </w:tcPr>
          <w:p w14:paraId="1A9801F2" w14:textId="77777777" w:rsidR="004413EC" w:rsidRPr="000E5963" w:rsidRDefault="004413EC" w:rsidP="00EB7986">
            <w:pPr>
              <w:spacing w:after="0" w:line="240" w:lineRule="auto"/>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548F4FBE" w14:textId="77777777" w:rsidR="004413EC" w:rsidRPr="00CE7408" w:rsidRDefault="004413EC" w:rsidP="00EB7986">
            <w:pPr>
              <w:spacing w:after="0" w:line="240" w:lineRule="auto"/>
              <w:jc w:val="right"/>
              <w:rPr>
                <w:rFonts w:ascii="Calibri" w:eastAsia="Times New Roman" w:hAnsi="Calibri" w:cs="Calibri"/>
                <w:sz w:val="22"/>
                <w:szCs w:val="22"/>
                <w:lang w:val="en-IE" w:eastAsia="en-IE"/>
              </w:rPr>
            </w:pPr>
            <w:r w:rsidRPr="00CE7408">
              <w:rPr>
                <w:rFonts w:ascii="Calibri" w:eastAsia="Times New Roman" w:hAnsi="Calibri" w:cs="Calibri"/>
                <w:sz w:val="22"/>
                <w:szCs w:val="22"/>
                <w:lang w:val="en-IE" w:eastAsia="en-IE"/>
              </w:rPr>
              <w:t> </w:t>
            </w:r>
          </w:p>
        </w:tc>
        <w:tc>
          <w:tcPr>
            <w:tcW w:w="1134" w:type="dxa"/>
            <w:tcBorders>
              <w:top w:val="nil"/>
              <w:left w:val="single" w:sz="8" w:space="0" w:color="auto"/>
              <w:bottom w:val="nil"/>
              <w:right w:val="single" w:sz="8" w:space="0" w:color="auto"/>
            </w:tcBorders>
            <w:shd w:val="clear" w:color="auto" w:fill="FFFF00"/>
            <w:vAlign w:val="center"/>
          </w:tcPr>
          <w:p w14:paraId="18F31A05"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4139FE2B"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31784579" w14:textId="77777777" w:rsidTr="00EB7986">
        <w:trPr>
          <w:trHeight w:val="274"/>
        </w:trPr>
        <w:tc>
          <w:tcPr>
            <w:tcW w:w="349" w:type="dxa"/>
            <w:shd w:val="clear" w:color="auto" w:fill="FFFFFF"/>
            <w:vAlign w:val="center"/>
            <w:hideMark/>
          </w:tcPr>
          <w:p w14:paraId="57D84776"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1F3A5163"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Earnings per ordinary share (€)</w:t>
            </w:r>
          </w:p>
        </w:tc>
        <w:tc>
          <w:tcPr>
            <w:tcW w:w="708" w:type="dxa"/>
            <w:shd w:val="clear" w:color="auto" w:fill="FFFFFF"/>
            <w:vAlign w:val="center"/>
            <w:hideMark/>
          </w:tcPr>
          <w:p w14:paraId="1B50FC70"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0CF11461" w14:textId="77777777" w:rsidR="004413EC" w:rsidRPr="00501319" w:rsidRDefault="004413EC" w:rsidP="00EB7986">
            <w:pPr>
              <w:spacing w:after="0" w:line="240" w:lineRule="auto"/>
              <w:rPr>
                <w:rFonts w:ascii="Calibri" w:eastAsia="Times New Roman" w:hAnsi="Calibri" w:cs="Calibri"/>
                <w:b/>
                <w:color w:val="FF0000"/>
                <w:sz w:val="22"/>
                <w:szCs w:val="22"/>
                <w:highlight w:val="red"/>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7A78FDA" w14:textId="77777777" w:rsidR="004413EC" w:rsidRPr="000E5963" w:rsidRDefault="004413EC" w:rsidP="00EB7986">
            <w:pPr>
              <w:spacing w:after="0" w:line="240" w:lineRule="auto"/>
              <w:jc w:val="right"/>
              <w:rPr>
                <w:rFonts w:ascii="Calibri" w:eastAsia="Calibri" w:hAnsi="Calibri" w:cs="Calibri"/>
                <w:b/>
                <w:bCs/>
                <w:sz w:val="22"/>
                <w:szCs w:val="22"/>
                <w:lang w:val="en-IE" w:eastAsia="en-IE"/>
              </w:rPr>
            </w:pPr>
          </w:p>
        </w:tc>
        <w:tc>
          <w:tcPr>
            <w:tcW w:w="1134" w:type="dxa"/>
            <w:tcBorders>
              <w:top w:val="nil"/>
              <w:left w:val="single" w:sz="8" w:space="0" w:color="auto"/>
              <w:bottom w:val="nil"/>
              <w:right w:val="single" w:sz="8" w:space="0" w:color="auto"/>
            </w:tcBorders>
            <w:shd w:val="clear" w:color="auto" w:fill="FFFFFF"/>
            <w:vAlign w:val="center"/>
          </w:tcPr>
          <w:p w14:paraId="12466408" w14:textId="77777777" w:rsidR="004413EC" w:rsidRPr="000E5963" w:rsidRDefault="004413EC" w:rsidP="00EB7986">
            <w:pPr>
              <w:spacing w:after="0" w:line="240" w:lineRule="auto"/>
              <w:jc w:val="right"/>
              <w:rPr>
                <w:rFonts w:ascii="Calibri" w:eastAsia="Calibri" w:hAnsi="Calibri" w:cs="Calibri"/>
                <w:sz w:val="22"/>
                <w:szCs w:val="22"/>
                <w:lang w:val="en-IE" w:eastAsia="en-IE"/>
              </w:rPr>
            </w:pPr>
          </w:p>
        </w:tc>
      </w:tr>
      <w:tr w:rsidR="004413EC" w:rsidRPr="000E5963" w14:paraId="5182056F" w14:textId="77777777" w:rsidTr="00672E40">
        <w:trPr>
          <w:trHeight w:val="274"/>
        </w:trPr>
        <w:tc>
          <w:tcPr>
            <w:tcW w:w="349" w:type="dxa"/>
            <w:shd w:val="clear" w:color="auto" w:fill="FFFFFF"/>
            <w:vAlign w:val="center"/>
            <w:hideMark/>
          </w:tcPr>
          <w:p w14:paraId="6E0E0021"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2A27F5A4"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Basic</w:t>
            </w:r>
          </w:p>
        </w:tc>
        <w:tc>
          <w:tcPr>
            <w:tcW w:w="708" w:type="dxa"/>
            <w:shd w:val="clear" w:color="auto" w:fill="FFFFFF"/>
            <w:vAlign w:val="center"/>
            <w:hideMark/>
          </w:tcPr>
          <w:p w14:paraId="5A074D99"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6538C930" w14:textId="596BBCE0" w:rsidR="004413EC" w:rsidRPr="00ED6F94" w:rsidRDefault="004413EC" w:rsidP="00EB7986">
            <w:pPr>
              <w:spacing w:after="0" w:line="240" w:lineRule="auto"/>
              <w:jc w:val="right"/>
              <w:rPr>
                <w:rFonts w:ascii="Calibri" w:eastAsia="Times New Roman" w:hAnsi="Calibri" w:cs="Calibri"/>
                <w:sz w:val="22"/>
                <w:szCs w:val="22"/>
                <w:lang w:val="en-IE" w:eastAsia="en-IE"/>
              </w:rPr>
            </w:pPr>
            <w:r w:rsidRPr="00ED6F94">
              <w:rPr>
                <w:rFonts w:ascii="Calibri" w:eastAsia="Times New Roman" w:hAnsi="Calibri" w:cs="Calibri"/>
                <w:sz w:val="22"/>
                <w:szCs w:val="22"/>
                <w:lang w:val="en-IE" w:eastAsia="en-IE"/>
              </w:rPr>
              <w:t>+</w:t>
            </w:r>
            <w:r w:rsidR="00ED6F94" w:rsidRPr="00ED6F94">
              <w:rPr>
                <w:rFonts w:ascii="Calibri" w:eastAsia="Times New Roman" w:hAnsi="Calibri" w:cs="Calibri"/>
                <w:sz w:val="22"/>
                <w:szCs w:val="22"/>
                <w:lang w:val="en-IE" w:eastAsia="en-IE"/>
              </w:rPr>
              <w:t>26</w:t>
            </w:r>
            <w:r w:rsidRPr="00ED6F94">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4E8B11C6" w14:textId="724ECDC3" w:rsidR="004413EC" w:rsidRPr="000E5963" w:rsidRDefault="00ED6F94" w:rsidP="00EB7986">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1.6219</w:t>
            </w:r>
          </w:p>
        </w:tc>
        <w:tc>
          <w:tcPr>
            <w:tcW w:w="1134" w:type="dxa"/>
            <w:tcBorders>
              <w:top w:val="nil"/>
              <w:bottom w:val="nil"/>
              <w:right w:val="single" w:sz="8" w:space="0" w:color="auto"/>
            </w:tcBorders>
            <w:vAlign w:val="center"/>
          </w:tcPr>
          <w:p w14:paraId="4835C2E1" w14:textId="41465B72" w:rsidR="004413EC" w:rsidRPr="000E5963" w:rsidRDefault="00E2142C" w:rsidP="00EB7986">
            <w:pPr>
              <w:spacing w:after="0" w:line="240" w:lineRule="auto"/>
              <w:jc w:val="right"/>
              <w:rPr>
                <w:rFonts w:ascii="Calibri" w:eastAsia="Times New Roman" w:hAnsi="Calibri" w:cs="Calibri"/>
                <w:color w:val="000000"/>
                <w:sz w:val="22"/>
                <w:szCs w:val="22"/>
                <w:lang w:val="en-IE" w:eastAsia="en-IE"/>
              </w:rPr>
            </w:pPr>
            <w:r>
              <w:rPr>
                <w:rFonts w:ascii="Calibri" w:eastAsia="Calibri" w:hAnsi="Calibri" w:cs="Calibri"/>
                <w:sz w:val="21"/>
                <w:szCs w:val="21"/>
                <w:lang w:val="en-IE" w:eastAsia="en-IE"/>
              </w:rPr>
              <w:t>1.2901</w:t>
            </w:r>
          </w:p>
        </w:tc>
      </w:tr>
      <w:tr w:rsidR="004413EC" w:rsidRPr="000E5963" w14:paraId="0C71B29E" w14:textId="77777777" w:rsidTr="00672E40">
        <w:trPr>
          <w:trHeight w:val="274"/>
        </w:trPr>
        <w:tc>
          <w:tcPr>
            <w:tcW w:w="349" w:type="dxa"/>
            <w:shd w:val="clear" w:color="auto" w:fill="FFFFFF"/>
            <w:vAlign w:val="center"/>
            <w:hideMark/>
          </w:tcPr>
          <w:p w14:paraId="0417490C"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C59FD0C"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Diluted</w:t>
            </w:r>
          </w:p>
        </w:tc>
        <w:tc>
          <w:tcPr>
            <w:tcW w:w="708" w:type="dxa"/>
            <w:shd w:val="clear" w:color="auto" w:fill="FFFFFF"/>
            <w:vAlign w:val="center"/>
            <w:hideMark/>
          </w:tcPr>
          <w:p w14:paraId="734D64DC"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7B235244" w14:textId="5BCE0099" w:rsidR="004413EC" w:rsidRPr="00ED6F94" w:rsidRDefault="004413EC" w:rsidP="00EB7986">
            <w:pPr>
              <w:spacing w:after="0" w:line="240" w:lineRule="auto"/>
              <w:jc w:val="right"/>
              <w:rPr>
                <w:rFonts w:ascii="Calibri" w:eastAsia="Times New Roman" w:hAnsi="Calibri" w:cs="Calibri"/>
                <w:sz w:val="22"/>
                <w:szCs w:val="22"/>
                <w:lang w:val="en-IE" w:eastAsia="en-IE"/>
              </w:rPr>
            </w:pPr>
            <w:r w:rsidRPr="00ED6F94">
              <w:rPr>
                <w:rFonts w:ascii="Calibri" w:eastAsia="Times New Roman" w:hAnsi="Calibri" w:cs="Calibri"/>
                <w:sz w:val="22"/>
                <w:szCs w:val="22"/>
                <w:lang w:val="en-IE" w:eastAsia="en-IE"/>
              </w:rPr>
              <w:t>+</w:t>
            </w:r>
            <w:r w:rsidR="00ED6F94" w:rsidRPr="00ED6F94">
              <w:rPr>
                <w:rFonts w:ascii="Calibri" w:eastAsia="Times New Roman" w:hAnsi="Calibri" w:cs="Calibri"/>
                <w:sz w:val="22"/>
                <w:szCs w:val="22"/>
                <w:lang w:val="en-IE" w:eastAsia="en-IE"/>
              </w:rPr>
              <w:t>25</w:t>
            </w:r>
            <w:r w:rsidRPr="00ED6F94">
              <w:rPr>
                <w:rFonts w:ascii="Calibri" w:eastAsia="Times New Roman" w:hAnsi="Calibri" w:cs="Calibri"/>
                <w:sz w:val="22"/>
                <w:szCs w:val="22"/>
                <w:lang w:val="en-IE" w:eastAsia="en-IE"/>
              </w:rPr>
              <w:t>%</w:t>
            </w:r>
          </w:p>
        </w:tc>
        <w:tc>
          <w:tcPr>
            <w:tcW w:w="1134" w:type="dxa"/>
            <w:tcBorders>
              <w:top w:val="nil"/>
              <w:left w:val="single" w:sz="8" w:space="0" w:color="auto"/>
              <w:bottom w:val="nil"/>
              <w:right w:val="single" w:sz="8" w:space="0" w:color="auto"/>
            </w:tcBorders>
            <w:shd w:val="clear" w:color="auto" w:fill="FFFF00"/>
            <w:vAlign w:val="center"/>
          </w:tcPr>
          <w:p w14:paraId="1517EEC5" w14:textId="05B67876" w:rsidR="004413EC" w:rsidRPr="000E5963" w:rsidRDefault="00ED6F94" w:rsidP="00EB7986">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1.6086</w:t>
            </w:r>
          </w:p>
        </w:tc>
        <w:tc>
          <w:tcPr>
            <w:tcW w:w="1134" w:type="dxa"/>
            <w:tcBorders>
              <w:top w:val="nil"/>
              <w:bottom w:val="nil"/>
              <w:right w:val="single" w:sz="8" w:space="0" w:color="auto"/>
            </w:tcBorders>
            <w:vAlign w:val="center"/>
          </w:tcPr>
          <w:p w14:paraId="522FBCFA" w14:textId="7F0191C5" w:rsidR="004413EC" w:rsidRPr="000E5963" w:rsidRDefault="00E2142C" w:rsidP="00EB7986">
            <w:pPr>
              <w:spacing w:after="0" w:line="240" w:lineRule="auto"/>
              <w:jc w:val="right"/>
              <w:rPr>
                <w:rFonts w:ascii="Calibri" w:eastAsia="Times New Roman" w:hAnsi="Calibri" w:cs="Calibri"/>
                <w:color w:val="000000"/>
                <w:sz w:val="22"/>
                <w:szCs w:val="22"/>
                <w:lang w:val="en-IE" w:eastAsia="en-IE"/>
              </w:rPr>
            </w:pPr>
            <w:r>
              <w:rPr>
                <w:rFonts w:ascii="Calibri" w:eastAsia="Calibri" w:hAnsi="Calibri" w:cs="Calibri"/>
                <w:sz w:val="21"/>
                <w:szCs w:val="21"/>
                <w:lang w:val="en-IE" w:eastAsia="en-IE"/>
              </w:rPr>
              <w:t>1.2845</w:t>
            </w:r>
          </w:p>
        </w:tc>
      </w:tr>
      <w:tr w:rsidR="004413EC" w:rsidRPr="000E5963" w14:paraId="35A707C3" w14:textId="77777777" w:rsidTr="00672E40">
        <w:trPr>
          <w:trHeight w:val="274"/>
        </w:trPr>
        <w:tc>
          <w:tcPr>
            <w:tcW w:w="349" w:type="dxa"/>
            <w:shd w:val="clear" w:color="auto" w:fill="FFFFFF"/>
            <w:vAlign w:val="center"/>
            <w:hideMark/>
          </w:tcPr>
          <w:p w14:paraId="00DE0B2E"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615F8487"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Weighted avg. no. of ord. shares (in Ms)</w:t>
            </w:r>
          </w:p>
        </w:tc>
        <w:tc>
          <w:tcPr>
            <w:tcW w:w="708" w:type="dxa"/>
            <w:shd w:val="clear" w:color="auto" w:fill="FFFFFF"/>
            <w:vAlign w:val="center"/>
            <w:hideMark/>
          </w:tcPr>
          <w:p w14:paraId="286C1E50"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r w:rsidRPr="000E5963">
              <w:rPr>
                <w:rFonts w:ascii="Calibri" w:eastAsia="Times New Roman" w:hAnsi="Calibri" w:cs="Calibri"/>
                <w:b/>
                <w:bCs/>
                <w:color w:val="000000"/>
                <w:sz w:val="22"/>
                <w:szCs w:val="22"/>
                <w:lang w:val="en-IE" w:eastAsia="en-IE"/>
              </w:rPr>
              <w:t> </w:t>
            </w:r>
          </w:p>
        </w:tc>
        <w:tc>
          <w:tcPr>
            <w:tcW w:w="993" w:type="dxa"/>
            <w:tcBorders>
              <w:top w:val="nil"/>
              <w:left w:val="nil"/>
              <w:bottom w:val="nil"/>
              <w:right w:val="single" w:sz="8" w:space="0" w:color="auto"/>
            </w:tcBorders>
            <w:shd w:val="clear" w:color="auto" w:fill="FFFFFF"/>
            <w:vAlign w:val="center"/>
            <w:hideMark/>
          </w:tcPr>
          <w:p w14:paraId="56D3BE40" w14:textId="77777777" w:rsidR="004413EC" w:rsidRPr="00675E9D" w:rsidRDefault="004413EC" w:rsidP="00EB7986">
            <w:pPr>
              <w:spacing w:after="0" w:line="240" w:lineRule="auto"/>
              <w:rPr>
                <w:rFonts w:ascii="Calibri" w:eastAsia="Times New Roman" w:hAnsi="Calibri" w:cs="Calibri"/>
                <w:b/>
                <w:color w:val="FF0000"/>
                <w:sz w:val="22"/>
                <w:szCs w:val="22"/>
                <w:highlight w:val="yellow"/>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14367944" w14:textId="77777777" w:rsidR="004413EC" w:rsidRPr="000E5963" w:rsidRDefault="004413EC" w:rsidP="00EB7986">
            <w:pPr>
              <w:spacing w:after="0" w:line="240" w:lineRule="auto"/>
              <w:jc w:val="right"/>
              <w:rPr>
                <w:rFonts w:ascii="Calibri" w:eastAsia="Calibri" w:hAnsi="Calibri" w:cs="Calibri"/>
                <w:b/>
                <w:bCs/>
                <w:sz w:val="22"/>
                <w:szCs w:val="22"/>
                <w:highlight w:val="green"/>
                <w:lang w:val="en-IE" w:eastAsia="en-IE"/>
              </w:rPr>
            </w:pPr>
          </w:p>
        </w:tc>
        <w:tc>
          <w:tcPr>
            <w:tcW w:w="1134" w:type="dxa"/>
            <w:tcBorders>
              <w:top w:val="nil"/>
              <w:right w:val="single" w:sz="8" w:space="0" w:color="auto"/>
            </w:tcBorders>
            <w:vAlign w:val="center"/>
          </w:tcPr>
          <w:p w14:paraId="08D6DB48" w14:textId="77777777" w:rsidR="004413EC" w:rsidRPr="000E5963" w:rsidRDefault="004413EC" w:rsidP="00E2142C">
            <w:pPr>
              <w:spacing w:after="0" w:line="240" w:lineRule="auto"/>
              <w:jc w:val="center"/>
              <w:rPr>
                <w:rFonts w:ascii="Calibri" w:eastAsia="Calibri" w:hAnsi="Calibri" w:cs="Calibri"/>
                <w:sz w:val="22"/>
                <w:szCs w:val="22"/>
                <w:lang w:val="en-IE" w:eastAsia="en-IE"/>
              </w:rPr>
            </w:pPr>
          </w:p>
        </w:tc>
      </w:tr>
      <w:tr w:rsidR="004413EC" w:rsidRPr="000E5963" w14:paraId="018F4CB3" w14:textId="77777777" w:rsidTr="00672E40">
        <w:trPr>
          <w:trHeight w:val="274"/>
        </w:trPr>
        <w:tc>
          <w:tcPr>
            <w:tcW w:w="349" w:type="dxa"/>
            <w:shd w:val="clear" w:color="auto" w:fill="FFFFFF"/>
            <w:vAlign w:val="center"/>
            <w:hideMark/>
          </w:tcPr>
          <w:p w14:paraId="63E19CED"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614E2F2D"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Basic</w:t>
            </w:r>
          </w:p>
        </w:tc>
        <w:tc>
          <w:tcPr>
            <w:tcW w:w="708" w:type="dxa"/>
            <w:shd w:val="clear" w:color="auto" w:fill="FFFFFF"/>
            <w:vAlign w:val="center"/>
            <w:hideMark/>
          </w:tcPr>
          <w:p w14:paraId="0F74AD96"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0A341DF9"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1134" w:type="dxa"/>
            <w:tcBorders>
              <w:top w:val="nil"/>
              <w:left w:val="single" w:sz="8" w:space="0" w:color="auto"/>
              <w:bottom w:val="nil"/>
              <w:right w:val="single" w:sz="8" w:space="0" w:color="auto"/>
            </w:tcBorders>
            <w:shd w:val="clear" w:color="auto" w:fill="FFFF00"/>
            <w:vAlign w:val="center"/>
          </w:tcPr>
          <w:p w14:paraId="0C6EA211" w14:textId="5557898A" w:rsidR="004413EC" w:rsidRPr="000E5963" w:rsidRDefault="00ED6F94" w:rsidP="00EB7986">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1,059.8</w:t>
            </w:r>
          </w:p>
        </w:tc>
        <w:tc>
          <w:tcPr>
            <w:tcW w:w="1134" w:type="dxa"/>
            <w:tcBorders>
              <w:top w:val="nil"/>
              <w:right w:val="single" w:sz="8" w:space="0" w:color="auto"/>
            </w:tcBorders>
            <w:vAlign w:val="center"/>
          </w:tcPr>
          <w:p w14:paraId="0B4C1A08" w14:textId="0A7FA0B2"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1,1</w:t>
            </w:r>
            <w:r w:rsidR="00E2142C">
              <w:rPr>
                <w:rFonts w:ascii="Calibri" w:eastAsia="Calibri" w:hAnsi="Calibri" w:cs="Calibri"/>
                <w:sz w:val="21"/>
                <w:szCs w:val="21"/>
                <w:lang w:val="en-IE" w:eastAsia="en-IE"/>
              </w:rPr>
              <w:t>09.4</w:t>
            </w:r>
          </w:p>
        </w:tc>
      </w:tr>
      <w:tr w:rsidR="004413EC" w:rsidRPr="000E5963" w14:paraId="5FD09181" w14:textId="77777777" w:rsidTr="00672E40">
        <w:trPr>
          <w:trHeight w:val="284"/>
        </w:trPr>
        <w:tc>
          <w:tcPr>
            <w:tcW w:w="349" w:type="dxa"/>
            <w:shd w:val="clear" w:color="auto" w:fill="FFFFFF"/>
            <w:vAlign w:val="center"/>
            <w:hideMark/>
          </w:tcPr>
          <w:p w14:paraId="717E0D72"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 </w:t>
            </w:r>
          </w:p>
        </w:tc>
        <w:tc>
          <w:tcPr>
            <w:tcW w:w="6314" w:type="dxa"/>
            <w:shd w:val="clear" w:color="auto" w:fill="FFFFFF"/>
            <w:vAlign w:val="center"/>
            <w:hideMark/>
          </w:tcPr>
          <w:p w14:paraId="0BD6C4E1" w14:textId="77777777" w:rsidR="004413EC" w:rsidRPr="000E5963" w:rsidRDefault="004413EC" w:rsidP="00EB7986">
            <w:pPr>
              <w:spacing w:after="0" w:line="240" w:lineRule="auto"/>
              <w:rPr>
                <w:rFonts w:ascii="Calibri" w:eastAsia="Times New Roman" w:hAnsi="Calibri" w:cs="Calibri"/>
                <w:color w:val="000000"/>
                <w:sz w:val="22"/>
                <w:szCs w:val="22"/>
                <w:lang w:val="en-IE" w:eastAsia="en-IE"/>
              </w:rPr>
            </w:pPr>
            <w:r w:rsidRPr="000E5963">
              <w:rPr>
                <w:rFonts w:ascii="Calibri" w:eastAsia="Times New Roman" w:hAnsi="Calibri" w:cs="Calibri"/>
                <w:color w:val="000000"/>
                <w:sz w:val="22"/>
                <w:szCs w:val="22"/>
                <w:lang w:val="en-IE" w:eastAsia="en-IE"/>
              </w:rPr>
              <w:t>Diluted</w:t>
            </w:r>
          </w:p>
        </w:tc>
        <w:tc>
          <w:tcPr>
            <w:tcW w:w="708" w:type="dxa"/>
            <w:shd w:val="clear" w:color="auto" w:fill="FFFFFF"/>
            <w:vAlign w:val="center"/>
            <w:hideMark/>
          </w:tcPr>
          <w:p w14:paraId="494BB17F" w14:textId="77777777" w:rsidR="004413EC" w:rsidRPr="000E5963" w:rsidRDefault="004413EC" w:rsidP="00EB7986">
            <w:pPr>
              <w:spacing w:after="0" w:line="240" w:lineRule="auto"/>
              <w:jc w:val="right"/>
              <w:rPr>
                <w:rFonts w:ascii="Calibri" w:eastAsia="Times New Roman" w:hAnsi="Calibri" w:cs="Calibri"/>
                <w:b/>
                <w:bCs/>
                <w:color w:val="000000"/>
                <w:sz w:val="22"/>
                <w:szCs w:val="22"/>
                <w:lang w:val="en-IE" w:eastAsia="en-IE"/>
              </w:rPr>
            </w:pPr>
          </w:p>
        </w:tc>
        <w:tc>
          <w:tcPr>
            <w:tcW w:w="993" w:type="dxa"/>
            <w:tcBorders>
              <w:top w:val="nil"/>
              <w:left w:val="nil"/>
              <w:bottom w:val="nil"/>
              <w:right w:val="single" w:sz="8" w:space="0" w:color="auto"/>
            </w:tcBorders>
            <w:shd w:val="clear" w:color="auto" w:fill="FFFFFF"/>
            <w:vAlign w:val="center"/>
            <w:hideMark/>
          </w:tcPr>
          <w:p w14:paraId="77E53318" w14:textId="77777777"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p>
        </w:tc>
        <w:tc>
          <w:tcPr>
            <w:tcW w:w="1134" w:type="dxa"/>
            <w:tcBorders>
              <w:top w:val="nil"/>
              <w:left w:val="single" w:sz="8" w:space="0" w:color="auto"/>
              <w:bottom w:val="single" w:sz="8" w:space="0" w:color="auto"/>
              <w:right w:val="single" w:sz="8" w:space="0" w:color="auto"/>
            </w:tcBorders>
            <w:shd w:val="clear" w:color="auto" w:fill="FFFF00"/>
            <w:vAlign w:val="center"/>
          </w:tcPr>
          <w:p w14:paraId="2EE61761" w14:textId="791E01D5" w:rsidR="004413EC" w:rsidRPr="000E5963" w:rsidRDefault="00ED6F94" w:rsidP="00EB7986">
            <w:pPr>
              <w:spacing w:after="0" w:line="240" w:lineRule="auto"/>
              <w:jc w:val="right"/>
              <w:rPr>
                <w:rFonts w:ascii="Calibri" w:eastAsia="Calibri" w:hAnsi="Calibri" w:cs="Calibri"/>
                <w:b/>
                <w:bCs/>
                <w:sz w:val="22"/>
                <w:szCs w:val="22"/>
                <w:lang w:val="en-IE" w:eastAsia="en-IE"/>
              </w:rPr>
            </w:pPr>
            <w:r>
              <w:rPr>
                <w:rFonts w:ascii="Calibri" w:eastAsia="Calibri" w:hAnsi="Calibri" w:cs="Calibri"/>
                <w:b/>
                <w:bCs/>
                <w:sz w:val="22"/>
                <w:szCs w:val="22"/>
                <w:lang w:val="en-IE" w:eastAsia="en-IE"/>
              </w:rPr>
              <w:t>1,068.6</w:t>
            </w:r>
          </w:p>
        </w:tc>
        <w:tc>
          <w:tcPr>
            <w:tcW w:w="1134" w:type="dxa"/>
            <w:tcBorders>
              <w:top w:val="nil"/>
              <w:bottom w:val="single" w:sz="8" w:space="0" w:color="auto"/>
              <w:right w:val="single" w:sz="8" w:space="0" w:color="auto"/>
            </w:tcBorders>
            <w:vAlign w:val="center"/>
          </w:tcPr>
          <w:p w14:paraId="4C1BC139" w14:textId="099C2384" w:rsidR="004413EC" w:rsidRPr="000E5963" w:rsidRDefault="004413EC" w:rsidP="00EB7986">
            <w:pPr>
              <w:spacing w:after="0" w:line="240" w:lineRule="auto"/>
              <w:jc w:val="right"/>
              <w:rPr>
                <w:rFonts w:ascii="Calibri" w:eastAsia="Times New Roman" w:hAnsi="Calibri" w:cs="Calibri"/>
                <w:color w:val="000000"/>
                <w:sz w:val="22"/>
                <w:szCs w:val="22"/>
                <w:lang w:val="en-IE" w:eastAsia="en-IE"/>
              </w:rPr>
            </w:pPr>
            <w:r w:rsidRPr="000E5963">
              <w:rPr>
                <w:rFonts w:ascii="Calibri" w:eastAsia="Calibri" w:hAnsi="Calibri" w:cs="Calibri"/>
                <w:sz w:val="21"/>
                <w:szCs w:val="21"/>
                <w:lang w:val="en-IE" w:eastAsia="en-IE"/>
              </w:rPr>
              <w:t>1,1</w:t>
            </w:r>
            <w:r w:rsidR="00AB2182">
              <w:rPr>
                <w:rFonts w:ascii="Calibri" w:eastAsia="Calibri" w:hAnsi="Calibri" w:cs="Calibri"/>
                <w:sz w:val="21"/>
                <w:szCs w:val="21"/>
                <w:lang w:val="en-IE" w:eastAsia="en-IE"/>
              </w:rPr>
              <w:t>14.2</w:t>
            </w:r>
          </w:p>
        </w:tc>
      </w:tr>
    </w:tbl>
    <w:p w14:paraId="5F6AEDFC" w14:textId="77777777" w:rsidR="004413EC" w:rsidRPr="000E5963" w:rsidRDefault="004413EC" w:rsidP="004413EC">
      <w:pPr>
        <w:autoSpaceDE w:val="0"/>
        <w:autoSpaceDN w:val="0"/>
        <w:adjustRightInd w:val="0"/>
        <w:spacing w:before="120" w:after="0" w:line="240" w:lineRule="auto"/>
        <w:rPr>
          <w:rFonts w:ascii="Calibri" w:eastAsia="Times New Roman" w:hAnsi="Calibri" w:cs="Calibri"/>
          <w:b/>
          <w:bCs/>
          <w:i/>
          <w:color w:val="000000"/>
          <w:sz w:val="18"/>
          <w:szCs w:val="18"/>
          <w:lang w:val="en-IE" w:eastAsia="en-US"/>
        </w:rPr>
      </w:pPr>
    </w:p>
    <w:p w14:paraId="2438BA82" w14:textId="77777777" w:rsidR="004413EC" w:rsidRPr="000E5963" w:rsidRDefault="004413EC" w:rsidP="004413EC">
      <w:pPr>
        <w:autoSpaceDE w:val="0"/>
        <w:autoSpaceDN w:val="0"/>
        <w:adjustRightInd w:val="0"/>
        <w:spacing w:after="0" w:line="240" w:lineRule="auto"/>
        <w:ind w:left="142"/>
        <w:rPr>
          <w:rFonts w:ascii="Calibri" w:eastAsia="Times New Roman" w:hAnsi="Calibri" w:cs="Calibri"/>
          <w:i/>
          <w:color w:val="000000"/>
          <w:sz w:val="18"/>
          <w:szCs w:val="18"/>
          <w:lang w:val="en-IE" w:eastAsia="en-US"/>
        </w:rPr>
      </w:pPr>
      <w:r w:rsidRPr="000E5963">
        <w:rPr>
          <w:rFonts w:ascii="Calibri" w:eastAsia="Times New Roman" w:hAnsi="Calibri" w:cs="Calibri"/>
          <w:i/>
          <w:color w:val="000000"/>
          <w:sz w:val="18"/>
          <w:szCs w:val="18"/>
          <w:lang w:val="en-IE" w:eastAsia="en-US"/>
        </w:rPr>
        <w:t>*’+’ is favourable and ‘-‘ is adverse period-on-period.</w:t>
      </w:r>
    </w:p>
    <w:p w14:paraId="44B05C5E" w14:textId="6CC4F853" w:rsidR="0036086B" w:rsidRPr="00E45072" w:rsidRDefault="00611311" w:rsidP="00E45072">
      <w:pPr>
        <w:autoSpaceDE w:val="0"/>
        <w:autoSpaceDN w:val="0"/>
        <w:adjustRightInd w:val="0"/>
        <w:spacing w:after="0" w:line="240" w:lineRule="auto"/>
        <w:rPr>
          <w:rFonts w:ascii="Calibri" w:eastAsia="Times New Roman" w:hAnsi="Calibri" w:cs="Calibri"/>
          <w:b/>
          <w:bCs/>
          <w:color w:val="000000"/>
          <w:lang w:val="en-IE" w:eastAsia="en-US"/>
        </w:rPr>
      </w:pPr>
      <w:r>
        <w:rPr>
          <w:rFonts w:ascii="Calibri" w:eastAsia="Times New Roman" w:hAnsi="Calibri" w:cs="Calibri"/>
          <w:b/>
          <w:bCs/>
          <w:lang w:val="en-IE" w:eastAsia="en-US"/>
        </w:rPr>
        <w:br w:type="page"/>
      </w:r>
      <w:r w:rsidR="0036086B" w:rsidRPr="00E45072">
        <w:rPr>
          <w:rFonts w:ascii="Calibri" w:eastAsia="Times New Roman" w:hAnsi="Calibri" w:cs="Calibri"/>
          <w:b/>
          <w:bCs/>
          <w:color w:val="000000"/>
          <w:lang w:val="en-IE" w:eastAsia="en-US"/>
        </w:rPr>
        <w:lastRenderedPageBreak/>
        <w:t>Ryanair Holdings plc and Subsidiaries</w:t>
      </w:r>
    </w:p>
    <w:p w14:paraId="3CD46368" w14:textId="77777777" w:rsidR="0036086B" w:rsidRPr="00E45072" w:rsidRDefault="0036086B" w:rsidP="00E45072">
      <w:pPr>
        <w:widowControl w:val="0"/>
        <w:spacing w:after="0" w:line="240" w:lineRule="auto"/>
        <w:rPr>
          <w:rFonts w:ascii="Calibri" w:eastAsia="Times New Roman" w:hAnsi="Calibri" w:cs="Calibri"/>
          <w:b/>
          <w:bCs/>
          <w:i/>
          <w:iCs/>
          <w:color w:val="000000"/>
          <w:lang w:val="en-IE" w:eastAsia="en-US"/>
        </w:rPr>
      </w:pPr>
      <w:r w:rsidRPr="00E45072">
        <w:rPr>
          <w:rFonts w:ascii="Calibri" w:eastAsia="Times New Roman" w:hAnsi="Calibri" w:cs="Calibri"/>
          <w:b/>
          <w:bCs/>
          <w:i/>
          <w:iCs/>
          <w:color w:val="000000"/>
          <w:lang w:val="en-IE" w:eastAsia="en-US"/>
        </w:rPr>
        <w:t>Condensed Consolidated Interim Statement of Comprehensive Income for the Half-Year Ended September 30, 2025 (unaudited)</w:t>
      </w:r>
    </w:p>
    <w:p w14:paraId="230B0FD9" w14:textId="77777777" w:rsidR="0036086B" w:rsidRPr="0036086B" w:rsidRDefault="0036086B" w:rsidP="0036086B">
      <w:pPr>
        <w:widowControl w:val="0"/>
        <w:spacing w:after="0" w:line="240" w:lineRule="auto"/>
        <w:ind w:left="142"/>
        <w:rPr>
          <w:rFonts w:ascii="Calibri" w:eastAsia="Times New Roman" w:hAnsi="Calibri" w:cs="Calibri"/>
          <w:b/>
          <w:bCs/>
          <w:color w:val="000000"/>
          <w:sz w:val="22"/>
          <w:szCs w:val="22"/>
          <w:lang w:val="en-IE" w:eastAsia="en-US"/>
        </w:rPr>
      </w:pPr>
    </w:p>
    <w:tbl>
      <w:tblPr>
        <w:tblW w:w="10664" w:type="dxa"/>
        <w:tblInd w:w="108" w:type="dxa"/>
        <w:tblLook w:val="04A0" w:firstRow="1" w:lastRow="0" w:firstColumn="1" w:lastColumn="0" w:noHBand="0" w:noVBand="1"/>
      </w:tblPr>
      <w:tblGrid>
        <w:gridCol w:w="8397"/>
        <w:gridCol w:w="1134"/>
        <w:gridCol w:w="1133"/>
      </w:tblGrid>
      <w:tr w:rsidR="0036086B" w:rsidRPr="0036086B" w14:paraId="4A729338" w14:textId="77777777" w:rsidTr="00EB7986">
        <w:trPr>
          <w:trHeight w:val="297"/>
        </w:trPr>
        <w:tc>
          <w:tcPr>
            <w:tcW w:w="8397" w:type="dxa"/>
            <w:shd w:val="clear" w:color="auto" w:fill="FFFFFF"/>
            <w:vAlign w:val="center"/>
            <w:hideMark/>
          </w:tcPr>
          <w:p w14:paraId="60659E61"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4" w:type="dxa"/>
            <w:shd w:val="clear" w:color="auto" w:fill="FFFF00"/>
            <w:vAlign w:val="center"/>
            <w:hideMark/>
          </w:tcPr>
          <w:p w14:paraId="3579E8D9"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Half-Year</w:t>
            </w:r>
          </w:p>
        </w:tc>
        <w:tc>
          <w:tcPr>
            <w:tcW w:w="1133" w:type="dxa"/>
            <w:shd w:val="clear" w:color="auto" w:fill="FFFFFF"/>
            <w:vAlign w:val="center"/>
            <w:hideMark/>
          </w:tcPr>
          <w:p w14:paraId="20E69F1B" w14:textId="77777777"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Half-Year</w:t>
            </w:r>
          </w:p>
        </w:tc>
      </w:tr>
      <w:tr w:rsidR="0036086B" w:rsidRPr="0036086B" w14:paraId="19DA2CB1" w14:textId="77777777" w:rsidTr="00EB7986">
        <w:trPr>
          <w:trHeight w:val="297"/>
        </w:trPr>
        <w:tc>
          <w:tcPr>
            <w:tcW w:w="8397" w:type="dxa"/>
            <w:shd w:val="clear" w:color="auto" w:fill="FFFFFF"/>
            <w:vAlign w:val="center"/>
            <w:hideMark/>
          </w:tcPr>
          <w:p w14:paraId="28869EF7"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4F8D387B"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Ended</w:t>
            </w:r>
          </w:p>
        </w:tc>
        <w:tc>
          <w:tcPr>
            <w:tcW w:w="1133" w:type="dxa"/>
            <w:shd w:val="clear" w:color="auto" w:fill="FFFFFF"/>
            <w:vAlign w:val="center"/>
            <w:hideMark/>
          </w:tcPr>
          <w:p w14:paraId="77BC9CD9" w14:textId="77777777"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Ended</w:t>
            </w:r>
          </w:p>
        </w:tc>
      </w:tr>
      <w:tr w:rsidR="0036086B" w:rsidRPr="0036086B" w14:paraId="05AC7AED" w14:textId="77777777" w:rsidTr="00EB7986">
        <w:trPr>
          <w:trHeight w:val="278"/>
        </w:trPr>
        <w:tc>
          <w:tcPr>
            <w:tcW w:w="8397" w:type="dxa"/>
            <w:vMerge w:val="restart"/>
            <w:shd w:val="clear" w:color="auto" w:fill="FFFFFF"/>
            <w:vAlign w:val="center"/>
            <w:hideMark/>
          </w:tcPr>
          <w:p w14:paraId="61F13F84"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7F1E9426"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xml:space="preserve">Sep 30, </w:t>
            </w:r>
          </w:p>
        </w:tc>
        <w:tc>
          <w:tcPr>
            <w:tcW w:w="1133" w:type="dxa"/>
            <w:shd w:val="clear" w:color="auto" w:fill="FFFFFF"/>
            <w:vAlign w:val="center"/>
            <w:hideMark/>
          </w:tcPr>
          <w:p w14:paraId="532676E8" w14:textId="77777777"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 xml:space="preserve">Sep 30, </w:t>
            </w:r>
          </w:p>
        </w:tc>
      </w:tr>
      <w:tr w:rsidR="0036086B" w:rsidRPr="0036086B" w14:paraId="3968A71A" w14:textId="77777777" w:rsidTr="00EB7986">
        <w:trPr>
          <w:trHeight w:val="278"/>
        </w:trPr>
        <w:tc>
          <w:tcPr>
            <w:tcW w:w="8397" w:type="dxa"/>
            <w:vMerge/>
            <w:vAlign w:val="center"/>
            <w:hideMark/>
          </w:tcPr>
          <w:p w14:paraId="44F48501"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4" w:type="dxa"/>
            <w:shd w:val="clear" w:color="auto" w:fill="FFFF00"/>
            <w:vAlign w:val="center"/>
            <w:hideMark/>
          </w:tcPr>
          <w:p w14:paraId="739F45F6" w14:textId="6C960BFB"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202</w:t>
            </w:r>
            <w:r w:rsidR="0088548E">
              <w:rPr>
                <w:rFonts w:ascii="Calibri" w:eastAsia="Times New Roman" w:hAnsi="Calibri" w:cs="Calibri"/>
                <w:b/>
                <w:bCs/>
                <w:color w:val="000000"/>
                <w:sz w:val="22"/>
                <w:szCs w:val="22"/>
                <w:lang w:val="en-IE" w:eastAsia="en-IE"/>
              </w:rPr>
              <w:t>5</w:t>
            </w:r>
          </w:p>
        </w:tc>
        <w:tc>
          <w:tcPr>
            <w:tcW w:w="1133" w:type="dxa"/>
            <w:shd w:val="clear" w:color="auto" w:fill="FFFFFF"/>
            <w:vAlign w:val="center"/>
            <w:hideMark/>
          </w:tcPr>
          <w:p w14:paraId="404BDCF6" w14:textId="3B786232"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202</w:t>
            </w:r>
            <w:r w:rsidR="0088548E">
              <w:rPr>
                <w:rFonts w:ascii="Calibri" w:eastAsia="Times New Roman" w:hAnsi="Calibri" w:cs="Calibri"/>
                <w:color w:val="000000"/>
                <w:sz w:val="22"/>
                <w:szCs w:val="22"/>
                <w:lang w:val="en-IE" w:eastAsia="en-IE"/>
              </w:rPr>
              <w:t>4</w:t>
            </w:r>
          </w:p>
        </w:tc>
      </w:tr>
      <w:tr w:rsidR="0036086B" w:rsidRPr="0036086B" w14:paraId="6A3A7F06" w14:textId="77777777" w:rsidTr="00EB7986">
        <w:trPr>
          <w:trHeight w:val="297"/>
        </w:trPr>
        <w:tc>
          <w:tcPr>
            <w:tcW w:w="8397" w:type="dxa"/>
            <w:shd w:val="clear" w:color="auto" w:fill="FFFFFF"/>
            <w:vAlign w:val="center"/>
            <w:hideMark/>
          </w:tcPr>
          <w:p w14:paraId="7EDF7333"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5D5354CD" w14:textId="77777777" w:rsidR="0036086B" w:rsidRPr="0036086B" w:rsidRDefault="0036086B" w:rsidP="0036086B">
            <w:pPr>
              <w:spacing w:after="0" w:line="240" w:lineRule="auto"/>
              <w:jc w:val="right"/>
              <w:rPr>
                <w:rFonts w:ascii="Calibri" w:eastAsia="Times New Roman" w:hAnsi="Calibri" w:cs="Calibri"/>
                <w:b/>
                <w:bCs/>
                <w:color w:val="000000"/>
                <w:sz w:val="22"/>
                <w:szCs w:val="22"/>
                <w:u w:val="single"/>
                <w:lang w:val="en-IE" w:eastAsia="en-IE"/>
              </w:rPr>
            </w:pPr>
            <w:r w:rsidRPr="0036086B">
              <w:rPr>
                <w:rFonts w:ascii="Calibri" w:eastAsia="Times New Roman" w:hAnsi="Calibri" w:cs="Calibri"/>
                <w:b/>
                <w:bCs/>
                <w:color w:val="000000"/>
                <w:sz w:val="22"/>
                <w:szCs w:val="22"/>
                <w:u w:val="single"/>
                <w:lang w:val="en-IE" w:eastAsia="en-IE"/>
              </w:rPr>
              <w:t>€M</w:t>
            </w:r>
          </w:p>
        </w:tc>
        <w:tc>
          <w:tcPr>
            <w:tcW w:w="1133" w:type="dxa"/>
            <w:shd w:val="clear" w:color="auto" w:fill="FFFFFF"/>
            <w:vAlign w:val="center"/>
            <w:hideMark/>
          </w:tcPr>
          <w:p w14:paraId="60E91E41" w14:textId="77777777" w:rsidR="0036086B" w:rsidRPr="0036086B" w:rsidRDefault="0036086B" w:rsidP="0036086B">
            <w:pPr>
              <w:spacing w:after="0" w:line="240" w:lineRule="auto"/>
              <w:jc w:val="right"/>
              <w:rPr>
                <w:rFonts w:ascii="Calibri" w:eastAsia="Times New Roman" w:hAnsi="Calibri" w:cs="Calibri"/>
                <w:color w:val="000000"/>
                <w:sz w:val="22"/>
                <w:szCs w:val="22"/>
                <w:u w:val="single"/>
                <w:lang w:val="en-IE" w:eastAsia="en-IE"/>
              </w:rPr>
            </w:pPr>
            <w:r w:rsidRPr="0036086B">
              <w:rPr>
                <w:rFonts w:ascii="Calibri" w:eastAsia="Times New Roman" w:hAnsi="Calibri" w:cs="Calibri"/>
                <w:color w:val="000000"/>
                <w:sz w:val="22"/>
                <w:szCs w:val="22"/>
                <w:u w:val="single"/>
                <w:lang w:val="en-IE" w:eastAsia="en-IE"/>
              </w:rPr>
              <w:t>€M</w:t>
            </w:r>
          </w:p>
        </w:tc>
      </w:tr>
      <w:tr w:rsidR="0036086B" w:rsidRPr="0036086B" w14:paraId="36401127" w14:textId="77777777" w:rsidTr="00EB7986">
        <w:trPr>
          <w:trHeight w:val="297"/>
        </w:trPr>
        <w:tc>
          <w:tcPr>
            <w:tcW w:w="8397" w:type="dxa"/>
            <w:shd w:val="clear" w:color="auto" w:fill="FFFFFF"/>
            <w:vAlign w:val="center"/>
            <w:hideMark/>
          </w:tcPr>
          <w:p w14:paraId="6127FA18"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bottom"/>
            <w:hideMark/>
          </w:tcPr>
          <w:p w14:paraId="55B260A8"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3" w:type="dxa"/>
            <w:shd w:val="clear" w:color="auto" w:fill="FFFFFF"/>
            <w:vAlign w:val="center"/>
            <w:hideMark/>
          </w:tcPr>
          <w:p w14:paraId="3732E320"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3FA06422" w14:textId="77777777" w:rsidTr="00EB7986">
        <w:trPr>
          <w:trHeight w:val="308"/>
        </w:trPr>
        <w:tc>
          <w:tcPr>
            <w:tcW w:w="8397" w:type="dxa"/>
            <w:shd w:val="clear" w:color="auto" w:fill="FFFFFF"/>
            <w:vAlign w:val="center"/>
            <w:hideMark/>
          </w:tcPr>
          <w:p w14:paraId="52DEC66E"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Profit for the half-year</w:t>
            </w:r>
          </w:p>
        </w:tc>
        <w:tc>
          <w:tcPr>
            <w:tcW w:w="1134" w:type="dxa"/>
            <w:tcBorders>
              <w:top w:val="nil"/>
              <w:left w:val="nil"/>
              <w:bottom w:val="single" w:sz="8" w:space="0" w:color="auto"/>
              <w:right w:val="nil"/>
            </w:tcBorders>
            <w:shd w:val="clear" w:color="auto" w:fill="FFFF00"/>
            <w:vAlign w:val="center"/>
          </w:tcPr>
          <w:p w14:paraId="476F4BD1" w14:textId="3E31E047" w:rsidR="0036086B" w:rsidRPr="0036086B" w:rsidRDefault="00603BE6" w:rsidP="0036086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2,538.8</w:t>
            </w:r>
          </w:p>
        </w:tc>
        <w:tc>
          <w:tcPr>
            <w:tcW w:w="1133" w:type="dxa"/>
            <w:tcBorders>
              <w:top w:val="nil"/>
              <w:left w:val="nil"/>
              <w:bottom w:val="single" w:sz="8" w:space="0" w:color="auto"/>
              <w:right w:val="nil"/>
            </w:tcBorders>
            <w:shd w:val="clear" w:color="auto" w:fill="FFFFFF"/>
            <w:vAlign w:val="center"/>
          </w:tcPr>
          <w:p w14:paraId="13BC734F" w14:textId="3DDE393D"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1,791.2</w:t>
            </w:r>
          </w:p>
        </w:tc>
      </w:tr>
      <w:tr w:rsidR="0036086B" w:rsidRPr="0036086B" w14:paraId="13F487CC" w14:textId="77777777" w:rsidTr="00EB7986">
        <w:trPr>
          <w:trHeight w:val="297"/>
        </w:trPr>
        <w:tc>
          <w:tcPr>
            <w:tcW w:w="8397" w:type="dxa"/>
            <w:shd w:val="clear" w:color="auto" w:fill="FFFFFF"/>
            <w:vAlign w:val="center"/>
            <w:hideMark/>
          </w:tcPr>
          <w:p w14:paraId="072E3C4E" w14:textId="77777777" w:rsidR="0036086B" w:rsidRPr="0036086B" w:rsidRDefault="0036086B" w:rsidP="0036086B">
            <w:pPr>
              <w:spacing w:after="0" w:line="240" w:lineRule="auto"/>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 </w:t>
            </w:r>
          </w:p>
        </w:tc>
        <w:tc>
          <w:tcPr>
            <w:tcW w:w="1134" w:type="dxa"/>
            <w:tcBorders>
              <w:top w:val="single" w:sz="8" w:space="0" w:color="auto"/>
              <w:left w:val="nil"/>
              <w:bottom w:val="nil"/>
              <w:right w:val="nil"/>
            </w:tcBorders>
            <w:shd w:val="clear" w:color="auto" w:fill="FFFF00"/>
            <w:vAlign w:val="bottom"/>
          </w:tcPr>
          <w:p w14:paraId="13CC288C" w14:textId="77777777" w:rsidR="0036086B" w:rsidRPr="0036086B" w:rsidRDefault="0036086B" w:rsidP="0036086B">
            <w:pPr>
              <w:spacing w:after="0" w:line="240" w:lineRule="auto"/>
              <w:jc w:val="right"/>
              <w:rPr>
                <w:rFonts w:ascii="Calibri" w:eastAsia="Times New Roman" w:hAnsi="Calibri" w:cs="Calibri"/>
                <w:b/>
                <w:color w:val="000000"/>
                <w:sz w:val="22"/>
                <w:szCs w:val="22"/>
                <w:lang w:val="en-IE" w:eastAsia="en-IE"/>
              </w:rPr>
            </w:pPr>
          </w:p>
        </w:tc>
        <w:tc>
          <w:tcPr>
            <w:tcW w:w="1133" w:type="dxa"/>
            <w:tcBorders>
              <w:top w:val="single" w:sz="8" w:space="0" w:color="auto"/>
              <w:left w:val="nil"/>
              <w:bottom w:val="nil"/>
              <w:right w:val="nil"/>
            </w:tcBorders>
            <w:shd w:val="clear" w:color="auto" w:fill="FFFFFF"/>
            <w:vAlign w:val="bottom"/>
          </w:tcPr>
          <w:p w14:paraId="1A3C3CC8"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75CFE493" w14:textId="77777777" w:rsidTr="00EB7986">
        <w:trPr>
          <w:trHeight w:val="297"/>
        </w:trPr>
        <w:tc>
          <w:tcPr>
            <w:tcW w:w="8397" w:type="dxa"/>
            <w:shd w:val="clear" w:color="auto" w:fill="FFFFFF"/>
            <w:vAlign w:val="center"/>
            <w:hideMark/>
          </w:tcPr>
          <w:p w14:paraId="270A46FF" w14:textId="6B07CA1E" w:rsidR="0036086B" w:rsidRPr="00603BE6" w:rsidRDefault="0036086B" w:rsidP="0036086B">
            <w:pPr>
              <w:spacing w:after="0" w:line="240" w:lineRule="auto"/>
              <w:rPr>
                <w:rFonts w:ascii="Calibri" w:eastAsia="Times New Roman" w:hAnsi="Calibri" w:cs="Calibri"/>
                <w:b/>
                <w:bCs/>
                <w:color w:val="000000"/>
                <w:sz w:val="22"/>
                <w:szCs w:val="22"/>
                <w:lang w:val="en-IE" w:eastAsia="en-IE"/>
              </w:rPr>
            </w:pPr>
            <w:r w:rsidRPr="00603BE6">
              <w:rPr>
                <w:rFonts w:ascii="Calibri" w:eastAsia="Times New Roman" w:hAnsi="Calibri" w:cs="Calibri"/>
                <w:b/>
                <w:bCs/>
                <w:color w:val="000000"/>
                <w:sz w:val="22"/>
                <w:szCs w:val="22"/>
                <w:lang w:val="en-IE" w:eastAsia="en-IE"/>
              </w:rPr>
              <w:t xml:space="preserve">Other comprehensive </w:t>
            </w:r>
            <w:r w:rsidRPr="00603BE6">
              <w:rPr>
                <w:rFonts w:ascii="Calibri" w:eastAsia="Times New Roman" w:hAnsi="Calibri" w:cs="Calibri"/>
                <w:b/>
                <w:color w:val="000000"/>
                <w:sz w:val="22"/>
                <w:szCs w:val="22"/>
                <w:lang w:val="en-IE" w:eastAsia="en-IE"/>
              </w:rPr>
              <w:t>(loss):</w:t>
            </w:r>
          </w:p>
        </w:tc>
        <w:tc>
          <w:tcPr>
            <w:tcW w:w="1134" w:type="dxa"/>
            <w:shd w:val="clear" w:color="auto" w:fill="FFFF00"/>
            <w:vAlign w:val="bottom"/>
          </w:tcPr>
          <w:p w14:paraId="50526CB8"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bottom"/>
          </w:tcPr>
          <w:p w14:paraId="05219EA5"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74170771" w14:textId="77777777" w:rsidTr="00EB7986">
        <w:trPr>
          <w:trHeight w:val="297"/>
        </w:trPr>
        <w:tc>
          <w:tcPr>
            <w:tcW w:w="8397" w:type="dxa"/>
            <w:shd w:val="clear" w:color="auto" w:fill="FFFFFF"/>
            <w:vAlign w:val="center"/>
            <w:hideMark/>
          </w:tcPr>
          <w:p w14:paraId="4380C3ED" w14:textId="77777777" w:rsidR="0036086B" w:rsidRPr="00603BE6" w:rsidRDefault="0036086B" w:rsidP="0036086B">
            <w:pPr>
              <w:spacing w:after="0" w:line="240" w:lineRule="auto"/>
              <w:rPr>
                <w:rFonts w:ascii="Calibri" w:eastAsia="Times New Roman" w:hAnsi="Calibri" w:cs="Calibri"/>
                <w:b/>
                <w:bCs/>
                <w:i/>
                <w:iCs/>
                <w:color w:val="000000"/>
                <w:sz w:val="22"/>
                <w:szCs w:val="22"/>
                <w:lang w:val="en-IE" w:eastAsia="en-IE"/>
              </w:rPr>
            </w:pPr>
            <w:r w:rsidRPr="00603BE6">
              <w:rPr>
                <w:rFonts w:ascii="Calibri" w:eastAsia="Times New Roman" w:hAnsi="Calibri" w:cs="Calibri"/>
                <w:b/>
                <w:bCs/>
                <w:i/>
                <w:iCs/>
                <w:color w:val="000000"/>
                <w:sz w:val="22"/>
                <w:szCs w:val="22"/>
                <w:lang w:val="en-IE" w:eastAsia="en-IE"/>
              </w:rPr>
              <w:t>Items that are or may be reclassified subsequently to profit or loss:</w:t>
            </w:r>
          </w:p>
        </w:tc>
        <w:tc>
          <w:tcPr>
            <w:tcW w:w="1134" w:type="dxa"/>
            <w:shd w:val="clear" w:color="auto" w:fill="FFFF00"/>
            <w:vAlign w:val="bottom"/>
          </w:tcPr>
          <w:p w14:paraId="3DE943EC" w14:textId="77777777" w:rsidR="0036086B" w:rsidRPr="0036086B" w:rsidRDefault="0036086B" w:rsidP="0036086B">
            <w:pPr>
              <w:spacing w:after="0" w:line="240" w:lineRule="auto"/>
              <w:jc w:val="right"/>
              <w:rPr>
                <w:rFonts w:ascii="Calibri" w:eastAsia="Times New Roman" w:hAnsi="Calibri" w:cs="Calibri"/>
                <w:b/>
                <w:bCs/>
                <w:i/>
                <w:iCs/>
                <w:color w:val="000000"/>
                <w:sz w:val="22"/>
                <w:szCs w:val="22"/>
                <w:lang w:val="en-IE" w:eastAsia="en-IE"/>
              </w:rPr>
            </w:pPr>
          </w:p>
        </w:tc>
        <w:tc>
          <w:tcPr>
            <w:tcW w:w="1133" w:type="dxa"/>
            <w:shd w:val="clear" w:color="auto" w:fill="FFFFFF"/>
            <w:vAlign w:val="bottom"/>
          </w:tcPr>
          <w:p w14:paraId="38DF92FF"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1B825294" w14:textId="77777777" w:rsidTr="00EB7986">
        <w:trPr>
          <w:trHeight w:val="297"/>
        </w:trPr>
        <w:tc>
          <w:tcPr>
            <w:tcW w:w="8397" w:type="dxa"/>
            <w:shd w:val="clear" w:color="auto" w:fill="FFFFFF"/>
            <w:vAlign w:val="center"/>
            <w:hideMark/>
          </w:tcPr>
          <w:p w14:paraId="32856CD8" w14:textId="77777777" w:rsidR="0036086B" w:rsidRPr="00603BE6" w:rsidRDefault="0036086B" w:rsidP="0036086B">
            <w:pPr>
              <w:spacing w:after="0" w:line="240" w:lineRule="auto"/>
              <w:rPr>
                <w:rFonts w:ascii="Calibri" w:eastAsia="Times New Roman" w:hAnsi="Calibri" w:cs="Calibri"/>
                <w:b/>
                <w:bCs/>
                <w:color w:val="000000"/>
                <w:sz w:val="22"/>
                <w:szCs w:val="22"/>
                <w:lang w:val="en-IE" w:eastAsia="en-IE"/>
              </w:rPr>
            </w:pPr>
            <w:r w:rsidRPr="00603BE6">
              <w:rPr>
                <w:rFonts w:ascii="Calibri" w:eastAsia="Times New Roman" w:hAnsi="Calibri" w:cs="Calibri"/>
                <w:b/>
                <w:bCs/>
                <w:color w:val="000000"/>
                <w:sz w:val="22"/>
                <w:szCs w:val="22"/>
                <w:lang w:val="en-IE" w:eastAsia="en-IE"/>
              </w:rPr>
              <w:t>Movements in hedging reserve, net of tax:</w:t>
            </w:r>
          </w:p>
        </w:tc>
        <w:tc>
          <w:tcPr>
            <w:tcW w:w="1134" w:type="dxa"/>
            <w:shd w:val="clear" w:color="auto" w:fill="FFFF00"/>
            <w:vAlign w:val="bottom"/>
          </w:tcPr>
          <w:p w14:paraId="43AD586F"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bottom"/>
          </w:tcPr>
          <w:p w14:paraId="6C267C7A"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4073AAB5" w14:textId="77777777" w:rsidTr="00EB7986">
        <w:trPr>
          <w:trHeight w:val="308"/>
        </w:trPr>
        <w:tc>
          <w:tcPr>
            <w:tcW w:w="8397" w:type="dxa"/>
            <w:shd w:val="clear" w:color="auto" w:fill="FFFFFF"/>
            <w:vAlign w:val="center"/>
            <w:hideMark/>
          </w:tcPr>
          <w:p w14:paraId="71A6ADC9" w14:textId="77777777" w:rsidR="0036086B" w:rsidRPr="00603BE6" w:rsidRDefault="0036086B" w:rsidP="0036086B">
            <w:pPr>
              <w:spacing w:after="0" w:line="240" w:lineRule="auto"/>
              <w:rPr>
                <w:rFonts w:ascii="Calibri" w:eastAsia="Times New Roman" w:hAnsi="Calibri" w:cs="Calibri"/>
                <w:color w:val="000000"/>
                <w:sz w:val="22"/>
                <w:szCs w:val="22"/>
                <w:lang w:val="en-IE" w:eastAsia="en-IE"/>
              </w:rPr>
            </w:pPr>
            <w:r w:rsidRPr="00603BE6">
              <w:rPr>
                <w:rFonts w:ascii="Calibri" w:eastAsia="Times New Roman" w:hAnsi="Calibri" w:cs="Calibri"/>
                <w:color w:val="000000"/>
                <w:sz w:val="22"/>
                <w:szCs w:val="22"/>
                <w:lang w:val="en-IE" w:eastAsia="en-IE"/>
              </w:rPr>
              <w:t>Net movement in cash-flow hedge reserve</w:t>
            </w:r>
          </w:p>
        </w:tc>
        <w:tc>
          <w:tcPr>
            <w:tcW w:w="1134" w:type="dxa"/>
            <w:tcBorders>
              <w:top w:val="nil"/>
              <w:left w:val="nil"/>
              <w:bottom w:val="single" w:sz="8" w:space="0" w:color="auto"/>
              <w:right w:val="nil"/>
            </w:tcBorders>
            <w:shd w:val="clear" w:color="auto" w:fill="FFFF00"/>
            <w:vAlign w:val="center"/>
          </w:tcPr>
          <w:p w14:paraId="2265F6CD" w14:textId="6493FBFF" w:rsidR="0036086B" w:rsidRPr="0036086B" w:rsidRDefault="00603BE6" w:rsidP="0036086B">
            <w:pPr>
              <w:spacing w:after="0" w:line="240" w:lineRule="auto"/>
              <w:jc w:val="right"/>
              <w:rPr>
                <w:rFonts w:ascii="Calibri" w:eastAsia="Times New Roman" w:hAnsi="Calibri" w:cs="Calibri"/>
                <w:b/>
                <w:color w:val="000000"/>
                <w:sz w:val="22"/>
                <w:szCs w:val="22"/>
                <w:lang w:val="en-IE" w:eastAsia="en-IE"/>
              </w:rPr>
            </w:pPr>
            <w:r>
              <w:rPr>
                <w:rFonts w:ascii="Calibri" w:eastAsia="Times New Roman" w:hAnsi="Calibri" w:cs="Calibri"/>
                <w:b/>
                <w:color w:val="000000"/>
                <w:sz w:val="22"/>
                <w:szCs w:val="22"/>
                <w:lang w:val="en-IE" w:eastAsia="en-IE"/>
              </w:rPr>
              <w:t>(181.9)</w:t>
            </w:r>
          </w:p>
        </w:tc>
        <w:tc>
          <w:tcPr>
            <w:tcW w:w="1133" w:type="dxa"/>
            <w:tcBorders>
              <w:top w:val="nil"/>
              <w:left w:val="nil"/>
              <w:bottom w:val="single" w:sz="8" w:space="0" w:color="auto"/>
              <w:right w:val="nil"/>
            </w:tcBorders>
            <w:shd w:val="clear" w:color="auto" w:fill="FFFFFF"/>
            <w:vAlign w:val="center"/>
          </w:tcPr>
          <w:p w14:paraId="3CB9D6D6" w14:textId="18C13D8D"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(605.4)</w:t>
            </w:r>
          </w:p>
        </w:tc>
      </w:tr>
      <w:tr w:rsidR="0036086B" w:rsidRPr="0036086B" w14:paraId="208952E1" w14:textId="77777777" w:rsidTr="00EB7986">
        <w:trPr>
          <w:trHeight w:val="308"/>
        </w:trPr>
        <w:tc>
          <w:tcPr>
            <w:tcW w:w="8397" w:type="dxa"/>
            <w:shd w:val="clear" w:color="auto" w:fill="FFFFFF"/>
            <w:vAlign w:val="center"/>
            <w:hideMark/>
          </w:tcPr>
          <w:p w14:paraId="3068A8DD" w14:textId="556A3D2F" w:rsidR="0036086B" w:rsidRPr="00603BE6" w:rsidRDefault="0036086B" w:rsidP="0036086B">
            <w:pPr>
              <w:spacing w:after="0" w:line="240" w:lineRule="auto"/>
              <w:rPr>
                <w:rFonts w:ascii="Calibri" w:eastAsia="Times New Roman" w:hAnsi="Calibri" w:cs="Calibri"/>
                <w:b/>
                <w:bCs/>
                <w:color w:val="000000"/>
                <w:sz w:val="22"/>
                <w:szCs w:val="22"/>
                <w:lang w:val="en-IE" w:eastAsia="en-IE"/>
              </w:rPr>
            </w:pPr>
            <w:r w:rsidRPr="00603BE6">
              <w:rPr>
                <w:rFonts w:ascii="Calibri" w:eastAsia="Times New Roman" w:hAnsi="Calibri" w:cs="Calibri"/>
                <w:b/>
                <w:bCs/>
                <w:color w:val="000000"/>
                <w:sz w:val="22"/>
                <w:szCs w:val="22"/>
                <w:lang w:val="en-IE" w:eastAsia="en-IE"/>
              </w:rPr>
              <w:t xml:space="preserve">Other comprehensive </w:t>
            </w:r>
            <w:r w:rsidRPr="00603BE6">
              <w:rPr>
                <w:rFonts w:ascii="Calibri" w:eastAsia="Times New Roman" w:hAnsi="Calibri" w:cs="Calibri"/>
                <w:b/>
                <w:color w:val="000000"/>
                <w:sz w:val="22"/>
                <w:szCs w:val="22"/>
                <w:lang w:val="en-IE" w:eastAsia="en-IE"/>
              </w:rPr>
              <w:t>(loss)</w:t>
            </w:r>
            <w:r w:rsidRPr="00603BE6">
              <w:rPr>
                <w:rFonts w:ascii="Calibri" w:eastAsia="Times New Roman" w:hAnsi="Calibri" w:cs="Calibri"/>
                <w:b/>
                <w:bCs/>
                <w:color w:val="000000"/>
                <w:sz w:val="22"/>
                <w:szCs w:val="22"/>
                <w:lang w:val="en-IE" w:eastAsia="en-IE"/>
              </w:rPr>
              <w:t xml:space="preserve"> for the half-year, net of income tax </w:t>
            </w:r>
          </w:p>
        </w:tc>
        <w:tc>
          <w:tcPr>
            <w:tcW w:w="1134" w:type="dxa"/>
            <w:tcBorders>
              <w:top w:val="single" w:sz="8" w:space="0" w:color="auto"/>
              <w:left w:val="nil"/>
              <w:bottom w:val="single" w:sz="8" w:space="0" w:color="auto"/>
              <w:right w:val="nil"/>
            </w:tcBorders>
            <w:shd w:val="clear" w:color="auto" w:fill="FFFF00"/>
            <w:vAlign w:val="center"/>
          </w:tcPr>
          <w:p w14:paraId="3A22E839" w14:textId="27F2232A" w:rsidR="0036086B" w:rsidRPr="0036086B" w:rsidRDefault="00603BE6" w:rsidP="0036086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(181.9)</w:t>
            </w:r>
          </w:p>
        </w:tc>
        <w:tc>
          <w:tcPr>
            <w:tcW w:w="1133" w:type="dxa"/>
            <w:tcBorders>
              <w:top w:val="single" w:sz="8" w:space="0" w:color="auto"/>
              <w:left w:val="nil"/>
              <w:bottom w:val="single" w:sz="8" w:space="0" w:color="auto"/>
              <w:right w:val="nil"/>
            </w:tcBorders>
            <w:shd w:val="clear" w:color="auto" w:fill="FFFFFF"/>
            <w:vAlign w:val="center"/>
          </w:tcPr>
          <w:p w14:paraId="6833A68D" w14:textId="2269DD39"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(605.4)</w:t>
            </w:r>
          </w:p>
        </w:tc>
      </w:tr>
      <w:tr w:rsidR="0036086B" w:rsidRPr="0036086B" w14:paraId="7B1C9A2C" w14:textId="77777777" w:rsidTr="00EB7986">
        <w:trPr>
          <w:trHeight w:val="278"/>
        </w:trPr>
        <w:tc>
          <w:tcPr>
            <w:tcW w:w="8397" w:type="dxa"/>
            <w:vMerge w:val="restart"/>
            <w:shd w:val="clear" w:color="auto" w:fill="FFFFFF"/>
            <w:vAlign w:val="bottom"/>
            <w:hideMark/>
          </w:tcPr>
          <w:p w14:paraId="4F3D4B8B"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Total comprehensive income for the half-year – attributable to equity holders of parent</w:t>
            </w:r>
          </w:p>
        </w:tc>
        <w:tc>
          <w:tcPr>
            <w:tcW w:w="1134" w:type="dxa"/>
            <w:tcBorders>
              <w:top w:val="single" w:sz="8" w:space="0" w:color="auto"/>
              <w:left w:val="nil"/>
              <w:bottom w:val="nil"/>
              <w:right w:val="nil"/>
            </w:tcBorders>
            <w:shd w:val="clear" w:color="auto" w:fill="FFFF00"/>
            <w:vAlign w:val="center"/>
          </w:tcPr>
          <w:p w14:paraId="7D87EA1C"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p>
        </w:tc>
        <w:tc>
          <w:tcPr>
            <w:tcW w:w="1133" w:type="dxa"/>
            <w:tcBorders>
              <w:top w:val="single" w:sz="8" w:space="0" w:color="auto"/>
              <w:left w:val="nil"/>
              <w:bottom w:val="nil"/>
              <w:right w:val="nil"/>
            </w:tcBorders>
            <w:shd w:val="clear" w:color="auto" w:fill="FFFFFF"/>
            <w:vAlign w:val="center"/>
          </w:tcPr>
          <w:p w14:paraId="622D3379"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6B4E7A26" w14:textId="77777777" w:rsidTr="00EB7986">
        <w:trPr>
          <w:trHeight w:val="287"/>
        </w:trPr>
        <w:tc>
          <w:tcPr>
            <w:tcW w:w="8397" w:type="dxa"/>
            <w:vMerge/>
            <w:vAlign w:val="center"/>
            <w:hideMark/>
          </w:tcPr>
          <w:p w14:paraId="1353756F"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4" w:type="dxa"/>
            <w:tcBorders>
              <w:top w:val="nil"/>
              <w:left w:val="nil"/>
              <w:bottom w:val="single" w:sz="8" w:space="0" w:color="auto"/>
              <w:right w:val="nil"/>
            </w:tcBorders>
            <w:shd w:val="clear" w:color="auto" w:fill="FFFF00"/>
            <w:vAlign w:val="center"/>
          </w:tcPr>
          <w:p w14:paraId="03CCE916" w14:textId="43CD233D" w:rsidR="0036086B" w:rsidRPr="0036086B" w:rsidRDefault="00603BE6" w:rsidP="0036086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2,356.9</w:t>
            </w:r>
          </w:p>
        </w:tc>
        <w:tc>
          <w:tcPr>
            <w:tcW w:w="1133" w:type="dxa"/>
            <w:tcBorders>
              <w:top w:val="nil"/>
              <w:left w:val="nil"/>
              <w:bottom w:val="single" w:sz="8" w:space="0" w:color="auto"/>
              <w:right w:val="nil"/>
            </w:tcBorders>
            <w:shd w:val="clear" w:color="auto" w:fill="FFFFFF"/>
            <w:vAlign w:val="center"/>
          </w:tcPr>
          <w:p w14:paraId="6716A896" w14:textId="5234EFFE"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1,185.8</w:t>
            </w:r>
          </w:p>
        </w:tc>
      </w:tr>
    </w:tbl>
    <w:p w14:paraId="3CB10714" w14:textId="77777777" w:rsidR="0036086B" w:rsidRPr="0036086B" w:rsidRDefault="0036086B" w:rsidP="0036086B">
      <w:pPr>
        <w:autoSpaceDE w:val="0"/>
        <w:autoSpaceDN w:val="0"/>
        <w:adjustRightInd w:val="0"/>
        <w:spacing w:after="0" w:line="240" w:lineRule="auto"/>
        <w:ind w:left="142"/>
        <w:rPr>
          <w:rFonts w:ascii="Calibri" w:eastAsia="Times New Roman" w:hAnsi="Calibri" w:cs="Calibri"/>
          <w:b/>
          <w:bCs/>
          <w:color w:val="000000"/>
          <w:lang w:val="en-IE" w:eastAsia="en-US"/>
        </w:rPr>
      </w:pPr>
    </w:p>
    <w:p w14:paraId="6E696D18" w14:textId="77777777" w:rsidR="0036086B" w:rsidRPr="0036086B" w:rsidRDefault="0036086B" w:rsidP="00DE1ED8">
      <w:pPr>
        <w:autoSpaceDE w:val="0"/>
        <w:autoSpaceDN w:val="0"/>
        <w:adjustRightInd w:val="0"/>
        <w:spacing w:after="0" w:line="240" w:lineRule="auto"/>
        <w:rPr>
          <w:rFonts w:ascii="Calibri" w:eastAsia="Times New Roman" w:hAnsi="Calibri" w:cs="Calibri"/>
          <w:b/>
          <w:bCs/>
          <w:color w:val="000000"/>
          <w:lang w:val="en-IE" w:eastAsia="en-US"/>
        </w:rPr>
      </w:pPr>
    </w:p>
    <w:p w14:paraId="5D8B21F6" w14:textId="77777777" w:rsidR="0036086B" w:rsidRPr="0036086B" w:rsidRDefault="0036086B" w:rsidP="0024057D">
      <w:pPr>
        <w:autoSpaceDE w:val="0"/>
        <w:autoSpaceDN w:val="0"/>
        <w:adjustRightInd w:val="0"/>
        <w:spacing w:after="0" w:line="240" w:lineRule="auto"/>
        <w:rPr>
          <w:rFonts w:ascii="Calibri" w:eastAsia="Times New Roman" w:hAnsi="Calibri" w:cs="Calibri"/>
          <w:b/>
          <w:bCs/>
          <w:color w:val="000000"/>
          <w:lang w:val="en-IE" w:eastAsia="en-US"/>
        </w:rPr>
      </w:pPr>
      <w:r w:rsidRPr="0036086B">
        <w:rPr>
          <w:rFonts w:ascii="Calibri" w:eastAsia="Times New Roman" w:hAnsi="Calibri" w:cs="Calibri"/>
          <w:b/>
          <w:bCs/>
          <w:color w:val="000000"/>
          <w:lang w:val="en-IE" w:eastAsia="en-US"/>
        </w:rPr>
        <w:t xml:space="preserve">Ryanair Holdings plc and Subsidiaries </w:t>
      </w:r>
    </w:p>
    <w:p w14:paraId="3DA2B81A" w14:textId="0C41B432" w:rsidR="0036086B" w:rsidRPr="0036086B" w:rsidRDefault="0036086B" w:rsidP="00B303CD">
      <w:pPr>
        <w:widowControl w:val="0"/>
        <w:spacing w:after="0" w:line="240" w:lineRule="auto"/>
        <w:rPr>
          <w:rFonts w:ascii="Calibri" w:eastAsia="Times New Roman" w:hAnsi="Calibri" w:cs="Calibri"/>
          <w:b/>
          <w:bCs/>
          <w:i/>
          <w:iCs/>
          <w:color w:val="000000"/>
          <w:lang w:val="en-IE" w:eastAsia="en-US"/>
        </w:rPr>
      </w:pPr>
      <w:r w:rsidRPr="0036086B">
        <w:rPr>
          <w:rFonts w:ascii="Calibri" w:eastAsia="Times New Roman" w:hAnsi="Calibri" w:cs="Calibri"/>
          <w:b/>
          <w:bCs/>
          <w:i/>
          <w:iCs/>
          <w:color w:val="000000"/>
          <w:lang w:val="en-IE" w:eastAsia="en-US"/>
        </w:rPr>
        <w:t>Condensed Consolidated Interim Statement of Comprehensive Income for the Quarter Ended September 30, 202</w:t>
      </w:r>
      <w:r w:rsidR="0088548E">
        <w:rPr>
          <w:rFonts w:ascii="Calibri" w:eastAsia="Times New Roman" w:hAnsi="Calibri" w:cs="Calibri"/>
          <w:b/>
          <w:bCs/>
          <w:i/>
          <w:iCs/>
          <w:color w:val="000000"/>
          <w:lang w:val="en-IE" w:eastAsia="en-US"/>
        </w:rPr>
        <w:t>5</w:t>
      </w:r>
      <w:r w:rsidRPr="0036086B">
        <w:rPr>
          <w:rFonts w:ascii="Calibri" w:eastAsia="Times New Roman" w:hAnsi="Calibri" w:cs="Calibri"/>
          <w:b/>
          <w:bCs/>
          <w:i/>
          <w:iCs/>
          <w:color w:val="000000"/>
          <w:lang w:val="en-IE" w:eastAsia="en-US"/>
        </w:rPr>
        <w:t xml:space="preserve"> (unaudited)</w:t>
      </w:r>
    </w:p>
    <w:p w14:paraId="267DA034" w14:textId="77777777" w:rsidR="0036086B" w:rsidRPr="0036086B" w:rsidRDefault="0036086B" w:rsidP="0036086B">
      <w:pPr>
        <w:widowControl w:val="0"/>
        <w:spacing w:after="0" w:line="240" w:lineRule="auto"/>
        <w:ind w:left="142"/>
        <w:rPr>
          <w:rFonts w:ascii="Calibri" w:eastAsia="Times New Roman" w:hAnsi="Calibri" w:cs="Calibri"/>
          <w:b/>
          <w:bCs/>
          <w:i/>
          <w:iCs/>
          <w:color w:val="000000"/>
          <w:sz w:val="22"/>
          <w:szCs w:val="22"/>
          <w:lang w:val="en-IE" w:eastAsia="en-US"/>
        </w:rPr>
      </w:pPr>
    </w:p>
    <w:tbl>
      <w:tblPr>
        <w:tblW w:w="10664" w:type="dxa"/>
        <w:tblInd w:w="108" w:type="dxa"/>
        <w:tblLook w:val="04A0" w:firstRow="1" w:lastRow="0" w:firstColumn="1" w:lastColumn="0" w:noHBand="0" w:noVBand="1"/>
      </w:tblPr>
      <w:tblGrid>
        <w:gridCol w:w="8397"/>
        <w:gridCol w:w="1134"/>
        <w:gridCol w:w="1133"/>
      </w:tblGrid>
      <w:tr w:rsidR="0036086B" w:rsidRPr="0036086B" w14:paraId="0F1F4D36" w14:textId="77777777" w:rsidTr="00EB7986">
        <w:trPr>
          <w:trHeight w:val="297"/>
        </w:trPr>
        <w:tc>
          <w:tcPr>
            <w:tcW w:w="8397" w:type="dxa"/>
            <w:shd w:val="clear" w:color="auto" w:fill="FFFFFF"/>
            <w:vAlign w:val="center"/>
            <w:hideMark/>
          </w:tcPr>
          <w:p w14:paraId="3C77ADCD"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4" w:type="dxa"/>
            <w:shd w:val="clear" w:color="auto" w:fill="FFFF00"/>
            <w:vAlign w:val="center"/>
            <w:hideMark/>
          </w:tcPr>
          <w:p w14:paraId="5653732E"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Quarter</w:t>
            </w:r>
          </w:p>
        </w:tc>
        <w:tc>
          <w:tcPr>
            <w:tcW w:w="1133" w:type="dxa"/>
            <w:shd w:val="clear" w:color="auto" w:fill="FFFFFF"/>
            <w:vAlign w:val="center"/>
            <w:hideMark/>
          </w:tcPr>
          <w:p w14:paraId="5A768027" w14:textId="77777777"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Quarter</w:t>
            </w:r>
          </w:p>
        </w:tc>
      </w:tr>
      <w:tr w:rsidR="0036086B" w:rsidRPr="0036086B" w14:paraId="5D3C5359" w14:textId="77777777" w:rsidTr="00EB7986">
        <w:trPr>
          <w:trHeight w:val="297"/>
        </w:trPr>
        <w:tc>
          <w:tcPr>
            <w:tcW w:w="8397" w:type="dxa"/>
            <w:shd w:val="clear" w:color="auto" w:fill="FFFFFF"/>
            <w:vAlign w:val="center"/>
            <w:hideMark/>
          </w:tcPr>
          <w:p w14:paraId="3EE1B974"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749470C1"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Ended</w:t>
            </w:r>
          </w:p>
        </w:tc>
        <w:tc>
          <w:tcPr>
            <w:tcW w:w="1133" w:type="dxa"/>
            <w:shd w:val="clear" w:color="auto" w:fill="FFFFFF"/>
            <w:vAlign w:val="center"/>
            <w:hideMark/>
          </w:tcPr>
          <w:p w14:paraId="7DB67F3D" w14:textId="77777777"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Ended</w:t>
            </w:r>
          </w:p>
        </w:tc>
      </w:tr>
      <w:tr w:rsidR="0036086B" w:rsidRPr="0036086B" w14:paraId="7939A79B" w14:textId="77777777" w:rsidTr="00EB7986">
        <w:trPr>
          <w:trHeight w:val="278"/>
        </w:trPr>
        <w:tc>
          <w:tcPr>
            <w:tcW w:w="8397" w:type="dxa"/>
            <w:vMerge w:val="restart"/>
            <w:shd w:val="clear" w:color="auto" w:fill="FFFFFF"/>
            <w:vAlign w:val="center"/>
            <w:hideMark/>
          </w:tcPr>
          <w:p w14:paraId="6E5677D6"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06404C46"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xml:space="preserve">Sep 30, </w:t>
            </w:r>
          </w:p>
        </w:tc>
        <w:tc>
          <w:tcPr>
            <w:tcW w:w="1133" w:type="dxa"/>
            <w:shd w:val="clear" w:color="auto" w:fill="FFFFFF"/>
            <w:vAlign w:val="center"/>
            <w:hideMark/>
          </w:tcPr>
          <w:p w14:paraId="6BBAD2E6" w14:textId="77777777"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 xml:space="preserve">Sep 30, </w:t>
            </w:r>
          </w:p>
        </w:tc>
      </w:tr>
      <w:tr w:rsidR="0036086B" w:rsidRPr="0036086B" w14:paraId="0A49FA9A" w14:textId="77777777" w:rsidTr="00EB7986">
        <w:trPr>
          <w:trHeight w:val="278"/>
        </w:trPr>
        <w:tc>
          <w:tcPr>
            <w:tcW w:w="8397" w:type="dxa"/>
            <w:vMerge/>
            <w:vAlign w:val="center"/>
            <w:hideMark/>
          </w:tcPr>
          <w:p w14:paraId="33DFCE6F"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4" w:type="dxa"/>
            <w:shd w:val="clear" w:color="auto" w:fill="FFFF00"/>
            <w:vAlign w:val="center"/>
            <w:hideMark/>
          </w:tcPr>
          <w:p w14:paraId="2BFF4C2C" w14:textId="3A4C31A5"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202</w:t>
            </w:r>
            <w:r w:rsidR="0088548E">
              <w:rPr>
                <w:rFonts w:ascii="Calibri" w:eastAsia="Times New Roman" w:hAnsi="Calibri" w:cs="Calibri"/>
                <w:b/>
                <w:bCs/>
                <w:color w:val="000000"/>
                <w:sz w:val="22"/>
                <w:szCs w:val="22"/>
                <w:lang w:val="en-IE" w:eastAsia="en-IE"/>
              </w:rPr>
              <w:t>5</w:t>
            </w:r>
          </w:p>
        </w:tc>
        <w:tc>
          <w:tcPr>
            <w:tcW w:w="1133" w:type="dxa"/>
            <w:shd w:val="clear" w:color="auto" w:fill="FFFFFF"/>
            <w:vAlign w:val="center"/>
            <w:hideMark/>
          </w:tcPr>
          <w:p w14:paraId="7C19F146" w14:textId="208322C2" w:rsidR="0036086B" w:rsidRPr="0036086B" w:rsidRDefault="0036086B" w:rsidP="0036086B">
            <w:pPr>
              <w:spacing w:after="0" w:line="240" w:lineRule="auto"/>
              <w:jc w:val="right"/>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202</w:t>
            </w:r>
            <w:r w:rsidR="0088548E">
              <w:rPr>
                <w:rFonts w:ascii="Calibri" w:eastAsia="Times New Roman" w:hAnsi="Calibri" w:cs="Calibri"/>
                <w:color w:val="000000"/>
                <w:sz w:val="22"/>
                <w:szCs w:val="22"/>
                <w:lang w:val="en-IE" w:eastAsia="en-IE"/>
              </w:rPr>
              <w:t>4</w:t>
            </w:r>
          </w:p>
        </w:tc>
      </w:tr>
      <w:tr w:rsidR="0036086B" w:rsidRPr="0036086B" w14:paraId="1F267245" w14:textId="77777777" w:rsidTr="00EB7986">
        <w:trPr>
          <w:trHeight w:val="297"/>
        </w:trPr>
        <w:tc>
          <w:tcPr>
            <w:tcW w:w="8397" w:type="dxa"/>
            <w:shd w:val="clear" w:color="auto" w:fill="FFFFFF"/>
            <w:vAlign w:val="center"/>
            <w:hideMark/>
          </w:tcPr>
          <w:p w14:paraId="531F9646"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center"/>
            <w:hideMark/>
          </w:tcPr>
          <w:p w14:paraId="7DD4DB56" w14:textId="77777777" w:rsidR="0036086B" w:rsidRPr="0036086B" w:rsidRDefault="0036086B" w:rsidP="0036086B">
            <w:pPr>
              <w:spacing w:after="0" w:line="240" w:lineRule="auto"/>
              <w:jc w:val="right"/>
              <w:rPr>
                <w:rFonts w:ascii="Calibri" w:eastAsia="Times New Roman" w:hAnsi="Calibri" w:cs="Calibri"/>
                <w:b/>
                <w:bCs/>
                <w:color w:val="000000"/>
                <w:sz w:val="22"/>
                <w:szCs w:val="22"/>
                <w:u w:val="single"/>
                <w:lang w:val="en-IE" w:eastAsia="en-IE"/>
              </w:rPr>
            </w:pPr>
            <w:r w:rsidRPr="0036086B">
              <w:rPr>
                <w:rFonts w:ascii="Calibri" w:eastAsia="Times New Roman" w:hAnsi="Calibri" w:cs="Calibri"/>
                <w:b/>
                <w:bCs/>
                <w:color w:val="000000"/>
                <w:sz w:val="22"/>
                <w:szCs w:val="22"/>
                <w:u w:val="single"/>
                <w:lang w:val="en-IE" w:eastAsia="en-IE"/>
              </w:rPr>
              <w:t>€M</w:t>
            </w:r>
          </w:p>
        </w:tc>
        <w:tc>
          <w:tcPr>
            <w:tcW w:w="1133" w:type="dxa"/>
            <w:shd w:val="clear" w:color="auto" w:fill="FFFFFF"/>
            <w:vAlign w:val="center"/>
            <w:hideMark/>
          </w:tcPr>
          <w:p w14:paraId="69EF5F43" w14:textId="77777777" w:rsidR="0036086B" w:rsidRPr="0036086B" w:rsidRDefault="0036086B" w:rsidP="0036086B">
            <w:pPr>
              <w:spacing w:after="0" w:line="240" w:lineRule="auto"/>
              <w:jc w:val="right"/>
              <w:rPr>
                <w:rFonts w:ascii="Calibri" w:eastAsia="Times New Roman" w:hAnsi="Calibri" w:cs="Calibri"/>
                <w:color w:val="000000"/>
                <w:sz w:val="22"/>
                <w:szCs w:val="22"/>
                <w:u w:val="single"/>
                <w:lang w:val="en-IE" w:eastAsia="en-IE"/>
              </w:rPr>
            </w:pPr>
            <w:r w:rsidRPr="0036086B">
              <w:rPr>
                <w:rFonts w:ascii="Calibri" w:eastAsia="Times New Roman" w:hAnsi="Calibri" w:cs="Calibri"/>
                <w:color w:val="000000"/>
                <w:sz w:val="22"/>
                <w:szCs w:val="22"/>
                <w:u w:val="single"/>
                <w:lang w:val="en-IE" w:eastAsia="en-IE"/>
              </w:rPr>
              <w:t>€M</w:t>
            </w:r>
          </w:p>
        </w:tc>
      </w:tr>
      <w:tr w:rsidR="0036086B" w:rsidRPr="0036086B" w14:paraId="23EE8FDE" w14:textId="77777777" w:rsidTr="00EB7986">
        <w:trPr>
          <w:trHeight w:val="297"/>
        </w:trPr>
        <w:tc>
          <w:tcPr>
            <w:tcW w:w="8397" w:type="dxa"/>
            <w:shd w:val="clear" w:color="auto" w:fill="FFFFFF"/>
            <w:vAlign w:val="center"/>
            <w:hideMark/>
          </w:tcPr>
          <w:p w14:paraId="20FA8E3F"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 </w:t>
            </w:r>
          </w:p>
        </w:tc>
        <w:tc>
          <w:tcPr>
            <w:tcW w:w="1134" w:type="dxa"/>
            <w:shd w:val="clear" w:color="auto" w:fill="FFFF00"/>
            <w:vAlign w:val="bottom"/>
            <w:hideMark/>
          </w:tcPr>
          <w:p w14:paraId="472FBDCF"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3" w:type="dxa"/>
            <w:shd w:val="clear" w:color="auto" w:fill="FFFFFF"/>
            <w:vAlign w:val="center"/>
            <w:hideMark/>
          </w:tcPr>
          <w:p w14:paraId="0D918D83"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72F3526E" w14:textId="77777777" w:rsidTr="00EB7986">
        <w:trPr>
          <w:trHeight w:val="308"/>
        </w:trPr>
        <w:tc>
          <w:tcPr>
            <w:tcW w:w="8397" w:type="dxa"/>
            <w:shd w:val="clear" w:color="auto" w:fill="FFFFFF"/>
            <w:vAlign w:val="center"/>
            <w:hideMark/>
          </w:tcPr>
          <w:p w14:paraId="1211F0BF"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Profit for the quarter</w:t>
            </w:r>
          </w:p>
        </w:tc>
        <w:tc>
          <w:tcPr>
            <w:tcW w:w="1134" w:type="dxa"/>
            <w:tcBorders>
              <w:top w:val="nil"/>
              <w:left w:val="nil"/>
              <w:bottom w:val="single" w:sz="8" w:space="0" w:color="auto"/>
              <w:right w:val="nil"/>
            </w:tcBorders>
            <w:shd w:val="clear" w:color="auto" w:fill="FFFF00"/>
            <w:vAlign w:val="center"/>
          </w:tcPr>
          <w:p w14:paraId="554D9299" w14:textId="4FF0BFA7" w:rsidR="0036086B" w:rsidRPr="0036086B" w:rsidRDefault="00A571DD" w:rsidP="0036086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1,718.9</w:t>
            </w:r>
          </w:p>
        </w:tc>
        <w:tc>
          <w:tcPr>
            <w:tcW w:w="1133" w:type="dxa"/>
            <w:tcBorders>
              <w:top w:val="nil"/>
              <w:left w:val="nil"/>
              <w:bottom w:val="single" w:sz="8" w:space="0" w:color="auto"/>
              <w:right w:val="nil"/>
            </w:tcBorders>
            <w:shd w:val="clear" w:color="auto" w:fill="FFFFFF"/>
            <w:vAlign w:val="center"/>
          </w:tcPr>
          <w:p w14:paraId="1BFDCECD" w14:textId="679F107D"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1,431.2</w:t>
            </w:r>
          </w:p>
        </w:tc>
      </w:tr>
      <w:tr w:rsidR="0036086B" w:rsidRPr="0036086B" w14:paraId="671EB3EA" w14:textId="77777777" w:rsidTr="00EB7986">
        <w:trPr>
          <w:trHeight w:val="297"/>
        </w:trPr>
        <w:tc>
          <w:tcPr>
            <w:tcW w:w="8397" w:type="dxa"/>
            <w:shd w:val="clear" w:color="auto" w:fill="FFFFFF"/>
            <w:vAlign w:val="center"/>
            <w:hideMark/>
          </w:tcPr>
          <w:p w14:paraId="7BAE3C7F" w14:textId="77777777" w:rsidR="0036086B" w:rsidRPr="0036086B" w:rsidRDefault="0036086B" w:rsidP="0036086B">
            <w:pPr>
              <w:spacing w:after="0" w:line="240" w:lineRule="auto"/>
              <w:rPr>
                <w:rFonts w:ascii="Calibri" w:eastAsia="Times New Roman" w:hAnsi="Calibri" w:cs="Calibri"/>
                <w:color w:val="000000"/>
                <w:sz w:val="22"/>
                <w:szCs w:val="22"/>
                <w:lang w:val="en-IE" w:eastAsia="en-IE"/>
              </w:rPr>
            </w:pPr>
            <w:r w:rsidRPr="0036086B">
              <w:rPr>
                <w:rFonts w:ascii="Calibri" w:eastAsia="Times New Roman" w:hAnsi="Calibri" w:cs="Calibri"/>
                <w:color w:val="000000"/>
                <w:sz w:val="22"/>
                <w:szCs w:val="22"/>
                <w:lang w:val="en-IE" w:eastAsia="en-IE"/>
              </w:rPr>
              <w:t> </w:t>
            </w:r>
          </w:p>
        </w:tc>
        <w:tc>
          <w:tcPr>
            <w:tcW w:w="1134" w:type="dxa"/>
            <w:tcBorders>
              <w:top w:val="single" w:sz="8" w:space="0" w:color="auto"/>
              <w:left w:val="nil"/>
              <w:bottom w:val="nil"/>
              <w:right w:val="nil"/>
            </w:tcBorders>
            <w:shd w:val="clear" w:color="auto" w:fill="FFFF00"/>
            <w:vAlign w:val="bottom"/>
          </w:tcPr>
          <w:p w14:paraId="6653BBC3" w14:textId="77777777" w:rsidR="0036086B" w:rsidRPr="0036086B" w:rsidRDefault="0036086B" w:rsidP="0036086B">
            <w:pPr>
              <w:spacing w:after="0" w:line="240" w:lineRule="auto"/>
              <w:jc w:val="right"/>
              <w:rPr>
                <w:rFonts w:ascii="Calibri" w:eastAsia="Times New Roman" w:hAnsi="Calibri" w:cs="Calibri"/>
                <w:b/>
                <w:color w:val="000000"/>
                <w:sz w:val="22"/>
                <w:szCs w:val="22"/>
                <w:lang w:val="en-IE" w:eastAsia="en-IE"/>
              </w:rPr>
            </w:pPr>
          </w:p>
        </w:tc>
        <w:tc>
          <w:tcPr>
            <w:tcW w:w="1133" w:type="dxa"/>
            <w:tcBorders>
              <w:top w:val="single" w:sz="8" w:space="0" w:color="auto"/>
              <w:left w:val="nil"/>
              <w:bottom w:val="nil"/>
              <w:right w:val="nil"/>
            </w:tcBorders>
            <w:shd w:val="clear" w:color="auto" w:fill="FFFFFF"/>
            <w:vAlign w:val="bottom"/>
          </w:tcPr>
          <w:p w14:paraId="355709C6"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018C84FE" w14:textId="77777777" w:rsidTr="00EB7986">
        <w:trPr>
          <w:trHeight w:val="297"/>
        </w:trPr>
        <w:tc>
          <w:tcPr>
            <w:tcW w:w="8397" w:type="dxa"/>
            <w:shd w:val="clear" w:color="auto" w:fill="FFFFFF"/>
            <w:vAlign w:val="center"/>
            <w:hideMark/>
          </w:tcPr>
          <w:p w14:paraId="1FE900AF" w14:textId="1F3CD04C" w:rsidR="0036086B" w:rsidRPr="004F05B0" w:rsidRDefault="0036086B" w:rsidP="0036086B">
            <w:pPr>
              <w:spacing w:after="0" w:line="240" w:lineRule="auto"/>
              <w:rPr>
                <w:rFonts w:ascii="Calibri" w:eastAsia="Times New Roman" w:hAnsi="Calibri" w:cs="Calibri"/>
                <w:b/>
                <w:bCs/>
                <w:color w:val="000000"/>
                <w:sz w:val="22"/>
                <w:szCs w:val="22"/>
                <w:lang w:val="en-IE" w:eastAsia="en-IE"/>
              </w:rPr>
            </w:pPr>
            <w:r w:rsidRPr="004F05B0">
              <w:rPr>
                <w:rFonts w:ascii="Calibri" w:eastAsia="Times New Roman" w:hAnsi="Calibri" w:cs="Calibri"/>
                <w:b/>
                <w:bCs/>
                <w:color w:val="000000"/>
                <w:sz w:val="22"/>
                <w:szCs w:val="22"/>
                <w:lang w:val="en-IE" w:eastAsia="en-IE"/>
              </w:rPr>
              <w:t xml:space="preserve">Other comprehensive </w:t>
            </w:r>
            <w:r w:rsidRPr="004F05B0">
              <w:rPr>
                <w:rFonts w:ascii="Calibri" w:eastAsia="Times New Roman" w:hAnsi="Calibri" w:cs="Calibri"/>
                <w:b/>
                <w:color w:val="000000"/>
                <w:sz w:val="22"/>
                <w:szCs w:val="22"/>
                <w:lang w:val="en-IE" w:eastAsia="en-IE"/>
              </w:rPr>
              <w:t>income</w:t>
            </w:r>
            <w:r w:rsidR="004F05B0" w:rsidRPr="004F05B0">
              <w:rPr>
                <w:rFonts w:ascii="Calibri" w:eastAsia="Times New Roman" w:hAnsi="Calibri" w:cs="Calibri"/>
                <w:b/>
                <w:color w:val="000000"/>
                <w:sz w:val="22"/>
                <w:szCs w:val="22"/>
                <w:lang w:val="en-IE" w:eastAsia="en-IE"/>
              </w:rPr>
              <w:t>/(loss)</w:t>
            </w:r>
            <w:r w:rsidRPr="004F05B0">
              <w:rPr>
                <w:rFonts w:ascii="Calibri" w:eastAsia="Times New Roman" w:hAnsi="Calibri" w:cs="Calibri"/>
                <w:b/>
                <w:color w:val="000000"/>
                <w:sz w:val="22"/>
                <w:szCs w:val="22"/>
                <w:lang w:val="en-IE" w:eastAsia="en-IE"/>
              </w:rPr>
              <w:t>:</w:t>
            </w:r>
          </w:p>
        </w:tc>
        <w:tc>
          <w:tcPr>
            <w:tcW w:w="1134" w:type="dxa"/>
            <w:shd w:val="clear" w:color="auto" w:fill="FFFF00"/>
            <w:vAlign w:val="bottom"/>
          </w:tcPr>
          <w:p w14:paraId="48CC09E6"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bottom"/>
          </w:tcPr>
          <w:p w14:paraId="56A48B9A"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1806F63F" w14:textId="77777777" w:rsidTr="00EB7986">
        <w:trPr>
          <w:trHeight w:val="297"/>
        </w:trPr>
        <w:tc>
          <w:tcPr>
            <w:tcW w:w="8397" w:type="dxa"/>
            <w:shd w:val="clear" w:color="auto" w:fill="FFFFFF"/>
            <w:vAlign w:val="center"/>
            <w:hideMark/>
          </w:tcPr>
          <w:p w14:paraId="06D6A2EC" w14:textId="77777777" w:rsidR="0036086B" w:rsidRPr="004F05B0" w:rsidRDefault="0036086B" w:rsidP="0036086B">
            <w:pPr>
              <w:spacing w:after="0" w:line="240" w:lineRule="auto"/>
              <w:rPr>
                <w:rFonts w:ascii="Calibri" w:eastAsia="Times New Roman" w:hAnsi="Calibri" w:cs="Calibri"/>
                <w:b/>
                <w:bCs/>
                <w:i/>
                <w:iCs/>
                <w:color w:val="000000"/>
                <w:sz w:val="22"/>
                <w:szCs w:val="22"/>
                <w:lang w:val="en-IE" w:eastAsia="en-IE"/>
              </w:rPr>
            </w:pPr>
            <w:r w:rsidRPr="004F05B0">
              <w:rPr>
                <w:rFonts w:ascii="Calibri" w:eastAsia="Times New Roman" w:hAnsi="Calibri" w:cs="Calibri"/>
                <w:b/>
                <w:bCs/>
                <w:i/>
                <w:iCs/>
                <w:color w:val="000000"/>
                <w:sz w:val="22"/>
                <w:szCs w:val="22"/>
                <w:lang w:val="en-IE" w:eastAsia="en-IE"/>
              </w:rPr>
              <w:t>Items that are or may be reclassified subsequently to profit or loss:</w:t>
            </w:r>
          </w:p>
        </w:tc>
        <w:tc>
          <w:tcPr>
            <w:tcW w:w="1134" w:type="dxa"/>
            <w:shd w:val="clear" w:color="auto" w:fill="FFFF00"/>
            <w:vAlign w:val="bottom"/>
          </w:tcPr>
          <w:p w14:paraId="7334F65F" w14:textId="77777777" w:rsidR="0036086B" w:rsidRPr="0036086B" w:rsidRDefault="0036086B" w:rsidP="0036086B">
            <w:pPr>
              <w:spacing w:after="0" w:line="240" w:lineRule="auto"/>
              <w:jc w:val="right"/>
              <w:rPr>
                <w:rFonts w:ascii="Calibri" w:eastAsia="Times New Roman" w:hAnsi="Calibri" w:cs="Calibri"/>
                <w:b/>
                <w:bCs/>
                <w:i/>
                <w:iCs/>
                <w:color w:val="000000"/>
                <w:sz w:val="22"/>
                <w:szCs w:val="22"/>
                <w:lang w:val="en-IE" w:eastAsia="en-IE"/>
              </w:rPr>
            </w:pPr>
          </w:p>
        </w:tc>
        <w:tc>
          <w:tcPr>
            <w:tcW w:w="1133" w:type="dxa"/>
            <w:shd w:val="clear" w:color="auto" w:fill="FFFFFF"/>
            <w:vAlign w:val="bottom"/>
          </w:tcPr>
          <w:p w14:paraId="51DCA085"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3C7E18BA" w14:textId="77777777" w:rsidTr="00EB7986">
        <w:trPr>
          <w:trHeight w:val="297"/>
        </w:trPr>
        <w:tc>
          <w:tcPr>
            <w:tcW w:w="8397" w:type="dxa"/>
            <w:shd w:val="clear" w:color="auto" w:fill="FFFFFF"/>
            <w:vAlign w:val="center"/>
            <w:hideMark/>
          </w:tcPr>
          <w:p w14:paraId="5E217FE3" w14:textId="77777777" w:rsidR="0036086B" w:rsidRPr="004F05B0" w:rsidRDefault="0036086B" w:rsidP="0036086B">
            <w:pPr>
              <w:spacing w:after="0" w:line="240" w:lineRule="auto"/>
              <w:rPr>
                <w:rFonts w:ascii="Calibri" w:eastAsia="Times New Roman" w:hAnsi="Calibri" w:cs="Calibri"/>
                <w:b/>
                <w:bCs/>
                <w:color w:val="000000"/>
                <w:sz w:val="22"/>
                <w:szCs w:val="22"/>
                <w:lang w:val="en-IE" w:eastAsia="en-IE"/>
              </w:rPr>
            </w:pPr>
            <w:r w:rsidRPr="004F05B0">
              <w:rPr>
                <w:rFonts w:ascii="Calibri" w:eastAsia="Times New Roman" w:hAnsi="Calibri" w:cs="Calibri"/>
                <w:b/>
                <w:bCs/>
                <w:color w:val="000000"/>
                <w:sz w:val="22"/>
                <w:szCs w:val="22"/>
                <w:lang w:val="en-IE" w:eastAsia="en-IE"/>
              </w:rPr>
              <w:t>Movements in hedging reserve, net of tax:</w:t>
            </w:r>
          </w:p>
        </w:tc>
        <w:tc>
          <w:tcPr>
            <w:tcW w:w="1134" w:type="dxa"/>
            <w:shd w:val="clear" w:color="auto" w:fill="FFFF00"/>
            <w:vAlign w:val="bottom"/>
          </w:tcPr>
          <w:p w14:paraId="46341FBA"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bottom"/>
          </w:tcPr>
          <w:p w14:paraId="58B1EA80"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50654793" w14:textId="77777777" w:rsidTr="00EB7986">
        <w:trPr>
          <w:trHeight w:val="308"/>
        </w:trPr>
        <w:tc>
          <w:tcPr>
            <w:tcW w:w="8397" w:type="dxa"/>
            <w:shd w:val="clear" w:color="auto" w:fill="FFFFFF"/>
            <w:vAlign w:val="center"/>
            <w:hideMark/>
          </w:tcPr>
          <w:p w14:paraId="4C876472" w14:textId="77777777" w:rsidR="0036086B" w:rsidRPr="004F05B0" w:rsidRDefault="0036086B" w:rsidP="0036086B">
            <w:pPr>
              <w:spacing w:after="0" w:line="240" w:lineRule="auto"/>
              <w:rPr>
                <w:rFonts w:ascii="Calibri" w:eastAsia="Times New Roman" w:hAnsi="Calibri" w:cs="Calibri"/>
                <w:color w:val="000000"/>
                <w:sz w:val="22"/>
                <w:szCs w:val="22"/>
                <w:lang w:val="en-IE" w:eastAsia="en-IE"/>
              </w:rPr>
            </w:pPr>
            <w:r w:rsidRPr="004F05B0">
              <w:rPr>
                <w:rFonts w:ascii="Calibri" w:eastAsia="Times New Roman" w:hAnsi="Calibri" w:cs="Calibri"/>
                <w:color w:val="000000"/>
                <w:sz w:val="22"/>
                <w:szCs w:val="22"/>
                <w:lang w:val="en-IE" w:eastAsia="en-IE"/>
              </w:rPr>
              <w:t>Net movement in cash-flow hedge reserve</w:t>
            </w:r>
          </w:p>
        </w:tc>
        <w:tc>
          <w:tcPr>
            <w:tcW w:w="1134" w:type="dxa"/>
            <w:tcBorders>
              <w:top w:val="nil"/>
              <w:left w:val="nil"/>
              <w:bottom w:val="single" w:sz="8" w:space="0" w:color="auto"/>
              <w:right w:val="nil"/>
            </w:tcBorders>
            <w:shd w:val="clear" w:color="auto" w:fill="FFFF00"/>
            <w:vAlign w:val="center"/>
          </w:tcPr>
          <w:p w14:paraId="01255132" w14:textId="425C16A4" w:rsidR="0036086B" w:rsidRPr="0036086B" w:rsidRDefault="00F41B9E" w:rsidP="0036086B">
            <w:pPr>
              <w:spacing w:after="0" w:line="240" w:lineRule="auto"/>
              <w:jc w:val="right"/>
              <w:rPr>
                <w:rFonts w:ascii="Calibri" w:eastAsia="Times New Roman" w:hAnsi="Calibri" w:cs="Calibri"/>
                <w:b/>
                <w:color w:val="000000"/>
                <w:sz w:val="22"/>
                <w:szCs w:val="22"/>
                <w:lang w:val="en-IE" w:eastAsia="en-IE"/>
              </w:rPr>
            </w:pPr>
            <w:r>
              <w:rPr>
                <w:rFonts w:ascii="Calibri" w:eastAsia="Times New Roman" w:hAnsi="Calibri" w:cs="Calibri"/>
                <w:b/>
                <w:color w:val="000000"/>
                <w:sz w:val="22"/>
                <w:szCs w:val="22"/>
                <w:lang w:val="en-IE" w:eastAsia="en-IE"/>
              </w:rPr>
              <w:t>22</w:t>
            </w:r>
            <w:r w:rsidR="004F05B0">
              <w:rPr>
                <w:rFonts w:ascii="Calibri" w:eastAsia="Times New Roman" w:hAnsi="Calibri" w:cs="Calibri"/>
                <w:b/>
                <w:color w:val="000000"/>
                <w:sz w:val="22"/>
                <w:szCs w:val="22"/>
                <w:lang w:val="en-IE" w:eastAsia="en-IE"/>
              </w:rPr>
              <w:t>1.1</w:t>
            </w:r>
          </w:p>
        </w:tc>
        <w:tc>
          <w:tcPr>
            <w:tcW w:w="1133" w:type="dxa"/>
            <w:tcBorders>
              <w:top w:val="nil"/>
              <w:left w:val="nil"/>
              <w:bottom w:val="single" w:sz="8" w:space="0" w:color="auto"/>
              <w:right w:val="nil"/>
            </w:tcBorders>
            <w:shd w:val="clear" w:color="auto" w:fill="FFFFFF"/>
            <w:vAlign w:val="center"/>
          </w:tcPr>
          <w:p w14:paraId="0FA88E3C" w14:textId="16466EA2"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(704.0)</w:t>
            </w:r>
          </w:p>
        </w:tc>
      </w:tr>
      <w:tr w:rsidR="0036086B" w:rsidRPr="0036086B" w14:paraId="3C12E881" w14:textId="77777777" w:rsidTr="00EB7986">
        <w:trPr>
          <w:trHeight w:val="308"/>
        </w:trPr>
        <w:tc>
          <w:tcPr>
            <w:tcW w:w="8397" w:type="dxa"/>
            <w:shd w:val="clear" w:color="auto" w:fill="FFFFFF"/>
            <w:vAlign w:val="center"/>
            <w:hideMark/>
          </w:tcPr>
          <w:p w14:paraId="5877A516" w14:textId="1CB1FCBB" w:rsidR="0036086B" w:rsidRPr="004F05B0" w:rsidRDefault="0036086B" w:rsidP="0036086B">
            <w:pPr>
              <w:spacing w:after="0" w:line="240" w:lineRule="auto"/>
              <w:rPr>
                <w:rFonts w:ascii="Calibri" w:eastAsia="Times New Roman" w:hAnsi="Calibri" w:cs="Calibri"/>
                <w:b/>
                <w:bCs/>
                <w:color w:val="000000"/>
                <w:sz w:val="22"/>
                <w:szCs w:val="22"/>
                <w:lang w:val="en-IE" w:eastAsia="en-IE"/>
              </w:rPr>
            </w:pPr>
            <w:r w:rsidRPr="004F05B0">
              <w:rPr>
                <w:rFonts w:ascii="Calibri" w:eastAsia="Times New Roman" w:hAnsi="Calibri" w:cs="Calibri"/>
                <w:b/>
                <w:bCs/>
                <w:color w:val="000000"/>
                <w:sz w:val="22"/>
                <w:szCs w:val="22"/>
                <w:lang w:val="en-IE" w:eastAsia="en-IE"/>
              </w:rPr>
              <w:t xml:space="preserve">Other comprehensive </w:t>
            </w:r>
            <w:r w:rsidRPr="004F05B0">
              <w:rPr>
                <w:rFonts w:ascii="Calibri" w:eastAsia="Times New Roman" w:hAnsi="Calibri" w:cs="Calibri"/>
                <w:b/>
                <w:color w:val="000000"/>
                <w:sz w:val="22"/>
                <w:szCs w:val="22"/>
                <w:lang w:val="en-IE" w:eastAsia="en-IE"/>
              </w:rPr>
              <w:t>income</w:t>
            </w:r>
            <w:r w:rsidR="004F05B0" w:rsidRPr="004F05B0">
              <w:rPr>
                <w:rFonts w:ascii="Calibri" w:eastAsia="Times New Roman" w:hAnsi="Calibri" w:cs="Calibri"/>
                <w:b/>
                <w:color w:val="000000"/>
                <w:sz w:val="22"/>
                <w:szCs w:val="22"/>
                <w:lang w:val="en-IE" w:eastAsia="en-IE"/>
              </w:rPr>
              <w:t>/(loss)</w:t>
            </w:r>
            <w:r w:rsidRPr="004F05B0">
              <w:rPr>
                <w:rFonts w:ascii="Calibri" w:eastAsia="Times New Roman" w:hAnsi="Calibri" w:cs="Calibri"/>
                <w:b/>
                <w:bCs/>
                <w:color w:val="000000"/>
                <w:sz w:val="22"/>
                <w:szCs w:val="22"/>
                <w:lang w:val="en-IE" w:eastAsia="en-IE"/>
              </w:rPr>
              <w:t xml:space="preserve"> for the quarter, net of income tax </w:t>
            </w:r>
          </w:p>
        </w:tc>
        <w:tc>
          <w:tcPr>
            <w:tcW w:w="1134" w:type="dxa"/>
            <w:tcBorders>
              <w:top w:val="single" w:sz="8" w:space="0" w:color="auto"/>
              <w:left w:val="nil"/>
              <w:bottom w:val="single" w:sz="8" w:space="0" w:color="auto"/>
              <w:right w:val="nil"/>
            </w:tcBorders>
            <w:shd w:val="clear" w:color="auto" w:fill="FFFF00"/>
            <w:vAlign w:val="center"/>
          </w:tcPr>
          <w:p w14:paraId="01051483" w14:textId="55C51EFF" w:rsidR="0036086B" w:rsidRPr="0036086B" w:rsidRDefault="004F05B0" w:rsidP="0036086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221.1</w:t>
            </w:r>
          </w:p>
        </w:tc>
        <w:tc>
          <w:tcPr>
            <w:tcW w:w="1133" w:type="dxa"/>
            <w:tcBorders>
              <w:top w:val="single" w:sz="8" w:space="0" w:color="auto"/>
              <w:left w:val="nil"/>
              <w:bottom w:val="single" w:sz="8" w:space="0" w:color="auto"/>
              <w:right w:val="nil"/>
            </w:tcBorders>
            <w:shd w:val="clear" w:color="auto" w:fill="FFFFFF"/>
            <w:vAlign w:val="center"/>
          </w:tcPr>
          <w:p w14:paraId="3AF09F0F" w14:textId="4CAE1BC2"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(704.0)</w:t>
            </w:r>
          </w:p>
        </w:tc>
      </w:tr>
      <w:tr w:rsidR="0036086B" w:rsidRPr="0036086B" w14:paraId="11A0FD49" w14:textId="77777777" w:rsidTr="00EB7986">
        <w:trPr>
          <w:trHeight w:val="278"/>
        </w:trPr>
        <w:tc>
          <w:tcPr>
            <w:tcW w:w="8397" w:type="dxa"/>
            <w:vMerge w:val="restart"/>
            <w:shd w:val="clear" w:color="auto" w:fill="FFFFFF"/>
            <w:vAlign w:val="bottom"/>
            <w:hideMark/>
          </w:tcPr>
          <w:p w14:paraId="3C6E6AF0"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r w:rsidRPr="0036086B">
              <w:rPr>
                <w:rFonts w:ascii="Calibri" w:eastAsia="Times New Roman" w:hAnsi="Calibri" w:cs="Calibri"/>
                <w:b/>
                <w:bCs/>
                <w:color w:val="000000"/>
                <w:sz w:val="22"/>
                <w:szCs w:val="22"/>
                <w:lang w:val="en-IE" w:eastAsia="en-IE"/>
              </w:rPr>
              <w:t>Total comprehensive income for the quarter – attributable to equity holders of parent</w:t>
            </w:r>
          </w:p>
        </w:tc>
        <w:tc>
          <w:tcPr>
            <w:tcW w:w="1134" w:type="dxa"/>
            <w:tcBorders>
              <w:top w:val="single" w:sz="8" w:space="0" w:color="auto"/>
              <w:left w:val="nil"/>
              <w:bottom w:val="nil"/>
              <w:right w:val="nil"/>
            </w:tcBorders>
            <w:shd w:val="clear" w:color="auto" w:fill="FFFF00"/>
            <w:vAlign w:val="center"/>
          </w:tcPr>
          <w:p w14:paraId="73095D5D" w14:textId="77777777" w:rsidR="0036086B" w:rsidRPr="0036086B" w:rsidRDefault="0036086B" w:rsidP="0036086B">
            <w:pPr>
              <w:spacing w:after="0" w:line="240" w:lineRule="auto"/>
              <w:jc w:val="right"/>
              <w:rPr>
                <w:rFonts w:ascii="Calibri" w:eastAsia="Times New Roman" w:hAnsi="Calibri" w:cs="Calibri"/>
                <w:b/>
                <w:bCs/>
                <w:color w:val="000000"/>
                <w:sz w:val="22"/>
                <w:szCs w:val="22"/>
                <w:lang w:val="en-IE" w:eastAsia="en-IE"/>
              </w:rPr>
            </w:pPr>
          </w:p>
        </w:tc>
        <w:tc>
          <w:tcPr>
            <w:tcW w:w="1133" w:type="dxa"/>
            <w:tcBorders>
              <w:top w:val="single" w:sz="8" w:space="0" w:color="auto"/>
              <w:left w:val="nil"/>
              <w:bottom w:val="nil"/>
              <w:right w:val="nil"/>
            </w:tcBorders>
            <w:shd w:val="clear" w:color="auto" w:fill="FFFFFF"/>
            <w:vAlign w:val="center"/>
          </w:tcPr>
          <w:p w14:paraId="494FB35E" w14:textId="77777777" w:rsidR="0036086B" w:rsidRPr="0036086B" w:rsidRDefault="0036086B" w:rsidP="0036086B">
            <w:pPr>
              <w:spacing w:after="0" w:line="240" w:lineRule="auto"/>
              <w:rPr>
                <w:rFonts w:ascii="Calibri" w:eastAsia="Calibri" w:hAnsi="Calibri" w:cs="Calibri"/>
                <w:sz w:val="22"/>
                <w:szCs w:val="22"/>
                <w:lang w:val="en-IE" w:eastAsia="en-IE"/>
              </w:rPr>
            </w:pPr>
          </w:p>
        </w:tc>
      </w:tr>
      <w:tr w:rsidR="0036086B" w:rsidRPr="0036086B" w14:paraId="0B04693F" w14:textId="77777777" w:rsidTr="00EB7986">
        <w:trPr>
          <w:trHeight w:val="287"/>
        </w:trPr>
        <w:tc>
          <w:tcPr>
            <w:tcW w:w="8397" w:type="dxa"/>
            <w:vMerge/>
            <w:vAlign w:val="center"/>
            <w:hideMark/>
          </w:tcPr>
          <w:p w14:paraId="68218EB7" w14:textId="77777777" w:rsidR="0036086B" w:rsidRPr="0036086B" w:rsidRDefault="0036086B" w:rsidP="0036086B">
            <w:pPr>
              <w:spacing w:after="0" w:line="240" w:lineRule="auto"/>
              <w:rPr>
                <w:rFonts w:ascii="Calibri" w:eastAsia="Times New Roman" w:hAnsi="Calibri" w:cs="Calibri"/>
                <w:b/>
                <w:bCs/>
                <w:color w:val="000000"/>
                <w:sz w:val="22"/>
                <w:szCs w:val="22"/>
                <w:lang w:val="en-IE" w:eastAsia="en-IE"/>
              </w:rPr>
            </w:pPr>
          </w:p>
        </w:tc>
        <w:tc>
          <w:tcPr>
            <w:tcW w:w="1134" w:type="dxa"/>
            <w:tcBorders>
              <w:top w:val="nil"/>
              <w:left w:val="nil"/>
              <w:bottom w:val="single" w:sz="8" w:space="0" w:color="auto"/>
              <w:right w:val="nil"/>
            </w:tcBorders>
            <w:shd w:val="clear" w:color="auto" w:fill="FFFF00"/>
            <w:vAlign w:val="center"/>
          </w:tcPr>
          <w:p w14:paraId="6A6D0155" w14:textId="677782A7" w:rsidR="0036086B" w:rsidRPr="0036086B" w:rsidRDefault="004F05B0" w:rsidP="0036086B">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1,940.0</w:t>
            </w:r>
          </w:p>
        </w:tc>
        <w:tc>
          <w:tcPr>
            <w:tcW w:w="1133" w:type="dxa"/>
            <w:tcBorders>
              <w:top w:val="nil"/>
              <w:left w:val="nil"/>
              <w:bottom w:val="single" w:sz="8" w:space="0" w:color="auto"/>
              <w:right w:val="nil"/>
            </w:tcBorders>
            <w:shd w:val="clear" w:color="auto" w:fill="FFFFFF"/>
            <w:vAlign w:val="center"/>
          </w:tcPr>
          <w:p w14:paraId="72D90792" w14:textId="3808AADA" w:rsidR="0036086B" w:rsidRPr="0036086B" w:rsidRDefault="0088548E" w:rsidP="0036086B">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727.2</w:t>
            </w:r>
          </w:p>
        </w:tc>
      </w:tr>
    </w:tbl>
    <w:p w14:paraId="240D770F" w14:textId="77777777" w:rsidR="00611311" w:rsidRDefault="00611311">
      <w:pPr>
        <w:rPr>
          <w:rFonts w:ascii="Calibri" w:eastAsia="Times New Roman" w:hAnsi="Calibri" w:cs="Calibri"/>
          <w:b/>
          <w:bCs/>
          <w:color w:val="000000"/>
          <w:lang w:val="en-IE" w:eastAsia="en-US"/>
        </w:rPr>
      </w:pPr>
      <w:bookmarkStart w:id="2" w:name="_Hlk54970304"/>
      <w:r>
        <w:rPr>
          <w:rFonts w:ascii="Calibri" w:eastAsia="Times New Roman" w:hAnsi="Calibri" w:cs="Calibri"/>
          <w:b/>
          <w:bCs/>
          <w:color w:val="000000"/>
          <w:lang w:val="en-IE" w:eastAsia="en-US"/>
        </w:rPr>
        <w:br w:type="page"/>
      </w:r>
    </w:p>
    <w:p w14:paraId="4C46212D" w14:textId="3F546758" w:rsidR="00AA4290" w:rsidRPr="00AA4290" w:rsidRDefault="00AA4290" w:rsidP="00AA4290">
      <w:pPr>
        <w:autoSpaceDE w:val="0"/>
        <w:autoSpaceDN w:val="0"/>
        <w:adjustRightInd w:val="0"/>
        <w:spacing w:after="0" w:line="240" w:lineRule="auto"/>
        <w:rPr>
          <w:rFonts w:ascii="Calibri" w:eastAsia="Times New Roman" w:hAnsi="Calibri" w:cs="Calibri"/>
          <w:b/>
          <w:bCs/>
          <w:color w:val="000000"/>
          <w:lang w:val="en-IE" w:eastAsia="en-US"/>
        </w:rPr>
      </w:pPr>
      <w:r w:rsidRPr="00AA4290">
        <w:rPr>
          <w:rFonts w:ascii="Calibri" w:eastAsia="Times New Roman" w:hAnsi="Calibri" w:cs="Calibri"/>
          <w:b/>
          <w:bCs/>
          <w:color w:val="000000"/>
          <w:lang w:val="en-IE" w:eastAsia="en-US"/>
        </w:rPr>
        <w:lastRenderedPageBreak/>
        <w:t>Ryanair Holdings plc and Subsidiaries</w:t>
      </w:r>
    </w:p>
    <w:p w14:paraId="397393D7" w14:textId="68D72013" w:rsidR="00AA4290" w:rsidRPr="00AA4290" w:rsidRDefault="00AA4290" w:rsidP="002C2EA2">
      <w:pPr>
        <w:spacing w:after="0" w:line="240" w:lineRule="auto"/>
        <w:jc w:val="both"/>
        <w:rPr>
          <w:rFonts w:ascii="Calibri" w:eastAsia="Times New Roman" w:hAnsi="Calibri" w:cs="Calibri"/>
          <w:b/>
          <w:bCs/>
          <w:i/>
          <w:iCs/>
          <w:color w:val="000000"/>
          <w:szCs w:val="28"/>
          <w:lang w:val="en-IE" w:eastAsia="en-US"/>
        </w:rPr>
      </w:pPr>
      <w:r w:rsidRPr="00AA4290">
        <w:rPr>
          <w:rFonts w:ascii="Calibri" w:eastAsia="Times New Roman" w:hAnsi="Calibri" w:cs="Calibri"/>
          <w:b/>
          <w:bCs/>
          <w:i/>
          <w:iCs/>
          <w:color w:val="000000"/>
          <w:szCs w:val="28"/>
          <w:lang w:val="en-IE" w:eastAsia="en-US"/>
        </w:rPr>
        <w:t>Condensed Consolidated Interim Statement of Cash Flows for the Half-Year Ended September 30, 202</w:t>
      </w:r>
      <w:r>
        <w:rPr>
          <w:rFonts w:ascii="Calibri" w:eastAsia="Times New Roman" w:hAnsi="Calibri" w:cs="Calibri"/>
          <w:b/>
          <w:bCs/>
          <w:i/>
          <w:iCs/>
          <w:color w:val="000000"/>
          <w:szCs w:val="28"/>
          <w:lang w:val="en-IE" w:eastAsia="en-US"/>
        </w:rPr>
        <w:t>5</w:t>
      </w:r>
      <w:r w:rsidR="002C2EA2">
        <w:rPr>
          <w:rFonts w:ascii="Calibri" w:eastAsia="Times New Roman" w:hAnsi="Calibri" w:cs="Calibri"/>
          <w:b/>
          <w:bCs/>
          <w:i/>
          <w:iCs/>
          <w:color w:val="000000"/>
          <w:szCs w:val="28"/>
          <w:lang w:val="en-IE" w:eastAsia="en-US"/>
        </w:rPr>
        <w:t xml:space="preserve"> </w:t>
      </w:r>
      <w:r w:rsidRPr="00AA4290">
        <w:rPr>
          <w:rFonts w:ascii="Calibri" w:eastAsia="Times New Roman" w:hAnsi="Calibri" w:cs="Calibri"/>
          <w:b/>
          <w:bCs/>
          <w:i/>
          <w:iCs/>
          <w:color w:val="000000"/>
          <w:szCs w:val="28"/>
          <w:lang w:val="en-IE" w:eastAsia="en-US"/>
        </w:rPr>
        <w:t>(unaudited)</w:t>
      </w:r>
    </w:p>
    <w:p w14:paraId="21FB6670"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US"/>
        </w:rPr>
      </w:pPr>
    </w:p>
    <w:tbl>
      <w:tblPr>
        <w:tblW w:w="10665" w:type="dxa"/>
        <w:tblInd w:w="108" w:type="dxa"/>
        <w:tblLayout w:type="fixed"/>
        <w:tblLook w:val="04A0" w:firstRow="1" w:lastRow="0" w:firstColumn="1" w:lastColumn="0" w:noHBand="0" w:noVBand="1"/>
      </w:tblPr>
      <w:tblGrid>
        <w:gridCol w:w="295"/>
        <w:gridCol w:w="7252"/>
        <w:gridCol w:w="720"/>
        <w:gridCol w:w="1265"/>
        <w:gridCol w:w="1133"/>
      </w:tblGrid>
      <w:tr w:rsidR="00AA4290" w:rsidRPr="00AA4290" w14:paraId="3C5B11CE" w14:textId="77777777" w:rsidTr="00EB7986">
        <w:trPr>
          <w:trHeight w:val="272"/>
        </w:trPr>
        <w:tc>
          <w:tcPr>
            <w:tcW w:w="295" w:type="dxa"/>
            <w:shd w:val="clear" w:color="auto" w:fill="FFFFFF"/>
            <w:vAlign w:val="center"/>
            <w:hideMark/>
          </w:tcPr>
          <w:p w14:paraId="4495AD88"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3D2F01E3"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4F68463E"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shd w:val="clear" w:color="auto" w:fill="FFFF00"/>
            <w:vAlign w:val="center"/>
            <w:hideMark/>
          </w:tcPr>
          <w:p w14:paraId="6E5B9E20"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Half-Year</w:t>
            </w:r>
          </w:p>
        </w:tc>
        <w:tc>
          <w:tcPr>
            <w:tcW w:w="1133" w:type="dxa"/>
            <w:shd w:val="clear" w:color="auto" w:fill="FFFFFF"/>
            <w:vAlign w:val="center"/>
            <w:hideMark/>
          </w:tcPr>
          <w:p w14:paraId="4BCE1727" w14:textId="77777777"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Half-Year</w:t>
            </w:r>
          </w:p>
        </w:tc>
      </w:tr>
      <w:tr w:rsidR="00AA4290" w:rsidRPr="00AA4290" w14:paraId="2A82F755" w14:textId="77777777" w:rsidTr="00EB7986">
        <w:trPr>
          <w:trHeight w:val="272"/>
        </w:trPr>
        <w:tc>
          <w:tcPr>
            <w:tcW w:w="295" w:type="dxa"/>
            <w:shd w:val="clear" w:color="auto" w:fill="FFFFFF"/>
            <w:vAlign w:val="center"/>
            <w:hideMark/>
          </w:tcPr>
          <w:p w14:paraId="0CC6CF20"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4204B672"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49D8199E"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shd w:val="clear" w:color="auto" w:fill="FFFF00"/>
            <w:vAlign w:val="center"/>
            <w:hideMark/>
          </w:tcPr>
          <w:p w14:paraId="025B92F3"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Ended</w:t>
            </w:r>
          </w:p>
        </w:tc>
        <w:tc>
          <w:tcPr>
            <w:tcW w:w="1133" w:type="dxa"/>
            <w:shd w:val="clear" w:color="auto" w:fill="FFFFFF"/>
            <w:vAlign w:val="center"/>
            <w:hideMark/>
          </w:tcPr>
          <w:p w14:paraId="0E2131DF" w14:textId="77777777"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Ended</w:t>
            </w:r>
          </w:p>
        </w:tc>
      </w:tr>
      <w:tr w:rsidR="00AA4290" w:rsidRPr="00AA4290" w14:paraId="75EC0C9D" w14:textId="77777777" w:rsidTr="00EB7986">
        <w:trPr>
          <w:trHeight w:val="272"/>
        </w:trPr>
        <w:tc>
          <w:tcPr>
            <w:tcW w:w="295" w:type="dxa"/>
            <w:vMerge w:val="restart"/>
            <w:shd w:val="clear" w:color="auto" w:fill="FFFFFF"/>
            <w:vAlign w:val="center"/>
            <w:hideMark/>
          </w:tcPr>
          <w:p w14:paraId="7D572EA6"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14A58E0B"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vMerge w:val="restart"/>
            <w:shd w:val="clear" w:color="auto" w:fill="FFFFFF"/>
            <w:vAlign w:val="center"/>
            <w:hideMark/>
          </w:tcPr>
          <w:p w14:paraId="2E46F9AA"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shd w:val="clear" w:color="auto" w:fill="FFFF00"/>
            <w:vAlign w:val="center"/>
            <w:hideMark/>
          </w:tcPr>
          <w:p w14:paraId="73E4B50A"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xml:space="preserve">Sep 30, </w:t>
            </w:r>
          </w:p>
        </w:tc>
        <w:tc>
          <w:tcPr>
            <w:tcW w:w="1133" w:type="dxa"/>
            <w:shd w:val="clear" w:color="auto" w:fill="FFFFFF"/>
            <w:vAlign w:val="center"/>
            <w:hideMark/>
          </w:tcPr>
          <w:p w14:paraId="28022902" w14:textId="77777777"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 xml:space="preserve">Sep 30, </w:t>
            </w:r>
          </w:p>
        </w:tc>
      </w:tr>
      <w:tr w:rsidR="00AA4290" w:rsidRPr="00AA4290" w14:paraId="4609CBC5" w14:textId="77777777" w:rsidTr="00EB7986">
        <w:trPr>
          <w:trHeight w:val="272"/>
        </w:trPr>
        <w:tc>
          <w:tcPr>
            <w:tcW w:w="295" w:type="dxa"/>
            <w:vMerge/>
            <w:vAlign w:val="center"/>
            <w:hideMark/>
          </w:tcPr>
          <w:p w14:paraId="7BACC989"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7252" w:type="dxa"/>
            <w:shd w:val="clear" w:color="auto" w:fill="FFFFFF"/>
            <w:vAlign w:val="center"/>
            <w:hideMark/>
          </w:tcPr>
          <w:p w14:paraId="2EBC7931"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vMerge/>
            <w:vAlign w:val="center"/>
            <w:hideMark/>
          </w:tcPr>
          <w:p w14:paraId="0F822059"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p>
        </w:tc>
        <w:tc>
          <w:tcPr>
            <w:tcW w:w="1265" w:type="dxa"/>
            <w:shd w:val="clear" w:color="auto" w:fill="FFFF00"/>
            <w:hideMark/>
          </w:tcPr>
          <w:p w14:paraId="0E1FBE1E" w14:textId="709703A0"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202</w:t>
            </w:r>
            <w:r w:rsidR="00565B53">
              <w:rPr>
                <w:rFonts w:ascii="Calibri" w:eastAsia="Times New Roman" w:hAnsi="Calibri" w:cs="Calibri"/>
                <w:b/>
                <w:bCs/>
                <w:color w:val="000000"/>
                <w:sz w:val="22"/>
                <w:szCs w:val="22"/>
                <w:lang w:val="en-IE" w:eastAsia="en-IE"/>
              </w:rPr>
              <w:t>5</w:t>
            </w:r>
          </w:p>
        </w:tc>
        <w:tc>
          <w:tcPr>
            <w:tcW w:w="1133" w:type="dxa"/>
            <w:shd w:val="clear" w:color="auto" w:fill="FFFFFF"/>
            <w:vAlign w:val="center"/>
            <w:hideMark/>
          </w:tcPr>
          <w:p w14:paraId="72CD38D2" w14:textId="10B82B61"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202</w:t>
            </w:r>
            <w:r w:rsidR="00565B53">
              <w:rPr>
                <w:rFonts w:ascii="Calibri" w:eastAsia="Times New Roman" w:hAnsi="Calibri" w:cs="Calibri"/>
                <w:bCs/>
                <w:color w:val="000000"/>
                <w:sz w:val="22"/>
                <w:szCs w:val="22"/>
                <w:lang w:val="en-IE" w:eastAsia="en-IE"/>
              </w:rPr>
              <w:t>4</w:t>
            </w:r>
          </w:p>
        </w:tc>
      </w:tr>
      <w:tr w:rsidR="00AA4290" w:rsidRPr="00AA4290" w14:paraId="302B97E0" w14:textId="77777777" w:rsidTr="00EB7986">
        <w:trPr>
          <w:trHeight w:val="272"/>
        </w:trPr>
        <w:tc>
          <w:tcPr>
            <w:tcW w:w="295" w:type="dxa"/>
            <w:shd w:val="clear" w:color="auto" w:fill="FFFFFF"/>
            <w:vAlign w:val="center"/>
            <w:hideMark/>
          </w:tcPr>
          <w:p w14:paraId="00DB2B99"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732436B0"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4F53014A" w14:textId="77777777" w:rsidR="00AA4290" w:rsidRPr="00AA4290" w:rsidRDefault="00AA4290" w:rsidP="00AA4290">
            <w:pPr>
              <w:spacing w:after="0" w:line="240" w:lineRule="auto"/>
              <w:jc w:val="right"/>
              <w:rPr>
                <w:rFonts w:ascii="Calibri" w:eastAsia="Times New Roman" w:hAnsi="Calibri" w:cs="Calibri"/>
                <w:b/>
                <w:bCs/>
                <w:color w:val="000000"/>
                <w:sz w:val="22"/>
                <w:szCs w:val="22"/>
                <w:u w:val="single"/>
                <w:lang w:val="en-IE" w:eastAsia="en-IE"/>
              </w:rPr>
            </w:pPr>
          </w:p>
        </w:tc>
        <w:tc>
          <w:tcPr>
            <w:tcW w:w="1265" w:type="dxa"/>
            <w:shd w:val="clear" w:color="auto" w:fill="FFFF00"/>
            <w:vAlign w:val="center"/>
            <w:hideMark/>
          </w:tcPr>
          <w:p w14:paraId="3E6542EF" w14:textId="77777777" w:rsidR="00AA4290" w:rsidRPr="00AA4290" w:rsidRDefault="00AA4290" w:rsidP="00AA4290">
            <w:pPr>
              <w:spacing w:after="0" w:line="240" w:lineRule="auto"/>
              <w:jc w:val="right"/>
              <w:rPr>
                <w:rFonts w:ascii="Calibri" w:eastAsia="Times New Roman" w:hAnsi="Calibri" w:cs="Calibri"/>
                <w:b/>
                <w:bCs/>
                <w:color w:val="000000"/>
                <w:sz w:val="22"/>
                <w:szCs w:val="22"/>
                <w:u w:val="single"/>
                <w:lang w:val="en-IE" w:eastAsia="en-IE"/>
              </w:rPr>
            </w:pPr>
            <w:r w:rsidRPr="00AA4290">
              <w:rPr>
                <w:rFonts w:ascii="Calibri" w:eastAsia="Times New Roman" w:hAnsi="Calibri" w:cs="Calibri"/>
                <w:b/>
                <w:bCs/>
                <w:color w:val="000000"/>
                <w:sz w:val="22"/>
                <w:szCs w:val="22"/>
                <w:u w:val="single"/>
                <w:lang w:val="en-IE" w:eastAsia="en-IE"/>
              </w:rPr>
              <w:t>€M</w:t>
            </w:r>
          </w:p>
        </w:tc>
        <w:tc>
          <w:tcPr>
            <w:tcW w:w="1133" w:type="dxa"/>
            <w:shd w:val="clear" w:color="auto" w:fill="FFFFFF"/>
            <w:vAlign w:val="center"/>
            <w:hideMark/>
          </w:tcPr>
          <w:p w14:paraId="4DC59680" w14:textId="77777777" w:rsidR="00AA4290" w:rsidRPr="00AA4290" w:rsidRDefault="00AA4290" w:rsidP="00AA4290">
            <w:pPr>
              <w:spacing w:after="0" w:line="240" w:lineRule="auto"/>
              <w:jc w:val="right"/>
              <w:rPr>
                <w:rFonts w:ascii="Calibri" w:eastAsia="Times New Roman" w:hAnsi="Calibri" w:cs="Calibri"/>
                <w:bCs/>
                <w:color w:val="000000"/>
                <w:sz w:val="22"/>
                <w:szCs w:val="22"/>
                <w:u w:val="single"/>
                <w:lang w:val="en-IE" w:eastAsia="en-IE"/>
              </w:rPr>
            </w:pPr>
            <w:r w:rsidRPr="00AA4290">
              <w:rPr>
                <w:rFonts w:ascii="Calibri" w:eastAsia="Times New Roman" w:hAnsi="Calibri" w:cs="Calibri"/>
                <w:bCs/>
                <w:color w:val="000000"/>
                <w:sz w:val="22"/>
                <w:szCs w:val="22"/>
                <w:u w:val="single"/>
                <w:lang w:val="en-IE" w:eastAsia="en-IE"/>
              </w:rPr>
              <w:t>€M</w:t>
            </w:r>
          </w:p>
        </w:tc>
      </w:tr>
      <w:tr w:rsidR="00AA4290" w:rsidRPr="00AA4290" w14:paraId="7FEA5FA7" w14:textId="77777777" w:rsidTr="00EB7986">
        <w:trPr>
          <w:trHeight w:val="272"/>
        </w:trPr>
        <w:tc>
          <w:tcPr>
            <w:tcW w:w="7547" w:type="dxa"/>
            <w:gridSpan w:val="2"/>
            <w:shd w:val="clear" w:color="auto" w:fill="FFFFFF"/>
            <w:vAlign w:val="center"/>
            <w:hideMark/>
          </w:tcPr>
          <w:p w14:paraId="136E2B05"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Operating activities</w:t>
            </w:r>
          </w:p>
        </w:tc>
        <w:tc>
          <w:tcPr>
            <w:tcW w:w="720" w:type="dxa"/>
            <w:shd w:val="clear" w:color="auto" w:fill="FFFFFF"/>
            <w:vAlign w:val="center"/>
            <w:hideMark/>
          </w:tcPr>
          <w:p w14:paraId="04750C9A"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shd w:val="clear" w:color="auto" w:fill="FFFF00"/>
            <w:vAlign w:val="center"/>
            <w:hideMark/>
          </w:tcPr>
          <w:p w14:paraId="197122C0"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p>
        </w:tc>
        <w:tc>
          <w:tcPr>
            <w:tcW w:w="1133" w:type="dxa"/>
            <w:shd w:val="clear" w:color="auto" w:fill="FFFFFF"/>
            <w:vAlign w:val="center"/>
            <w:hideMark/>
          </w:tcPr>
          <w:p w14:paraId="244ED912" w14:textId="77777777" w:rsidR="00AA4290" w:rsidRPr="00AA4290" w:rsidRDefault="00AA4290" w:rsidP="00AA4290">
            <w:pPr>
              <w:spacing w:after="0" w:line="240" w:lineRule="auto"/>
              <w:rPr>
                <w:rFonts w:ascii="Calibri" w:eastAsia="Calibri" w:hAnsi="Calibri" w:cs="Calibri"/>
                <w:sz w:val="22"/>
                <w:szCs w:val="22"/>
                <w:lang w:val="en-IE" w:eastAsia="en-IE"/>
              </w:rPr>
            </w:pPr>
          </w:p>
        </w:tc>
      </w:tr>
      <w:tr w:rsidR="00AA4290" w:rsidRPr="00AA4290" w14:paraId="508DA230" w14:textId="77777777" w:rsidTr="00EB7986">
        <w:trPr>
          <w:trHeight w:val="272"/>
        </w:trPr>
        <w:tc>
          <w:tcPr>
            <w:tcW w:w="295" w:type="dxa"/>
            <w:shd w:val="clear" w:color="auto" w:fill="FFFFFF"/>
            <w:vAlign w:val="center"/>
            <w:hideMark/>
          </w:tcPr>
          <w:p w14:paraId="5D647AE2"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72CB1B9F"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Profit after tax</w:t>
            </w:r>
          </w:p>
        </w:tc>
        <w:tc>
          <w:tcPr>
            <w:tcW w:w="720" w:type="dxa"/>
            <w:shd w:val="clear" w:color="auto" w:fill="FFFFFF"/>
            <w:vAlign w:val="center"/>
            <w:hideMark/>
          </w:tcPr>
          <w:p w14:paraId="74EF95B3"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264EE672" w14:textId="05E95F1F" w:rsidR="00AA4290" w:rsidRPr="00AA4290" w:rsidRDefault="00AE5CAC"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2,538.8</w:t>
            </w:r>
          </w:p>
        </w:tc>
        <w:tc>
          <w:tcPr>
            <w:tcW w:w="1133" w:type="dxa"/>
            <w:shd w:val="clear" w:color="auto" w:fill="FFFFFF"/>
            <w:vAlign w:val="center"/>
          </w:tcPr>
          <w:p w14:paraId="3BEB64FA" w14:textId="45C4E42E"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1,791.2</w:t>
            </w:r>
          </w:p>
        </w:tc>
      </w:tr>
      <w:tr w:rsidR="00AA4290" w:rsidRPr="00AA4290" w14:paraId="7991A7A6" w14:textId="77777777" w:rsidTr="00EB7986">
        <w:trPr>
          <w:trHeight w:val="113"/>
        </w:trPr>
        <w:tc>
          <w:tcPr>
            <w:tcW w:w="295" w:type="dxa"/>
            <w:shd w:val="clear" w:color="auto" w:fill="FFFFFF"/>
            <w:vAlign w:val="center"/>
            <w:hideMark/>
          </w:tcPr>
          <w:p w14:paraId="6493DD55"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179EF42D" w14:textId="77777777" w:rsidR="00AA4290" w:rsidRPr="00AA4290" w:rsidRDefault="00AA4290" w:rsidP="00AA4290">
            <w:pPr>
              <w:spacing w:after="0" w:line="240" w:lineRule="auto"/>
              <w:ind w:right="-395"/>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480A2436"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481BF87E" w14:textId="77777777" w:rsidR="00AA4290" w:rsidRPr="00AA4290" w:rsidRDefault="00AA4290" w:rsidP="00AA4290">
            <w:pPr>
              <w:spacing w:after="0" w:line="240" w:lineRule="auto"/>
              <w:jc w:val="right"/>
              <w:rPr>
                <w:rFonts w:ascii="Calibri" w:eastAsia="Calibri" w:hAnsi="Calibri" w:cs="Calibri"/>
                <w:b/>
                <w:sz w:val="22"/>
                <w:szCs w:val="22"/>
                <w:lang w:val="en-IE" w:eastAsia="en-IE"/>
              </w:rPr>
            </w:pPr>
          </w:p>
        </w:tc>
        <w:tc>
          <w:tcPr>
            <w:tcW w:w="1133" w:type="dxa"/>
            <w:shd w:val="clear" w:color="auto" w:fill="FFFFFF"/>
            <w:vAlign w:val="center"/>
          </w:tcPr>
          <w:p w14:paraId="7418E18C" w14:textId="77777777" w:rsidR="00AA4290" w:rsidRPr="00AA4290" w:rsidRDefault="00AA4290" w:rsidP="00AA4290">
            <w:pPr>
              <w:spacing w:after="0" w:line="240" w:lineRule="auto"/>
              <w:jc w:val="right"/>
              <w:rPr>
                <w:rFonts w:ascii="Calibri" w:eastAsia="Calibri" w:hAnsi="Calibri" w:cs="Calibri"/>
                <w:bCs/>
                <w:sz w:val="22"/>
                <w:szCs w:val="22"/>
                <w:lang w:val="en-IE" w:eastAsia="en-IE"/>
              </w:rPr>
            </w:pPr>
          </w:p>
        </w:tc>
      </w:tr>
      <w:tr w:rsidR="00AA4290" w:rsidRPr="00AA4290" w14:paraId="2B202F83" w14:textId="77777777" w:rsidTr="00EB7986">
        <w:trPr>
          <w:trHeight w:val="272"/>
        </w:trPr>
        <w:tc>
          <w:tcPr>
            <w:tcW w:w="7547" w:type="dxa"/>
            <w:gridSpan w:val="2"/>
            <w:shd w:val="clear" w:color="auto" w:fill="FFFFFF"/>
            <w:vAlign w:val="center"/>
            <w:hideMark/>
          </w:tcPr>
          <w:p w14:paraId="63D98BCE" w14:textId="77777777" w:rsidR="00AA4290" w:rsidRPr="00AA4290" w:rsidRDefault="00AA4290" w:rsidP="00AA4290">
            <w:pPr>
              <w:spacing w:after="0" w:line="240" w:lineRule="auto"/>
              <w:ind w:right="-111"/>
              <w:rPr>
                <w:rFonts w:ascii="Calibri" w:eastAsia="Times New Roman" w:hAnsi="Calibri" w:cs="Calibri"/>
                <w:b/>
                <w:bCs/>
                <w:i/>
                <w:iCs/>
                <w:color w:val="000000"/>
                <w:sz w:val="22"/>
                <w:szCs w:val="22"/>
                <w:lang w:val="en-IE" w:eastAsia="en-IE"/>
              </w:rPr>
            </w:pPr>
            <w:r w:rsidRPr="00AA4290">
              <w:rPr>
                <w:rFonts w:ascii="Calibri" w:eastAsia="Times New Roman" w:hAnsi="Calibri" w:cs="Calibri"/>
                <w:b/>
                <w:bCs/>
                <w:i/>
                <w:iCs/>
                <w:color w:val="000000"/>
                <w:sz w:val="22"/>
                <w:szCs w:val="22"/>
                <w:lang w:val="en-IE" w:eastAsia="en-IE"/>
              </w:rPr>
              <w:t>Adjustments to reconcile profit after tax to net cash from operating activities</w:t>
            </w:r>
          </w:p>
        </w:tc>
        <w:tc>
          <w:tcPr>
            <w:tcW w:w="720" w:type="dxa"/>
            <w:shd w:val="clear" w:color="auto" w:fill="FFFFFF"/>
            <w:vAlign w:val="center"/>
            <w:hideMark/>
          </w:tcPr>
          <w:p w14:paraId="2BD54B75" w14:textId="77777777"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 </w:t>
            </w:r>
          </w:p>
        </w:tc>
        <w:tc>
          <w:tcPr>
            <w:tcW w:w="1265" w:type="dxa"/>
            <w:shd w:val="clear" w:color="auto" w:fill="FFFF00"/>
            <w:vAlign w:val="center"/>
          </w:tcPr>
          <w:p w14:paraId="30BC9761"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center"/>
          </w:tcPr>
          <w:p w14:paraId="4E082FD7" w14:textId="77777777" w:rsidR="00AA4290" w:rsidRPr="00AA4290" w:rsidRDefault="00AA4290" w:rsidP="00AA4290">
            <w:pPr>
              <w:spacing w:after="0" w:line="240" w:lineRule="auto"/>
              <w:jc w:val="right"/>
              <w:rPr>
                <w:rFonts w:ascii="Calibri" w:eastAsia="Calibri" w:hAnsi="Calibri" w:cs="Calibri"/>
                <w:bCs/>
                <w:sz w:val="22"/>
                <w:szCs w:val="22"/>
                <w:lang w:val="en-IE" w:eastAsia="en-IE"/>
              </w:rPr>
            </w:pPr>
          </w:p>
        </w:tc>
      </w:tr>
      <w:tr w:rsidR="00AA4290" w:rsidRPr="00AA4290" w14:paraId="4269838C" w14:textId="77777777" w:rsidTr="00EB7986">
        <w:trPr>
          <w:trHeight w:val="272"/>
        </w:trPr>
        <w:tc>
          <w:tcPr>
            <w:tcW w:w="295" w:type="dxa"/>
            <w:shd w:val="clear" w:color="auto" w:fill="FFFFFF"/>
            <w:vAlign w:val="center"/>
            <w:hideMark/>
          </w:tcPr>
          <w:p w14:paraId="0CCB775B"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74AE8B76"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Depreciation</w:t>
            </w:r>
          </w:p>
        </w:tc>
        <w:tc>
          <w:tcPr>
            <w:tcW w:w="720" w:type="dxa"/>
            <w:shd w:val="clear" w:color="auto" w:fill="FFFFFF"/>
            <w:vAlign w:val="center"/>
            <w:hideMark/>
          </w:tcPr>
          <w:p w14:paraId="672930EA"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3246755F" w14:textId="183E685E" w:rsidR="00AA4290" w:rsidRPr="00AA4290" w:rsidRDefault="00714D13"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687.5</w:t>
            </w:r>
          </w:p>
        </w:tc>
        <w:tc>
          <w:tcPr>
            <w:tcW w:w="1133" w:type="dxa"/>
            <w:shd w:val="clear" w:color="auto" w:fill="FFFFFF"/>
            <w:vAlign w:val="center"/>
          </w:tcPr>
          <w:p w14:paraId="54119AB9" w14:textId="6FD61474"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627.4</w:t>
            </w:r>
          </w:p>
        </w:tc>
      </w:tr>
      <w:tr w:rsidR="00AA4290" w:rsidRPr="00AA4290" w14:paraId="75D7C353" w14:textId="77777777" w:rsidTr="00EB7986">
        <w:trPr>
          <w:trHeight w:val="272"/>
        </w:trPr>
        <w:tc>
          <w:tcPr>
            <w:tcW w:w="295" w:type="dxa"/>
            <w:shd w:val="clear" w:color="auto" w:fill="FFFFFF"/>
            <w:vAlign w:val="center"/>
            <w:hideMark/>
          </w:tcPr>
          <w:p w14:paraId="64E8719E"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445B997C" w14:textId="14124018" w:rsidR="00AA4290" w:rsidRPr="00AA4290" w:rsidRDefault="005F2065" w:rsidP="00AA4290">
            <w:pPr>
              <w:spacing w:after="0" w:line="240" w:lineRule="auto"/>
              <w:rPr>
                <w:rFonts w:ascii="Calibri" w:eastAsia="Times New Roman" w:hAnsi="Calibri" w:cs="Calibri"/>
                <w:color w:val="000000"/>
                <w:sz w:val="22"/>
                <w:szCs w:val="22"/>
                <w:lang w:val="en-IE" w:eastAsia="en-IE"/>
              </w:rPr>
            </w:pPr>
            <w:r w:rsidRPr="005F2065">
              <w:rPr>
                <w:rFonts w:ascii="Calibri" w:eastAsia="Times New Roman" w:hAnsi="Calibri" w:cs="Calibri"/>
                <w:color w:val="000000"/>
                <w:sz w:val="22"/>
                <w:szCs w:val="22"/>
                <w:lang w:val="en-IE" w:eastAsia="en-IE"/>
              </w:rPr>
              <w:t>(Increase)/</w:t>
            </w:r>
            <w:r w:rsidR="00AA4290" w:rsidRPr="005F2065">
              <w:rPr>
                <w:rFonts w:ascii="Calibri" w:eastAsia="Times New Roman" w:hAnsi="Calibri" w:cs="Calibri"/>
                <w:color w:val="000000"/>
                <w:sz w:val="22"/>
                <w:szCs w:val="22"/>
                <w:lang w:val="en-IE" w:eastAsia="en-IE"/>
              </w:rPr>
              <w:t>Decrease</w:t>
            </w:r>
            <w:r w:rsidR="00AA4290" w:rsidRPr="00AA4290">
              <w:rPr>
                <w:rFonts w:ascii="Calibri" w:eastAsia="Times New Roman" w:hAnsi="Calibri" w:cs="Calibri"/>
                <w:color w:val="000000"/>
                <w:sz w:val="22"/>
                <w:szCs w:val="22"/>
                <w:lang w:val="en-IE" w:eastAsia="en-IE"/>
              </w:rPr>
              <w:t xml:space="preserve"> in inventories</w:t>
            </w:r>
          </w:p>
        </w:tc>
        <w:tc>
          <w:tcPr>
            <w:tcW w:w="720" w:type="dxa"/>
            <w:shd w:val="clear" w:color="auto" w:fill="FFFFFF"/>
            <w:vAlign w:val="center"/>
            <w:hideMark/>
          </w:tcPr>
          <w:p w14:paraId="091BF0C8"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0FF0EE1E" w14:textId="713AD0A0" w:rsidR="00AA4290" w:rsidRPr="00AA4290" w:rsidRDefault="00714D13"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(0.7)</w:t>
            </w:r>
          </w:p>
        </w:tc>
        <w:tc>
          <w:tcPr>
            <w:tcW w:w="1133" w:type="dxa"/>
            <w:shd w:val="clear" w:color="auto" w:fill="FFFFFF"/>
            <w:vAlign w:val="center"/>
          </w:tcPr>
          <w:p w14:paraId="28EBB6FD" w14:textId="659B59FA"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1.5</w:t>
            </w:r>
          </w:p>
        </w:tc>
      </w:tr>
      <w:tr w:rsidR="00AA4290" w:rsidRPr="00AA4290" w14:paraId="2E77A57D" w14:textId="77777777" w:rsidTr="00EB7986">
        <w:trPr>
          <w:trHeight w:val="272"/>
        </w:trPr>
        <w:tc>
          <w:tcPr>
            <w:tcW w:w="295" w:type="dxa"/>
            <w:shd w:val="clear" w:color="auto" w:fill="FFFFFF"/>
            <w:vAlign w:val="center"/>
            <w:hideMark/>
          </w:tcPr>
          <w:p w14:paraId="716D48ED"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08939D05"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Tax charge on profit</w:t>
            </w:r>
          </w:p>
        </w:tc>
        <w:tc>
          <w:tcPr>
            <w:tcW w:w="720" w:type="dxa"/>
            <w:shd w:val="clear" w:color="auto" w:fill="FFFFFF"/>
            <w:vAlign w:val="center"/>
            <w:hideMark/>
          </w:tcPr>
          <w:p w14:paraId="21FB721B"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46552C82" w14:textId="0C83956B" w:rsidR="00AA4290" w:rsidRPr="00AA4290" w:rsidRDefault="00661D3D"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352.8</w:t>
            </w:r>
          </w:p>
        </w:tc>
        <w:tc>
          <w:tcPr>
            <w:tcW w:w="1133" w:type="dxa"/>
            <w:shd w:val="clear" w:color="auto" w:fill="FFFFFF"/>
            <w:vAlign w:val="center"/>
          </w:tcPr>
          <w:p w14:paraId="4C9941A1" w14:textId="21C4FA72"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275.7</w:t>
            </w:r>
          </w:p>
        </w:tc>
      </w:tr>
      <w:tr w:rsidR="00AA4290" w:rsidRPr="00AA4290" w14:paraId="4D6AECA4" w14:textId="77777777" w:rsidTr="00EB7986">
        <w:trPr>
          <w:trHeight w:val="272"/>
        </w:trPr>
        <w:tc>
          <w:tcPr>
            <w:tcW w:w="295" w:type="dxa"/>
            <w:shd w:val="clear" w:color="auto" w:fill="FFFFFF"/>
            <w:vAlign w:val="center"/>
            <w:hideMark/>
          </w:tcPr>
          <w:p w14:paraId="3F148ABF"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121B8F2A"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Share based payments</w:t>
            </w:r>
          </w:p>
        </w:tc>
        <w:tc>
          <w:tcPr>
            <w:tcW w:w="720" w:type="dxa"/>
            <w:shd w:val="clear" w:color="auto" w:fill="FFFFFF"/>
            <w:vAlign w:val="center"/>
            <w:hideMark/>
          </w:tcPr>
          <w:p w14:paraId="46500690"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0718A705" w14:textId="75B8E836" w:rsidR="00AA4290" w:rsidRPr="00AA4290" w:rsidRDefault="000F631E"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9.0</w:t>
            </w:r>
          </w:p>
        </w:tc>
        <w:tc>
          <w:tcPr>
            <w:tcW w:w="1133" w:type="dxa"/>
            <w:shd w:val="clear" w:color="auto" w:fill="FFFFFF"/>
            <w:vAlign w:val="center"/>
          </w:tcPr>
          <w:p w14:paraId="57CC2316" w14:textId="63ADAC6F"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7.7</w:t>
            </w:r>
          </w:p>
        </w:tc>
      </w:tr>
      <w:tr w:rsidR="00AA4290" w:rsidRPr="00AA4290" w14:paraId="777309A2" w14:textId="77777777" w:rsidTr="00EB7986">
        <w:trPr>
          <w:trHeight w:val="272"/>
        </w:trPr>
        <w:tc>
          <w:tcPr>
            <w:tcW w:w="295" w:type="dxa"/>
            <w:shd w:val="clear" w:color="auto" w:fill="FFFFFF"/>
            <w:vAlign w:val="center"/>
            <w:hideMark/>
          </w:tcPr>
          <w:p w14:paraId="1A052DC4" w14:textId="77777777" w:rsidR="00AA4290" w:rsidRPr="00AA4290" w:rsidRDefault="00AA4290" w:rsidP="00AA4290">
            <w:pPr>
              <w:spacing w:after="0" w:line="240" w:lineRule="auto"/>
              <w:jc w:val="center"/>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53B9780B"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362279">
              <w:rPr>
                <w:rFonts w:ascii="Calibri" w:eastAsia="Times New Roman" w:hAnsi="Calibri" w:cs="Calibri"/>
                <w:color w:val="000000"/>
                <w:sz w:val="22"/>
                <w:szCs w:val="22"/>
                <w:lang w:val="en-IE" w:eastAsia="en-IE"/>
              </w:rPr>
              <w:t>(Increase)</w:t>
            </w:r>
            <w:r w:rsidRPr="00AA4290">
              <w:rPr>
                <w:rFonts w:ascii="Calibri" w:eastAsia="Times New Roman" w:hAnsi="Calibri" w:cs="Calibri"/>
                <w:color w:val="000000"/>
                <w:sz w:val="22"/>
                <w:szCs w:val="22"/>
                <w:lang w:val="en-IE" w:eastAsia="en-IE"/>
              </w:rPr>
              <w:t xml:space="preserve"> in trade receivables</w:t>
            </w:r>
          </w:p>
        </w:tc>
        <w:tc>
          <w:tcPr>
            <w:tcW w:w="720" w:type="dxa"/>
            <w:shd w:val="clear" w:color="auto" w:fill="FFFFFF"/>
            <w:vAlign w:val="center"/>
            <w:hideMark/>
          </w:tcPr>
          <w:p w14:paraId="0D3F0E8C"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471DCE73" w14:textId="3BA85BDC" w:rsidR="00AA4290" w:rsidRPr="00AA4290" w:rsidRDefault="002F6730"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(4.2)</w:t>
            </w:r>
          </w:p>
        </w:tc>
        <w:tc>
          <w:tcPr>
            <w:tcW w:w="1133" w:type="dxa"/>
            <w:shd w:val="clear" w:color="auto" w:fill="FFFFFF"/>
            <w:vAlign w:val="center"/>
          </w:tcPr>
          <w:p w14:paraId="5D85F774" w14:textId="1C29598E"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04F99">
              <w:rPr>
                <w:rFonts w:ascii="Calibri" w:eastAsia="Times New Roman" w:hAnsi="Calibri" w:cs="Calibri"/>
                <w:bCs/>
                <w:color w:val="000000"/>
                <w:sz w:val="22"/>
                <w:szCs w:val="22"/>
                <w:lang w:val="en-IE" w:eastAsia="en-IE"/>
              </w:rPr>
              <w:t>18.6)</w:t>
            </w:r>
          </w:p>
        </w:tc>
      </w:tr>
      <w:tr w:rsidR="00AA4290" w:rsidRPr="00AA4290" w14:paraId="2D7CA85E" w14:textId="77777777" w:rsidTr="00EB7986">
        <w:trPr>
          <w:trHeight w:val="272"/>
        </w:trPr>
        <w:tc>
          <w:tcPr>
            <w:tcW w:w="295" w:type="dxa"/>
            <w:shd w:val="clear" w:color="auto" w:fill="FFFFFF"/>
            <w:vAlign w:val="center"/>
            <w:hideMark/>
          </w:tcPr>
          <w:p w14:paraId="13458CA8"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6E31C5CC" w14:textId="2D30CAF7" w:rsidR="00AA4290" w:rsidRPr="00AA4290" w:rsidRDefault="00362279" w:rsidP="00AA4290">
            <w:pPr>
              <w:spacing w:after="0" w:line="240" w:lineRule="auto"/>
              <w:rPr>
                <w:rFonts w:ascii="Calibri" w:eastAsia="Times New Roman" w:hAnsi="Calibri" w:cs="Calibri"/>
                <w:color w:val="000000"/>
                <w:sz w:val="22"/>
                <w:szCs w:val="22"/>
                <w:lang w:val="en-IE" w:eastAsia="en-IE"/>
              </w:rPr>
            </w:pPr>
            <w:r w:rsidRPr="00362279">
              <w:rPr>
                <w:rFonts w:ascii="Calibri" w:eastAsia="Times New Roman" w:hAnsi="Calibri" w:cs="Calibri"/>
                <w:color w:val="000000"/>
                <w:sz w:val="22"/>
                <w:szCs w:val="22"/>
                <w:lang w:val="en-IE" w:eastAsia="en-IE"/>
              </w:rPr>
              <w:t>Decrease/</w:t>
            </w:r>
            <w:r w:rsidR="00AA4290" w:rsidRPr="00362279">
              <w:rPr>
                <w:rFonts w:ascii="Calibri" w:eastAsia="Times New Roman" w:hAnsi="Calibri" w:cs="Calibri"/>
                <w:color w:val="000000"/>
                <w:sz w:val="22"/>
                <w:szCs w:val="22"/>
                <w:lang w:val="en-IE" w:eastAsia="en-IE"/>
              </w:rPr>
              <w:t>(Increase)</w:t>
            </w:r>
            <w:r w:rsidR="00AA4290" w:rsidRPr="00AA4290">
              <w:rPr>
                <w:rFonts w:ascii="Calibri" w:eastAsia="Times New Roman" w:hAnsi="Calibri" w:cs="Calibri"/>
                <w:color w:val="000000"/>
                <w:sz w:val="22"/>
                <w:szCs w:val="22"/>
                <w:lang w:val="en-IE" w:eastAsia="en-IE"/>
              </w:rPr>
              <w:t xml:space="preserve"> in other assets</w:t>
            </w:r>
          </w:p>
        </w:tc>
        <w:tc>
          <w:tcPr>
            <w:tcW w:w="720" w:type="dxa"/>
            <w:shd w:val="clear" w:color="auto" w:fill="FFFFFF"/>
            <w:vAlign w:val="center"/>
            <w:hideMark/>
          </w:tcPr>
          <w:p w14:paraId="067E08DE"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2C26D38A" w14:textId="1EC54D74" w:rsidR="00AA4290" w:rsidRPr="00AA4290" w:rsidRDefault="00E1019C"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w:t>
            </w:r>
            <w:r w:rsidR="001D38F5">
              <w:rPr>
                <w:rFonts w:ascii="Calibri" w:eastAsia="Calibri" w:hAnsi="Calibri" w:cs="Calibri"/>
                <w:b/>
                <w:sz w:val="22"/>
                <w:szCs w:val="22"/>
                <w:lang w:val="en-IE" w:eastAsia="en-IE"/>
              </w:rPr>
              <w:t>0</w:t>
            </w:r>
            <w:r w:rsidR="000A4D05">
              <w:rPr>
                <w:rFonts w:ascii="Calibri" w:eastAsia="Calibri" w:hAnsi="Calibri" w:cs="Calibri"/>
                <w:b/>
                <w:sz w:val="22"/>
                <w:szCs w:val="22"/>
                <w:lang w:val="en-IE" w:eastAsia="en-IE"/>
              </w:rPr>
              <w:t>5</w:t>
            </w:r>
            <w:r w:rsidR="001D38F5">
              <w:rPr>
                <w:rFonts w:ascii="Calibri" w:eastAsia="Calibri" w:hAnsi="Calibri" w:cs="Calibri"/>
                <w:b/>
                <w:sz w:val="22"/>
                <w:szCs w:val="22"/>
                <w:lang w:val="en-IE" w:eastAsia="en-IE"/>
              </w:rPr>
              <w:t>.</w:t>
            </w:r>
            <w:r w:rsidR="008C2D40">
              <w:rPr>
                <w:rFonts w:ascii="Calibri" w:eastAsia="Calibri" w:hAnsi="Calibri" w:cs="Calibri"/>
                <w:b/>
                <w:sz w:val="22"/>
                <w:szCs w:val="22"/>
                <w:lang w:val="en-IE" w:eastAsia="en-IE"/>
              </w:rPr>
              <w:t>3</w:t>
            </w:r>
          </w:p>
        </w:tc>
        <w:tc>
          <w:tcPr>
            <w:tcW w:w="1133" w:type="dxa"/>
            <w:shd w:val="clear" w:color="auto" w:fill="FFFFFF"/>
            <w:vAlign w:val="center"/>
          </w:tcPr>
          <w:p w14:paraId="688E1305" w14:textId="04DEFB19"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04F99">
              <w:rPr>
                <w:rFonts w:ascii="Calibri" w:eastAsia="Times New Roman" w:hAnsi="Calibri" w:cs="Calibri"/>
                <w:bCs/>
                <w:color w:val="000000"/>
                <w:sz w:val="22"/>
                <w:szCs w:val="22"/>
                <w:lang w:val="en-IE" w:eastAsia="en-IE"/>
              </w:rPr>
              <w:t>78.3)</w:t>
            </w:r>
          </w:p>
        </w:tc>
      </w:tr>
      <w:tr w:rsidR="00AA4290" w:rsidRPr="00AA4290" w14:paraId="4DC1EA83" w14:textId="77777777" w:rsidTr="00EB7986">
        <w:trPr>
          <w:trHeight w:val="272"/>
        </w:trPr>
        <w:tc>
          <w:tcPr>
            <w:tcW w:w="295" w:type="dxa"/>
            <w:shd w:val="clear" w:color="auto" w:fill="FFFFFF"/>
            <w:vAlign w:val="center"/>
            <w:hideMark/>
          </w:tcPr>
          <w:p w14:paraId="2253FA2A"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0AB0D2D6" w14:textId="586D4CAA"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044DA1">
              <w:rPr>
                <w:rFonts w:ascii="Calibri" w:eastAsia="Times New Roman" w:hAnsi="Calibri" w:cs="Calibri"/>
                <w:color w:val="000000"/>
                <w:sz w:val="22"/>
                <w:szCs w:val="22"/>
                <w:lang w:val="en-IE" w:eastAsia="en-IE"/>
              </w:rPr>
              <w:t>Increase</w:t>
            </w:r>
            <w:r w:rsidRPr="00AA4290">
              <w:rPr>
                <w:rFonts w:ascii="Calibri" w:eastAsia="Times New Roman" w:hAnsi="Calibri" w:cs="Calibri"/>
                <w:color w:val="000000"/>
                <w:sz w:val="22"/>
                <w:szCs w:val="22"/>
                <w:lang w:val="en-IE" w:eastAsia="en-IE"/>
              </w:rPr>
              <w:t xml:space="preserve"> in trade payables</w:t>
            </w:r>
          </w:p>
        </w:tc>
        <w:tc>
          <w:tcPr>
            <w:tcW w:w="720" w:type="dxa"/>
            <w:shd w:val="clear" w:color="auto" w:fill="FFFFFF"/>
            <w:vAlign w:val="center"/>
            <w:hideMark/>
          </w:tcPr>
          <w:p w14:paraId="3C950A59" w14:textId="77777777" w:rsidR="00AA4290" w:rsidRPr="00AA4290" w:rsidRDefault="00AA4290" w:rsidP="00AA4290">
            <w:pPr>
              <w:spacing w:after="0" w:line="240" w:lineRule="auto"/>
              <w:jc w:val="right"/>
              <w:rPr>
                <w:rFonts w:ascii="Calibri" w:eastAsia="Times New Roman" w:hAnsi="Calibri" w:cs="Calibri"/>
                <w:b/>
                <w:color w:val="000000"/>
                <w:sz w:val="22"/>
                <w:szCs w:val="22"/>
                <w:lang w:val="en-IE" w:eastAsia="en-IE"/>
              </w:rPr>
            </w:pPr>
          </w:p>
        </w:tc>
        <w:tc>
          <w:tcPr>
            <w:tcW w:w="1265" w:type="dxa"/>
            <w:shd w:val="clear" w:color="auto" w:fill="FFFF00"/>
            <w:vAlign w:val="center"/>
          </w:tcPr>
          <w:p w14:paraId="3CBAD16C" w14:textId="13B8A544" w:rsidR="00AA4290" w:rsidRPr="00AA4290" w:rsidRDefault="001D38F5"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72.5</w:t>
            </w:r>
          </w:p>
        </w:tc>
        <w:tc>
          <w:tcPr>
            <w:tcW w:w="1133" w:type="dxa"/>
            <w:shd w:val="clear" w:color="auto" w:fill="FFFFFF"/>
            <w:vAlign w:val="center"/>
          </w:tcPr>
          <w:p w14:paraId="6600F4F3" w14:textId="020849CA"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161.3</w:t>
            </w:r>
          </w:p>
        </w:tc>
      </w:tr>
      <w:tr w:rsidR="00AA4290" w:rsidRPr="00AA4290" w14:paraId="328BF7FD" w14:textId="77777777" w:rsidTr="00EB7986">
        <w:trPr>
          <w:trHeight w:val="272"/>
        </w:trPr>
        <w:tc>
          <w:tcPr>
            <w:tcW w:w="295" w:type="dxa"/>
            <w:shd w:val="clear" w:color="auto" w:fill="FFFFFF"/>
            <w:vAlign w:val="center"/>
            <w:hideMark/>
          </w:tcPr>
          <w:p w14:paraId="234E946F"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18A12EEF"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w:t>
            </w:r>
            <w:r w:rsidRPr="00776F42">
              <w:rPr>
                <w:rFonts w:ascii="Calibri" w:eastAsia="Times New Roman" w:hAnsi="Calibri" w:cs="Calibri"/>
                <w:color w:val="000000"/>
                <w:sz w:val="22"/>
                <w:szCs w:val="22"/>
                <w:lang w:val="en-IE" w:eastAsia="en-IE"/>
              </w:rPr>
              <w:t>Decrease</w:t>
            </w:r>
            <w:r w:rsidRPr="00AA4290">
              <w:rPr>
                <w:rFonts w:ascii="Calibri" w:eastAsia="Times New Roman" w:hAnsi="Calibri" w:cs="Calibri"/>
                <w:color w:val="000000"/>
                <w:sz w:val="22"/>
                <w:szCs w:val="22"/>
                <w:lang w:val="en-IE" w:eastAsia="en-IE"/>
              </w:rPr>
              <w:t>) in accrued expenses and other liabilities</w:t>
            </w:r>
          </w:p>
        </w:tc>
        <w:tc>
          <w:tcPr>
            <w:tcW w:w="720" w:type="dxa"/>
            <w:shd w:val="clear" w:color="auto" w:fill="FFFFFF"/>
            <w:vAlign w:val="center"/>
            <w:hideMark/>
          </w:tcPr>
          <w:p w14:paraId="7A923AAC"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56E1CCFF" w14:textId="60A3CE78" w:rsidR="00AA4290" w:rsidRPr="00AA4290" w:rsidRDefault="00AE4212"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w:t>
            </w:r>
            <w:r w:rsidR="001D38F5">
              <w:rPr>
                <w:rFonts w:ascii="Calibri" w:eastAsia="Calibri" w:hAnsi="Calibri" w:cs="Calibri"/>
                <w:b/>
                <w:sz w:val="22"/>
                <w:szCs w:val="22"/>
                <w:lang w:val="en-IE" w:eastAsia="en-IE"/>
              </w:rPr>
              <w:t>1</w:t>
            </w:r>
            <w:r w:rsidR="00C51DF6">
              <w:rPr>
                <w:rFonts w:ascii="Calibri" w:eastAsia="Calibri" w:hAnsi="Calibri" w:cs="Calibri"/>
                <w:b/>
                <w:sz w:val="22"/>
                <w:szCs w:val="22"/>
                <w:lang w:val="en-IE" w:eastAsia="en-IE"/>
              </w:rPr>
              <w:t>20</w:t>
            </w:r>
            <w:r w:rsidR="00520E6E">
              <w:rPr>
                <w:rFonts w:ascii="Calibri" w:eastAsia="Calibri" w:hAnsi="Calibri" w:cs="Calibri"/>
                <w:b/>
                <w:sz w:val="22"/>
                <w:szCs w:val="22"/>
                <w:lang w:val="en-IE" w:eastAsia="en-IE"/>
              </w:rPr>
              <w:t>.</w:t>
            </w:r>
            <w:r w:rsidR="00C51DF6">
              <w:rPr>
                <w:rFonts w:ascii="Calibri" w:eastAsia="Calibri" w:hAnsi="Calibri" w:cs="Calibri"/>
                <w:b/>
                <w:sz w:val="22"/>
                <w:szCs w:val="22"/>
                <w:lang w:val="en-IE" w:eastAsia="en-IE"/>
              </w:rPr>
              <w:t>1</w:t>
            </w:r>
            <w:r>
              <w:rPr>
                <w:rFonts w:ascii="Calibri" w:eastAsia="Calibri" w:hAnsi="Calibri" w:cs="Calibri"/>
                <w:b/>
                <w:sz w:val="22"/>
                <w:szCs w:val="22"/>
                <w:lang w:val="en-IE" w:eastAsia="en-IE"/>
              </w:rPr>
              <w:t>)</w:t>
            </w:r>
          </w:p>
        </w:tc>
        <w:tc>
          <w:tcPr>
            <w:tcW w:w="1133" w:type="dxa"/>
            <w:shd w:val="clear" w:color="auto" w:fill="FFFFFF"/>
            <w:vAlign w:val="center"/>
          </w:tcPr>
          <w:p w14:paraId="2F823DDC" w14:textId="7768CDC4"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(1,</w:t>
            </w:r>
            <w:r w:rsidR="00B04F99">
              <w:rPr>
                <w:rFonts w:ascii="Calibri" w:eastAsia="Times New Roman" w:hAnsi="Calibri" w:cs="Calibri"/>
                <w:bCs/>
                <w:color w:val="000000"/>
                <w:sz w:val="22"/>
                <w:szCs w:val="22"/>
                <w:lang w:val="en-IE" w:eastAsia="en-IE"/>
              </w:rPr>
              <w:t>543.4</w:t>
            </w:r>
            <w:r w:rsidRPr="00AA4290">
              <w:rPr>
                <w:rFonts w:ascii="Calibri" w:eastAsia="Times New Roman" w:hAnsi="Calibri" w:cs="Calibri"/>
                <w:bCs/>
                <w:color w:val="000000"/>
                <w:sz w:val="22"/>
                <w:szCs w:val="22"/>
                <w:lang w:val="en-IE" w:eastAsia="en-IE"/>
              </w:rPr>
              <w:t>)</w:t>
            </w:r>
          </w:p>
        </w:tc>
      </w:tr>
      <w:tr w:rsidR="00AA4290" w:rsidRPr="00AA4290" w14:paraId="388C2F93" w14:textId="77777777" w:rsidTr="00EB7986">
        <w:trPr>
          <w:trHeight w:val="272"/>
        </w:trPr>
        <w:tc>
          <w:tcPr>
            <w:tcW w:w="295" w:type="dxa"/>
            <w:shd w:val="clear" w:color="auto" w:fill="FFFFFF"/>
            <w:vAlign w:val="center"/>
            <w:hideMark/>
          </w:tcPr>
          <w:p w14:paraId="3EB5814C"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542E1906" w14:textId="57E56C48" w:rsidR="00AA4290" w:rsidRPr="00AA4290" w:rsidRDefault="00BE192B" w:rsidP="00AA4290">
            <w:pPr>
              <w:spacing w:after="0" w:line="240" w:lineRule="auto"/>
              <w:rPr>
                <w:rFonts w:ascii="Calibri" w:eastAsia="Times New Roman" w:hAnsi="Calibri" w:cs="Calibri"/>
                <w:color w:val="000000"/>
                <w:sz w:val="22"/>
                <w:szCs w:val="22"/>
                <w:lang w:val="en-IE" w:eastAsia="en-IE"/>
              </w:rPr>
            </w:pPr>
            <w:r w:rsidRPr="00776F42">
              <w:rPr>
                <w:rFonts w:ascii="Calibri" w:eastAsia="Times New Roman" w:hAnsi="Calibri" w:cs="Calibri"/>
                <w:color w:val="000000"/>
                <w:sz w:val="22"/>
                <w:szCs w:val="22"/>
                <w:lang w:val="en-IE" w:eastAsia="en-IE"/>
              </w:rPr>
              <w:t>(Decrease)/</w:t>
            </w:r>
            <w:r w:rsidR="00AA4290" w:rsidRPr="00776F42">
              <w:rPr>
                <w:rFonts w:ascii="Calibri" w:eastAsia="Times New Roman" w:hAnsi="Calibri" w:cs="Calibri"/>
                <w:color w:val="000000"/>
                <w:sz w:val="22"/>
                <w:szCs w:val="22"/>
                <w:lang w:val="en-IE" w:eastAsia="en-IE"/>
              </w:rPr>
              <w:t>Increase</w:t>
            </w:r>
            <w:r w:rsidR="00AA4290" w:rsidRPr="00AA4290">
              <w:rPr>
                <w:rFonts w:ascii="Calibri" w:eastAsia="Times New Roman" w:hAnsi="Calibri" w:cs="Calibri"/>
                <w:color w:val="000000"/>
                <w:sz w:val="22"/>
                <w:szCs w:val="22"/>
                <w:lang w:val="en-IE" w:eastAsia="en-IE"/>
              </w:rPr>
              <w:t xml:space="preserve"> in provisions</w:t>
            </w:r>
          </w:p>
        </w:tc>
        <w:tc>
          <w:tcPr>
            <w:tcW w:w="720" w:type="dxa"/>
            <w:shd w:val="clear" w:color="auto" w:fill="FFFFFF"/>
            <w:vAlign w:val="center"/>
            <w:hideMark/>
          </w:tcPr>
          <w:p w14:paraId="0782E1E9"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43215C3F" w14:textId="01CB63E8" w:rsidR="00AA4290" w:rsidRPr="00AA4290" w:rsidRDefault="00AE4212"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(15.4)</w:t>
            </w:r>
          </w:p>
        </w:tc>
        <w:tc>
          <w:tcPr>
            <w:tcW w:w="1133" w:type="dxa"/>
            <w:shd w:val="clear" w:color="auto" w:fill="FFFFFF"/>
            <w:vAlign w:val="center"/>
          </w:tcPr>
          <w:p w14:paraId="71DCA3FE" w14:textId="4C4064F0"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16.5</w:t>
            </w:r>
          </w:p>
        </w:tc>
      </w:tr>
      <w:tr w:rsidR="00AA4290" w:rsidRPr="00AA4290" w14:paraId="2DB8524B" w14:textId="77777777" w:rsidTr="00EB7986">
        <w:trPr>
          <w:trHeight w:val="272"/>
        </w:trPr>
        <w:tc>
          <w:tcPr>
            <w:tcW w:w="295" w:type="dxa"/>
            <w:shd w:val="clear" w:color="auto" w:fill="FFFFFF"/>
            <w:vAlign w:val="center"/>
          </w:tcPr>
          <w:p w14:paraId="7509EE3F"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tcPr>
          <w:p w14:paraId="1905CA8B" w14:textId="051440C8" w:rsidR="00AA4290" w:rsidRPr="00AA4290" w:rsidRDefault="00A822D7" w:rsidP="00AA4290">
            <w:pPr>
              <w:spacing w:after="0" w:line="240" w:lineRule="auto"/>
              <w:rPr>
                <w:rFonts w:ascii="Calibri" w:eastAsia="Times New Roman" w:hAnsi="Calibri" w:cs="Calibri"/>
                <w:color w:val="000000"/>
                <w:sz w:val="22"/>
                <w:szCs w:val="22"/>
                <w:lang w:val="en-IE" w:eastAsia="en-IE"/>
              </w:rPr>
            </w:pPr>
            <w:r w:rsidRPr="00A822D7">
              <w:rPr>
                <w:rFonts w:ascii="Calibri" w:eastAsia="Times New Roman" w:hAnsi="Calibri" w:cs="Calibri"/>
                <w:color w:val="000000"/>
                <w:sz w:val="22"/>
                <w:szCs w:val="22"/>
                <w:lang w:val="en-IE" w:eastAsia="en-IE"/>
              </w:rPr>
              <w:t>Decrease/</w:t>
            </w:r>
            <w:r w:rsidR="00AA4290" w:rsidRPr="00A822D7">
              <w:rPr>
                <w:rFonts w:ascii="Calibri" w:eastAsia="Times New Roman" w:hAnsi="Calibri" w:cs="Calibri"/>
                <w:color w:val="000000"/>
                <w:sz w:val="22"/>
                <w:szCs w:val="22"/>
                <w:lang w:val="en-IE" w:eastAsia="en-IE"/>
              </w:rPr>
              <w:t>(Increase</w:t>
            </w:r>
            <w:r w:rsidR="00AA4290" w:rsidRPr="00AA4290">
              <w:rPr>
                <w:rFonts w:ascii="Calibri" w:eastAsia="Times New Roman" w:hAnsi="Calibri" w:cs="Calibri"/>
                <w:color w:val="000000"/>
                <w:sz w:val="22"/>
                <w:szCs w:val="22"/>
                <w:lang w:val="en-IE" w:eastAsia="en-IE"/>
              </w:rPr>
              <w:t>) in finance income</w:t>
            </w:r>
          </w:p>
        </w:tc>
        <w:tc>
          <w:tcPr>
            <w:tcW w:w="720" w:type="dxa"/>
            <w:shd w:val="clear" w:color="auto" w:fill="FFFFFF"/>
            <w:vAlign w:val="center"/>
          </w:tcPr>
          <w:p w14:paraId="0E380074"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15762056" w14:textId="17B9956F" w:rsidR="00AA4290" w:rsidRPr="00AA4290" w:rsidRDefault="00AE4212"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1.8</w:t>
            </w:r>
          </w:p>
        </w:tc>
        <w:tc>
          <w:tcPr>
            <w:tcW w:w="1133" w:type="dxa"/>
            <w:shd w:val="clear" w:color="auto" w:fill="FFFFFF"/>
            <w:vAlign w:val="center"/>
          </w:tcPr>
          <w:p w14:paraId="6FC32D93" w14:textId="436C9438" w:rsidR="00AA4290" w:rsidRPr="00AA4290" w:rsidRDefault="00AA4290" w:rsidP="00AA4290">
            <w:pPr>
              <w:spacing w:after="0" w:line="240" w:lineRule="auto"/>
              <w:jc w:val="right"/>
              <w:rPr>
                <w:rFonts w:ascii="Calibri" w:eastAsia="Calibri" w:hAnsi="Calibri" w:cs="Calibri"/>
                <w:bCs/>
                <w:sz w:val="22"/>
                <w:szCs w:val="22"/>
                <w:lang w:val="en-IE" w:eastAsia="en-IE"/>
              </w:rPr>
            </w:pPr>
            <w:r w:rsidRPr="00AA4290">
              <w:rPr>
                <w:rFonts w:ascii="Calibri" w:eastAsia="Calibri" w:hAnsi="Calibri" w:cs="Calibri"/>
                <w:bCs/>
                <w:sz w:val="22"/>
                <w:szCs w:val="22"/>
                <w:lang w:val="en-IE" w:eastAsia="en-IE"/>
              </w:rPr>
              <w:t>(</w:t>
            </w:r>
            <w:r w:rsidR="00B04F99">
              <w:rPr>
                <w:rFonts w:ascii="Calibri" w:eastAsia="Calibri" w:hAnsi="Calibri" w:cs="Calibri"/>
                <w:bCs/>
                <w:sz w:val="22"/>
                <w:szCs w:val="22"/>
                <w:lang w:val="en-IE" w:eastAsia="en-IE"/>
              </w:rPr>
              <w:t>6.7</w:t>
            </w:r>
            <w:r w:rsidRPr="00AA4290">
              <w:rPr>
                <w:rFonts w:ascii="Calibri" w:eastAsia="Calibri" w:hAnsi="Calibri" w:cs="Calibri"/>
                <w:bCs/>
                <w:sz w:val="22"/>
                <w:szCs w:val="22"/>
                <w:lang w:val="en-IE" w:eastAsia="en-IE"/>
              </w:rPr>
              <w:t>)</w:t>
            </w:r>
          </w:p>
        </w:tc>
      </w:tr>
      <w:tr w:rsidR="00AA4290" w:rsidRPr="00AA4290" w14:paraId="515E09E1" w14:textId="77777777" w:rsidTr="00EB7986">
        <w:trPr>
          <w:trHeight w:val="272"/>
        </w:trPr>
        <w:tc>
          <w:tcPr>
            <w:tcW w:w="295" w:type="dxa"/>
            <w:shd w:val="clear" w:color="auto" w:fill="FFFFFF"/>
            <w:vAlign w:val="center"/>
            <w:hideMark/>
          </w:tcPr>
          <w:p w14:paraId="1339E4AF"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2F06D475"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w:t>
            </w:r>
            <w:r w:rsidRPr="00B06F1A">
              <w:rPr>
                <w:rFonts w:ascii="Calibri" w:eastAsia="Times New Roman" w:hAnsi="Calibri" w:cs="Calibri"/>
                <w:color w:val="000000"/>
                <w:sz w:val="22"/>
                <w:szCs w:val="22"/>
                <w:lang w:val="en-IE" w:eastAsia="en-IE"/>
              </w:rPr>
              <w:t>Decrease</w:t>
            </w:r>
            <w:r w:rsidRPr="00AA4290">
              <w:rPr>
                <w:rFonts w:ascii="Calibri" w:eastAsia="Times New Roman" w:hAnsi="Calibri" w:cs="Calibri"/>
                <w:color w:val="000000"/>
                <w:sz w:val="22"/>
                <w:szCs w:val="22"/>
                <w:lang w:val="en-IE" w:eastAsia="en-IE"/>
              </w:rPr>
              <w:t>) in finance expense</w:t>
            </w:r>
          </w:p>
        </w:tc>
        <w:tc>
          <w:tcPr>
            <w:tcW w:w="720" w:type="dxa"/>
            <w:shd w:val="clear" w:color="auto" w:fill="FFFFFF"/>
            <w:vAlign w:val="center"/>
            <w:hideMark/>
          </w:tcPr>
          <w:p w14:paraId="34115FE6"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1998DAC4" w14:textId="422250AF" w:rsidR="00AA4290" w:rsidRPr="00AA4290" w:rsidRDefault="00490BB5"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(16.5)</w:t>
            </w:r>
          </w:p>
        </w:tc>
        <w:tc>
          <w:tcPr>
            <w:tcW w:w="1133" w:type="dxa"/>
            <w:shd w:val="clear" w:color="auto" w:fill="FFFFFF"/>
            <w:vAlign w:val="center"/>
          </w:tcPr>
          <w:p w14:paraId="180D4D60" w14:textId="65684FF3"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04F99">
              <w:rPr>
                <w:rFonts w:ascii="Calibri" w:eastAsia="Times New Roman" w:hAnsi="Calibri" w:cs="Calibri"/>
                <w:bCs/>
                <w:color w:val="000000"/>
                <w:sz w:val="22"/>
                <w:szCs w:val="22"/>
                <w:lang w:val="en-IE" w:eastAsia="en-IE"/>
              </w:rPr>
              <w:t>29.3</w:t>
            </w:r>
            <w:r w:rsidRPr="00AA4290">
              <w:rPr>
                <w:rFonts w:ascii="Calibri" w:eastAsia="Times New Roman" w:hAnsi="Calibri" w:cs="Calibri"/>
                <w:bCs/>
                <w:color w:val="000000"/>
                <w:sz w:val="22"/>
                <w:szCs w:val="22"/>
                <w:lang w:val="en-IE" w:eastAsia="en-IE"/>
              </w:rPr>
              <w:t>)</w:t>
            </w:r>
          </w:p>
        </w:tc>
      </w:tr>
      <w:tr w:rsidR="00AA4290" w:rsidRPr="00AA4290" w14:paraId="119946A7" w14:textId="77777777" w:rsidTr="00EB7986">
        <w:trPr>
          <w:trHeight w:val="272"/>
        </w:trPr>
        <w:tc>
          <w:tcPr>
            <w:tcW w:w="295" w:type="dxa"/>
            <w:shd w:val="clear" w:color="auto" w:fill="FFFFFF"/>
            <w:vAlign w:val="center"/>
            <w:hideMark/>
          </w:tcPr>
          <w:p w14:paraId="1FADEACF"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6E15DA84"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xml:space="preserve">Foreign exchange </w:t>
            </w:r>
          </w:p>
        </w:tc>
        <w:tc>
          <w:tcPr>
            <w:tcW w:w="720" w:type="dxa"/>
            <w:shd w:val="clear" w:color="auto" w:fill="FFFFFF"/>
            <w:vAlign w:val="center"/>
            <w:hideMark/>
          </w:tcPr>
          <w:p w14:paraId="576CF98E"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0AAEA351" w14:textId="740883B3" w:rsidR="00AA4290" w:rsidRPr="00AA4290" w:rsidRDefault="00490BB5"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21.</w:t>
            </w:r>
            <w:r w:rsidR="006F55C0">
              <w:rPr>
                <w:rFonts w:ascii="Calibri" w:eastAsia="Calibri" w:hAnsi="Calibri" w:cs="Calibri"/>
                <w:b/>
                <w:sz w:val="22"/>
                <w:szCs w:val="22"/>
                <w:lang w:val="en-IE" w:eastAsia="en-IE"/>
              </w:rPr>
              <w:t>8</w:t>
            </w:r>
          </w:p>
        </w:tc>
        <w:tc>
          <w:tcPr>
            <w:tcW w:w="1133" w:type="dxa"/>
            <w:shd w:val="clear" w:color="auto" w:fill="FFFFFF"/>
            <w:vAlign w:val="center"/>
          </w:tcPr>
          <w:p w14:paraId="68BC0F06" w14:textId="54403C13" w:rsidR="00AA4290" w:rsidRPr="00AA4290" w:rsidRDefault="00B04F99"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15.8</w:t>
            </w:r>
          </w:p>
        </w:tc>
      </w:tr>
      <w:tr w:rsidR="00AA4290" w:rsidRPr="00AA4290" w14:paraId="5212BC33" w14:textId="77777777" w:rsidTr="00EB7986">
        <w:trPr>
          <w:trHeight w:val="281"/>
        </w:trPr>
        <w:tc>
          <w:tcPr>
            <w:tcW w:w="295" w:type="dxa"/>
            <w:shd w:val="clear" w:color="auto" w:fill="FFFFFF"/>
            <w:vAlign w:val="center"/>
            <w:hideMark/>
          </w:tcPr>
          <w:p w14:paraId="4038369B"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4793AC27"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Income tax (paid)</w:t>
            </w:r>
          </w:p>
        </w:tc>
        <w:tc>
          <w:tcPr>
            <w:tcW w:w="720" w:type="dxa"/>
            <w:shd w:val="clear" w:color="auto" w:fill="FFFFFF"/>
            <w:vAlign w:val="center"/>
            <w:hideMark/>
          </w:tcPr>
          <w:p w14:paraId="074037D4"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45AA6375" w14:textId="4AC88DBC" w:rsidR="00AA4290" w:rsidRPr="00AA4290" w:rsidRDefault="002E4F6C"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(53.</w:t>
            </w:r>
            <w:r w:rsidR="00F05884">
              <w:rPr>
                <w:rFonts w:ascii="Calibri" w:eastAsia="Calibri" w:hAnsi="Calibri" w:cs="Calibri"/>
                <w:b/>
                <w:sz w:val="22"/>
                <w:szCs w:val="22"/>
                <w:lang w:val="en-IE" w:eastAsia="en-IE"/>
              </w:rPr>
              <w:t>5</w:t>
            </w:r>
            <w:r>
              <w:rPr>
                <w:rFonts w:ascii="Calibri" w:eastAsia="Calibri" w:hAnsi="Calibri" w:cs="Calibri"/>
                <w:b/>
                <w:sz w:val="22"/>
                <w:szCs w:val="22"/>
                <w:lang w:val="en-IE" w:eastAsia="en-IE"/>
              </w:rPr>
              <w:t>)</w:t>
            </w:r>
          </w:p>
        </w:tc>
        <w:tc>
          <w:tcPr>
            <w:tcW w:w="1133" w:type="dxa"/>
            <w:shd w:val="clear" w:color="auto" w:fill="FFFFFF"/>
            <w:vAlign w:val="center"/>
          </w:tcPr>
          <w:p w14:paraId="34B6561F" w14:textId="79E792FD"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42B71">
              <w:rPr>
                <w:rFonts w:ascii="Calibri" w:eastAsia="Times New Roman" w:hAnsi="Calibri" w:cs="Calibri"/>
                <w:bCs/>
                <w:color w:val="000000"/>
                <w:sz w:val="22"/>
                <w:szCs w:val="22"/>
                <w:lang w:val="en-IE" w:eastAsia="en-IE"/>
              </w:rPr>
              <w:t>39.0</w:t>
            </w:r>
            <w:r w:rsidRPr="00AA4290">
              <w:rPr>
                <w:rFonts w:ascii="Calibri" w:eastAsia="Times New Roman" w:hAnsi="Calibri" w:cs="Calibri"/>
                <w:bCs/>
                <w:color w:val="000000"/>
                <w:sz w:val="22"/>
                <w:szCs w:val="22"/>
                <w:lang w:val="en-IE" w:eastAsia="en-IE"/>
              </w:rPr>
              <w:t>)</w:t>
            </w:r>
          </w:p>
        </w:tc>
      </w:tr>
      <w:tr w:rsidR="00AA4290" w:rsidRPr="00AA4290" w14:paraId="5874FB33" w14:textId="77777777" w:rsidTr="00EB7986">
        <w:trPr>
          <w:trHeight w:val="281"/>
        </w:trPr>
        <w:tc>
          <w:tcPr>
            <w:tcW w:w="7547" w:type="dxa"/>
            <w:gridSpan w:val="2"/>
            <w:shd w:val="clear" w:color="auto" w:fill="FFFFFF"/>
            <w:vAlign w:val="center"/>
            <w:hideMark/>
          </w:tcPr>
          <w:p w14:paraId="33CAE1AC"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xml:space="preserve">Net cash </w:t>
            </w:r>
            <w:r w:rsidRPr="00433729">
              <w:rPr>
                <w:rFonts w:ascii="Calibri" w:eastAsia="Times New Roman" w:hAnsi="Calibri" w:cs="Calibri"/>
                <w:b/>
                <w:color w:val="000000"/>
                <w:sz w:val="22"/>
                <w:szCs w:val="22"/>
                <w:lang w:val="en-IE" w:eastAsia="en-IE"/>
              </w:rPr>
              <w:t>inflow</w:t>
            </w:r>
            <w:r w:rsidRPr="00AA4290">
              <w:rPr>
                <w:rFonts w:ascii="Calibri" w:eastAsia="Times New Roman" w:hAnsi="Calibri" w:cs="Calibri"/>
                <w:b/>
                <w:bCs/>
                <w:color w:val="000000"/>
                <w:sz w:val="22"/>
                <w:szCs w:val="22"/>
                <w:lang w:val="en-IE" w:eastAsia="en-IE"/>
              </w:rPr>
              <w:t xml:space="preserve"> from operating activities</w:t>
            </w:r>
          </w:p>
        </w:tc>
        <w:tc>
          <w:tcPr>
            <w:tcW w:w="720" w:type="dxa"/>
            <w:shd w:val="clear" w:color="auto" w:fill="FFFFFF"/>
            <w:vAlign w:val="center"/>
            <w:hideMark/>
          </w:tcPr>
          <w:p w14:paraId="0940419B"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01217AAE" w14:textId="05674F29" w:rsidR="00AA4290" w:rsidRPr="00AA4290" w:rsidRDefault="003D4A5E" w:rsidP="00AA4290">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1,779.</w:t>
            </w:r>
            <w:r w:rsidR="00520E6E">
              <w:rPr>
                <w:rFonts w:ascii="Calibri" w:eastAsia="Times New Roman" w:hAnsi="Calibri" w:cs="Calibri"/>
                <w:b/>
                <w:bCs/>
                <w:color w:val="000000"/>
                <w:sz w:val="22"/>
                <w:szCs w:val="22"/>
                <w:lang w:val="en-IE" w:eastAsia="en-IE"/>
              </w:rPr>
              <w:t>1</w:t>
            </w:r>
          </w:p>
        </w:tc>
        <w:tc>
          <w:tcPr>
            <w:tcW w:w="1133" w:type="dxa"/>
            <w:tcBorders>
              <w:top w:val="single" w:sz="8" w:space="0" w:color="auto"/>
              <w:left w:val="nil"/>
              <w:bottom w:val="single" w:sz="8" w:space="0" w:color="auto"/>
              <w:right w:val="nil"/>
            </w:tcBorders>
            <w:shd w:val="clear" w:color="auto" w:fill="FFFFFF"/>
            <w:vAlign w:val="center"/>
          </w:tcPr>
          <w:p w14:paraId="7C6C0E7E" w14:textId="034CF4FC"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1,</w:t>
            </w:r>
            <w:r w:rsidR="00B42B71">
              <w:rPr>
                <w:rFonts w:ascii="Calibri" w:eastAsia="Times New Roman" w:hAnsi="Calibri" w:cs="Calibri"/>
                <w:bCs/>
                <w:color w:val="000000"/>
                <w:sz w:val="22"/>
                <w:szCs w:val="22"/>
                <w:lang w:val="en-IE" w:eastAsia="en-IE"/>
              </w:rPr>
              <w:t>181.8</w:t>
            </w:r>
          </w:p>
        </w:tc>
      </w:tr>
      <w:tr w:rsidR="00AA4290" w:rsidRPr="00AA4290" w14:paraId="1F9CE5F8" w14:textId="77777777" w:rsidTr="00EB7986">
        <w:trPr>
          <w:trHeight w:val="113"/>
        </w:trPr>
        <w:tc>
          <w:tcPr>
            <w:tcW w:w="295" w:type="dxa"/>
            <w:shd w:val="clear" w:color="auto" w:fill="FFFFFF"/>
            <w:vAlign w:val="center"/>
          </w:tcPr>
          <w:p w14:paraId="1AD5A979"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hideMark/>
          </w:tcPr>
          <w:p w14:paraId="11D3478C"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716C8F5D"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6CC4C3E4" w14:textId="77777777" w:rsidR="00AA4290" w:rsidRPr="00AA4290" w:rsidRDefault="00AA4290" w:rsidP="00AA4290">
            <w:pPr>
              <w:spacing w:after="0" w:line="240" w:lineRule="auto"/>
              <w:jc w:val="right"/>
              <w:rPr>
                <w:rFonts w:ascii="Calibri" w:eastAsia="Calibri" w:hAnsi="Calibri" w:cs="Calibri"/>
                <w:b/>
                <w:sz w:val="22"/>
                <w:szCs w:val="22"/>
                <w:lang w:val="en-IE" w:eastAsia="en-IE"/>
              </w:rPr>
            </w:pPr>
          </w:p>
        </w:tc>
        <w:tc>
          <w:tcPr>
            <w:tcW w:w="1133" w:type="dxa"/>
            <w:shd w:val="clear" w:color="auto" w:fill="FFFFFF"/>
            <w:vAlign w:val="center"/>
          </w:tcPr>
          <w:p w14:paraId="539BEB40" w14:textId="77777777" w:rsidR="00AA4290" w:rsidRPr="00AA4290" w:rsidRDefault="00AA4290" w:rsidP="00AA4290">
            <w:pPr>
              <w:spacing w:after="0" w:line="240" w:lineRule="auto"/>
              <w:jc w:val="right"/>
              <w:rPr>
                <w:rFonts w:ascii="Calibri" w:eastAsia="Calibri" w:hAnsi="Calibri" w:cs="Calibri"/>
                <w:bCs/>
                <w:sz w:val="22"/>
                <w:szCs w:val="22"/>
                <w:lang w:val="en-IE" w:eastAsia="en-IE"/>
              </w:rPr>
            </w:pPr>
          </w:p>
        </w:tc>
      </w:tr>
      <w:tr w:rsidR="00AA4290" w:rsidRPr="00AA4290" w14:paraId="259FCEFB" w14:textId="77777777" w:rsidTr="00EB7986">
        <w:trPr>
          <w:trHeight w:val="272"/>
        </w:trPr>
        <w:tc>
          <w:tcPr>
            <w:tcW w:w="7547" w:type="dxa"/>
            <w:gridSpan w:val="2"/>
            <w:shd w:val="clear" w:color="auto" w:fill="FFFFFF"/>
            <w:vAlign w:val="center"/>
            <w:hideMark/>
          </w:tcPr>
          <w:p w14:paraId="612F2E43"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Investing activities</w:t>
            </w:r>
          </w:p>
        </w:tc>
        <w:tc>
          <w:tcPr>
            <w:tcW w:w="720" w:type="dxa"/>
            <w:shd w:val="clear" w:color="auto" w:fill="FFFFFF"/>
            <w:vAlign w:val="center"/>
            <w:hideMark/>
          </w:tcPr>
          <w:p w14:paraId="6A0EB201"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shd w:val="clear" w:color="auto" w:fill="FFFF00"/>
            <w:vAlign w:val="center"/>
          </w:tcPr>
          <w:p w14:paraId="50CFBF42"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center"/>
          </w:tcPr>
          <w:p w14:paraId="4CE91A39" w14:textId="77777777" w:rsidR="00AA4290" w:rsidRPr="00AA4290" w:rsidRDefault="00AA4290" w:rsidP="00AA4290">
            <w:pPr>
              <w:spacing w:after="0" w:line="240" w:lineRule="auto"/>
              <w:jc w:val="right"/>
              <w:rPr>
                <w:rFonts w:ascii="Calibri" w:eastAsia="Calibri" w:hAnsi="Calibri" w:cs="Calibri"/>
                <w:bCs/>
                <w:sz w:val="22"/>
                <w:szCs w:val="22"/>
                <w:lang w:val="en-IE" w:eastAsia="en-IE"/>
              </w:rPr>
            </w:pPr>
          </w:p>
        </w:tc>
      </w:tr>
      <w:tr w:rsidR="00AA4290" w:rsidRPr="00AA4290" w14:paraId="2E4CEC52" w14:textId="77777777" w:rsidTr="00EB7986">
        <w:trPr>
          <w:trHeight w:val="272"/>
        </w:trPr>
        <w:tc>
          <w:tcPr>
            <w:tcW w:w="295" w:type="dxa"/>
            <w:shd w:val="clear" w:color="auto" w:fill="FFFFFF"/>
            <w:vAlign w:val="center"/>
            <w:hideMark/>
          </w:tcPr>
          <w:p w14:paraId="7ED43797"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2E6595D7"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Capital expenditure - purchase of property, plant and equipment</w:t>
            </w:r>
          </w:p>
        </w:tc>
        <w:tc>
          <w:tcPr>
            <w:tcW w:w="720" w:type="dxa"/>
            <w:shd w:val="clear" w:color="auto" w:fill="FFFFFF"/>
            <w:vAlign w:val="center"/>
            <w:hideMark/>
          </w:tcPr>
          <w:p w14:paraId="0A3227DC" w14:textId="77777777" w:rsidR="00AA4290" w:rsidRPr="00AA4290" w:rsidRDefault="00AA4290" w:rsidP="00AA4290">
            <w:pPr>
              <w:spacing w:after="0" w:line="240" w:lineRule="auto"/>
              <w:jc w:val="right"/>
              <w:rPr>
                <w:rFonts w:ascii="Calibri" w:eastAsia="Times New Roman" w:hAnsi="Calibri" w:cs="Calibri"/>
                <w:b/>
                <w:color w:val="000000"/>
                <w:sz w:val="22"/>
                <w:szCs w:val="22"/>
                <w:lang w:val="en-IE" w:eastAsia="en-IE"/>
              </w:rPr>
            </w:pPr>
          </w:p>
        </w:tc>
        <w:tc>
          <w:tcPr>
            <w:tcW w:w="1265" w:type="dxa"/>
            <w:shd w:val="clear" w:color="auto" w:fill="FFFF00"/>
            <w:vAlign w:val="center"/>
          </w:tcPr>
          <w:p w14:paraId="412FD2BA" w14:textId="5B8EE7F4" w:rsidR="00AA4290" w:rsidRPr="00AA4290" w:rsidRDefault="00C06BEA"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(1,113.3)</w:t>
            </w:r>
          </w:p>
        </w:tc>
        <w:tc>
          <w:tcPr>
            <w:tcW w:w="1133" w:type="dxa"/>
            <w:shd w:val="clear" w:color="auto" w:fill="FFFFFF"/>
            <w:vAlign w:val="center"/>
          </w:tcPr>
          <w:p w14:paraId="62B3FF10" w14:textId="484E9C0E"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42B71">
              <w:rPr>
                <w:rFonts w:ascii="Calibri" w:eastAsia="Times New Roman" w:hAnsi="Calibri" w:cs="Calibri"/>
                <w:bCs/>
                <w:color w:val="000000"/>
                <w:sz w:val="22"/>
                <w:szCs w:val="22"/>
                <w:lang w:val="en-IE" w:eastAsia="en-IE"/>
              </w:rPr>
              <w:t>889.7</w:t>
            </w:r>
            <w:r w:rsidRPr="00AA4290">
              <w:rPr>
                <w:rFonts w:ascii="Calibri" w:eastAsia="Times New Roman" w:hAnsi="Calibri" w:cs="Calibri"/>
                <w:bCs/>
                <w:color w:val="000000"/>
                <w:sz w:val="22"/>
                <w:szCs w:val="22"/>
                <w:lang w:val="en-IE" w:eastAsia="en-IE"/>
              </w:rPr>
              <w:t>)</w:t>
            </w:r>
          </w:p>
        </w:tc>
      </w:tr>
      <w:tr w:rsidR="00AA4290" w:rsidRPr="00AA4290" w14:paraId="03B4AE7C" w14:textId="77777777" w:rsidTr="00EB7986">
        <w:trPr>
          <w:trHeight w:val="272"/>
        </w:trPr>
        <w:tc>
          <w:tcPr>
            <w:tcW w:w="295" w:type="dxa"/>
            <w:shd w:val="clear" w:color="auto" w:fill="FFFFFF"/>
            <w:vAlign w:val="center"/>
            <w:hideMark/>
          </w:tcPr>
          <w:p w14:paraId="5812C1A8"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629C28E4" w14:textId="59A5D8A5" w:rsidR="00AA4290" w:rsidRPr="00AA4290" w:rsidRDefault="00EB1BCF" w:rsidP="00AA4290">
            <w:pPr>
              <w:spacing w:after="0" w:line="240" w:lineRule="auto"/>
              <w:rPr>
                <w:rFonts w:ascii="Calibri" w:eastAsia="Times New Roman" w:hAnsi="Calibri" w:cs="Calibri"/>
                <w:color w:val="000000"/>
                <w:sz w:val="22"/>
                <w:szCs w:val="22"/>
                <w:lang w:val="en-IE" w:eastAsia="en-IE"/>
              </w:rPr>
            </w:pPr>
            <w:r w:rsidRPr="00EB1BCF">
              <w:rPr>
                <w:rFonts w:ascii="Calibri" w:eastAsia="Times New Roman" w:hAnsi="Calibri" w:cs="Calibri"/>
                <w:color w:val="000000"/>
                <w:sz w:val="22"/>
                <w:szCs w:val="22"/>
                <w:lang w:val="en-IE" w:eastAsia="en-IE"/>
              </w:rPr>
              <w:t>Decrease/</w:t>
            </w:r>
            <w:r w:rsidR="00AA4290" w:rsidRPr="00EB1BCF">
              <w:rPr>
                <w:rFonts w:ascii="Calibri" w:eastAsia="Times New Roman" w:hAnsi="Calibri" w:cs="Calibri"/>
                <w:color w:val="000000"/>
                <w:sz w:val="22"/>
                <w:szCs w:val="22"/>
                <w:lang w:val="en-IE" w:eastAsia="en-IE"/>
              </w:rPr>
              <w:t>(Increase)</w:t>
            </w:r>
            <w:r w:rsidR="00AA4290" w:rsidRPr="00AA4290">
              <w:rPr>
                <w:rFonts w:ascii="Calibri" w:eastAsia="Times New Roman" w:hAnsi="Calibri" w:cs="Calibri"/>
                <w:color w:val="000000"/>
                <w:sz w:val="22"/>
                <w:szCs w:val="22"/>
                <w:lang w:val="en-IE" w:eastAsia="en-IE"/>
              </w:rPr>
              <w:t xml:space="preserve"> in financial assets: cash &gt; 3 months</w:t>
            </w:r>
          </w:p>
        </w:tc>
        <w:tc>
          <w:tcPr>
            <w:tcW w:w="720" w:type="dxa"/>
            <w:shd w:val="clear" w:color="auto" w:fill="FFFFFF"/>
            <w:vAlign w:val="center"/>
            <w:hideMark/>
          </w:tcPr>
          <w:p w14:paraId="1BD98B05"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03B710A4" w14:textId="364C4F5A" w:rsidR="00AA4290" w:rsidRPr="00AA4290" w:rsidRDefault="00231DBC"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94.6</w:t>
            </w:r>
          </w:p>
        </w:tc>
        <w:tc>
          <w:tcPr>
            <w:tcW w:w="1133" w:type="dxa"/>
            <w:shd w:val="clear" w:color="auto" w:fill="FFFFFF"/>
            <w:vAlign w:val="center"/>
          </w:tcPr>
          <w:p w14:paraId="2106248B" w14:textId="4B5AC446" w:rsidR="00AA4290" w:rsidRPr="00AA4290" w:rsidRDefault="00B42B71" w:rsidP="00AA4290">
            <w:pPr>
              <w:spacing w:after="0" w:line="240" w:lineRule="auto"/>
              <w:jc w:val="right"/>
              <w:rPr>
                <w:rFonts w:ascii="Calibri" w:eastAsia="Calibri" w:hAnsi="Calibri" w:cs="Calibri"/>
                <w:bCs/>
                <w:sz w:val="22"/>
                <w:szCs w:val="22"/>
                <w:lang w:val="en-IE" w:eastAsia="en-IE"/>
              </w:rPr>
            </w:pPr>
            <w:r>
              <w:rPr>
                <w:rFonts w:ascii="Calibri" w:eastAsia="Calibri" w:hAnsi="Calibri" w:cs="Calibri"/>
                <w:bCs/>
                <w:sz w:val="22"/>
                <w:szCs w:val="22"/>
                <w:lang w:val="en-IE" w:eastAsia="en-IE"/>
              </w:rPr>
              <w:t>(163.5)</w:t>
            </w:r>
          </w:p>
        </w:tc>
      </w:tr>
      <w:tr w:rsidR="00AA4290" w:rsidRPr="00AA4290" w14:paraId="0503C492" w14:textId="77777777" w:rsidTr="00EB7986">
        <w:trPr>
          <w:trHeight w:val="281"/>
        </w:trPr>
        <w:tc>
          <w:tcPr>
            <w:tcW w:w="7547" w:type="dxa"/>
            <w:gridSpan w:val="2"/>
            <w:shd w:val="clear" w:color="auto" w:fill="FFFFFF"/>
            <w:vAlign w:val="center"/>
            <w:hideMark/>
          </w:tcPr>
          <w:p w14:paraId="4596712F"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xml:space="preserve">Net cash </w:t>
            </w:r>
            <w:r w:rsidRPr="00EB1BCF">
              <w:rPr>
                <w:rFonts w:ascii="Calibri" w:eastAsia="Times New Roman" w:hAnsi="Calibri" w:cs="Calibri"/>
                <w:b/>
                <w:color w:val="000000"/>
                <w:sz w:val="22"/>
                <w:szCs w:val="22"/>
                <w:lang w:val="en-IE" w:eastAsia="en-IE"/>
              </w:rPr>
              <w:t>(used in</w:t>
            </w:r>
            <w:r w:rsidRPr="00AA4290">
              <w:rPr>
                <w:rFonts w:ascii="Calibri" w:eastAsia="Times New Roman" w:hAnsi="Calibri" w:cs="Calibri"/>
                <w:b/>
                <w:bCs/>
                <w:color w:val="000000"/>
                <w:sz w:val="22"/>
                <w:szCs w:val="22"/>
                <w:lang w:val="en-IE" w:eastAsia="en-IE"/>
              </w:rPr>
              <w:t>) investing activities</w:t>
            </w:r>
          </w:p>
        </w:tc>
        <w:tc>
          <w:tcPr>
            <w:tcW w:w="720" w:type="dxa"/>
            <w:shd w:val="clear" w:color="auto" w:fill="FFFFFF"/>
            <w:vAlign w:val="center"/>
            <w:hideMark/>
          </w:tcPr>
          <w:p w14:paraId="3781035F"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6B6B318B" w14:textId="7E865255" w:rsidR="00AA4290" w:rsidRPr="00AA4290" w:rsidRDefault="005842BA" w:rsidP="00AA4290">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(1,018.7)</w:t>
            </w:r>
          </w:p>
        </w:tc>
        <w:tc>
          <w:tcPr>
            <w:tcW w:w="1133" w:type="dxa"/>
            <w:tcBorders>
              <w:top w:val="single" w:sz="8" w:space="0" w:color="auto"/>
              <w:left w:val="nil"/>
              <w:bottom w:val="single" w:sz="8" w:space="0" w:color="auto"/>
              <w:right w:val="nil"/>
            </w:tcBorders>
            <w:shd w:val="clear" w:color="auto" w:fill="FFFFFF"/>
            <w:vAlign w:val="center"/>
          </w:tcPr>
          <w:p w14:paraId="0A58A021" w14:textId="79799790"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42B71">
              <w:rPr>
                <w:rFonts w:ascii="Calibri" w:eastAsia="Times New Roman" w:hAnsi="Calibri" w:cs="Calibri"/>
                <w:bCs/>
                <w:color w:val="000000"/>
                <w:sz w:val="22"/>
                <w:szCs w:val="22"/>
                <w:lang w:val="en-IE" w:eastAsia="en-IE"/>
              </w:rPr>
              <w:t>1,053.2</w:t>
            </w:r>
            <w:r w:rsidRPr="00AA4290">
              <w:rPr>
                <w:rFonts w:ascii="Calibri" w:eastAsia="Times New Roman" w:hAnsi="Calibri" w:cs="Calibri"/>
                <w:bCs/>
                <w:color w:val="000000"/>
                <w:sz w:val="22"/>
                <w:szCs w:val="22"/>
                <w:lang w:val="en-IE" w:eastAsia="en-IE"/>
              </w:rPr>
              <w:t>)</w:t>
            </w:r>
          </w:p>
        </w:tc>
      </w:tr>
      <w:tr w:rsidR="00AA4290" w:rsidRPr="00AA4290" w14:paraId="62C84F4A" w14:textId="77777777" w:rsidTr="00EB7986">
        <w:trPr>
          <w:trHeight w:val="113"/>
        </w:trPr>
        <w:tc>
          <w:tcPr>
            <w:tcW w:w="295" w:type="dxa"/>
            <w:shd w:val="clear" w:color="auto" w:fill="FFFFFF"/>
            <w:vAlign w:val="center"/>
            <w:hideMark/>
          </w:tcPr>
          <w:p w14:paraId="7C98B973"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7252" w:type="dxa"/>
            <w:shd w:val="clear" w:color="auto" w:fill="FFFFFF"/>
            <w:vAlign w:val="center"/>
            <w:hideMark/>
          </w:tcPr>
          <w:p w14:paraId="0A0F7BA0"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720" w:type="dxa"/>
            <w:shd w:val="clear" w:color="auto" w:fill="FFFFFF"/>
            <w:vAlign w:val="center"/>
            <w:hideMark/>
          </w:tcPr>
          <w:p w14:paraId="0F064C92"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7FB42D4A" w14:textId="77777777" w:rsidR="00AA4290" w:rsidRPr="00AA4290" w:rsidRDefault="00AA4290" w:rsidP="00AA4290">
            <w:pPr>
              <w:spacing w:after="0" w:line="240" w:lineRule="auto"/>
              <w:jc w:val="right"/>
              <w:rPr>
                <w:rFonts w:ascii="Calibri" w:eastAsia="Calibri" w:hAnsi="Calibri" w:cs="Calibri"/>
                <w:sz w:val="22"/>
                <w:szCs w:val="22"/>
                <w:lang w:val="en-IE" w:eastAsia="en-IE"/>
              </w:rPr>
            </w:pPr>
          </w:p>
        </w:tc>
        <w:tc>
          <w:tcPr>
            <w:tcW w:w="1133" w:type="dxa"/>
            <w:shd w:val="clear" w:color="auto" w:fill="FFFFFF"/>
            <w:vAlign w:val="center"/>
          </w:tcPr>
          <w:p w14:paraId="3E3A6F30" w14:textId="77777777" w:rsidR="00AA4290" w:rsidRPr="00AA4290" w:rsidRDefault="00AA4290" w:rsidP="00AA4290">
            <w:pPr>
              <w:spacing w:after="0" w:line="240" w:lineRule="auto"/>
              <w:jc w:val="right"/>
              <w:rPr>
                <w:rFonts w:ascii="Calibri" w:eastAsia="Calibri" w:hAnsi="Calibri" w:cs="Calibri"/>
                <w:bCs/>
                <w:sz w:val="22"/>
                <w:szCs w:val="22"/>
                <w:lang w:val="en-IE" w:eastAsia="en-IE"/>
              </w:rPr>
            </w:pPr>
          </w:p>
        </w:tc>
      </w:tr>
      <w:tr w:rsidR="00AA4290" w:rsidRPr="00AA4290" w14:paraId="01751B73" w14:textId="77777777" w:rsidTr="00EB7986">
        <w:trPr>
          <w:trHeight w:val="272"/>
        </w:trPr>
        <w:tc>
          <w:tcPr>
            <w:tcW w:w="7547" w:type="dxa"/>
            <w:gridSpan w:val="2"/>
            <w:shd w:val="clear" w:color="auto" w:fill="FFFFFF"/>
            <w:vAlign w:val="center"/>
            <w:hideMark/>
          </w:tcPr>
          <w:p w14:paraId="3996B555"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Financing activities</w:t>
            </w:r>
          </w:p>
        </w:tc>
        <w:tc>
          <w:tcPr>
            <w:tcW w:w="720" w:type="dxa"/>
            <w:shd w:val="clear" w:color="auto" w:fill="FFFFFF"/>
            <w:vAlign w:val="center"/>
            <w:hideMark/>
          </w:tcPr>
          <w:p w14:paraId="65B7437C"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shd w:val="clear" w:color="auto" w:fill="FFFF00"/>
            <w:vAlign w:val="center"/>
          </w:tcPr>
          <w:p w14:paraId="42A4E26F"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133" w:type="dxa"/>
            <w:shd w:val="clear" w:color="auto" w:fill="FFFFFF"/>
            <w:vAlign w:val="center"/>
          </w:tcPr>
          <w:p w14:paraId="4A8F95DD" w14:textId="77777777" w:rsidR="00AA4290" w:rsidRPr="00AA4290" w:rsidRDefault="00AA4290" w:rsidP="00AA4290">
            <w:pPr>
              <w:spacing w:after="0" w:line="240" w:lineRule="auto"/>
              <w:jc w:val="right"/>
              <w:rPr>
                <w:rFonts w:ascii="Calibri" w:eastAsia="Calibri" w:hAnsi="Calibri" w:cs="Calibri"/>
                <w:bCs/>
                <w:sz w:val="22"/>
                <w:szCs w:val="22"/>
                <w:lang w:val="en-IE" w:eastAsia="en-IE"/>
              </w:rPr>
            </w:pPr>
          </w:p>
        </w:tc>
      </w:tr>
      <w:tr w:rsidR="00AA4290" w:rsidRPr="00AA4290" w14:paraId="27314F6E" w14:textId="77777777" w:rsidTr="00EB7986">
        <w:trPr>
          <w:trHeight w:val="272"/>
        </w:trPr>
        <w:tc>
          <w:tcPr>
            <w:tcW w:w="295" w:type="dxa"/>
            <w:shd w:val="clear" w:color="auto" w:fill="FFFFFF"/>
            <w:vAlign w:val="center"/>
            <w:hideMark/>
          </w:tcPr>
          <w:p w14:paraId="04AACE4B"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27B8B99D"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Proceeds from shares issued</w:t>
            </w:r>
          </w:p>
        </w:tc>
        <w:tc>
          <w:tcPr>
            <w:tcW w:w="720" w:type="dxa"/>
            <w:shd w:val="clear" w:color="auto" w:fill="FFFFFF"/>
            <w:vAlign w:val="center"/>
            <w:hideMark/>
          </w:tcPr>
          <w:p w14:paraId="74B57B01"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713CD467" w14:textId="5B4068ED" w:rsidR="00AA4290" w:rsidRPr="00AA4290" w:rsidRDefault="0011750F"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1.8</w:t>
            </w:r>
          </w:p>
        </w:tc>
        <w:tc>
          <w:tcPr>
            <w:tcW w:w="1133" w:type="dxa"/>
            <w:shd w:val="clear" w:color="auto" w:fill="FFFFFF"/>
            <w:vAlign w:val="center"/>
          </w:tcPr>
          <w:p w14:paraId="45AD5F64" w14:textId="314F2E74" w:rsidR="00AA4290" w:rsidRPr="00AA4290" w:rsidRDefault="00B42B71" w:rsidP="00AA4290">
            <w:pPr>
              <w:spacing w:after="0" w:line="240" w:lineRule="auto"/>
              <w:jc w:val="right"/>
              <w:rPr>
                <w:rFonts w:ascii="Calibri" w:eastAsia="Times New Roman" w:hAnsi="Calibri" w:cs="Calibri"/>
                <w:bCs/>
                <w:color w:val="000000"/>
                <w:sz w:val="22"/>
                <w:szCs w:val="22"/>
                <w:lang w:val="en-IE" w:eastAsia="en-IE"/>
              </w:rPr>
            </w:pPr>
            <w:r>
              <w:rPr>
                <w:rFonts w:ascii="Calibri" w:eastAsia="Times New Roman" w:hAnsi="Calibri" w:cs="Calibri"/>
                <w:bCs/>
                <w:color w:val="000000"/>
                <w:sz w:val="22"/>
                <w:szCs w:val="22"/>
                <w:lang w:val="en-IE" w:eastAsia="en-IE"/>
              </w:rPr>
              <w:t>1.9</w:t>
            </w:r>
          </w:p>
        </w:tc>
      </w:tr>
      <w:tr w:rsidR="00AA4290" w:rsidRPr="00AA4290" w14:paraId="2EE7F93D" w14:textId="77777777" w:rsidTr="00EB7986">
        <w:trPr>
          <w:trHeight w:val="272"/>
        </w:trPr>
        <w:tc>
          <w:tcPr>
            <w:tcW w:w="295" w:type="dxa"/>
            <w:shd w:val="clear" w:color="auto" w:fill="FFFFFF"/>
            <w:vAlign w:val="center"/>
          </w:tcPr>
          <w:p w14:paraId="29C0E91B"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tcPr>
          <w:p w14:paraId="68BB88D9"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Share buyback</w:t>
            </w:r>
          </w:p>
        </w:tc>
        <w:tc>
          <w:tcPr>
            <w:tcW w:w="720" w:type="dxa"/>
            <w:shd w:val="clear" w:color="auto" w:fill="FFFFFF"/>
            <w:vAlign w:val="center"/>
          </w:tcPr>
          <w:p w14:paraId="7D7DD714"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p>
        </w:tc>
        <w:tc>
          <w:tcPr>
            <w:tcW w:w="1265" w:type="dxa"/>
            <w:shd w:val="clear" w:color="auto" w:fill="FFFF00"/>
            <w:vAlign w:val="center"/>
          </w:tcPr>
          <w:p w14:paraId="5FB109D5" w14:textId="3127E007" w:rsidR="00AA4290" w:rsidRPr="00AA4290" w:rsidRDefault="0049135C"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(202.6)</w:t>
            </w:r>
          </w:p>
        </w:tc>
        <w:tc>
          <w:tcPr>
            <w:tcW w:w="1133" w:type="dxa"/>
            <w:shd w:val="clear" w:color="auto" w:fill="FFFFFF"/>
            <w:vAlign w:val="center"/>
          </w:tcPr>
          <w:p w14:paraId="25D31C0E" w14:textId="09524E08" w:rsidR="00AA4290" w:rsidRPr="00AA4290" w:rsidRDefault="00B42B71" w:rsidP="00AA4290">
            <w:pPr>
              <w:spacing w:after="0" w:line="240" w:lineRule="auto"/>
              <w:jc w:val="right"/>
              <w:rPr>
                <w:rFonts w:ascii="Calibri" w:eastAsia="Calibri" w:hAnsi="Calibri" w:cs="Calibri"/>
                <w:bCs/>
                <w:sz w:val="22"/>
                <w:szCs w:val="22"/>
                <w:lang w:val="en-IE" w:eastAsia="en-IE"/>
              </w:rPr>
            </w:pPr>
            <w:r>
              <w:rPr>
                <w:rFonts w:ascii="Calibri" w:eastAsia="Calibri" w:hAnsi="Calibri" w:cs="Calibri"/>
                <w:bCs/>
                <w:sz w:val="22"/>
                <w:szCs w:val="22"/>
                <w:lang w:val="en-IE" w:eastAsia="en-IE"/>
              </w:rPr>
              <w:t>(854.6)</w:t>
            </w:r>
          </w:p>
        </w:tc>
      </w:tr>
      <w:tr w:rsidR="00AA4290" w:rsidRPr="00AA4290" w14:paraId="70FA0FB2" w14:textId="77777777" w:rsidTr="00EB7986">
        <w:trPr>
          <w:trHeight w:val="272"/>
        </w:trPr>
        <w:tc>
          <w:tcPr>
            <w:tcW w:w="295" w:type="dxa"/>
            <w:shd w:val="clear" w:color="auto" w:fill="FFFFFF"/>
            <w:vAlign w:val="center"/>
          </w:tcPr>
          <w:p w14:paraId="14515CD3"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p>
        </w:tc>
        <w:tc>
          <w:tcPr>
            <w:tcW w:w="7252" w:type="dxa"/>
            <w:shd w:val="clear" w:color="auto" w:fill="FFFFFF"/>
            <w:vAlign w:val="center"/>
          </w:tcPr>
          <w:p w14:paraId="1062BEF5"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Dividends paid</w:t>
            </w:r>
          </w:p>
        </w:tc>
        <w:tc>
          <w:tcPr>
            <w:tcW w:w="720" w:type="dxa"/>
            <w:shd w:val="clear" w:color="auto" w:fill="FFFFFF"/>
            <w:vAlign w:val="center"/>
          </w:tcPr>
          <w:p w14:paraId="3744683D"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265" w:type="dxa"/>
            <w:shd w:val="clear" w:color="auto" w:fill="FFFF00"/>
            <w:vAlign w:val="center"/>
          </w:tcPr>
          <w:p w14:paraId="565FBE95" w14:textId="1875D0EE" w:rsidR="00AA4290" w:rsidRPr="00AA4290" w:rsidRDefault="0049135C"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(229.0)</w:t>
            </w:r>
          </w:p>
        </w:tc>
        <w:tc>
          <w:tcPr>
            <w:tcW w:w="1133" w:type="dxa"/>
            <w:shd w:val="clear" w:color="auto" w:fill="FFFFFF"/>
            <w:vAlign w:val="center"/>
          </w:tcPr>
          <w:p w14:paraId="321F2C7A" w14:textId="5A3D4523" w:rsidR="00AA4290" w:rsidRPr="00AA4290" w:rsidRDefault="00B42B71" w:rsidP="00AA4290">
            <w:pPr>
              <w:spacing w:after="0" w:line="240" w:lineRule="auto"/>
              <w:jc w:val="right"/>
              <w:rPr>
                <w:rFonts w:ascii="Calibri" w:eastAsia="Calibri" w:hAnsi="Calibri" w:cs="Calibri"/>
                <w:bCs/>
                <w:sz w:val="22"/>
                <w:szCs w:val="22"/>
                <w:lang w:val="en-IE" w:eastAsia="en-IE"/>
              </w:rPr>
            </w:pPr>
            <w:r>
              <w:rPr>
                <w:rFonts w:ascii="Calibri" w:eastAsia="Calibri" w:hAnsi="Calibri" w:cs="Calibri"/>
                <w:bCs/>
                <w:sz w:val="22"/>
                <w:szCs w:val="22"/>
                <w:lang w:val="en-IE" w:eastAsia="en-IE"/>
              </w:rPr>
              <w:t>(185.9)</w:t>
            </w:r>
          </w:p>
        </w:tc>
      </w:tr>
      <w:tr w:rsidR="00AA4290" w:rsidRPr="00AA4290" w14:paraId="000A43D0" w14:textId="77777777" w:rsidTr="00EB7986">
        <w:trPr>
          <w:trHeight w:val="272"/>
        </w:trPr>
        <w:tc>
          <w:tcPr>
            <w:tcW w:w="295" w:type="dxa"/>
            <w:shd w:val="clear" w:color="auto" w:fill="FFFFFF"/>
            <w:vAlign w:val="center"/>
            <w:hideMark/>
          </w:tcPr>
          <w:p w14:paraId="44391587"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5CFBAB3E"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Repayment of borrowings</w:t>
            </w:r>
          </w:p>
        </w:tc>
        <w:tc>
          <w:tcPr>
            <w:tcW w:w="720" w:type="dxa"/>
            <w:shd w:val="clear" w:color="auto" w:fill="FFFFFF"/>
            <w:vAlign w:val="center"/>
            <w:hideMark/>
          </w:tcPr>
          <w:p w14:paraId="3DE54323"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1F4D78D9" w14:textId="67EC0C2B" w:rsidR="00AA4290" w:rsidRPr="00AA4290" w:rsidRDefault="009849E4"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(1,190.0)</w:t>
            </w:r>
          </w:p>
        </w:tc>
        <w:tc>
          <w:tcPr>
            <w:tcW w:w="1133" w:type="dxa"/>
            <w:shd w:val="clear" w:color="auto" w:fill="FFFFFF"/>
            <w:vAlign w:val="center"/>
          </w:tcPr>
          <w:p w14:paraId="7A21DC38" w14:textId="4B23153B"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42B71">
              <w:rPr>
                <w:rFonts w:ascii="Calibri" w:eastAsia="Times New Roman" w:hAnsi="Calibri" w:cs="Calibri"/>
                <w:bCs/>
                <w:color w:val="000000"/>
                <w:sz w:val="22"/>
                <w:szCs w:val="22"/>
                <w:lang w:val="en-IE" w:eastAsia="en-IE"/>
              </w:rPr>
              <w:t>5.0</w:t>
            </w:r>
            <w:r w:rsidRPr="00AA4290">
              <w:rPr>
                <w:rFonts w:ascii="Calibri" w:eastAsia="Times New Roman" w:hAnsi="Calibri" w:cs="Calibri"/>
                <w:bCs/>
                <w:color w:val="000000"/>
                <w:sz w:val="22"/>
                <w:szCs w:val="22"/>
                <w:lang w:val="en-IE" w:eastAsia="en-IE"/>
              </w:rPr>
              <w:t>)</w:t>
            </w:r>
          </w:p>
        </w:tc>
      </w:tr>
      <w:tr w:rsidR="00AA4290" w:rsidRPr="00AA4290" w14:paraId="5BE25378" w14:textId="77777777" w:rsidTr="00EB7986">
        <w:trPr>
          <w:trHeight w:val="281"/>
        </w:trPr>
        <w:tc>
          <w:tcPr>
            <w:tcW w:w="295" w:type="dxa"/>
            <w:shd w:val="clear" w:color="auto" w:fill="FFFFFF"/>
            <w:vAlign w:val="center"/>
            <w:hideMark/>
          </w:tcPr>
          <w:p w14:paraId="24D83298"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vAlign w:val="center"/>
            <w:hideMark/>
          </w:tcPr>
          <w:p w14:paraId="1519B542"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Lease liabilities paid</w:t>
            </w:r>
          </w:p>
        </w:tc>
        <w:tc>
          <w:tcPr>
            <w:tcW w:w="720" w:type="dxa"/>
            <w:shd w:val="clear" w:color="auto" w:fill="FFFFFF"/>
            <w:vAlign w:val="center"/>
            <w:hideMark/>
          </w:tcPr>
          <w:p w14:paraId="164B6365"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6530D8EE" w14:textId="2F7C83D1" w:rsidR="00AA4290" w:rsidRPr="00AA4290" w:rsidRDefault="009849E4"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(17.</w:t>
            </w:r>
            <w:r w:rsidR="00520E6E">
              <w:rPr>
                <w:rFonts w:ascii="Calibri" w:eastAsia="Calibri" w:hAnsi="Calibri" w:cs="Calibri"/>
                <w:b/>
                <w:sz w:val="22"/>
                <w:szCs w:val="22"/>
                <w:lang w:val="en-IE" w:eastAsia="en-IE"/>
              </w:rPr>
              <w:t>3</w:t>
            </w:r>
            <w:r>
              <w:rPr>
                <w:rFonts w:ascii="Calibri" w:eastAsia="Calibri" w:hAnsi="Calibri" w:cs="Calibri"/>
                <w:b/>
                <w:sz w:val="22"/>
                <w:szCs w:val="22"/>
                <w:lang w:val="en-IE" w:eastAsia="en-IE"/>
              </w:rPr>
              <w:t>)</w:t>
            </w:r>
          </w:p>
        </w:tc>
        <w:tc>
          <w:tcPr>
            <w:tcW w:w="1133" w:type="dxa"/>
            <w:shd w:val="clear" w:color="auto" w:fill="FFFFFF"/>
            <w:vAlign w:val="center"/>
          </w:tcPr>
          <w:p w14:paraId="1DFF07FE" w14:textId="20E0DC13"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w:t>
            </w:r>
            <w:r w:rsidR="00B42B71">
              <w:rPr>
                <w:rFonts w:ascii="Calibri" w:eastAsia="Times New Roman" w:hAnsi="Calibri" w:cs="Calibri"/>
                <w:bCs/>
                <w:color w:val="000000"/>
                <w:sz w:val="22"/>
                <w:szCs w:val="22"/>
                <w:lang w:val="en-IE" w:eastAsia="en-IE"/>
              </w:rPr>
              <w:t>18.0</w:t>
            </w:r>
            <w:r w:rsidRPr="00AA4290">
              <w:rPr>
                <w:rFonts w:ascii="Calibri" w:eastAsia="Times New Roman" w:hAnsi="Calibri" w:cs="Calibri"/>
                <w:bCs/>
                <w:color w:val="000000"/>
                <w:sz w:val="22"/>
                <w:szCs w:val="22"/>
                <w:lang w:val="en-IE" w:eastAsia="en-IE"/>
              </w:rPr>
              <w:t>)</w:t>
            </w:r>
          </w:p>
        </w:tc>
      </w:tr>
      <w:tr w:rsidR="00AA4290" w:rsidRPr="00AA4290" w14:paraId="375E53DC" w14:textId="77777777" w:rsidTr="00EB7986">
        <w:trPr>
          <w:trHeight w:val="281"/>
        </w:trPr>
        <w:tc>
          <w:tcPr>
            <w:tcW w:w="7547" w:type="dxa"/>
            <w:gridSpan w:val="2"/>
            <w:shd w:val="clear" w:color="auto" w:fill="FFFFFF"/>
            <w:vAlign w:val="center"/>
            <w:hideMark/>
          </w:tcPr>
          <w:p w14:paraId="14A90547"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xml:space="preserve">Net cash </w:t>
            </w:r>
            <w:r w:rsidRPr="000B0335">
              <w:rPr>
                <w:rFonts w:ascii="Calibri" w:eastAsia="Times New Roman" w:hAnsi="Calibri" w:cs="Calibri"/>
                <w:b/>
                <w:color w:val="000000"/>
                <w:sz w:val="22"/>
                <w:szCs w:val="22"/>
                <w:lang w:val="en-IE" w:eastAsia="en-IE"/>
              </w:rPr>
              <w:t>(used in</w:t>
            </w:r>
            <w:r w:rsidRPr="00AA4290">
              <w:rPr>
                <w:rFonts w:ascii="Calibri" w:eastAsia="Times New Roman" w:hAnsi="Calibri" w:cs="Calibri"/>
                <w:b/>
                <w:bCs/>
                <w:color w:val="000000"/>
                <w:sz w:val="22"/>
                <w:szCs w:val="22"/>
                <w:lang w:val="en-IE" w:eastAsia="en-IE"/>
              </w:rPr>
              <w:t>) financing activities</w:t>
            </w:r>
          </w:p>
        </w:tc>
        <w:tc>
          <w:tcPr>
            <w:tcW w:w="720" w:type="dxa"/>
            <w:shd w:val="clear" w:color="auto" w:fill="FFFFFF"/>
            <w:vAlign w:val="center"/>
            <w:hideMark/>
          </w:tcPr>
          <w:p w14:paraId="333C30BD"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27268220" w14:textId="79D858F8" w:rsidR="00AA4290" w:rsidRPr="00AA4290" w:rsidRDefault="009849E4" w:rsidP="00AA4290">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(1,637.</w:t>
            </w:r>
            <w:r w:rsidR="00520E6E">
              <w:rPr>
                <w:rFonts w:ascii="Calibri" w:eastAsia="Times New Roman" w:hAnsi="Calibri" w:cs="Calibri"/>
                <w:b/>
                <w:bCs/>
                <w:color w:val="000000"/>
                <w:sz w:val="22"/>
                <w:szCs w:val="22"/>
                <w:lang w:val="en-IE" w:eastAsia="en-IE"/>
              </w:rPr>
              <w:t>1</w:t>
            </w:r>
            <w:r>
              <w:rPr>
                <w:rFonts w:ascii="Calibri" w:eastAsia="Times New Roman" w:hAnsi="Calibri" w:cs="Calibri"/>
                <w:b/>
                <w:bCs/>
                <w:color w:val="000000"/>
                <w:sz w:val="22"/>
                <w:szCs w:val="22"/>
                <w:lang w:val="en-IE" w:eastAsia="en-IE"/>
              </w:rPr>
              <w:t>)</w:t>
            </w:r>
          </w:p>
        </w:tc>
        <w:tc>
          <w:tcPr>
            <w:tcW w:w="1133" w:type="dxa"/>
            <w:tcBorders>
              <w:top w:val="single" w:sz="8" w:space="0" w:color="auto"/>
              <w:left w:val="nil"/>
              <w:bottom w:val="single" w:sz="8" w:space="0" w:color="auto"/>
              <w:right w:val="nil"/>
            </w:tcBorders>
            <w:shd w:val="clear" w:color="auto" w:fill="FFFFFF"/>
            <w:vAlign w:val="center"/>
          </w:tcPr>
          <w:p w14:paraId="0B5AD9B3" w14:textId="4F12C042" w:rsidR="00AA4290" w:rsidRPr="00AA4290" w:rsidRDefault="00AA4290" w:rsidP="00AA4290">
            <w:pPr>
              <w:spacing w:after="0" w:line="240" w:lineRule="auto"/>
              <w:jc w:val="right"/>
              <w:rPr>
                <w:rFonts w:ascii="Calibri" w:eastAsia="Times New Roman" w:hAnsi="Calibri" w:cs="Calibri"/>
                <w:bCs/>
                <w:color w:val="000000"/>
                <w:sz w:val="22"/>
                <w:szCs w:val="22"/>
                <w:lang w:val="en-IE" w:eastAsia="en-IE"/>
              </w:rPr>
            </w:pPr>
            <w:r w:rsidRPr="00AA4290">
              <w:rPr>
                <w:rFonts w:ascii="Calibri" w:eastAsia="Times New Roman" w:hAnsi="Calibri" w:cs="Calibri"/>
                <w:bCs/>
                <w:color w:val="000000"/>
                <w:sz w:val="22"/>
                <w:szCs w:val="22"/>
                <w:lang w:val="en-IE" w:eastAsia="en-IE"/>
              </w:rPr>
              <w:t>(1,0</w:t>
            </w:r>
            <w:r w:rsidR="000B1134">
              <w:rPr>
                <w:rFonts w:ascii="Calibri" w:eastAsia="Times New Roman" w:hAnsi="Calibri" w:cs="Calibri"/>
                <w:bCs/>
                <w:color w:val="000000"/>
                <w:sz w:val="22"/>
                <w:szCs w:val="22"/>
                <w:lang w:val="en-IE" w:eastAsia="en-IE"/>
              </w:rPr>
              <w:t>61.6</w:t>
            </w:r>
            <w:r w:rsidRPr="00AA4290">
              <w:rPr>
                <w:rFonts w:ascii="Calibri" w:eastAsia="Times New Roman" w:hAnsi="Calibri" w:cs="Calibri"/>
                <w:bCs/>
                <w:color w:val="000000"/>
                <w:sz w:val="22"/>
                <w:szCs w:val="22"/>
                <w:lang w:val="en-IE" w:eastAsia="en-IE"/>
              </w:rPr>
              <w:t>)</w:t>
            </w:r>
          </w:p>
        </w:tc>
      </w:tr>
      <w:tr w:rsidR="00AA4290" w:rsidRPr="00AA4290" w14:paraId="0A233818" w14:textId="77777777" w:rsidTr="00EB7986">
        <w:trPr>
          <w:trHeight w:val="113"/>
        </w:trPr>
        <w:tc>
          <w:tcPr>
            <w:tcW w:w="295" w:type="dxa"/>
            <w:shd w:val="clear" w:color="auto" w:fill="FFFFFF"/>
            <w:vAlign w:val="center"/>
            <w:hideMark/>
          </w:tcPr>
          <w:p w14:paraId="38C402BA"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7252" w:type="dxa"/>
            <w:shd w:val="clear" w:color="auto" w:fill="FFFFFF"/>
            <w:vAlign w:val="center"/>
            <w:hideMark/>
          </w:tcPr>
          <w:p w14:paraId="52A9714F" w14:textId="77777777"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0" w:type="dxa"/>
            <w:shd w:val="clear" w:color="auto" w:fill="FFFFFF"/>
            <w:vAlign w:val="center"/>
            <w:hideMark/>
          </w:tcPr>
          <w:p w14:paraId="496CD870"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6FB81A60" w14:textId="77777777" w:rsidR="00AA4290" w:rsidRPr="00AA4290" w:rsidRDefault="00AA4290" w:rsidP="00AA4290">
            <w:pPr>
              <w:spacing w:after="0" w:line="240" w:lineRule="auto"/>
              <w:jc w:val="right"/>
              <w:rPr>
                <w:rFonts w:ascii="Calibri" w:eastAsia="Calibri" w:hAnsi="Calibri" w:cs="Calibri"/>
                <w:b/>
                <w:sz w:val="22"/>
                <w:szCs w:val="22"/>
                <w:lang w:val="en-IE" w:eastAsia="en-IE"/>
              </w:rPr>
            </w:pPr>
          </w:p>
        </w:tc>
        <w:tc>
          <w:tcPr>
            <w:tcW w:w="1133" w:type="dxa"/>
            <w:shd w:val="clear" w:color="auto" w:fill="FFFFFF"/>
            <w:vAlign w:val="center"/>
          </w:tcPr>
          <w:p w14:paraId="04D8BEFA" w14:textId="77777777" w:rsidR="00AA4290" w:rsidRPr="00AA4290" w:rsidRDefault="00AA4290" w:rsidP="00AA4290">
            <w:pPr>
              <w:spacing w:after="0" w:line="240" w:lineRule="auto"/>
              <w:jc w:val="right"/>
              <w:rPr>
                <w:rFonts w:ascii="Calibri" w:eastAsia="Calibri" w:hAnsi="Calibri" w:cs="Calibri"/>
                <w:bCs/>
                <w:sz w:val="22"/>
                <w:szCs w:val="22"/>
                <w:lang w:val="en-IE" w:eastAsia="en-IE"/>
              </w:rPr>
            </w:pPr>
          </w:p>
        </w:tc>
      </w:tr>
      <w:tr w:rsidR="00AA4290" w:rsidRPr="00AA4290" w14:paraId="209AA9A3" w14:textId="77777777" w:rsidTr="00EB7986">
        <w:trPr>
          <w:trHeight w:val="87"/>
        </w:trPr>
        <w:tc>
          <w:tcPr>
            <w:tcW w:w="7547" w:type="dxa"/>
            <w:gridSpan w:val="2"/>
            <w:shd w:val="clear" w:color="auto" w:fill="FFFFFF"/>
            <w:vAlign w:val="center"/>
            <w:hideMark/>
          </w:tcPr>
          <w:p w14:paraId="042B97D6"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0B0335">
              <w:rPr>
                <w:rFonts w:ascii="Calibri" w:eastAsia="Times New Roman" w:hAnsi="Calibri" w:cs="Calibri"/>
                <w:b/>
                <w:color w:val="000000"/>
                <w:sz w:val="22"/>
                <w:szCs w:val="22"/>
                <w:lang w:val="en-IE" w:eastAsia="en-IE"/>
              </w:rPr>
              <w:t>(Decrease)</w:t>
            </w:r>
            <w:r w:rsidRPr="00AA4290">
              <w:rPr>
                <w:rFonts w:ascii="Calibri" w:eastAsia="Times New Roman" w:hAnsi="Calibri" w:cs="Calibri"/>
                <w:b/>
                <w:bCs/>
                <w:color w:val="000000"/>
                <w:sz w:val="22"/>
                <w:szCs w:val="22"/>
                <w:lang w:val="en-IE" w:eastAsia="en-IE"/>
              </w:rPr>
              <w:t xml:space="preserve"> in cash and cash equivalents</w:t>
            </w:r>
          </w:p>
        </w:tc>
        <w:tc>
          <w:tcPr>
            <w:tcW w:w="720" w:type="dxa"/>
            <w:shd w:val="clear" w:color="auto" w:fill="FFFFFF"/>
            <w:vAlign w:val="center"/>
            <w:hideMark/>
          </w:tcPr>
          <w:p w14:paraId="176C992D"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shd w:val="clear" w:color="auto" w:fill="FFFF00"/>
            <w:vAlign w:val="center"/>
          </w:tcPr>
          <w:p w14:paraId="3C3D222C" w14:textId="65B00E6B" w:rsidR="00AA4290" w:rsidRPr="00AA4290" w:rsidRDefault="009849E4" w:rsidP="00AA4290">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w:t>
            </w:r>
            <w:r w:rsidR="000B0335">
              <w:rPr>
                <w:rFonts w:ascii="Calibri" w:eastAsia="Times New Roman" w:hAnsi="Calibri" w:cs="Calibri"/>
                <w:b/>
                <w:bCs/>
                <w:color w:val="000000"/>
                <w:sz w:val="22"/>
                <w:szCs w:val="22"/>
                <w:lang w:val="en-IE" w:eastAsia="en-IE"/>
              </w:rPr>
              <w:t>876.7)</w:t>
            </w:r>
          </w:p>
        </w:tc>
        <w:tc>
          <w:tcPr>
            <w:tcW w:w="1133" w:type="dxa"/>
            <w:shd w:val="clear" w:color="auto" w:fill="FFFFFF"/>
            <w:vAlign w:val="center"/>
          </w:tcPr>
          <w:p w14:paraId="1054CF20" w14:textId="5F93CB33"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w:t>
            </w:r>
            <w:r w:rsidR="000B1134">
              <w:rPr>
                <w:rFonts w:ascii="Calibri" w:eastAsia="Times New Roman" w:hAnsi="Calibri" w:cs="Calibri"/>
                <w:color w:val="000000"/>
                <w:sz w:val="22"/>
                <w:szCs w:val="22"/>
                <w:lang w:val="en-IE" w:eastAsia="en-IE"/>
              </w:rPr>
              <w:t>933.0</w:t>
            </w:r>
            <w:r w:rsidRPr="00AA4290">
              <w:rPr>
                <w:rFonts w:ascii="Calibri" w:eastAsia="Times New Roman" w:hAnsi="Calibri" w:cs="Calibri"/>
                <w:color w:val="000000"/>
                <w:sz w:val="22"/>
                <w:szCs w:val="22"/>
                <w:lang w:val="en-IE" w:eastAsia="en-IE"/>
              </w:rPr>
              <w:t>)</w:t>
            </w:r>
          </w:p>
        </w:tc>
      </w:tr>
      <w:tr w:rsidR="00AA4290" w:rsidRPr="00AA4290" w14:paraId="76FCBB54" w14:textId="77777777" w:rsidTr="00EB7986">
        <w:trPr>
          <w:trHeight w:val="272"/>
        </w:trPr>
        <w:tc>
          <w:tcPr>
            <w:tcW w:w="295" w:type="dxa"/>
            <w:shd w:val="clear" w:color="auto" w:fill="FFFFFF"/>
            <w:vAlign w:val="center"/>
            <w:hideMark/>
          </w:tcPr>
          <w:p w14:paraId="686A8FBB"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7252" w:type="dxa"/>
            <w:shd w:val="clear" w:color="auto" w:fill="FFFFFF"/>
            <w:vAlign w:val="center"/>
            <w:hideMark/>
          </w:tcPr>
          <w:p w14:paraId="5B18D7A4" w14:textId="5BACBC66"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xml:space="preserve">Net foreign exchange </w:t>
            </w:r>
            <w:r w:rsidRPr="000B0335">
              <w:rPr>
                <w:rFonts w:ascii="Calibri" w:eastAsia="Times New Roman" w:hAnsi="Calibri" w:cs="Calibri"/>
                <w:color w:val="000000"/>
                <w:sz w:val="22"/>
                <w:szCs w:val="22"/>
                <w:lang w:val="en-IE" w:eastAsia="en-IE"/>
              </w:rPr>
              <w:t>(loss)</w:t>
            </w:r>
          </w:p>
        </w:tc>
        <w:tc>
          <w:tcPr>
            <w:tcW w:w="720" w:type="dxa"/>
            <w:shd w:val="clear" w:color="auto" w:fill="FFFFFF"/>
            <w:vAlign w:val="center"/>
            <w:hideMark/>
          </w:tcPr>
          <w:p w14:paraId="63159F32"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shd w:val="clear" w:color="auto" w:fill="FFFF00"/>
            <w:vAlign w:val="center"/>
          </w:tcPr>
          <w:p w14:paraId="4F891B3A" w14:textId="3FD0F806" w:rsidR="00AA4290" w:rsidRPr="00AA4290" w:rsidRDefault="000B0335"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(23.1)</w:t>
            </w:r>
          </w:p>
        </w:tc>
        <w:tc>
          <w:tcPr>
            <w:tcW w:w="1133" w:type="dxa"/>
            <w:shd w:val="clear" w:color="auto" w:fill="FFFFFF"/>
            <w:vAlign w:val="center"/>
          </w:tcPr>
          <w:p w14:paraId="59E666A5" w14:textId="319E7C9A" w:rsidR="00AA4290" w:rsidRPr="00AA4290" w:rsidRDefault="000B1134" w:rsidP="00AA4290">
            <w:pPr>
              <w:spacing w:after="0" w:line="240" w:lineRule="auto"/>
              <w:jc w:val="right"/>
              <w:rPr>
                <w:rFonts w:ascii="Calibri" w:eastAsia="Times New Roman" w:hAnsi="Calibri" w:cs="Calibri"/>
                <w:color w:val="000000"/>
                <w:sz w:val="22"/>
                <w:szCs w:val="22"/>
                <w:lang w:val="en-IE" w:eastAsia="en-IE"/>
              </w:rPr>
            </w:pPr>
            <w:r>
              <w:rPr>
                <w:rFonts w:ascii="Calibri" w:eastAsia="Times New Roman" w:hAnsi="Calibri" w:cs="Calibri"/>
                <w:color w:val="000000"/>
                <w:sz w:val="22"/>
                <w:szCs w:val="22"/>
                <w:lang w:val="en-IE" w:eastAsia="en-IE"/>
              </w:rPr>
              <w:t>(16.2)</w:t>
            </w:r>
          </w:p>
        </w:tc>
      </w:tr>
      <w:tr w:rsidR="00AA4290" w:rsidRPr="00AA4290" w14:paraId="741E20D0" w14:textId="77777777" w:rsidTr="00EB7986">
        <w:trPr>
          <w:trHeight w:val="281"/>
        </w:trPr>
        <w:tc>
          <w:tcPr>
            <w:tcW w:w="295" w:type="dxa"/>
            <w:shd w:val="clear" w:color="auto" w:fill="FFFFFF"/>
            <w:noWrap/>
            <w:vAlign w:val="center"/>
            <w:hideMark/>
          </w:tcPr>
          <w:p w14:paraId="58AB7B3A"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 </w:t>
            </w:r>
          </w:p>
        </w:tc>
        <w:tc>
          <w:tcPr>
            <w:tcW w:w="7252" w:type="dxa"/>
            <w:shd w:val="clear" w:color="auto" w:fill="FFFFFF"/>
            <w:noWrap/>
            <w:vAlign w:val="bottom"/>
            <w:hideMark/>
          </w:tcPr>
          <w:p w14:paraId="45A347B2"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Cash and cash equivalents at beginning of the period</w:t>
            </w:r>
          </w:p>
        </w:tc>
        <w:tc>
          <w:tcPr>
            <w:tcW w:w="720" w:type="dxa"/>
            <w:shd w:val="clear" w:color="auto" w:fill="FFFFFF"/>
            <w:vAlign w:val="center"/>
            <w:hideMark/>
          </w:tcPr>
          <w:p w14:paraId="24025986" w14:textId="77777777" w:rsidR="00AA4290" w:rsidRPr="00AA4290" w:rsidRDefault="00AA4290" w:rsidP="00AA4290">
            <w:pPr>
              <w:spacing w:after="0" w:line="240" w:lineRule="auto"/>
              <w:rPr>
                <w:rFonts w:ascii="Calibri" w:eastAsia="Times New Roman" w:hAnsi="Calibri" w:cs="Calibri"/>
                <w:color w:val="000000"/>
                <w:sz w:val="22"/>
                <w:szCs w:val="22"/>
                <w:lang w:val="en-IE" w:eastAsia="en-IE"/>
              </w:rPr>
            </w:pPr>
          </w:p>
        </w:tc>
        <w:tc>
          <w:tcPr>
            <w:tcW w:w="1265" w:type="dxa"/>
            <w:tcBorders>
              <w:top w:val="nil"/>
              <w:left w:val="nil"/>
              <w:bottom w:val="single" w:sz="8" w:space="0" w:color="auto"/>
              <w:right w:val="nil"/>
            </w:tcBorders>
            <w:shd w:val="clear" w:color="auto" w:fill="FFFF00"/>
            <w:vAlign w:val="center"/>
          </w:tcPr>
          <w:p w14:paraId="093125B3" w14:textId="24F73B3D" w:rsidR="00AA4290" w:rsidRPr="00AA4290" w:rsidRDefault="000B0335"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3,863.3</w:t>
            </w:r>
          </w:p>
        </w:tc>
        <w:tc>
          <w:tcPr>
            <w:tcW w:w="1133" w:type="dxa"/>
            <w:tcBorders>
              <w:top w:val="nil"/>
              <w:left w:val="nil"/>
              <w:bottom w:val="single" w:sz="8" w:space="0" w:color="auto"/>
              <w:right w:val="nil"/>
            </w:tcBorders>
            <w:shd w:val="clear" w:color="auto" w:fill="FFFFFF"/>
            <w:vAlign w:val="center"/>
          </w:tcPr>
          <w:p w14:paraId="3D800A76" w14:textId="6796197A" w:rsidR="00AA4290" w:rsidRPr="00AA4290" w:rsidRDefault="00AA4290" w:rsidP="00AA4290">
            <w:pPr>
              <w:spacing w:after="0" w:line="240" w:lineRule="auto"/>
              <w:jc w:val="right"/>
              <w:rPr>
                <w:rFonts w:ascii="Calibri" w:eastAsia="Calibri" w:hAnsi="Calibri" w:cs="Calibri"/>
                <w:sz w:val="22"/>
                <w:szCs w:val="22"/>
                <w:lang w:val="en-IE" w:eastAsia="en-IE"/>
              </w:rPr>
            </w:pPr>
            <w:r w:rsidRPr="00AA4290">
              <w:rPr>
                <w:rFonts w:ascii="Calibri" w:eastAsia="Calibri" w:hAnsi="Calibri" w:cs="Calibri"/>
                <w:sz w:val="22"/>
                <w:szCs w:val="22"/>
                <w:lang w:val="en-IE" w:eastAsia="en-IE"/>
              </w:rPr>
              <w:t>3,</w:t>
            </w:r>
            <w:r w:rsidR="000B1134">
              <w:rPr>
                <w:rFonts w:ascii="Calibri" w:eastAsia="Calibri" w:hAnsi="Calibri" w:cs="Calibri"/>
                <w:sz w:val="22"/>
                <w:szCs w:val="22"/>
                <w:lang w:val="en-IE" w:eastAsia="en-IE"/>
              </w:rPr>
              <w:t>875.4</w:t>
            </w:r>
          </w:p>
        </w:tc>
      </w:tr>
      <w:tr w:rsidR="00AA4290" w:rsidRPr="00AA4290" w14:paraId="328A8B54" w14:textId="77777777" w:rsidTr="00EB7986">
        <w:trPr>
          <w:trHeight w:val="281"/>
        </w:trPr>
        <w:tc>
          <w:tcPr>
            <w:tcW w:w="7547" w:type="dxa"/>
            <w:gridSpan w:val="2"/>
            <w:shd w:val="clear" w:color="auto" w:fill="FFFFFF"/>
            <w:vAlign w:val="center"/>
            <w:hideMark/>
          </w:tcPr>
          <w:p w14:paraId="42DDC47F"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Cash and cash equivalents at end of the period</w:t>
            </w:r>
          </w:p>
        </w:tc>
        <w:tc>
          <w:tcPr>
            <w:tcW w:w="720" w:type="dxa"/>
            <w:shd w:val="clear" w:color="auto" w:fill="FFFFFF"/>
            <w:vAlign w:val="center"/>
            <w:hideMark/>
          </w:tcPr>
          <w:p w14:paraId="50C81C92"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r w:rsidRPr="00AA4290">
              <w:rPr>
                <w:rFonts w:ascii="Calibri" w:eastAsia="Times New Roman" w:hAnsi="Calibri" w:cs="Calibri"/>
                <w:b/>
                <w:bCs/>
                <w:color w:val="000000"/>
                <w:sz w:val="22"/>
                <w:szCs w:val="22"/>
                <w:lang w:val="en-IE" w:eastAsia="en-IE"/>
              </w:rPr>
              <w:t> </w:t>
            </w:r>
          </w:p>
        </w:tc>
        <w:tc>
          <w:tcPr>
            <w:tcW w:w="1265" w:type="dxa"/>
            <w:tcBorders>
              <w:top w:val="single" w:sz="8" w:space="0" w:color="auto"/>
              <w:left w:val="nil"/>
              <w:bottom w:val="single" w:sz="8" w:space="0" w:color="auto"/>
              <w:right w:val="nil"/>
            </w:tcBorders>
            <w:shd w:val="clear" w:color="auto" w:fill="FFFF00"/>
            <w:vAlign w:val="center"/>
          </w:tcPr>
          <w:p w14:paraId="27FCDE1D" w14:textId="69535198" w:rsidR="00AA4290" w:rsidRPr="00AA4290" w:rsidRDefault="000B0335" w:rsidP="00AA4290">
            <w:pPr>
              <w:spacing w:after="0" w:line="240" w:lineRule="auto"/>
              <w:jc w:val="right"/>
              <w:rPr>
                <w:rFonts w:ascii="Calibri" w:eastAsia="Calibri" w:hAnsi="Calibri" w:cs="Calibri"/>
                <w:b/>
                <w:sz w:val="22"/>
                <w:szCs w:val="22"/>
                <w:lang w:val="en-IE" w:eastAsia="en-IE"/>
              </w:rPr>
            </w:pPr>
            <w:r>
              <w:rPr>
                <w:rFonts w:ascii="Calibri" w:eastAsia="Calibri" w:hAnsi="Calibri" w:cs="Calibri"/>
                <w:b/>
                <w:sz w:val="22"/>
                <w:szCs w:val="22"/>
                <w:lang w:val="en-IE" w:eastAsia="en-IE"/>
              </w:rPr>
              <w:t>2,963.5</w:t>
            </w:r>
          </w:p>
        </w:tc>
        <w:tc>
          <w:tcPr>
            <w:tcW w:w="1133" w:type="dxa"/>
            <w:tcBorders>
              <w:top w:val="single" w:sz="8" w:space="0" w:color="auto"/>
              <w:left w:val="nil"/>
              <w:bottom w:val="single" w:sz="8" w:space="0" w:color="auto"/>
              <w:right w:val="nil"/>
            </w:tcBorders>
            <w:shd w:val="clear" w:color="auto" w:fill="FFFFFF"/>
            <w:vAlign w:val="center"/>
          </w:tcPr>
          <w:p w14:paraId="2AE1C68B" w14:textId="5BC45F36" w:rsidR="00AA4290" w:rsidRPr="00AA4290" w:rsidRDefault="000B1134" w:rsidP="00AA4290">
            <w:pPr>
              <w:spacing w:after="0" w:line="240" w:lineRule="auto"/>
              <w:jc w:val="right"/>
              <w:rPr>
                <w:rFonts w:ascii="Calibri" w:eastAsia="Calibri" w:hAnsi="Calibri" w:cs="Calibri"/>
                <w:sz w:val="22"/>
                <w:szCs w:val="22"/>
                <w:lang w:val="en-IE" w:eastAsia="en-IE"/>
              </w:rPr>
            </w:pPr>
            <w:r>
              <w:rPr>
                <w:rFonts w:ascii="Calibri" w:eastAsia="Calibri" w:hAnsi="Calibri" w:cs="Calibri"/>
                <w:sz w:val="22"/>
                <w:szCs w:val="22"/>
                <w:lang w:val="en-IE" w:eastAsia="en-IE"/>
              </w:rPr>
              <w:t>2,926.2</w:t>
            </w:r>
          </w:p>
        </w:tc>
      </w:tr>
      <w:tr w:rsidR="00AA4290" w:rsidRPr="00AA4290" w14:paraId="584484DC" w14:textId="77777777" w:rsidTr="00EB7986">
        <w:trPr>
          <w:trHeight w:val="170"/>
        </w:trPr>
        <w:tc>
          <w:tcPr>
            <w:tcW w:w="7547" w:type="dxa"/>
            <w:gridSpan w:val="2"/>
            <w:shd w:val="clear" w:color="auto" w:fill="FFFFFF"/>
            <w:vAlign w:val="center"/>
          </w:tcPr>
          <w:p w14:paraId="080FDE46" w14:textId="77777777" w:rsidR="00AA4290" w:rsidRPr="00AA4290" w:rsidRDefault="00AA4290" w:rsidP="00AA4290">
            <w:pPr>
              <w:spacing w:after="0" w:line="240" w:lineRule="auto"/>
              <w:rPr>
                <w:rFonts w:ascii="Calibri" w:eastAsia="Times New Roman" w:hAnsi="Calibri" w:cs="Calibri"/>
                <w:b/>
                <w:bCs/>
                <w:color w:val="000000"/>
                <w:sz w:val="22"/>
                <w:szCs w:val="22"/>
                <w:lang w:val="en-IE" w:eastAsia="en-IE"/>
              </w:rPr>
            </w:pPr>
          </w:p>
        </w:tc>
        <w:tc>
          <w:tcPr>
            <w:tcW w:w="720" w:type="dxa"/>
            <w:shd w:val="clear" w:color="auto" w:fill="FFFFFF"/>
            <w:vAlign w:val="center"/>
          </w:tcPr>
          <w:p w14:paraId="63CEE537"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265" w:type="dxa"/>
            <w:tcBorders>
              <w:left w:val="nil"/>
              <w:right w:val="nil"/>
            </w:tcBorders>
            <w:shd w:val="clear" w:color="auto" w:fill="FFFF00"/>
            <w:vAlign w:val="center"/>
          </w:tcPr>
          <w:p w14:paraId="133C5B41"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133" w:type="dxa"/>
            <w:tcBorders>
              <w:top w:val="single" w:sz="8" w:space="0" w:color="auto"/>
              <w:left w:val="nil"/>
              <w:right w:val="nil"/>
            </w:tcBorders>
            <w:shd w:val="clear" w:color="auto" w:fill="FFFFFF"/>
            <w:vAlign w:val="center"/>
          </w:tcPr>
          <w:p w14:paraId="0D859226"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r>
      <w:tr w:rsidR="00AA4290" w:rsidRPr="00AA4290" w14:paraId="346B1FB8" w14:textId="77777777" w:rsidTr="00EB7986">
        <w:trPr>
          <w:trHeight w:val="281"/>
        </w:trPr>
        <w:tc>
          <w:tcPr>
            <w:tcW w:w="7547" w:type="dxa"/>
            <w:gridSpan w:val="2"/>
            <w:shd w:val="clear" w:color="auto" w:fill="FFFFFF"/>
          </w:tcPr>
          <w:p w14:paraId="57A9C995" w14:textId="77777777" w:rsidR="00AA4290" w:rsidRPr="00AA4290" w:rsidRDefault="00AA4290" w:rsidP="00AA4290">
            <w:pPr>
              <w:autoSpaceDE w:val="0"/>
              <w:autoSpaceDN w:val="0"/>
              <w:adjustRightInd w:val="0"/>
              <w:spacing w:after="0" w:line="240" w:lineRule="auto"/>
              <w:ind w:right="4"/>
              <w:rPr>
                <w:rFonts w:ascii="Calibri" w:eastAsia="Times New Roman" w:hAnsi="Calibri" w:cs="Calibri"/>
                <w:b/>
                <w:bCs/>
                <w:color w:val="000000"/>
                <w:sz w:val="22"/>
                <w:szCs w:val="22"/>
                <w:lang w:val="en-IE" w:eastAsia="en-US"/>
              </w:rPr>
            </w:pPr>
            <w:r w:rsidRPr="00AA4290">
              <w:rPr>
                <w:rFonts w:ascii="Calibri" w:eastAsia="Times New Roman" w:hAnsi="Calibri" w:cs="Calibri"/>
                <w:b/>
                <w:bCs/>
                <w:color w:val="000000"/>
                <w:sz w:val="22"/>
                <w:szCs w:val="22"/>
                <w:lang w:val="en-IE" w:eastAsia="en-US"/>
              </w:rPr>
              <w:t>Included in the cash flows from operating activities for the half-year are the following amounts:</w:t>
            </w:r>
          </w:p>
        </w:tc>
        <w:tc>
          <w:tcPr>
            <w:tcW w:w="720" w:type="dxa"/>
            <w:shd w:val="clear" w:color="auto" w:fill="FFFFFF"/>
            <w:vAlign w:val="center"/>
          </w:tcPr>
          <w:p w14:paraId="27A734EB"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265" w:type="dxa"/>
            <w:tcBorders>
              <w:top w:val="nil"/>
              <w:left w:val="nil"/>
              <w:right w:val="nil"/>
            </w:tcBorders>
            <w:shd w:val="clear" w:color="auto" w:fill="FFFF00"/>
            <w:vAlign w:val="center"/>
          </w:tcPr>
          <w:p w14:paraId="54A5E267"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133" w:type="dxa"/>
            <w:tcBorders>
              <w:top w:val="nil"/>
              <w:left w:val="nil"/>
              <w:right w:val="nil"/>
            </w:tcBorders>
            <w:shd w:val="clear" w:color="auto" w:fill="FFFFFF"/>
            <w:vAlign w:val="center"/>
          </w:tcPr>
          <w:p w14:paraId="7AEB6ABF"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r>
      <w:tr w:rsidR="00AA4290" w:rsidRPr="00AA4290" w14:paraId="381C17E0" w14:textId="77777777" w:rsidTr="00EB7986">
        <w:trPr>
          <w:trHeight w:val="281"/>
        </w:trPr>
        <w:tc>
          <w:tcPr>
            <w:tcW w:w="7547" w:type="dxa"/>
            <w:gridSpan w:val="2"/>
            <w:shd w:val="clear" w:color="auto" w:fill="FFFFFF"/>
          </w:tcPr>
          <w:p w14:paraId="0CAC92EA" w14:textId="77777777" w:rsidR="00AA4290" w:rsidRPr="00AA4290" w:rsidRDefault="00AA4290" w:rsidP="00AA4290">
            <w:pPr>
              <w:spacing w:after="0" w:line="240" w:lineRule="auto"/>
              <w:ind w:firstLine="321"/>
              <w:rPr>
                <w:rFonts w:ascii="Calibri" w:eastAsia="Times New Roman" w:hAnsi="Calibri" w:cs="Calibri"/>
                <w:b/>
                <w:bCs/>
                <w:color w:val="000000"/>
                <w:sz w:val="22"/>
                <w:szCs w:val="22"/>
                <w:lang w:val="en-IE" w:eastAsia="en-IE"/>
              </w:rPr>
            </w:pPr>
            <w:r w:rsidRPr="00AA4290">
              <w:rPr>
                <w:rFonts w:ascii="Calibri" w:eastAsia="Times New Roman" w:hAnsi="Calibri" w:cs="Calibri"/>
                <w:color w:val="000000"/>
                <w:sz w:val="22"/>
                <w:szCs w:val="22"/>
                <w:lang w:val="en-IE" w:eastAsia="en-US"/>
              </w:rPr>
              <w:t>Interest income received</w:t>
            </w:r>
          </w:p>
        </w:tc>
        <w:tc>
          <w:tcPr>
            <w:tcW w:w="720" w:type="dxa"/>
            <w:shd w:val="clear" w:color="auto" w:fill="FFFFFF"/>
            <w:vAlign w:val="center"/>
          </w:tcPr>
          <w:p w14:paraId="538CCFE8"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265" w:type="dxa"/>
            <w:tcBorders>
              <w:left w:val="nil"/>
              <w:right w:val="nil"/>
            </w:tcBorders>
            <w:shd w:val="clear" w:color="auto" w:fill="FFFF00"/>
            <w:vAlign w:val="center"/>
          </w:tcPr>
          <w:p w14:paraId="5C10DA43" w14:textId="0347C3D1" w:rsidR="00AA4290" w:rsidRPr="00AA4290" w:rsidRDefault="000B0335" w:rsidP="00AA4290">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52.5</w:t>
            </w:r>
          </w:p>
        </w:tc>
        <w:tc>
          <w:tcPr>
            <w:tcW w:w="1133" w:type="dxa"/>
            <w:tcBorders>
              <w:left w:val="nil"/>
              <w:right w:val="nil"/>
            </w:tcBorders>
            <w:shd w:val="clear" w:color="auto" w:fill="FFFFFF"/>
            <w:vAlign w:val="center"/>
          </w:tcPr>
          <w:p w14:paraId="0D921429" w14:textId="1CA3AD34" w:rsidR="00AA4290" w:rsidRPr="00AA4290" w:rsidRDefault="00AA4290" w:rsidP="00AA4290">
            <w:pPr>
              <w:spacing w:after="0" w:line="240" w:lineRule="auto"/>
              <w:jc w:val="right"/>
              <w:rPr>
                <w:rFonts w:ascii="Calibri" w:eastAsia="Calibri" w:hAnsi="Calibri" w:cs="Calibri"/>
                <w:sz w:val="22"/>
                <w:szCs w:val="22"/>
                <w:lang w:val="en-IE" w:eastAsia="en-IE"/>
              </w:rPr>
            </w:pPr>
            <w:r w:rsidRPr="00AA4290">
              <w:rPr>
                <w:rFonts w:ascii="Calibri" w:eastAsia="Calibri" w:hAnsi="Calibri" w:cs="Calibri"/>
                <w:sz w:val="22"/>
                <w:szCs w:val="22"/>
                <w:lang w:val="en-IE" w:eastAsia="en-IE"/>
              </w:rPr>
              <w:t>7</w:t>
            </w:r>
            <w:r w:rsidR="000B1134">
              <w:rPr>
                <w:rFonts w:ascii="Calibri" w:eastAsia="Calibri" w:hAnsi="Calibri" w:cs="Calibri"/>
                <w:sz w:val="22"/>
                <w:szCs w:val="22"/>
                <w:lang w:val="en-IE" w:eastAsia="en-IE"/>
              </w:rPr>
              <w:t>8.1</w:t>
            </w:r>
          </w:p>
        </w:tc>
      </w:tr>
      <w:tr w:rsidR="00AA4290" w:rsidRPr="00AA4290" w14:paraId="63D24EA4" w14:textId="77777777" w:rsidTr="00EB7986">
        <w:trPr>
          <w:trHeight w:val="281"/>
        </w:trPr>
        <w:tc>
          <w:tcPr>
            <w:tcW w:w="7547" w:type="dxa"/>
            <w:gridSpan w:val="2"/>
            <w:shd w:val="clear" w:color="auto" w:fill="FFFFFF"/>
          </w:tcPr>
          <w:p w14:paraId="28CCC1F2" w14:textId="77777777" w:rsidR="00AA4290" w:rsidRPr="00AA4290" w:rsidRDefault="00AA4290" w:rsidP="00AA4290">
            <w:pPr>
              <w:spacing w:after="0" w:line="240" w:lineRule="auto"/>
              <w:ind w:firstLine="321"/>
              <w:rPr>
                <w:rFonts w:ascii="Calibri" w:eastAsia="Times New Roman" w:hAnsi="Calibri" w:cs="Calibri"/>
                <w:b/>
                <w:bCs/>
                <w:color w:val="000000"/>
                <w:sz w:val="22"/>
                <w:szCs w:val="22"/>
                <w:lang w:val="en-IE" w:eastAsia="en-IE"/>
              </w:rPr>
            </w:pPr>
            <w:r w:rsidRPr="00AA4290">
              <w:rPr>
                <w:rFonts w:ascii="Calibri" w:eastAsia="Times New Roman" w:hAnsi="Calibri" w:cs="Calibri"/>
                <w:color w:val="000000"/>
                <w:sz w:val="22"/>
                <w:szCs w:val="22"/>
                <w:lang w:val="en-IE" w:eastAsia="en-US"/>
              </w:rPr>
              <w:t>Interest expense paid</w:t>
            </w:r>
          </w:p>
        </w:tc>
        <w:tc>
          <w:tcPr>
            <w:tcW w:w="720" w:type="dxa"/>
            <w:shd w:val="clear" w:color="auto" w:fill="FFFFFF"/>
            <w:vAlign w:val="center"/>
          </w:tcPr>
          <w:p w14:paraId="52392506" w14:textId="77777777" w:rsidR="00AA4290" w:rsidRPr="00AA4290" w:rsidRDefault="00AA4290" w:rsidP="00AA4290">
            <w:pPr>
              <w:spacing w:after="0" w:line="240" w:lineRule="auto"/>
              <w:jc w:val="right"/>
              <w:rPr>
                <w:rFonts w:ascii="Calibri" w:eastAsia="Times New Roman" w:hAnsi="Calibri" w:cs="Calibri"/>
                <w:b/>
                <w:bCs/>
                <w:color w:val="000000"/>
                <w:sz w:val="22"/>
                <w:szCs w:val="22"/>
                <w:lang w:val="en-IE" w:eastAsia="en-IE"/>
              </w:rPr>
            </w:pPr>
          </w:p>
        </w:tc>
        <w:tc>
          <w:tcPr>
            <w:tcW w:w="1265" w:type="dxa"/>
            <w:tcBorders>
              <w:left w:val="nil"/>
              <w:bottom w:val="single" w:sz="8" w:space="0" w:color="auto"/>
              <w:right w:val="nil"/>
            </w:tcBorders>
            <w:shd w:val="clear" w:color="auto" w:fill="FFFF00"/>
            <w:vAlign w:val="center"/>
          </w:tcPr>
          <w:p w14:paraId="754E3549" w14:textId="12E0F892" w:rsidR="00AA4290" w:rsidRPr="00AA4290" w:rsidRDefault="000B0335" w:rsidP="00AA4290">
            <w:pPr>
              <w:spacing w:after="0" w:line="240" w:lineRule="auto"/>
              <w:jc w:val="right"/>
              <w:rPr>
                <w:rFonts w:ascii="Calibri" w:eastAsia="Times New Roman" w:hAnsi="Calibri" w:cs="Calibri"/>
                <w:b/>
                <w:bCs/>
                <w:color w:val="000000"/>
                <w:sz w:val="22"/>
                <w:szCs w:val="22"/>
                <w:lang w:val="en-IE" w:eastAsia="en-IE"/>
              </w:rPr>
            </w:pPr>
            <w:r>
              <w:rPr>
                <w:rFonts w:ascii="Calibri" w:eastAsia="Times New Roman" w:hAnsi="Calibri" w:cs="Calibri"/>
                <w:b/>
                <w:bCs/>
                <w:color w:val="000000"/>
                <w:sz w:val="22"/>
                <w:szCs w:val="22"/>
                <w:lang w:val="en-IE" w:eastAsia="en-IE"/>
              </w:rPr>
              <w:t>(46.0)</w:t>
            </w:r>
          </w:p>
        </w:tc>
        <w:tc>
          <w:tcPr>
            <w:tcW w:w="1133" w:type="dxa"/>
            <w:tcBorders>
              <w:left w:val="nil"/>
              <w:bottom w:val="single" w:sz="8" w:space="0" w:color="auto"/>
              <w:right w:val="nil"/>
            </w:tcBorders>
            <w:shd w:val="clear" w:color="auto" w:fill="FFFFFF"/>
            <w:vAlign w:val="center"/>
          </w:tcPr>
          <w:p w14:paraId="545F371E" w14:textId="3E30AF03" w:rsidR="00AA4290" w:rsidRPr="00AA4290" w:rsidRDefault="00AA4290" w:rsidP="00AA4290">
            <w:pPr>
              <w:spacing w:after="0" w:line="240" w:lineRule="auto"/>
              <w:jc w:val="right"/>
              <w:rPr>
                <w:rFonts w:ascii="Calibri" w:eastAsia="Times New Roman" w:hAnsi="Calibri" w:cs="Calibri"/>
                <w:color w:val="000000"/>
                <w:sz w:val="22"/>
                <w:szCs w:val="22"/>
                <w:lang w:val="en-IE" w:eastAsia="en-IE"/>
              </w:rPr>
            </w:pPr>
            <w:r w:rsidRPr="00AA4290">
              <w:rPr>
                <w:rFonts w:ascii="Calibri" w:eastAsia="Times New Roman" w:hAnsi="Calibri" w:cs="Calibri"/>
                <w:color w:val="000000"/>
                <w:sz w:val="22"/>
                <w:szCs w:val="22"/>
                <w:lang w:val="en-IE" w:eastAsia="en-IE"/>
              </w:rPr>
              <w:t>(</w:t>
            </w:r>
            <w:r w:rsidR="000B1134">
              <w:rPr>
                <w:rFonts w:ascii="Calibri" w:eastAsia="Times New Roman" w:hAnsi="Calibri" w:cs="Calibri"/>
                <w:color w:val="000000"/>
                <w:sz w:val="22"/>
                <w:szCs w:val="22"/>
                <w:lang w:val="en-IE" w:eastAsia="en-IE"/>
              </w:rPr>
              <w:t>53.1)</w:t>
            </w:r>
          </w:p>
        </w:tc>
      </w:tr>
    </w:tbl>
    <w:p w14:paraId="161FD421" w14:textId="77777777" w:rsidR="00AA4290" w:rsidRPr="00AA4290" w:rsidRDefault="00AA4290" w:rsidP="00AA4290">
      <w:pPr>
        <w:autoSpaceDE w:val="0"/>
        <w:autoSpaceDN w:val="0"/>
        <w:adjustRightInd w:val="0"/>
        <w:spacing w:after="0" w:line="240" w:lineRule="auto"/>
        <w:ind w:right="4"/>
        <w:rPr>
          <w:rFonts w:ascii="Calibri" w:eastAsia="Times New Roman" w:hAnsi="Calibri" w:cs="Calibri"/>
          <w:i/>
          <w:iCs/>
          <w:sz w:val="21"/>
          <w:szCs w:val="21"/>
          <w:lang w:val="en-IE" w:eastAsia="en-US"/>
        </w:rPr>
      </w:pPr>
    </w:p>
    <w:bookmarkEnd w:id="2"/>
    <w:p w14:paraId="31EE5FD3" w14:textId="6784D7EE" w:rsidR="001146C5" w:rsidRDefault="001146C5">
      <w:pPr>
        <w:rPr>
          <w:rFonts w:ascii="Calibri" w:eastAsia="Times New Roman" w:hAnsi="Calibri" w:cs="Calibri"/>
          <w:b/>
          <w:bCs/>
          <w:color w:val="000000"/>
          <w:lang w:val="en-IE" w:eastAsia="en-US"/>
        </w:rPr>
      </w:pPr>
      <w:r>
        <w:rPr>
          <w:rFonts w:ascii="Calibri" w:eastAsia="Times New Roman" w:hAnsi="Calibri" w:cs="Calibri"/>
          <w:b/>
          <w:bCs/>
          <w:color w:val="000000"/>
          <w:lang w:val="en-IE" w:eastAsia="en-US"/>
        </w:rPr>
        <w:br w:type="page"/>
      </w:r>
    </w:p>
    <w:p w14:paraId="0C0F71E5" w14:textId="7D546E8C" w:rsidR="005A5172" w:rsidRPr="00C17B7B" w:rsidRDefault="001146C5" w:rsidP="00232E30">
      <w:pPr>
        <w:autoSpaceDE w:val="0"/>
        <w:autoSpaceDN w:val="0"/>
        <w:adjustRightInd w:val="0"/>
        <w:spacing w:after="0" w:line="240" w:lineRule="auto"/>
        <w:ind w:right="4"/>
        <w:rPr>
          <w:rFonts w:ascii="Calibri" w:eastAsia="Times New Roman" w:hAnsi="Calibri" w:cs="Calibri"/>
          <w:b/>
          <w:lang w:val="en-IE" w:eastAsia="en-US"/>
        </w:rPr>
      </w:pPr>
      <w:r>
        <w:rPr>
          <w:rFonts w:ascii="Calibri" w:eastAsia="Times New Roman" w:hAnsi="Calibri" w:cs="Calibri"/>
          <w:b/>
          <w:lang w:val="en-IE" w:eastAsia="en-US"/>
        </w:rPr>
        <w:lastRenderedPageBreak/>
        <w:t xml:space="preserve">   </w:t>
      </w:r>
      <w:r w:rsidR="005A5172" w:rsidRPr="00C17B7B">
        <w:rPr>
          <w:rFonts w:ascii="Calibri" w:eastAsia="Times New Roman" w:hAnsi="Calibri" w:cs="Calibri"/>
          <w:b/>
          <w:lang w:val="en-IE" w:eastAsia="en-US"/>
        </w:rPr>
        <w:t>Ryanair Holdings plc and Subsidiaries</w:t>
      </w:r>
    </w:p>
    <w:p w14:paraId="479120F4" w14:textId="77777777" w:rsidR="005A5172" w:rsidRPr="00C17B7B" w:rsidRDefault="005A5172" w:rsidP="002C2EA2">
      <w:pPr>
        <w:tabs>
          <w:tab w:val="left" w:pos="7655"/>
        </w:tabs>
        <w:spacing w:after="0" w:line="240" w:lineRule="auto"/>
        <w:ind w:left="142" w:right="283"/>
        <w:jc w:val="both"/>
        <w:rPr>
          <w:rFonts w:ascii="Calibri" w:eastAsia="Times New Roman" w:hAnsi="Calibri" w:cs="Calibri"/>
          <w:b/>
          <w:i/>
          <w:lang w:val="en-IE" w:eastAsia="en-US"/>
        </w:rPr>
      </w:pPr>
      <w:r w:rsidRPr="00C17B7B">
        <w:rPr>
          <w:rFonts w:ascii="Calibri" w:eastAsia="Times New Roman" w:hAnsi="Calibri" w:cs="Calibri"/>
          <w:b/>
          <w:i/>
          <w:lang w:val="en-IE" w:eastAsia="en-US"/>
        </w:rPr>
        <w:t>Condensed Consolidated Interim Statement of Changes in Shareholders’ Equity for the Half-Year Ended</w:t>
      </w:r>
    </w:p>
    <w:p w14:paraId="25AA046A" w14:textId="00A61F84" w:rsidR="005A5172" w:rsidRPr="00C17B7B" w:rsidRDefault="005A5172" w:rsidP="002C2EA2">
      <w:pPr>
        <w:tabs>
          <w:tab w:val="left" w:pos="7655"/>
        </w:tabs>
        <w:spacing w:after="0" w:line="240" w:lineRule="auto"/>
        <w:ind w:left="142" w:right="-851"/>
        <w:jc w:val="both"/>
        <w:rPr>
          <w:rFonts w:ascii="Calibri" w:eastAsia="Times New Roman" w:hAnsi="Calibri" w:cs="Calibri"/>
          <w:b/>
          <w:i/>
          <w:lang w:val="en-IE" w:eastAsia="en-US"/>
        </w:rPr>
      </w:pPr>
      <w:r w:rsidRPr="00C17B7B">
        <w:rPr>
          <w:rFonts w:ascii="Calibri" w:eastAsia="Times New Roman" w:hAnsi="Calibri" w:cs="Calibri"/>
          <w:b/>
          <w:i/>
          <w:lang w:val="en-IE" w:eastAsia="en-US"/>
        </w:rPr>
        <w:t>September 30, 202</w:t>
      </w:r>
      <w:r w:rsidR="001F6F2D" w:rsidRPr="00C17B7B">
        <w:rPr>
          <w:rFonts w:ascii="Calibri" w:eastAsia="Times New Roman" w:hAnsi="Calibri" w:cs="Calibri"/>
          <w:b/>
          <w:i/>
          <w:lang w:val="en-IE" w:eastAsia="en-US"/>
        </w:rPr>
        <w:t>5</w:t>
      </w:r>
      <w:r w:rsidRPr="00C17B7B">
        <w:rPr>
          <w:rFonts w:ascii="Calibri" w:eastAsia="Times New Roman" w:hAnsi="Calibri" w:cs="Calibri"/>
          <w:b/>
          <w:i/>
          <w:lang w:val="en-IE" w:eastAsia="en-US"/>
        </w:rPr>
        <w:t xml:space="preserve"> (unaudited)</w:t>
      </w:r>
    </w:p>
    <w:p w14:paraId="06780CD6" w14:textId="77777777" w:rsidR="005A5172" w:rsidRPr="005A5172" w:rsidRDefault="005A5172" w:rsidP="005A5172">
      <w:pPr>
        <w:spacing w:after="0" w:line="240" w:lineRule="auto"/>
        <w:rPr>
          <w:rFonts w:ascii="Calibri" w:eastAsia="Times New Roman" w:hAnsi="Calibri" w:cs="Calibri"/>
          <w:b/>
          <w:lang w:val="en-IE" w:eastAsia="en-US"/>
        </w:rPr>
      </w:pPr>
    </w:p>
    <w:tbl>
      <w:tblPr>
        <w:tblW w:w="10773" w:type="dxa"/>
        <w:tblInd w:w="108" w:type="dxa"/>
        <w:tblLayout w:type="fixed"/>
        <w:tblLook w:val="04A0" w:firstRow="1" w:lastRow="0" w:firstColumn="1" w:lastColumn="0" w:noHBand="0" w:noVBand="1"/>
      </w:tblPr>
      <w:tblGrid>
        <w:gridCol w:w="3103"/>
        <w:gridCol w:w="896"/>
        <w:gridCol w:w="841"/>
        <w:gridCol w:w="932"/>
        <w:gridCol w:w="1084"/>
        <w:gridCol w:w="980"/>
        <w:gridCol w:w="979"/>
        <w:gridCol w:w="979"/>
        <w:gridCol w:w="979"/>
      </w:tblGrid>
      <w:tr w:rsidR="005A5172" w:rsidRPr="005A5172" w14:paraId="589BAD4C" w14:textId="77777777" w:rsidTr="008B1A35">
        <w:trPr>
          <w:trHeight w:val="227"/>
        </w:trPr>
        <w:tc>
          <w:tcPr>
            <w:tcW w:w="3103" w:type="dxa"/>
            <w:shd w:val="clear" w:color="auto" w:fill="FFFFFF"/>
            <w:vAlign w:val="bottom"/>
            <w:hideMark/>
          </w:tcPr>
          <w:p w14:paraId="4691154E" w14:textId="77777777" w:rsidR="005A5172" w:rsidRPr="005A5172" w:rsidRDefault="005A5172" w:rsidP="005A5172">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 </w:t>
            </w:r>
          </w:p>
        </w:tc>
        <w:tc>
          <w:tcPr>
            <w:tcW w:w="896" w:type="dxa"/>
            <w:tcBorders>
              <w:top w:val="single" w:sz="8" w:space="0" w:color="auto"/>
              <w:left w:val="single" w:sz="8" w:space="0" w:color="auto"/>
              <w:bottom w:val="nil"/>
              <w:right w:val="single" w:sz="8" w:space="0" w:color="auto"/>
            </w:tcBorders>
            <w:shd w:val="clear" w:color="auto" w:fill="FFFFFF"/>
            <w:noWrap/>
            <w:vAlign w:val="center"/>
            <w:hideMark/>
          </w:tcPr>
          <w:p w14:paraId="46EB2794" w14:textId="77777777" w:rsidR="005A5172" w:rsidRPr="005A5172" w:rsidRDefault="005A5172" w:rsidP="005A5172">
            <w:pPr>
              <w:spacing w:after="0" w:line="240" w:lineRule="auto"/>
              <w:jc w:val="center"/>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841" w:type="dxa"/>
            <w:shd w:val="clear" w:color="auto" w:fill="FFFFFF"/>
            <w:noWrap/>
            <w:vAlign w:val="center"/>
            <w:hideMark/>
          </w:tcPr>
          <w:p w14:paraId="465A353A" w14:textId="77777777" w:rsidR="005A5172" w:rsidRPr="005A5172" w:rsidRDefault="005A5172" w:rsidP="005A5172">
            <w:pPr>
              <w:spacing w:after="0" w:line="240" w:lineRule="auto"/>
              <w:jc w:val="center"/>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 </w:t>
            </w:r>
          </w:p>
        </w:tc>
        <w:tc>
          <w:tcPr>
            <w:tcW w:w="932" w:type="dxa"/>
            <w:shd w:val="clear" w:color="auto" w:fill="FFFFFF"/>
            <w:noWrap/>
            <w:vAlign w:val="center"/>
            <w:hideMark/>
          </w:tcPr>
          <w:p w14:paraId="0DB8D175" w14:textId="77777777" w:rsidR="005A5172" w:rsidRPr="005A5172" w:rsidRDefault="005A5172" w:rsidP="005A5172">
            <w:pPr>
              <w:spacing w:after="0" w:line="240" w:lineRule="auto"/>
              <w:jc w:val="center"/>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 </w:t>
            </w:r>
          </w:p>
        </w:tc>
        <w:tc>
          <w:tcPr>
            <w:tcW w:w="1084" w:type="dxa"/>
            <w:shd w:val="clear" w:color="auto" w:fill="FFFFFF"/>
            <w:noWrap/>
            <w:vAlign w:val="center"/>
            <w:hideMark/>
          </w:tcPr>
          <w:p w14:paraId="064831C0" w14:textId="77777777" w:rsidR="005A5172" w:rsidRPr="005A5172" w:rsidRDefault="005A5172" w:rsidP="005A5172">
            <w:pPr>
              <w:spacing w:after="0" w:line="240" w:lineRule="auto"/>
              <w:jc w:val="center"/>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980" w:type="dxa"/>
            <w:shd w:val="clear" w:color="auto" w:fill="FFFFFF"/>
            <w:noWrap/>
            <w:vAlign w:val="center"/>
            <w:hideMark/>
          </w:tcPr>
          <w:p w14:paraId="1AA947BA" w14:textId="77777777" w:rsidR="005A5172" w:rsidRPr="005A5172" w:rsidRDefault="005A5172" w:rsidP="005A5172">
            <w:pPr>
              <w:spacing w:after="0" w:line="240" w:lineRule="auto"/>
              <w:jc w:val="center"/>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 </w:t>
            </w:r>
          </w:p>
        </w:tc>
        <w:tc>
          <w:tcPr>
            <w:tcW w:w="979" w:type="dxa"/>
            <w:tcBorders>
              <w:top w:val="single" w:sz="8" w:space="0" w:color="auto"/>
              <w:left w:val="single" w:sz="8" w:space="0" w:color="auto"/>
              <w:bottom w:val="nil"/>
              <w:right w:val="nil"/>
            </w:tcBorders>
            <w:shd w:val="clear" w:color="auto" w:fill="FFFFFF"/>
            <w:noWrap/>
            <w:vAlign w:val="center"/>
            <w:hideMark/>
          </w:tcPr>
          <w:p w14:paraId="6B316E27" w14:textId="77777777" w:rsidR="005A5172" w:rsidRPr="005A5172" w:rsidRDefault="005A5172" w:rsidP="005A5172">
            <w:pPr>
              <w:spacing w:after="0" w:line="240" w:lineRule="auto"/>
              <w:jc w:val="center"/>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 </w:t>
            </w:r>
          </w:p>
        </w:tc>
        <w:tc>
          <w:tcPr>
            <w:tcW w:w="979" w:type="dxa"/>
            <w:tcBorders>
              <w:top w:val="single" w:sz="8" w:space="0" w:color="auto"/>
              <w:left w:val="nil"/>
              <w:bottom w:val="nil"/>
              <w:right w:val="single" w:sz="8" w:space="0" w:color="auto"/>
            </w:tcBorders>
            <w:shd w:val="clear" w:color="auto" w:fill="FFFFFF"/>
            <w:noWrap/>
            <w:vAlign w:val="center"/>
            <w:hideMark/>
          </w:tcPr>
          <w:p w14:paraId="625BC839" w14:textId="77777777" w:rsidR="005A5172" w:rsidRPr="005A5172" w:rsidRDefault="005A5172" w:rsidP="005A5172">
            <w:pPr>
              <w:spacing w:after="0" w:line="240" w:lineRule="auto"/>
              <w:jc w:val="center"/>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979" w:type="dxa"/>
            <w:shd w:val="clear" w:color="auto" w:fill="FFFFFF"/>
            <w:noWrap/>
            <w:vAlign w:val="center"/>
            <w:hideMark/>
          </w:tcPr>
          <w:p w14:paraId="761D2EDC"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r>
      <w:tr w:rsidR="005A5172" w:rsidRPr="005A5172" w14:paraId="7CD7ACC8" w14:textId="77777777" w:rsidTr="008B1A35">
        <w:trPr>
          <w:trHeight w:val="227"/>
        </w:trPr>
        <w:tc>
          <w:tcPr>
            <w:tcW w:w="3103" w:type="dxa"/>
            <w:shd w:val="clear" w:color="auto" w:fill="FFFFFF"/>
            <w:vAlign w:val="center"/>
            <w:hideMark/>
          </w:tcPr>
          <w:p w14:paraId="675434B8" w14:textId="77777777" w:rsidR="005A5172" w:rsidRPr="005A5172" w:rsidRDefault="005A5172" w:rsidP="005A5172">
            <w:pPr>
              <w:spacing w:after="0" w:line="240" w:lineRule="auto"/>
              <w:ind w:right="-112"/>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896" w:type="dxa"/>
            <w:tcBorders>
              <w:top w:val="nil"/>
              <w:left w:val="single" w:sz="8" w:space="0" w:color="auto"/>
              <w:bottom w:val="nil"/>
              <w:right w:val="single" w:sz="8" w:space="0" w:color="auto"/>
            </w:tcBorders>
            <w:shd w:val="clear" w:color="auto" w:fill="FFFFFF"/>
            <w:noWrap/>
            <w:vAlign w:val="center"/>
            <w:hideMark/>
          </w:tcPr>
          <w:p w14:paraId="24775734"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841" w:type="dxa"/>
            <w:shd w:val="clear" w:color="auto" w:fill="FFFFFF"/>
            <w:noWrap/>
            <w:vAlign w:val="center"/>
            <w:hideMark/>
          </w:tcPr>
          <w:p w14:paraId="11592FFF"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Issued</w:t>
            </w:r>
          </w:p>
        </w:tc>
        <w:tc>
          <w:tcPr>
            <w:tcW w:w="932" w:type="dxa"/>
            <w:shd w:val="clear" w:color="auto" w:fill="FFFFFF"/>
            <w:noWrap/>
            <w:vAlign w:val="center"/>
            <w:hideMark/>
          </w:tcPr>
          <w:p w14:paraId="259315C4"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Share</w:t>
            </w:r>
          </w:p>
        </w:tc>
        <w:tc>
          <w:tcPr>
            <w:tcW w:w="1084" w:type="dxa"/>
            <w:shd w:val="clear" w:color="auto" w:fill="FFFFFF"/>
            <w:noWrap/>
            <w:vAlign w:val="center"/>
            <w:hideMark/>
          </w:tcPr>
          <w:p w14:paraId="16B6C8A9"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Other</w:t>
            </w:r>
          </w:p>
        </w:tc>
        <w:tc>
          <w:tcPr>
            <w:tcW w:w="980" w:type="dxa"/>
            <w:shd w:val="clear" w:color="auto" w:fill="FFFFFF"/>
            <w:noWrap/>
            <w:vAlign w:val="center"/>
            <w:hideMark/>
          </w:tcPr>
          <w:p w14:paraId="7D3CC7AB"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979" w:type="dxa"/>
            <w:tcBorders>
              <w:top w:val="nil"/>
              <w:left w:val="single" w:sz="8" w:space="0" w:color="auto"/>
              <w:bottom w:val="nil"/>
              <w:right w:val="nil"/>
            </w:tcBorders>
            <w:shd w:val="clear" w:color="auto" w:fill="FFFFFF"/>
            <w:noWrap/>
            <w:vAlign w:val="center"/>
            <w:hideMark/>
          </w:tcPr>
          <w:p w14:paraId="1FC4E7E1"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Other</w:t>
            </w:r>
          </w:p>
        </w:tc>
        <w:tc>
          <w:tcPr>
            <w:tcW w:w="979" w:type="dxa"/>
            <w:tcBorders>
              <w:top w:val="nil"/>
              <w:left w:val="nil"/>
              <w:bottom w:val="nil"/>
              <w:right w:val="single" w:sz="8" w:space="0" w:color="auto"/>
            </w:tcBorders>
            <w:shd w:val="clear" w:color="auto" w:fill="FFFFFF"/>
            <w:noWrap/>
            <w:vAlign w:val="center"/>
            <w:hideMark/>
          </w:tcPr>
          <w:p w14:paraId="600066D9"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979" w:type="dxa"/>
            <w:shd w:val="clear" w:color="auto" w:fill="FFFFFF"/>
            <w:noWrap/>
            <w:vAlign w:val="center"/>
            <w:hideMark/>
          </w:tcPr>
          <w:p w14:paraId="0A7670F2"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r>
      <w:tr w:rsidR="005A5172" w:rsidRPr="005A5172" w14:paraId="21AA1FF8" w14:textId="77777777" w:rsidTr="008B1A35">
        <w:trPr>
          <w:trHeight w:val="227"/>
        </w:trPr>
        <w:tc>
          <w:tcPr>
            <w:tcW w:w="3103" w:type="dxa"/>
            <w:shd w:val="clear" w:color="auto" w:fill="FFFFFF"/>
            <w:vAlign w:val="center"/>
            <w:hideMark/>
          </w:tcPr>
          <w:p w14:paraId="790C6FAF" w14:textId="77777777" w:rsidR="005A5172" w:rsidRPr="005A5172" w:rsidRDefault="005A5172" w:rsidP="005A5172">
            <w:pPr>
              <w:spacing w:after="0" w:line="240" w:lineRule="auto"/>
              <w:ind w:right="-112"/>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896" w:type="dxa"/>
            <w:tcBorders>
              <w:top w:val="nil"/>
              <w:left w:val="single" w:sz="8" w:space="0" w:color="auto"/>
              <w:bottom w:val="nil"/>
              <w:right w:val="single" w:sz="8" w:space="0" w:color="auto"/>
            </w:tcBorders>
            <w:shd w:val="clear" w:color="auto" w:fill="FFFFFF"/>
            <w:noWrap/>
            <w:vAlign w:val="center"/>
            <w:hideMark/>
          </w:tcPr>
          <w:p w14:paraId="6D2596AA" w14:textId="77777777" w:rsidR="005A5172" w:rsidRPr="005A5172" w:rsidRDefault="005A5172" w:rsidP="00801E10">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Ordinary</w:t>
            </w:r>
          </w:p>
        </w:tc>
        <w:tc>
          <w:tcPr>
            <w:tcW w:w="841" w:type="dxa"/>
            <w:shd w:val="clear" w:color="auto" w:fill="FFFFFF"/>
            <w:noWrap/>
            <w:vAlign w:val="center"/>
            <w:hideMark/>
          </w:tcPr>
          <w:p w14:paraId="5611EEF8"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Share</w:t>
            </w:r>
          </w:p>
        </w:tc>
        <w:tc>
          <w:tcPr>
            <w:tcW w:w="932" w:type="dxa"/>
            <w:shd w:val="clear" w:color="auto" w:fill="FFFFFF"/>
            <w:noWrap/>
            <w:vAlign w:val="center"/>
            <w:hideMark/>
          </w:tcPr>
          <w:p w14:paraId="090979A3"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Premium</w:t>
            </w:r>
          </w:p>
        </w:tc>
        <w:tc>
          <w:tcPr>
            <w:tcW w:w="1084" w:type="dxa"/>
            <w:shd w:val="clear" w:color="auto" w:fill="FFFFFF"/>
            <w:noWrap/>
            <w:vAlign w:val="center"/>
            <w:hideMark/>
          </w:tcPr>
          <w:p w14:paraId="4B8C1803"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roofErr w:type="spellStart"/>
            <w:r w:rsidRPr="005A5172">
              <w:rPr>
                <w:rFonts w:ascii="Calibri" w:eastAsia="Times New Roman" w:hAnsi="Calibri" w:cs="Calibri"/>
                <w:b/>
                <w:bCs/>
                <w:color w:val="000000"/>
                <w:sz w:val="18"/>
                <w:szCs w:val="18"/>
                <w:lang w:val="en-IE" w:eastAsia="en-IE"/>
              </w:rPr>
              <w:t>Undenom</w:t>
            </w:r>
            <w:proofErr w:type="spellEnd"/>
            <w:r w:rsidRPr="005A5172">
              <w:rPr>
                <w:rFonts w:ascii="Calibri" w:eastAsia="Times New Roman" w:hAnsi="Calibri" w:cs="Calibri"/>
                <w:b/>
                <w:bCs/>
                <w:color w:val="000000"/>
                <w:sz w:val="18"/>
                <w:szCs w:val="18"/>
                <w:lang w:val="en-IE" w:eastAsia="en-IE"/>
              </w:rPr>
              <w:t>.</w:t>
            </w:r>
          </w:p>
        </w:tc>
        <w:tc>
          <w:tcPr>
            <w:tcW w:w="980" w:type="dxa"/>
            <w:shd w:val="clear" w:color="auto" w:fill="FFFFFF"/>
            <w:noWrap/>
            <w:vAlign w:val="center"/>
            <w:hideMark/>
          </w:tcPr>
          <w:p w14:paraId="588214F6"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Retained</w:t>
            </w:r>
          </w:p>
        </w:tc>
        <w:tc>
          <w:tcPr>
            <w:tcW w:w="979" w:type="dxa"/>
            <w:tcBorders>
              <w:top w:val="nil"/>
              <w:left w:val="single" w:sz="8" w:space="0" w:color="auto"/>
              <w:bottom w:val="nil"/>
              <w:right w:val="nil"/>
            </w:tcBorders>
            <w:shd w:val="clear" w:color="auto" w:fill="FFFFFF"/>
            <w:noWrap/>
            <w:vAlign w:val="center"/>
            <w:hideMark/>
          </w:tcPr>
          <w:p w14:paraId="116B1476"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Reserves</w:t>
            </w:r>
          </w:p>
        </w:tc>
        <w:tc>
          <w:tcPr>
            <w:tcW w:w="979" w:type="dxa"/>
            <w:tcBorders>
              <w:top w:val="nil"/>
              <w:left w:val="nil"/>
              <w:bottom w:val="nil"/>
              <w:right w:val="single" w:sz="8" w:space="0" w:color="auto"/>
            </w:tcBorders>
            <w:shd w:val="clear" w:color="auto" w:fill="FFFFFF"/>
            <w:noWrap/>
            <w:vAlign w:val="center"/>
            <w:hideMark/>
          </w:tcPr>
          <w:p w14:paraId="53FCA658"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Other</w:t>
            </w:r>
          </w:p>
        </w:tc>
        <w:tc>
          <w:tcPr>
            <w:tcW w:w="979" w:type="dxa"/>
            <w:shd w:val="clear" w:color="auto" w:fill="FFFFFF"/>
            <w:noWrap/>
            <w:vAlign w:val="center"/>
            <w:hideMark/>
          </w:tcPr>
          <w:p w14:paraId="1E864FA5"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r>
      <w:tr w:rsidR="005A5172" w:rsidRPr="005A5172" w14:paraId="7CD061E3" w14:textId="77777777" w:rsidTr="008B1A35">
        <w:trPr>
          <w:trHeight w:val="227"/>
        </w:trPr>
        <w:tc>
          <w:tcPr>
            <w:tcW w:w="3103" w:type="dxa"/>
            <w:shd w:val="clear" w:color="auto" w:fill="FFFFFF"/>
            <w:vAlign w:val="center"/>
            <w:hideMark/>
          </w:tcPr>
          <w:p w14:paraId="16993B52" w14:textId="77777777" w:rsidR="005A5172" w:rsidRPr="005A5172" w:rsidRDefault="005A5172" w:rsidP="005A5172">
            <w:pPr>
              <w:spacing w:after="0" w:line="240" w:lineRule="auto"/>
              <w:ind w:right="-112"/>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896" w:type="dxa"/>
            <w:tcBorders>
              <w:top w:val="nil"/>
              <w:left w:val="single" w:sz="8" w:space="0" w:color="auto"/>
              <w:bottom w:val="nil"/>
              <w:right w:val="single" w:sz="8" w:space="0" w:color="auto"/>
            </w:tcBorders>
            <w:shd w:val="clear" w:color="auto" w:fill="FFFFFF"/>
            <w:noWrap/>
            <w:vAlign w:val="center"/>
            <w:hideMark/>
          </w:tcPr>
          <w:p w14:paraId="0F85848B"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Shares</w:t>
            </w:r>
          </w:p>
        </w:tc>
        <w:tc>
          <w:tcPr>
            <w:tcW w:w="841" w:type="dxa"/>
            <w:shd w:val="clear" w:color="auto" w:fill="FFFFFF"/>
            <w:noWrap/>
            <w:vAlign w:val="center"/>
            <w:hideMark/>
          </w:tcPr>
          <w:p w14:paraId="103A947A"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Capital</w:t>
            </w:r>
          </w:p>
        </w:tc>
        <w:tc>
          <w:tcPr>
            <w:tcW w:w="932" w:type="dxa"/>
            <w:shd w:val="clear" w:color="auto" w:fill="FFFFFF"/>
            <w:noWrap/>
            <w:vAlign w:val="center"/>
            <w:hideMark/>
          </w:tcPr>
          <w:p w14:paraId="325EC6D7"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Account</w:t>
            </w:r>
          </w:p>
        </w:tc>
        <w:tc>
          <w:tcPr>
            <w:tcW w:w="1084" w:type="dxa"/>
            <w:shd w:val="clear" w:color="auto" w:fill="FFFFFF"/>
            <w:noWrap/>
            <w:vAlign w:val="center"/>
            <w:hideMark/>
          </w:tcPr>
          <w:p w14:paraId="78FEFA9F"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Capital</w:t>
            </w:r>
          </w:p>
        </w:tc>
        <w:tc>
          <w:tcPr>
            <w:tcW w:w="980" w:type="dxa"/>
            <w:shd w:val="clear" w:color="auto" w:fill="FFFFFF"/>
            <w:noWrap/>
            <w:vAlign w:val="center"/>
            <w:hideMark/>
          </w:tcPr>
          <w:p w14:paraId="68E1A1C4"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Earnings</w:t>
            </w:r>
          </w:p>
        </w:tc>
        <w:tc>
          <w:tcPr>
            <w:tcW w:w="979" w:type="dxa"/>
            <w:tcBorders>
              <w:top w:val="nil"/>
              <w:left w:val="single" w:sz="8" w:space="0" w:color="auto"/>
              <w:bottom w:val="nil"/>
              <w:right w:val="nil"/>
            </w:tcBorders>
            <w:shd w:val="clear" w:color="auto" w:fill="FFFFFF"/>
            <w:noWrap/>
            <w:vAlign w:val="center"/>
            <w:hideMark/>
          </w:tcPr>
          <w:p w14:paraId="3307CDB8"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Hedging</w:t>
            </w:r>
          </w:p>
        </w:tc>
        <w:tc>
          <w:tcPr>
            <w:tcW w:w="979" w:type="dxa"/>
            <w:tcBorders>
              <w:top w:val="nil"/>
              <w:left w:val="nil"/>
              <w:bottom w:val="nil"/>
              <w:right w:val="single" w:sz="8" w:space="0" w:color="auto"/>
            </w:tcBorders>
            <w:shd w:val="clear" w:color="auto" w:fill="FFFFFF"/>
            <w:noWrap/>
            <w:vAlign w:val="center"/>
            <w:hideMark/>
          </w:tcPr>
          <w:p w14:paraId="4D6BECCD"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Reserves</w:t>
            </w:r>
          </w:p>
        </w:tc>
        <w:tc>
          <w:tcPr>
            <w:tcW w:w="979" w:type="dxa"/>
            <w:shd w:val="clear" w:color="auto" w:fill="FFFFFF"/>
            <w:noWrap/>
            <w:vAlign w:val="center"/>
            <w:hideMark/>
          </w:tcPr>
          <w:p w14:paraId="40684FF6"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Total</w:t>
            </w:r>
          </w:p>
        </w:tc>
      </w:tr>
      <w:tr w:rsidR="005A5172" w:rsidRPr="005A5172" w14:paraId="6E8077B0" w14:textId="77777777" w:rsidTr="008B1A35">
        <w:trPr>
          <w:trHeight w:val="227"/>
        </w:trPr>
        <w:tc>
          <w:tcPr>
            <w:tcW w:w="3103" w:type="dxa"/>
            <w:shd w:val="clear" w:color="auto" w:fill="FFFFFF"/>
            <w:vAlign w:val="center"/>
            <w:hideMark/>
          </w:tcPr>
          <w:p w14:paraId="61483347" w14:textId="77777777" w:rsidR="005A5172" w:rsidRPr="005A5172" w:rsidRDefault="005A5172" w:rsidP="005A5172">
            <w:pPr>
              <w:spacing w:after="0" w:line="240" w:lineRule="auto"/>
              <w:ind w:right="-112"/>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 </w:t>
            </w:r>
          </w:p>
        </w:tc>
        <w:tc>
          <w:tcPr>
            <w:tcW w:w="896" w:type="dxa"/>
            <w:tcBorders>
              <w:top w:val="nil"/>
              <w:left w:val="single" w:sz="8" w:space="0" w:color="auto"/>
              <w:right w:val="single" w:sz="8" w:space="0" w:color="auto"/>
            </w:tcBorders>
            <w:shd w:val="clear" w:color="auto" w:fill="FFFFFF"/>
            <w:noWrap/>
            <w:vAlign w:val="center"/>
            <w:hideMark/>
          </w:tcPr>
          <w:p w14:paraId="29E427B3"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c>
          <w:tcPr>
            <w:tcW w:w="841" w:type="dxa"/>
            <w:shd w:val="clear" w:color="auto" w:fill="FFFFFF"/>
            <w:noWrap/>
            <w:vAlign w:val="center"/>
            <w:hideMark/>
          </w:tcPr>
          <w:p w14:paraId="30D3D000"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c>
          <w:tcPr>
            <w:tcW w:w="932" w:type="dxa"/>
            <w:shd w:val="clear" w:color="auto" w:fill="FFFFFF"/>
            <w:noWrap/>
            <w:vAlign w:val="center"/>
            <w:hideMark/>
          </w:tcPr>
          <w:p w14:paraId="48DF5EE6"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c>
          <w:tcPr>
            <w:tcW w:w="1084" w:type="dxa"/>
            <w:shd w:val="clear" w:color="auto" w:fill="FFFFFF"/>
            <w:noWrap/>
            <w:vAlign w:val="center"/>
            <w:hideMark/>
          </w:tcPr>
          <w:p w14:paraId="3C4881A9"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c>
          <w:tcPr>
            <w:tcW w:w="980" w:type="dxa"/>
            <w:shd w:val="clear" w:color="auto" w:fill="FFFFFF"/>
            <w:noWrap/>
            <w:vAlign w:val="center"/>
            <w:hideMark/>
          </w:tcPr>
          <w:p w14:paraId="44A2FDA5"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c>
          <w:tcPr>
            <w:tcW w:w="979" w:type="dxa"/>
            <w:tcBorders>
              <w:top w:val="nil"/>
              <w:left w:val="single" w:sz="8" w:space="0" w:color="auto"/>
              <w:right w:val="nil"/>
            </w:tcBorders>
            <w:shd w:val="clear" w:color="auto" w:fill="FFFFFF"/>
            <w:noWrap/>
            <w:vAlign w:val="center"/>
            <w:hideMark/>
          </w:tcPr>
          <w:p w14:paraId="3BE98732"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c>
          <w:tcPr>
            <w:tcW w:w="979" w:type="dxa"/>
            <w:tcBorders>
              <w:top w:val="nil"/>
              <w:left w:val="nil"/>
              <w:right w:val="single" w:sz="8" w:space="0" w:color="auto"/>
            </w:tcBorders>
            <w:shd w:val="clear" w:color="auto" w:fill="FFFFFF"/>
            <w:noWrap/>
            <w:vAlign w:val="center"/>
            <w:hideMark/>
          </w:tcPr>
          <w:p w14:paraId="08F4645B"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c>
          <w:tcPr>
            <w:tcW w:w="979" w:type="dxa"/>
            <w:shd w:val="clear" w:color="auto" w:fill="FFFFFF"/>
            <w:noWrap/>
            <w:vAlign w:val="center"/>
            <w:hideMark/>
          </w:tcPr>
          <w:p w14:paraId="22BAACB6"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€M</w:t>
            </w:r>
          </w:p>
        </w:tc>
      </w:tr>
      <w:tr w:rsidR="005A5172" w:rsidRPr="005A5172" w14:paraId="16DC65E5" w14:textId="77777777" w:rsidTr="008B1A35">
        <w:trPr>
          <w:trHeight w:val="227"/>
        </w:trPr>
        <w:tc>
          <w:tcPr>
            <w:tcW w:w="3103" w:type="dxa"/>
            <w:shd w:val="clear" w:color="auto" w:fill="FFFFFF"/>
            <w:vAlign w:val="center"/>
          </w:tcPr>
          <w:p w14:paraId="517C9645" w14:textId="77777777" w:rsidR="005A5172" w:rsidRPr="005A5172" w:rsidRDefault="005A5172" w:rsidP="005A5172">
            <w:pPr>
              <w:spacing w:after="0" w:line="240" w:lineRule="auto"/>
              <w:ind w:right="-112"/>
              <w:rPr>
                <w:rFonts w:ascii="Calibri" w:eastAsia="Times New Roman" w:hAnsi="Calibri" w:cs="Calibri"/>
                <w:b/>
                <w:bCs/>
                <w:color w:val="000000"/>
                <w:sz w:val="18"/>
                <w:szCs w:val="18"/>
                <w:lang w:val="en-IE" w:eastAsia="en-IE"/>
              </w:rPr>
            </w:pPr>
          </w:p>
        </w:tc>
        <w:tc>
          <w:tcPr>
            <w:tcW w:w="896" w:type="dxa"/>
            <w:tcBorders>
              <w:top w:val="nil"/>
              <w:left w:val="single" w:sz="8" w:space="0" w:color="auto"/>
              <w:bottom w:val="single" w:sz="12" w:space="0" w:color="auto"/>
              <w:right w:val="single" w:sz="8" w:space="0" w:color="auto"/>
            </w:tcBorders>
            <w:shd w:val="clear" w:color="auto" w:fill="FFFFFF"/>
            <w:noWrap/>
            <w:vAlign w:val="center"/>
          </w:tcPr>
          <w:p w14:paraId="339DAE4F"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c>
          <w:tcPr>
            <w:tcW w:w="841" w:type="dxa"/>
            <w:tcBorders>
              <w:bottom w:val="single" w:sz="12" w:space="0" w:color="auto"/>
            </w:tcBorders>
            <w:shd w:val="clear" w:color="auto" w:fill="FFFFFF"/>
            <w:noWrap/>
            <w:vAlign w:val="center"/>
          </w:tcPr>
          <w:p w14:paraId="4334CCFD"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c>
          <w:tcPr>
            <w:tcW w:w="932" w:type="dxa"/>
            <w:tcBorders>
              <w:bottom w:val="single" w:sz="12" w:space="0" w:color="auto"/>
            </w:tcBorders>
            <w:shd w:val="clear" w:color="auto" w:fill="FFFFFF"/>
            <w:noWrap/>
            <w:vAlign w:val="center"/>
          </w:tcPr>
          <w:p w14:paraId="5BA8D9E7"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c>
          <w:tcPr>
            <w:tcW w:w="1084" w:type="dxa"/>
            <w:tcBorders>
              <w:bottom w:val="single" w:sz="12" w:space="0" w:color="auto"/>
            </w:tcBorders>
            <w:shd w:val="clear" w:color="auto" w:fill="FFFFFF"/>
            <w:noWrap/>
            <w:vAlign w:val="center"/>
          </w:tcPr>
          <w:p w14:paraId="77BC6482"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c>
          <w:tcPr>
            <w:tcW w:w="980" w:type="dxa"/>
            <w:tcBorders>
              <w:bottom w:val="single" w:sz="12" w:space="0" w:color="auto"/>
            </w:tcBorders>
            <w:shd w:val="clear" w:color="auto" w:fill="FFFFFF"/>
            <w:noWrap/>
            <w:vAlign w:val="center"/>
          </w:tcPr>
          <w:p w14:paraId="1168B728"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c>
          <w:tcPr>
            <w:tcW w:w="979" w:type="dxa"/>
            <w:tcBorders>
              <w:top w:val="nil"/>
              <w:left w:val="single" w:sz="8" w:space="0" w:color="auto"/>
              <w:bottom w:val="single" w:sz="12" w:space="0" w:color="auto"/>
              <w:right w:val="nil"/>
            </w:tcBorders>
            <w:shd w:val="clear" w:color="auto" w:fill="FFFFFF"/>
            <w:noWrap/>
            <w:vAlign w:val="center"/>
          </w:tcPr>
          <w:p w14:paraId="79472A9B"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c>
          <w:tcPr>
            <w:tcW w:w="979" w:type="dxa"/>
            <w:tcBorders>
              <w:top w:val="nil"/>
              <w:left w:val="nil"/>
              <w:bottom w:val="single" w:sz="12" w:space="0" w:color="auto"/>
              <w:right w:val="single" w:sz="8" w:space="0" w:color="auto"/>
            </w:tcBorders>
            <w:shd w:val="clear" w:color="auto" w:fill="FFFFFF"/>
            <w:noWrap/>
            <w:vAlign w:val="center"/>
          </w:tcPr>
          <w:p w14:paraId="3A3A7B8A"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c>
          <w:tcPr>
            <w:tcW w:w="979" w:type="dxa"/>
            <w:tcBorders>
              <w:bottom w:val="single" w:sz="12" w:space="0" w:color="auto"/>
            </w:tcBorders>
            <w:shd w:val="clear" w:color="auto" w:fill="FFFFFF"/>
            <w:noWrap/>
            <w:vAlign w:val="center"/>
          </w:tcPr>
          <w:p w14:paraId="70A22117" w14:textId="77777777" w:rsidR="005A5172" w:rsidRPr="005A5172" w:rsidRDefault="005A5172" w:rsidP="005A5172">
            <w:pPr>
              <w:spacing w:after="0" w:line="240" w:lineRule="auto"/>
              <w:jc w:val="right"/>
              <w:rPr>
                <w:rFonts w:ascii="Calibri" w:eastAsia="Times New Roman" w:hAnsi="Calibri" w:cs="Calibri"/>
                <w:b/>
                <w:bCs/>
                <w:color w:val="000000"/>
                <w:sz w:val="18"/>
                <w:szCs w:val="18"/>
                <w:lang w:val="en-IE" w:eastAsia="en-IE"/>
              </w:rPr>
            </w:pPr>
          </w:p>
        </w:tc>
      </w:tr>
      <w:tr w:rsidR="00C80959" w:rsidRPr="005A5172" w14:paraId="72C648CD" w14:textId="77777777" w:rsidTr="008B1A35">
        <w:trPr>
          <w:trHeight w:val="227"/>
        </w:trPr>
        <w:tc>
          <w:tcPr>
            <w:tcW w:w="3103" w:type="dxa"/>
            <w:shd w:val="clear" w:color="auto" w:fill="FFFFFF"/>
            <w:vAlign w:val="bottom"/>
            <w:hideMark/>
          </w:tcPr>
          <w:p w14:paraId="203DC375" w14:textId="7C319180" w:rsidR="00C80959" w:rsidRPr="005A5172" w:rsidRDefault="00C80959" w:rsidP="00C80959">
            <w:pPr>
              <w:spacing w:after="0" w:line="240" w:lineRule="auto"/>
              <w:ind w:right="-112"/>
              <w:rPr>
                <w:rFonts w:ascii="Calibri" w:eastAsia="Times New Roman" w:hAnsi="Calibri" w:cs="Calibri"/>
                <w:b/>
                <w:bCs/>
                <w:color w:val="000000"/>
                <w:sz w:val="18"/>
                <w:szCs w:val="18"/>
                <w:lang w:val="en-IE" w:eastAsia="en-IE"/>
              </w:rPr>
            </w:pPr>
            <w:r w:rsidRPr="007C71F1">
              <w:rPr>
                <w:rFonts w:ascii="Calibri" w:hAnsi="Calibri" w:cs="Calibri"/>
                <w:b/>
                <w:bCs/>
                <w:color w:val="000000"/>
                <w:sz w:val="18"/>
                <w:szCs w:val="18"/>
                <w:lang w:eastAsia="en-IE"/>
              </w:rPr>
              <w:t>Balance at March 31, 2024</w:t>
            </w:r>
          </w:p>
        </w:tc>
        <w:tc>
          <w:tcPr>
            <w:tcW w:w="896" w:type="dxa"/>
            <w:tcBorders>
              <w:top w:val="single" w:sz="12" w:space="0" w:color="auto"/>
              <w:left w:val="single" w:sz="8" w:space="0" w:color="auto"/>
              <w:bottom w:val="single" w:sz="12" w:space="0" w:color="auto"/>
              <w:right w:val="single" w:sz="8" w:space="0" w:color="auto"/>
            </w:tcBorders>
            <w:shd w:val="clear" w:color="auto" w:fill="FFFFFF"/>
            <w:noWrap/>
            <w:vAlign w:val="bottom"/>
            <w:hideMark/>
          </w:tcPr>
          <w:p w14:paraId="7C801AFE" w14:textId="07F1CB24"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1,140.1</w:t>
            </w:r>
          </w:p>
        </w:tc>
        <w:tc>
          <w:tcPr>
            <w:tcW w:w="841" w:type="dxa"/>
            <w:tcBorders>
              <w:top w:val="single" w:sz="12" w:space="0" w:color="auto"/>
              <w:left w:val="nil"/>
              <w:bottom w:val="single" w:sz="12" w:space="0" w:color="auto"/>
              <w:right w:val="nil"/>
            </w:tcBorders>
            <w:shd w:val="clear" w:color="auto" w:fill="FFFFFF"/>
            <w:noWrap/>
            <w:vAlign w:val="bottom"/>
            <w:hideMark/>
          </w:tcPr>
          <w:p w14:paraId="59988B04" w14:textId="534FE787"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6.9</w:t>
            </w:r>
          </w:p>
        </w:tc>
        <w:tc>
          <w:tcPr>
            <w:tcW w:w="932" w:type="dxa"/>
            <w:tcBorders>
              <w:top w:val="single" w:sz="12" w:space="0" w:color="auto"/>
              <w:left w:val="nil"/>
              <w:bottom w:val="single" w:sz="12" w:space="0" w:color="auto"/>
              <w:right w:val="nil"/>
            </w:tcBorders>
            <w:shd w:val="clear" w:color="auto" w:fill="FFFFFF"/>
            <w:noWrap/>
            <w:vAlign w:val="bottom"/>
            <w:hideMark/>
          </w:tcPr>
          <w:p w14:paraId="4C1A0553" w14:textId="1F69B32A"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1,404.3</w:t>
            </w:r>
          </w:p>
        </w:tc>
        <w:tc>
          <w:tcPr>
            <w:tcW w:w="1084" w:type="dxa"/>
            <w:tcBorders>
              <w:top w:val="single" w:sz="12" w:space="0" w:color="auto"/>
              <w:left w:val="nil"/>
              <w:bottom w:val="single" w:sz="12" w:space="0" w:color="auto"/>
              <w:right w:val="nil"/>
            </w:tcBorders>
            <w:shd w:val="clear" w:color="auto" w:fill="FFFFFF"/>
            <w:noWrap/>
            <w:vAlign w:val="bottom"/>
            <w:hideMark/>
          </w:tcPr>
          <w:p w14:paraId="1D4B1812" w14:textId="04B0DA69"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3.5</w:t>
            </w:r>
          </w:p>
        </w:tc>
        <w:tc>
          <w:tcPr>
            <w:tcW w:w="980" w:type="dxa"/>
            <w:tcBorders>
              <w:top w:val="single" w:sz="12" w:space="0" w:color="auto"/>
              <w:left w:val="nil"/>
              <w:bottom w:val="single" w:sz="12" w:space="0" w:color="auto"/>
              <w:right w:val="nil"/>
            </w:tcBorders>
            <w:shd w:val="clear" w:color="auto" w:fill="FFFFFF"/>
            <w:noWrap/>
            <w:vAlign w:val="bottom"/>
            <w:hideMark/>
          </w:tcPr>
          <w:p w14:paraId="64E738FD" w14:textId="12390884"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5,899.8</w:t>
            </w:r>
          </w:p>
        </w:tc>
        <w:tc>
          <w:tcPr>
            <w:tcW w:w="979" w:type="dxa"/>
            <w:tcBorders>
              <w:top w:val="single" w:sz="12" w:space="0" w:color="auto"/>
              <w:left w:val="single" w:sz="8" w:space="0" w:color="auto"/>
              <w:bottom w:val="single" w:sz="12" w:space="0" w:color="auto"/>
              <w:right w:val="nil"/>
            </w:tcBorders>
            <w:shd w:val="clear" w:color="auto" w:fill="FFFFFF"/>
            <w:noWrap/>
            <w:vAlign w:val="bottom"/>
            <w:hideMark/>
          </w:tcPr>
          <w:p w14:paraId="15822292" w14:textId="2A11E22D"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265.9</w:t>
            </w:r>
          </w:p>
        </w:tc>
        <w:tc>
          <w:tcPr>
            <w:tcW w:w="979" w:type="dxa"/>
            <w:tcBorders>
              <w:top w:val="single" w:sz="12" w:space="0" w:color="auto"/>
              <w:left w:val="nil"/>
              <w:bottom w:val="single" w:sz="12" w:space="0" w:color="auto"/>
              <w:right w:val="single" w:sz="8" w:space="0" w:color="auto"/>
            </w:tcBorders>
            <w:shd w:val="clear" w:color="auto" w:fill="FFFFFF"/>
            <w:noWrap/>
            <w:vAlign w:val="bottom"/>
            <w:hideMark/>
          </w:tcPr>
          <w:p w14:paraId="3C74FAA7" w14:textId="3359109A"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33.8</w:t>
            </w:r>
          </w:p>
        </w:tc>
        <w:tc>
          <w:tcPr>
            <w:tcW w:w="979" w:type="dxa"/>
            <w:tcBorders>
              <w:top w:val="single" w:sz="12" w:space="0" w:color="auto"/>
              <w:left w:val="nil"/>
              <w:bottom w:val="single" w:sz="12" w:space="0" w:color="auto"/>
              <w:right w:val="single" w:sz="12" w:space="0" w:color="auto"/>
            </w:tcBorders>
            <w:shd w:val="clear" w:color="auto" w:fill="FFFFFF"/>
            <w:noWrap/>
            <w:vAlign w:val="bottom"/>
            <w:hideMark/>
          </w:tcPr>
          <w:p w14:paraId="6EC0BAAC" w14:textId="4D7FC110" w:rsidR="00C80959" w:rsidRPr="005A5172" w:rsidRDefault="00C80959" w:rsidP="00C80959">
            <w:pPr>
              <w:spacing w:after="0" w:line="240" w:lineRule="auto"/>
              <w:jc w:val="right"/>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7,614.2</w:t>
            </w:r>
          </w:p>
        </w:tc>
      </w:tr>
      <w:tr w:rsidR="00C80959" w:rsidRPr="005A5172" w14:paraId="745FB7FE" w14:textId="77777777" w:rsidTr="008B1A35">
        <w:trPr>
          <w:trHeight w:val="227"/>
        </w:trPr>
        <w:tc>
          <w:tcPr>
            <w:tcW w:w="3103" w:type="dxa"/>
            <w:shd w:val="clear" w:color="auto" w:fill="FFFFFF"/>
            <w:vAlign w:val="bottom"/>
            <w:hideMark/>
          </w:tcPr>
          <w:p w14:paraId="3BE3C51A" w14:textId="5D7BFCD6" w:rsidR="00C80959" w:rsidRPr="005A5172" w:rsidRDefault="00C80959" w:rsidP="00C80959">
            <w:pPr>
              <w:spacing w:after="0" w:line="240" w:lineRule="auto"/>
              <w:ind w:right="-112"/>
              <w:rPr>
                <w:rFonts w:ascii="Calibri" w:eastAsia="Times New Roman" w:hAnsi="Calibri" w:cs="Calibri"/>
                <w:color w:val="000000"/>
                <w:sz w:val="18"/>
                <w:szCs w:val="18"/>
                <w:lang w:val="en-IE" w:eastAsia="en-IE"/>
              </w:rPr>
            </w:pPr>
            <w:r w:rsidRPr="007C71F1">
              <w:rPr>
                <w:rFonts w:ascii="Calibri" w:hAnsi="Calibri" w:cs="Calibri"/>
                <w:bCs/>
                <w:color w:val="000000"/>
                <w:sz w:val="18"/>
                <w:szCs w:val="18"/>
              </w:rPr>
              <w:t>Profit for the half-year</w:t>
            </w:r>
          </w:p>
        </w:tc>
        <w:tc>
          <w:tcPr>
            <w:tcW w:w="896" w:type="dxa"/>
            <w:tcBorders>
              <w:top w:val="single" w:sz="12" w:space="0" w:color="auto"/>
              <w:left w:val="single" w:sz="8" w:space="0" w:color="auto"/>
              <w:bottom w:val="nil"/>
              <w:right w:val="single" w:sz="8" w:space="0" w:color="auto"/>
            </w:tcBorders>
            <w:shd w:val="clear" w:color="auto" w:fill="FFFFFF"/>
            <w:noWrap/>
            <w:vAlign w:val="bottom"/>
          </w:tcPr>
          <w:p w14:paraId="2C0D4E30" w14:textId="1D16AEA0"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841" w:type="dxa"/>
            <w:tcBorders>
              <w:top w:val="single" w:sz="12" w:space="0" w:color="auto"/>
            </w:tcBorders>
            <w:shd w:val="clear" w:color="auto" w:fill="FFFFFF"/>
            <w:noWrap/>
            <w:vAlign w:val="bottom"/>
          </w:tcPr>
          <w:p w14:paraId="157D55D1" w14:textId="523547ED"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32" w:type="dxa"/>
            <w:tcBorders>
              <w:top w:val="single" w:sz="12" w:space="0" w:color="auto"/>
            </w:tcBorders>
            <w:shd w:val="clear" w:color="auto" w:fill="FFFFFF"/>
            <w:noWrap/>
            <w:vAlign w:val="bottom"/>
          </w:tcPr>
          <w:p w14:paraId="0451E641" w14:textId="02AB1E0E"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1084" w:type="dxa"/>
            <w:tcBorders>
              <w:top w:val="single" w:sz="12" w:space="0" w:color="auto"/>
            </w:tcBorders>
            <w:shd w:val="clear" w:color="auto" w:fill="FFFFFF"/>
            <w:noWrap/>
            <w:vAlign w:val="bottom"/>
          </w:tcPr>
          <w:p w14:paraId="54FB0F59" w14:textId="70FA939B"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80" w:type="dxa"/>
            <w:tcBorders>
              <w:top w:val="single" w:sz="12" w:space="0" w:color="auto"/>
            </w:tcBorders>
            <w:shd w:val="clear" w:color="auto" w:fill="FFFFFF"/>
            <w:noWrap/>
            <w:vAlign w:val="bottom"/>
          </w:tcPr>
          <w:p w14:paraId="3E88AAF7" w14:textId="35D9CAFB"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1,791.2</w:t>
            </w:r>
          </w:p>
        </w:tc>
        <w:tc>
          <w:tcPr>
            <w:tcW w:w="979" w:type="dxa"/>
            <w:tcBorders>
              <w:top w:val="single" w:sz="12" w:space="0" w:color="auto"/>
              <w:left w:val="single" w:sz="8" w:space="0" w:color="auto"/>
              <w:bottom w:val="nil"/>
              <w:right w:val="nil"/>
            </w:tcBorders>
            <w:shd w:val="clear" w:color="auto" w:fill="FFFFFF"/>
            <w:noWrap/>
            <w:vAlign w:val="bottom"/>
          </w:tcPr>
          <w:p w14:paraId="1C139335" w14:textId="3E269B48"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top w:val="single" w:sz="12" w:space="0" w:color="auto"/>
              <w:left w:val="nil"/>
              <w:bottom w:val="nil"/>
              <w:right w:val="single" w:sz="8" w:space="0" w:color="auto"/>
            </w:tcBorders>
            <w:shd w:val="clear" w:color="auto" w:fill="FFFFFF"/>
            <w:noWrap/>
            <w:vAlign w:val="bottom"/>
          </w:tcPr>
          <w:p w14:paraId="36032B0D" w14:textId="642A8FCB"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top w:val="single" w:sz="12" w:space="0" w:color="auto"/>
            </w:tcBorders>
            <w:shd w:val="clear" w:color="auto" w:fill="FFFFFF"/>
            <w:noWrap/>
            <w:vAlign w:val="bottom"/>
          </w:tcPr>
          <w:p w14:paraId="3297608C" w14:textId="2AD9C45A"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1,791.2</w:t>
            </w:r>
          </w:p>
        </w:tc>
      </w:tr>
      <w:tr w:rsidR="00C80959" w:rsidRPr="005A5172" w14:paraId="1D3F691F" w14:textId="77777777" w:rsidTr="008B1A35">
        <w:trPr>
          <w:trHeight w:val="227"/>
        </w:trPr>
        <w:tc>
          <w:tcPr>
            <w:tcW w:w="3103" w:type="dxa"/>
            <w:shd w:val="clear" w:color="auto" w:fill="FFFFFF"/>
            <w:vAlign w:val="bottom"/>
            <w:hideMark/>
          </w:tcPr>
          <w:p w14:paraId="17228303" w14:textId="00A1986A" w:rsidR="00C80959" w:rsidRPr="005A5172" w:rsidRDefault="00C80959" w:rsidP="00C80959">
            <w:pPr>
              <w:spacing w:after="0" w:line="240" w:lineRule="auto"/>
              <w:ind w:right="-112"/>
              <w:rPr>
                <w:rFonts w:ascii="Calibri" w:eastAsia="Times New Roman" w:hAnsi="Calibri" w:cs="Calibri"/>
                <w:i/>
                <w:iCs/>
                <w:color w:val="000000"/>
                <w:sz w:val="18"/>
                <w:szCs w:val="18"/>
                <w:lang w:val="en-IE" w:eastAsia="en-IE"/>
              </w:rPr>
            </w:pPr>
            <w:r w:rsidRPr="007C71F1">
              <w:rPr>
                <w:rFonts w:ascii="Calibri" w:hAnsi="Calibri" w:cs="Calibri"/>
                <w:bCs/>
                <w:i/>
                <w:color w:val="000000"/>
                <w:sz w:val="18"/>
                <w:szCs w:val="18"/>
              </w:rPr>
              <w:t>Other comprehensive loss</w:t>
            </w:r>
          </w:p>
        </w:tc>
        <w:tc>
          <w:tcPr>
            <w:tcW w:w="896" w:type="dxa"/>
            <w:tcBorders>
              <w:top w:val="nil"/>
              <w:left w:val="single" w:sz="8" w:space="0" w:color="auto"/>
              <w:bottom w:val="nil"/>
              <w:right w:val="single" w:sz="8" w:space="0" w:color="auto"/>
            </w:tcBorders>
            <w:shd w:val="clear" w:color="auto" w:fill="FFFFFF"/>
            <w:noWrap/>
            <w:vAlign w:val="bottom"/>
          </w:tcPr>
          <w:p w14:paraId="2208C7C2" w14:textId="77777777" w:rsidR="00C80959" w:rsidRPr="00EE5FD1" w:rsidRDefault="00C80959" w:rsidP="00C80959">
            <w:pPr>
              <w:spacing w:after="0" w:line="240" w:lineRule="auto"/>
              <w:jc w:val="right"/>
              <w:rPr>
                <w:rFonts w:ascii="Calibri" w:eastAsia="Times New Roman" w:hAnsi="Calibri" w:cs="Calibri"/>
                <w:bCs/>
                <w:i/>
                <w:iCs/>
                <w:color w:val="000000"/>
                <w:sz w:val="18"/>
                <w:szCs w:val="18"/>
                <w:lang w:val="en-IE" w:eastAsia="en-IE"/>
              </w:rPr>
            </w:pPr>
          </w:p>
        </w:tc>
        <w:tc>
          <w:tcPr>
            <w:tcW w:w="841" w:type="dxa"/>
            <w:shd w:val="clear" w:color="auto" w:fill="FFFFFF"/>
            <w:noWrap/>
            <w:vAlign w:val="bottom"/>
          </w:tcPr>
          <w:p w14:paraId="45E423C2"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32" w:type="dxa"/>
            <w:shd w:val="clear" w:color="auto" w:fill="FFFFFF"/>
            <w:noWrap/>
            <w:vAlign w:val="bottom"/>
          </w:tcPr>
          <w:p w14:paraId="5C3CB1DA"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1084" w:type="dxa"/>
            <w:shd w:val="clear" w:color="auto" w:fill="FFFFFF"/>
            <w:noWrap/>
            <w:vAlign w:val="bottom"/>
          </w:tcPr>
          <w:p w14:paraId="1F7FD303"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80" w:type="dxa"/>
            <w:shd w:val="clear" w:color="auto" w:fill="FFFFFF"/>
            <w:noWrap/>
            <w:vAlign w:val="bottom"/>
          </w:tcPr>
          <w:p w14:paraId="05CED344"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79" w:type="dxa"/>
            <w:tcBorders>
              <w:top w:val="nil"/>
              <w:left w:val="single" w:sz="8" w:space="0" w:color="auto"/>
              <w:bottom w:val="nil"/>
              <w:right w:val="nil"/>
            </w:tcBorders>
            <w:shd w:val="clear" w:color="auto" w:fill="FFFFFF"/>
            <w:noWrap/>
            <w:vAlign w:val="bottom"/>
          </w:tcPr>
          <w:p w14:paraId="6A8B7B84"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79" w:type="dxa"/>
            <w:tcBorders>
              <w:top w:val="nil"/>
              <w:left w:val="nil"/>
              <w:bottom w:val="nil"/>
              <w:right w:val="single" w:sz="8" w:space="0" w:color="auto"/>
            </w:tcBorders>
            <w:shd w:val="clear" w:color="auto" w:fill="FFFFFF"/>
            <w:noWrap/>
            <w:vAlign w:val="bottom"/>
          </w:tcPr>
          <w:p w14:paraId="040E706A"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79" w:type="dxa"/>
            <w:shd w:val="clear" w:color="auto" w:fill="FFFFFF"/>
            <w:noWrap/>
            <w:vAlign w:val="bottom"/>
          </w:tcPr>
          <w:p w14:paraId="38FB56D8" w14:textId="77777777"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p>
        </w:tc>
      </w:tr>
      <w:tr w:rsidR="00C80959" w:rsidRPr="005A5172" w14:paraId="25F8E011" w14:textId="77777777" w:rsidTr="008B1A35">
        <w:trPr>
          <w:trHeight w:val="227"/>
        </w:trPr>
        <w:tc>
          <w:tcPr>
            <w:tcW w:w="3103" w:type="dxa"/>
            <w:shd w:val="clear" w:color="auto" w:fill="FFFFFF"/>
            <w:vAlign w:val="bottom"/>
            <w:hideMark/>
          </w:tcPr>
          <w:p w14:paraId="24B09D22" w14:textId="671B8A99" w:rsidR="00C80959" w:rsidRPr="005A5172" w:rsidRDefault="00C80959" w:rsidP="00C80959">
            <w:pPr>
              <w:spacing w:after="0" w:line="240" w:lineRule="auto"/>
              <w:ind w:right="-112"/>
              <w:rPr>
                <w:rFonts w:ascii="Calibri" w:eastAsia="Times New Roman" w:hAnsi="Calibri" w:cs="Calibri"/>
                <w:color w:val="000000"/>
                <w:sz w:val="18"/>
                <w:szCs w:val="18"/>
                <w:lang w:val="en-IE" w:eastAsia="en-IE"/>
              </w:rPr>
            </w:pPr>
            <w:r w:rsidRPr="007C71F1">
              <w:rPr>
                <w:rFonts w:ascii="Calibri" w:hAnsi="Calibri" w:cs="Calibri"/>
                <w:bCs/>
                <w:color w:val="000000"/>
                <w:sz w:val="18"/>
                <w:szCs w:val="18"/>
              </w:rPr>
              <w:t>Net movements in cash flow reserve</w:t>
            </w:r>
          </w:p>
        </w:tc>
        <w:tc>
          <w:tcPr>
            <w:tcW w:w="896" w:type="dxa"/>
            <w:tcBorders>
              <w:top w:val="nil"/>
              <w:left w:val="single" w:sz="8" w:space="0" w:color="auto"/>
              <w:bottom w:val="nil"/>
              <w:right w:val="single" w:sz="8" w:space="0" w:color="auto"/>
            </w:tcBorders>
            <w:shd w:val="clear" w:color="auto" w:fill="FFFFFF"/>
            <w:noWrap/>
            <w:vAlign w:val="bottom"/>
          </w:tcPr>
          <w:p w14:paraId="2688F725" w14:textId="07C2B36B"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841" w:type="dxa"/>
            <w:shd w:val="clear" w:color="auto" w:fill="FFFFFF"/>
            <w:noWrap/>
            <w:vAlign w:val="bottom"/>
          </w:tcPr>
          <w:p w14:paraId="6F7E1F74" w14:textId="1952F7B5"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32" w:type="dxa"/>
            <w:shd w:val="clear" w:color="auto" w:fill="FFFFFF"/>
            <w:noWrap/>
            <w:vAlign w:val="bottom"/>
          </w:tcPr>
          <w:p w14:paraId="54899D40" w14:textId="5046BD9C"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1084" w:type="dxa"/>
            <w:shd w:val="clear" w:color="auto" w:fill="FFFFFF"/>
            <w:noWrap/>
            <w:vAlign w:val="bottom"/>
          </w:tcPr>
          <w:p w14:paraId="3E6280AF" w14:textId="1CED3F45"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80" w:type="dxa"/>
            <w:shd w:val="clear" w:color="auto" w:fill="FFFFFF"/>
            <w:noWrap/>
            <w:vAlign w:val="bottom"/>
          </w:tcPr>
          <w:p w14:paraId="63EF8AA5" w14:textId="41B3A665"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top w:val="nil"/>
              <w:left w:val="single" w:sz="8" w:space="0" w:color="auto"/>
              <w:bottom w:val="nil"/>
              <w:right w:val="nil"/>
            </w:tcBorders>
            <w:shd w:val="clear" w:color="auto" w:fill="FFFFFF"/>
            <w:noWrap/>
            <w:vAlign w:val="bottom"/>
          </w:tcPr>
          <w:p w14:paraId="77A6CA4F" w14:textId="2C550055"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(605.4)</w:t>
            </w:r>
          </w:p>
        </w:tc>
        <w:tc>
          <w:tcPr>
            <w:tcW w:w="979" w:type="dxa"/>
            <w:tcBorders>
              <w:top w:val="nil"/>
              <w:left w:val="nil"/>
              <w:bottom w:val="nil"/>
              <w:right w:val="single" w:sz="8" w:space="0" w:color="auto"/>
            </w:tcBorders>
            <w:shd w:val="clear" w:color="auto" w:fill="FFFFFF"/>
            <w:noWrap/>
            <w:vAlign w:val="bottom"/>
          </w:tcPr>
          <w:p w14:paraId="54AC27E4" w14:textId="4BA0AE9E"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bottom w:val="single" w:sz="8" w:space="0" w:color="auto"/>
            </w:tcBorders>
            <w:shd w:val="clear" w:color="auto" w:fill="FFFFFF"/>
            <w:noWrap/>
            <w:vAlign w:val="bottom"/>
          </w:tcPr>
          <w:p w14:paraId="6B8344F2" w14:textId="34D3180D"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(605.4)</w:t>
            </w:r>
          </w:p>
        </w:tc>
      </w:tr>
      <w:tr w:rsidR="00C80959" w:rsidRPr="005A5172" w14:paraId="276A9296" w14:textId="77777777" w:rsidTr="008B1A35">
        <w:trPr>
          <w:trHeight w:val="227"/>
        </w:trPr>
        <w:tc>
          <w:tcPr>
            <w:tcW w:w="3103" w:type="dxa"/>
            <w:shd w:val="clear" w:color="auto" w:fill="FFFFFF"/>
            <w:vAlign w:val="bottom"/>
            <w:hideMark/>
          </w:tcPr>
          <w:p w14:paraId="57B8B23C" w14:textId="5BE45E1F" w:rsidR="00C80959" w:rsidRPr="005A5172" w:rsidRDefault="00C80959" w:rsidP="00C80959">
            <w:pPr>
              <w:spacing w:after="0" w:line="240" w:lineRule="auto"/>
              <w:ind w:right="-112"/>
              <w:rPr>
                <w:rFonts w:ascii="Calibri" w:eastAsia="Times New Roman" w:hAnsi="Calibri" w:cs="Calibri"/>
                <w:color w:val="000000"/>
                <w:sz w:val="18"/>
                <w:szCs w:val="18"/>
                <w:lang w:val="en-IE" w:eastAsia="en-IE"/>
              </w:rPr>
            </w:pPr>
            <w:r w:rsidRPr="007C71F1">
              <w:rPr>
                <w:rFonts w:ascii="Calibri" w:hAnsi="Calibri" w:cs="Calibri"/>
                <w:bCs/>
                <w:color w:val="000000"/>
                <w:sz w:val="18"/>
                <w:szCs w:val="18"/>
              </w:rPr>
              <w:t>Total other comprehensive loss</w:t>
            </w:r>
          </w:p>
        </w:tc>
        <w:tc>
          <w:tcPr>
            <w:tcW w:w="896"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639A7B44" w14:textId="6D6C4BEC"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841" w:type="dxa"/>
            <w:tcBorders>
              <w:top w:val="single" w:sz="8" w:space="0" w:color="auto"/>
              <w:left w:val="nil"/>
              <w:bottom w:val="single" w:sz="8" w:space="0" w:color="auto"/>
              <w:right w:val="nil"/>
            </w:tcBorders>
            <w:shd w:val="clear" w:color="auto" w:fill="FFFFFF"/>
            <w:noWrap/>
            <w:vAlign w:val="bottom"/>
          </w:tcPr>
          <w:p w14:paraId="3877C6E1" w14:textId="797E1162"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32" w:type="dxa"/>
            <w:tcBorders>
              <w:top w:val="single" w:sz="8" w:space="0" w:color="auto"/>
              <w:left w:val="nil"/>
              <w:bottom w:val="single" w:sz="8" w:space="0" w:color="auto"/>
              <w:right w:val="nil"/>
            </w:tcBorders>
            <w:shd w:val="clear" w:color="auto" w:fill="FFFFFF"/>
            <w:noWrap/>
            <w:vAlign w:val="bottom"/>
          </w:tcPr>
          <w:p w14:paraId="66158425" w14:textId="349D2984"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1084" w:type="dxa"/>
            <w:tcBorders>
              <w:top w:val="single" w:sz="8" w:space="0" w:color="auto"/>
              <w:left w:val="nil"/>
              <w:bottom w:val="single" w:sz="8" w:space="0" w:color="auto"/>
              <w:right w:val="nil"/>
            </w:tcBorders>
            <w:shd w:val="clear" w:color="auto" w:fill="FFFFFF"/>
            <w:noWrap/>
            <w:vAlign w:val="bottom"/>
          </w:tcPr>
          <w:p w14:paraId="627B7A8C" w14:textId="3B17711C"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80" w:type="dxa"/>
            <w:tcBorders>
              <w:top w:val="single" w:sz="8" w:space="0" w:color="auto"/>
              <w:left w:val="nil"/>
              <w:bottom w:val="single" w:sz="8" w:space="0" w:color="auto"/>
              <w:right w:val="nil"/>
            </w:tcBorders>
            <w:shd w:val="clear" w:color="auto" w:fill="FFFFFF"/>
            <w:noWrap/>
            <w:vAlign w:val="bottom"/>
          </w:tcPr>
          <w:p w14:paraId="36193769" w14:textId="7937ACA4"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top w:val="single" w:sz="8" w:space="0" w:color="auto"/>
              <w:left w:val="single" w:sz="8" w:space="0" w:color="auto"/>
              <w:bottom w:val="single" w:sz="8" w:space="0" w:color="auto"/>
              <w:right w:val="nil"/>
            </w:tcBorders>
            <w:shd w:val="clear" w:color="auto" w:fill="FFFFFF"/>
            <w:noWrap/>
            <w:vAlign w:val="bottom"/>
          </w:tcPr>
          <w:p w14:paraId="006F75DD" w14:textId="24725322"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(605.4)</w:t>
            </w:r>
          </w:p>
        </w:tc>
        <w:tc>
          <w:tcPr>
            <w:tcW w:w="979" w:type="dxa"/>
            <w:tcBorders>
              <w:top w:val="single" w:sz="8" w:space="0" w:color="auto"/>
              <w:left w:val="nil"/>
              <w:bottom w:val="single" w:sz="8" w:space="0" w:color="auto"/>
              <w:right w:val="single" w:sz="8" w:space="0" w:color="auto"/>
            </w:tcBorders>
            <w:shd w:val="clear" w:color="auto" w:fill="FFFFFF"/>
            <w:noWrap/>
            <w:vAlign w:val="bottom"/>
          </w:tcPr>
          <w:p w14:paraId="4F095409" w14:textId="080E9256"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top w:val="single" w:sz="8" w:space="0" w:color="auto"/>
              <w:left w:val="nil"/>
              <w:bottom w:val="single" w:sz="8" w:space="0" w:color="auto"/>
              <w:right w:val="single" w:sz="8" w:space="0" w:color="auto"/>
            </w:tcBorders>
            <w:shd w:val="clear" w:color="auto" w:fill="FFFFFF"/>
            <w:noWrap/>
            <w:vAlign w:val="bottom"/>
          </w:tcPr>
          <w:p w14:paraId="33E9B251" w14:textId="4351603F"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(605.4)</w:t>
            </w:r>
          </w:p>
        </w:tc>
      </w:tr>
      <w:tr w:rsidR="00C80959" w:rsidRPr="005A5172" w14:paraId="3C32964F" w14:textId="77777777" w:rsidTr="008B1A35">
        <w:trPr>
          <w:trHeight w:val="227"/>
        </w:trPr>
        <w:tc>
          <w:tcPr>
            <w:tcW w:w="3103" w:type="dxa"/>
            <w:shd w:val="clear" w:color="auto" w:fill="FFFFFF"/>
            <w:vAlign w:val="bottom"/>
            <w:hideMark/>
          </w:tcPr>
          <w:p w14:paraId="3E865112" w14:textId="528E75E2" w:rsidR="00C80959" w:rsidRPr="005A5172" w:rsidRDefault="00C80959" w:rsidP="00C80959">
            <w:pPr>
              <w:spacing w:after="0" w:line="240" w:lineRule="auto"/>
              <w:ind w:right="-112"/>
              <w:rPr>
                <w:rFonts w:ascii="Calibri" w:eastAsia="Times New Roman" w:hAnsi="Calibri" w:cs="Calibri"/>
                <w:color w:val="000000"/>
                <w:sz w:val="18"/>
                <w:szCs w:val="18"/>
                <w:lang w:val="en-IE" w:eastAsia="en-IE"/>
              </w:rPr>
            </w:pPr>
            <w:r w:rsidRPr="007C71F1">
              <w:rPr>
                <w:rFonts w:ascii="Calibri" w:hAnsi="Calibri" w:cs="Calibri"/>
                <w:bCs/>
                <w:color w:val="000000"/>
                <w:sz w:val="18"/>
                <w:szCs w:val="18"/>
              </w:rPr>
              <w:t>Total comprehensive income/(loss)</w:t>
            </w:r>
          </w:p>
        </w:tc>
        <w:tc>
          <w:tcPr>
            <w:tcW w:w="896" w:type="dxa"/>
            <w:tcBorders>
              <w:top w:val="nil"/>
              <w:left w:val="single" w:sz="8" w:space="0" w:color="auto"/>
              <w:bottom w:val="single" w:sz="8" w:space="0" w:color="auto"/>
              <w:right w:val="single" w:sz="8" w:space="0" w:color="auto"/>
            </w:tcBorders>
            <w:shd w:val="clear" w:color="auto" w:fill="FFFFFF"/>
            <w:noWrap/>
            <w:vAlign w:val="bottom"/>
          </w:tcPr>
          <w:p w14:paraId="41E0EB71" w14:textId="37067F43"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841" w:type="dxa"/>
            <w:tcBorders>
              <w:bottom w:val="single" w:sz="8" w:space="0" w:color="auto"/>
            </w:tcBorders>
            <w:shd w:val="clear" w:color="auto" w:fill="FFFFFF"/>
            <w:noWrap/>
            <w:vAlign w:val="bottom"/>
          </w:tcPr>
          <w:p w14:paraId="6CB527F6" w14:textId="17EB6EF7"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32" w:type="dxa"/>
            <w:tcBorders>
              <w:bottom w:val="single" w:sz="8" w:space="0" w:color="auto"/>
            </w:tcBorders>
            <w:shd w:val="clear" w:color="auto" w:fill="FFFFFF"/>
            <w:noWrap/>
            <w:vAlign w:val="bottom"/>
          </w:tcPr>
          <w:p w14:paraId="7CCB075E" w14:textId="08E76A36"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1084" w:type="dxa"/>
            <w:tcBorders>
              <w:bottom w:val="single" w:sz="8" w:space="0" w:color="auto"/>
            </w:tcBorders>
            <w:shd w:val="clear" w:color="auto" w:fill="FFFFFF"/>
            <w:noWrap/>
            <w:vAlign w:val="bottom"/>
          </w:tcPr>
          <w:p w14:paraId="13E69CDC" w14:textId="7643F169"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80" w:type="dxa"/>
            <w:tcBorders>
              <w:bottom w:val="single" w:sz="8" w:space="0" w:color="auto"/>
            </w:tcBorders>
            <w:shd w:val="clear" w:color="auto" w:fill="FFFFFF"/>
            <w:noWrap/>
            <w:vAlign w:val="bottom"/>
          </w:tcPr>
          <w:p w14:paraId="111C5334" w14:textId="0C0B0942"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1,791.2</w:t>
            </w:r>
          </w:p>
        </w:tc>
        <w:tc>
          <w:tcPr>
            <w:tcW w:w="979" w:type="dxa"/>
            <w:tcBorders>
              <w:top w:val="nil"/>
              <w:left w:val="single" w:sz="8" w:space="0" w:color="auto"/>
              <w:bottom w:val="single" w:sz="8" w:space="0" w:color="auto"/>
              <w:right w:val="nil"/>
            </w:tcBorders>
            <w:shd w:val="clear" w:color="auto" w:fill="FFFFFF"/>
            <w:noWrap/>
            <w:vAlign w:val="bottom"/>
          </w:tcPr>
          <w:p w14:paraId="06B0BCF9" w14:textId="1D514839"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(605.4)</w:t>
            </w:r>
          </w:p>
        </w:tc>
        <w:tc>
          <w:tcPr>
            <w:tcW w:w="979" w:type="dxa"/>
            <w:tcBorders>
              <w:top w:val="nil"/>
              <w:left w:val="nil"/>
              <w:bottom w:val="single" w:sz="8" w:space="0" w:color="auto"/>
              <w:right w:val="single" w:sz="8" w:space="0" w:color="auto"/>
            </w:tcBorders>
            <w:shd w:val="clear" w:color="auto" w:fill="FFFFFF"/>
            <w:noWrap/>
            <w:vAlign w:val="bottom"/>
          </w:tcPr>
          <w:p w14:paraId="454E5015" w14:textId="57CDCCAF"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top w:val="single" w:sz="8" w:space="0" w:color="auto"/>
              <w:bottom w:val="single" w:sz="8" w:space="0" w:color="auto"/>
              <w:right w:val="single" w:sz="8" w:space="0" w:color="auto"/>
            </w:tcBorders>
            <w:shd w:val="clear" w:color="auto" w:fill="FFFFFF"/>
            <w:noWrap/>
            <w:vAlign w:val="bottom"/>
          </w:tcPr>
          <w:p w14:paraId="6863153C" w14:textId="5CC43F7A"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1,185.8</w:t>
            </w:r>
          </w:p>
        </w:tc>
      </w:tr>
      <w:tr w:rsidR="00C80959" w:rsidRPr="005A5172" w14:paraId="01EF5881" w14:textId="77777777" w:rsidTr="008B1A35">
        <w:trPr>
          <w:trHeight w:val="227"/>
        </w:trPr>
        <w:tc>
          <w:tcPr>
            <w:tcW w:w="3103" w:type="dxa"/>
            <w:shd w:val="clear" w:color="auto" w:fill="FFFFFF"/>
            <w:vAlign w:val="bottom"/>
            <w:hideMark/>
          </w:tcPr>
          <w:p w14:paraId="7BBD23AC" w14:textId="4E1526EB" w:rsidR="00C80959" w:rsidRPr="005A5172" w:rsidRDefault="00C80959" w:rsidP="00C80959">
            <w:pPr>
              <w:spacing w:after="0" w:line="240" w:lineRule="auto"/>
              <w:ind w:right="-112"/>
              <w:rPr>
                <w:rFonts w:ascii="Calibri" w:eastAsia="Times New Roman" w:hAnsi="Calibri" w:cs="Calibri"/>
                <w:i/>
                <w:iCs/>
                <w:color w:val="000000"/>
                <w:sz w:val="18"/>
                <w:szCs w:val="18"/>
                <w:lang w:val="en-IE" w:eastAsia="en-IE"/>
              </w:rPr>
            </w:pPr>
            <w:r w:rsidRPr="007C71F1">
              <w:rPr>
                <w:rFonts w:ascii="Calibri" w:hAnsi="Calibri" w:cs="Calibri"/>
                <w:bCs/>
                <w:i/>
                <w:color w:val="000000"/>
                <w:sz w:val="18"/>
                <w:szCs w:val="18"/>
              </w:rPr>
              <w:t xml:space="preserve">Transactions with owners of the Company </w:t>
            </w:r>
            <w:proofErr w:type="spellStart"/>
            <w:r w:rsidRPr="007C71F1">
              <w:rPr>
                <w:rFonts w:ascii="Calibri" w:hAnsi="Calibri" w:cs="Calibri"/>
                <w:bCs/>
                <w:i/>
                <w:color w:val="000000"/>
                <w:sz w:val="18"/>
                <w:szCs w:val="18"/>
              </w:rPr>
              <w:t>recognised</w:t>
            </w:r>
            <w:proofErr w:type="spellEnd"/>
            <w:r w:rsidRPr="007C71F1">
              <w:rPr>
                <w:rFonts w:ascii="Calibri" w:hAnsi="Calibri" w:cs="Calibri"/>
                <w:bCs/>
                <w:i/>
                <w:color w:val="000000"/>
                <w:sz w:val="18"/>
                <w:szCs w:val="18"/>
              </w:rPr>
              <w:t xml:space="preserve"> directly in equity</w:t>
            </w:r>
          </w:p>
        </w:tc>
        <w:tc>
          <w:tcPr>
            <w:tcW w:w="896" w:type="dxa"/>
            <w:tcBorders>
              <w:top w:val="single" w:sz="8" w:space="0" w:color="auto"/>
              <w:left w:val="single" w:sz="8" w:space="0" w:color="auto"/>
              <w:right w:val="single" w:sz="8" w:space="0" w:color="auto"/>
            </w:tcBorders>
            <w:vAlign w:val="bottom"/>
          </w:tcPr>
          <w:p w14:paraId="220E688F" w14:textId="001495B4" w:rsidR="00C80959" w:rsidRPr="00EE5FD1" w:rsidRDefault="00C80959" w:rsidP="00C80959">
            <w:pPr>
              <w:spacing w:after="0" w:line="240" w:lineRule="auto"/>
              <w:rPr>
                <w:rFonts w:ascii="Calibri" w:eastAsia="Times New Roman" w:hAnsi="Calibri" w:cs="Calibri"/>
                <w:bCs/>
                <w:color w:val="000000"/>
                <w:sz w:val="18"/>
                <w:szCs w:val="18"/>
                <w:lang w:val="en-IE" w:eastAsia="en-IE"/>
              </w:rPr>
            </w:pPr>
          </w:p>
        </w:tc>
        <w:tc>
          <w:tcPr>
            <w:tcW w:w="841" w:type="dxa"/>
            <w:tcBorders>
              <w:top w:val="single" w:sz="8" w:space="0" w:color="auto"/>
              <w:left w:val="single" w:sz="8" w:space="0" w:color="auto"/>
              <w:right w:val="nil"/>
            </w:tcBorders>
            <w:vAlign w:val="bottom"/>
          </w:tcPr>
          <w:p w14:paraId="1DCDFF28"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32" w:type="dxa"/>
            <w:tcBorders>
              <w:top w:val="single" w:sz="8" w:space="0" w:color="auto"/>
              <w:left w:val="nil"/>
              <w:right w:val="nil"/>
            </w:tcBorders>
            <w:vAlign w:val="bottom"/>
          </w:tcPr>
          <w:p w14:paraId="02C266C5"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1084" w:type="dxa"/>
            <w:tcBorders>
              <w:top w:val="single" w:sz="8" w:space="0" w:color="auto"/>
              <w:left w:val="nil"/>
              <w:right w:val="nil"/>
            </w:tcBorders>
            <w:vAlign w:val="bottom"/>
          </w:tcPr>
          <w:p w14:paraId="76ED40BF"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80" w:type="dxa"/>
            <w:tcBorders>
              <w:top w:val="single" w:sz="8" w:space="0" w:color="auto"/>
              <w:left w:val="nil"/>
              <w:right w:val="single" w:sz="8" w:space="0" w:color="auto"/>
            </w:tcBorders>
            <w:vAlign w:val="bottom"/>
          </w:tcPr>
          <w:p w14:paraId="06D9CD8A"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79" w:type="dxa"/>
            <w:tcBorders>
              <w:top w:val="single" w:sz="8" w:space="0" w:color="auto"/>
              <w:left w:val="single" w:sz="8" w:space="0" w:color="auto"/>
              <w:right w:val="nil"/>
            </w:tcBorders>
            <w:vAlign w:val="bottom"/>
          </w:tcPr>
          <w:p w14:paraId="6CAECBC5"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79" w:type="dxa"/>
            <w:tcBorders>
              <w:top w:val="single" w:sz="8" w:space="0" w:color="auto"/>
              <w:left w:val="nil"/>
              <w:right w:val="single" w:sz="8" w:space="0" w:color="auto"/>
            </w:tcBorders>
            <w:vAlign w:val="bottom"/>
          </w:tcPr>
          <w:p w14:paraId="08CC3DF4" w14:textId="77777777" w:rsidR="00C80959" w:rsidRPr="00EE5FD1" w:rsidRDefault="00C80959" w:rsidP="00C80959">
            <w:pPr>
              <w:spacing w:after="0" w:line="240" w:lineRule="auto"/>
              <w:jc w:val="right"/>
              <w:rPr>
                <w:rFonts w:ascii="Calibri" w:eastAsia="Calibri" w:hAnsi="Calibri" w:cs="Calibri"/>
                <w:bCs/>
                <w:sz w:val="18"/>
                <w:szCs w:val="18"/>
                <w:lang w:val="en-IE" w:eastAsia="en-IE"/>
              </w:rPr>
            </w:pPr>
          </w:p>
        </w:tc>
        <w:tc>
          <w:tcPr>
            <w:tcW w:w="979" w:type="dxa"/>
            <w:tcBorders>
              <w:top w:val="single" w:sz="8" w:space="0" w:color="auto"/>
              <w:left w:val="single" w:sz="8" w:space="0" w:color="auto"/>
              <w:right w:val="nil"/>
            </w:tcBorders>
            <w:vAlign w:val="bottom"/>
          </w:tcPr>
          <w:p w14:paraId="1E717702" w14:textId="77777777"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p>
        </w:tc>
      </w:tr>
      <w:tr w:rsidR="00C80959" w:rsidRPr="005A5172" w14:paraId="730E3FF5" w14:textId="77777777" w:rsidTr="008B1A35">
        <w:trPr>
          <w:trHeight w:val="227"/>
        </w:trPr>
        <w:tc>
          <w:tcPr>
            <w:tcW w:w="3103" w:type="dxa"/>
            <w:shd w:val="clear" w:color="auto" w:fill="FFFFFF"/>
            <w:vAlign w:val="bottom"/>
            <w:hideMark/>
          </w:tcPr>
          <w:p w14:paraId="5622F8FF" w14:textId="6654CE49" w:rsidR="00C80959" w:rsidRPr="005A5172" w:rsidRDefault="00C80959" w:rsidP="00C80959">
            <w:pPr>
              <w:spacing w:after="0" w:line="240" w:lineRule="auto"/>
              <w:ind w:right="-112"/>
              <w:rPr>
                <w:rFonts w:ascii="Calibri" w:eastAsia="Times New Roman" w:hAnsi="Calibri" w:cs="Calibri"/>
                <w:color w:val="000000"/>
                <w:sz w:val="18"/>
                <w:szCs w:val="18"/>
                <w:lang w:val="en-IE" w:eastAsia="en-IE"/>
              </w:rPr>
            </w:pPr>
            <w:r w:rsidRPr="007C71F1">
              <w:rPr>
                <w:rFonts w:ascii="Calibri" w:hAnsi="Calibri" w:cs="Calibri"/>
                <w:bCs/>
                <w:color w:val="000000"/>
                <w:sz w:val="18"/>
                <w:szCs w:val="18"/>
              </w:rPr>
              <w:t>Issue of ordinary equity shares</w:t>
            </w:r>
          </w:p>
        </w:tc>
        <w:tc>
          <w:tcPr>
            <w:tcW w:w="896" w:type="dxa"/>
            <w:tcBorders>
              <w:left w:val="single" w:sz="8" w:space="0" w:color="auto"/>
              <w:bottom w:val="nil"/>
              <w:right w:val="single" w:sz="8" w:space="0" w:color="auto"/>
            </w:tcBorders>
            <w:shd w:val="clear" w:color="auto" w:fill="FFFFFF"/>
            <w:noWrap/>
            <w:vAlign w:val="bottom"/>
          </w:tcPr>
          <w:p w14:paraId="16B727F5" w14:textId="21C876B3"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0.7</w:t>
            </w:r>
          </w:p>
        </w:tc>
        <w:tc>
          <w:tcPr>
            <w:tcW w:w="841" w:type="dxa"/>
            <w:shd w:val="clear" w:color="auto" w:fill="FFFFFF"/>
            <w:noWrap/>
            <w:vAlign w:val="bottom"/>
          </w:tcPr>
          <w:p w14:paraId="0B8499E7" w14:textId="67D0E44A"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32" w:type="dxa"/>
            <w:shd w:val="clear" w:color="auto" w:fill="FFFFFF"/>
            <w:noWrap/>
            <w:vAlign w:val="bottom"/>
          </w:tcPr>
          <w:p w14:paraId="7910F9B9" w14:textId="5AC2DCFF"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12.3</w:t>
            </w:r>
          </w:p>
        </w:tc>
        <w:tc>
          <w:tcPr>
            <w:tcW w:w="1084" w:type="dxa"/>
            <w:shd w:val="clear" w:color="auto" w:fill="FFFFFF"/>
            <w:noWrap/>
            <w:vAlign w:val="bottom"/>
          </w:tcPr>
          <w:p w14:paraId="1B492100" w14:textId="5390B056"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80" w:type="dxa"/>
            <w:shd w:val="clear" w:color="auto" w:fill="FFFFFF"/>
            <w:noWrap/>
            <w:vAlign w:val="bottom"/>
          </w:tcPr>
          <w:p w14:paraId="5F83BAF7" w14:textId="075A753B"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(10.4)</w:t>
            </w:r>
          </w:p>
        </w:tc>
        <w:tc>
          <w:tcPr>
            <w:tcW w:w="979" w:type="dxa"/>
            <w:tcBorders>
              <w:left w:val="single" w:sz="8" w:space="0" w:color="auto"/>
              <w:bottom w:val="nil"/>
              <w:right w:val="nil"/>
            </w:tcBorders>
            <w:shd w:val="clear" w:color="auto" w:fill="FFFFFF"/>
            <w:noWrap/>
            <w:vAlign w:val="bottom"/>
          </w:tcPr>
          <w:p w14:paraId="5BA877E3" w14:textId="7C928A93"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left w:val="nil"/>
              <w:bottom w:val="nil"/>
              <w:right w:val="single" w:sz="8" w:space="0" w:color="auto"/>
            </w:tcBorders>
            <w:shd w:val="clear" w:color="auto" w:fill="FFFFFF"/>
            <w:noWrap/>
            <w:vAlign w:val="bottom"/>
          </w:tcPr>
          <w:p w14:paraId="690C175B" w14:textId="1CE9874D"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shd w:val="clear" w:color="auto" w:fill="FFFFFF"/>
            <w:noWrap/>
            <w:vAlign w:val="bottom"/>
          </w:tcPr>
          <w:p w14:paraId="0FE8DA60" w14:textId="64B7AAA4" w:rsidR="00C80959" w:rsidRPr="00EE5FD1" w:rsidRDefault="00C80959" w:rsidP="00C80959">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1.9</w:t>
            </w:r>
          </w:p>
        </w:tc>
      </w:tr>
      <w:tr w:rsidR="00B62F5E" w:rsidRPr="005A5172" w14:paraId="7662A1F1" w14:textId="77777777" w:rsidTr="008B1A35">
        <w:trPr>
          <w:trHeight w:val="227"/>
        </w:trPr>
        <w:tc>
          <w:tcPr>
            <w:tcW w:w="3103" w:type="dxa"/>
            <w:shd w:val="clear" w:color="auto" w:fill="FFFFFF"/>
            <w:vAlign w:val="center"/>
          </w:tcPr>
          <w:p w14:paraId="592272E3" w14:textId="23A46301" w:rsidR="00B62F5E" w:rsidRPr="007C71F1" w:rsidRDefault="00B62F5E" w:rsidP="00B62F5E">
            <w:pPr>
              <w:spacing w:after="0" w:line="240" w:lineRule="auto"/>
              <w:ind w:right="-112"/>
              <w:rPr>
                <w:rFonts w:ascii="Calibri" w:hAnsi="Calibri" w:cs="Calibri"/>
                <w:color w:val="000000"/>
                <w:sz w:val="18"/>
                <w:szCs w:val="18"/>
                <w:lang w:eastAsia="en-IE"/>
              </w:rPr>
            </w:pPr>
            <w:r w:rsidRPr="007C71F1">
              <w:rPr>
                <w:rFonts w:ascii="Calibri" w:hAnsi="Calibri" w:cs="Calibri"/>
                <w:color w:val="000000"/>
                <w:sz w:val="18"/>
                <w:szCs w:val="18"/>
                <w:lang w:eastAsia="en-IE"/>
              </w:rPr>
              <w:t>Repurchase of ordinary equity shares</w:t>
            </w:r>
          </w:p>
        </w:tc>
        <w:tc>
          <w:tcPr>
            <w:tcW w:w="896" w:type="dxa"/>
            <w:tcBorders>
              <w:top w:val="nil"/>
              <w:left w:val="single" w:sz="8" w:space="0" w:color="auto"/>
              <w:bottom w:val="nil"/>
              <w:right w:val="single" w:sz="8" w:space="0" w:color="auto"/>
            </w:tcBorders>
            <w:shd w:val="clear" w:color="auto" w:fill="FFFFFF"/>
            <w:noWrap/>
            <w:vAlign w:val="center"/>
          </w:tcPr>
          <w:p w14:paraId="199E5C63" w14:textId="7476E06C" w:rsidR="00B62F5E" w:rsidRPr="00EE5FD1" w:rsidRDefault="00B62F5E"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841" w:type="dxa"/>
            <w:shd w:val="clear" w:color="auto" w:fill="FFFFFF"/>
            <w:noWrap/>
            <w:vAlign w:val="center"/>
          </w:tcPr>
          <w:p w14:paraId="6B4B0759" w14:textId="0F8C7EE1" w:rsidR="00B62F5E" w:rsidRPr="00EE5FD1" w:rsidRDefault="00B62F5E"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932" w:type="dxa"/>
            <w:shd w:val="clear" w:color="auto" w:fill="FFFFFF"/>
            <w:noWrap/>
            <w:vAlign w:val="center"/>
          </w:tcPr>
          <w:p w14:paraId="3865C2D1" w14:textId="1BEC4A18" w:rsidR="00B62F5E" w:rsidRPr="00EE5FD1" w:rsidRDefault="00B62F5E" w:rsidP="00B62F5E">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w:t>
            </w:r>
          </w:p>
        </w:tc>
        <w:tc>
          <w:tcPr>
            <w:tcW w:w="1084" w:type="dxa"/>
            <w:shd w:val="clear" w:color="auto" w:fill="FFFFFF"/>
            <w:noWrap/>
            <w:vAlign w:val="center"/>
          </w:tcPr>
          <w:p w14:paraId="32EF8B8B" w14:textId="52E331B7" w:rsidR="00B62F5E" w:rsidRPr="00EE5FD1" w:rsidRDefault="00B62F5E"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980" w:type="dxa"/>
            <w:shd w:val="clear" w:color="auto" w:fill="FFFFFF"/>
            <w:noWrap/>
            <w:vAlign w:val="center"/>
          </w:tcPr>
          <w:p w14:paraId="2AC90F24" w14:textId="70F71FC1" w:rsidR="00B62F5E" w:rsidRPr="00EE5FD1" w:rsidRDefault="00B62F5E"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(866.5)</w:t>
            </w:r>
          </w:p>
        </w:tc>
        <w:tc>
          <w:tcPr>
            <w:tcW w:w="979" w:type="dxa"/>
            <w:tcBorders>
              <w:top w:val="nil"/>
              <w:left w:val="single" w:sz="8" w:space="0" w:color="auto"/>
              <w:bottom w:val="nil"/>
              <w:right w:val="nil"/>
            </w:tcBorders>
            <w:shd w:val="clear" w:color="auto" w:fill="FFFFFF"/>
            <w:noWrap/>
            <w:vAlign w:val="center"/>
          </w:tcPr>
          <w:p w14:paraId="7E56A207" w14:textId="538A2CFE" w:rsidR="00B62F5E" w:rsidRPr="00EE5FD1" w:rsidRDefault="00B62F5E"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979" w:type="dxa"/>
            <w:tcBorders>
              <w:top w:val="nil"/>
              <w:left w:val="nil"/>
              <w:bottom w:val="nil"/>
              <w:right w:val="single" w:sz="8" w:space="0" w:color="auto"/>
            </w:tcBorders>
            <w:shd w:val="clear" w:color="auto" w:fill="FFFFFF"/>
            <w:noWrap/>
            <w:vAlign w:val="center"/>
          </w:tcPr>
          <w:p w14:paraId="5C92F175" w14:textId="76ECEC1B" w:rsidR="00B62F5E" w:rsidRPr="00EE5FD1" w:rsidRDefault="00B62F5E"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979" w:type="dxa"/>
            <w:shd w:val="clear" w:color="auto" w:fill="FFFFFF"/>
            <w:noWrap/>
            <w:vAlign w:val="center"/>
          </w:tcPr>
          <w:p w14:paraId="0C460CB8" w14:textId="7A2AADDC" w:rsidR="00B62F5E" w:rsidRPr="00EE5FD1" w:rsidRDefault="00B62F5E"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(866.5)</w:t>
            </w:r>
          </w:p>
        </w:tc>
      </w:tr>
      <w:tr w:rsidR="00B62F5E" w:rsidRPr="005A5172" w14:paraId="5E37DD63" w14:textId="77777777" w:rsidTr="008B1A35">
        <w:trPr>
          <w:trHeight w:val="227"/>
        </w:trPr>
        <w:tc>
          <w:tcPr>
            <w:tcW w:w="3103" w:type="dxa"/>
            <w:shd w:val="clear" w:color="auto" w:fill="FFFFFF"/>
            <w:vAlign w:val="center"/>
          </w:tcPr>
          <w:p w14:paraId="40EB961C" w14:textId="2DC4594C" w:rsidR="00B62F5E" w:rsidRPr="007C71F1" w:rsidRDefault="00B62F5E" w:rsidP="00B62F5E">
            <w:pPr>
              <w:spacing w:after="0" w:line="240" w:lineRule="auto"/>
              <w:ind w:right="-112"/>
              <w:rPr>
                <w:rFonts w:ascii="Calibri" w:hAnsi="Calibri" w:cs="Calibri"/>
                <w:color w:val="000000"/>
                <w:sz w:val="18"/>
                <w:szCs w:val="18"/>
                <w:lang w:eastAsia="en-IE"/>
              </w:rPr>
            </w:pPr>
            <w:r>
              <w:rPr>
                <w:rFonts w:ascii="Calibri" w:hAnsi="Calibri" w:cs="Calibri"/>
                <w:color w:val="000000"/>
                <w:sz w:val="18"/>
                <w:szCs w:val="18"/>
                <w:lang w:eastAsia="en-IE"/>
              </w:rPr>
              <w:t>Cancellation of repurchased shares</w:t>
            </w:r>
          </w:p>
        </w:tc>
        <w:tc>
          <w:tcPr>
            <w:tcW w:w="896" w:type="dxa"/>
            <w:tcBorders>
              <w:top w:val="nil"/>
              <w:left w:val="single" w:sz="8" w:space="0" w:color="auto"/>
              <w:bottom w:val="nil"/>
              <w:right w:val="single" w:sz="8" w:space="0" w:color="auto"/>
            </w:tcBorders>
            <w:shd w:val="clear" w:color="auto" w:fill="FFFFFF"/>
            <w:noWrap/>
            <w:vAlign w:val="center"/>
          </w:tcPr>
          <w:p w14:paraId="28EA77E1" w14:textId="60874C26" w:rsidR="00B62F5E" w:rsidRPr="00EE5FD1" w:rsidRDefault="002D71E6"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(46.6)</w:t>
            </w:r>
          </w:p>
        </w:tc>
        <w:tc>
          <w:tcPr>
            <w:tcW w:w="841" w:type="dxa"/>
            <w:shd w:val="clear" w:color="auto" w:fill="FFFFFF"/>
            <w:noWrap/>
            <w:vAlign w:val="center"/>
          </w:tcPr>
          <w:p w14:paraId="4605C60F" w14:textId="4828340C" w:rsidR="00B62F5E" w:rsidRPr="00EE5FD1" w:rsidRDefault="002D71E6"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(0.3)</w:t>
            </w:r>
          </w:p>
        </w:tc>
        <w:tc>
          <w:tcPr>
            <w:tcW w:w="932" w:type="dxa"/>
            <w:shd w:val="clear" w:color="auto" w:fill="FFFFFF"/>
            <w:noWrap/>
            <w:vAlign w:val="center"/>
          </w:tcPr>
          <w:p w14:paraId="668C06B0" w14:textId="49618913" w:rsidR="00B62F5E" w:rsidRPr="00EE5FD1" w:rsidRDefault="002D71E6" w:rsidP="00B62F5E">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w:t>
            </w:r>
          </w:p>
        </w:tc>
        <w:tc>
          <w:tcPr>
            <w:tcW w:w="1084" w:type="dxa"/>
            <w:shd w:val="clear" w:color="auto" w:fill="FFFFFF"/>
            <w:noWrap/>
            <w:vAlign w:val="center"/>
          </w:tcPr>
          <w:p w14:paraId="24E97497" w14:textId="37ACE1F7" w:rsidR="00B62F5E" w:rsidRPr="00EE5FD1" w:rsidRDefault="002D71E6"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0.3</w:t>
            </w:r>
          </w:p>
        </w:tc>
        <w:tc>
          <w:tcPr>
            <w:tcW w:w="980" w:type="dxa"/>
            <w:shd w:val="clear" w:color="auto" w:fill="FFFFFF"/>
            <w:noWrap/>
            <w:vAlign w:val="center"/>
          </w:tcPr>
          <w:p w14:paraId="2B2A98DA" w14:textId="7E6585F6" w:rsidR="00B62F5E" w:rsidRPr="00EE5FD1" w:rsidRDefault="002D71E6"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979" w:type="dxa"/>
            <w:tcBorders>
              <w:top w:val="nil"/>
              <w:left w:val="single" w:sz="8" w:space="0" w:color="auto"/>
              <w:bottom w:val="nil"/>
              <w:right w:val="nil"/>
            </w:tcBorders>
            <w:shd w:val="clear" w:color="auto" w:fill="FFFFFF"/>
            <w:noWrap/>
            <w:vAlign w:val="center"/>
          </w:tcPr>
          <w:p w14:paraId="1C36AE6D" w14:textId="17D12847" w:rsidR="00B62F5E" w:rsidRPr="00EE5FD1" w:rsidRDefault="002D71E6"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979" w:type="dxa"/>
            <w:tcBorders>
              <w:top w:val="nil"/>
              <w:left w:val="nil"/>
              <w:bottom w:val="nil"/>
              <w:right w:val="single" w:sz="8" w:space="0" w:color="auto"/>
            </w:tcBorders>
            <w:shd w:val="clear" w:color="auto" w:fill="FFFFFF"/>
            <w:noWrap/>
            <w:vAlign w:val="center"/>
          </w:tcPr>
          <w:p w14:paraId="78CE4D28" w14:textId="4E02F3A6" w:rsidR="00B62F5E" w:rsidRPr="00EE5FD1" w:rsidRDefault="002D71E6"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979" w:type="dxa"/>
            <w:shd w:val="clear" w:color="auto" w:fill="FFFFFF"/>
            <w:noWrap/>
            <w:vAlign w:val="center"/>
          </w:tcPr>
          <w:p w14:paraId="1D72F543" w14:textId="22087DD6" w:rsidR="00B62F5E" w:rsidRPr="00EE5FD1" w:rsidRDefault="00BA3915" w:rsidP="00B62F5E">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r>
      <w:tr w:rsidR="00EE5FD1" w:rsidRPr="005A5172" w14:paraId="71DF40A8" w14:textId="77777777" w:rsidTr="008B1A35">
        <w:trPr>
          <w:trHeight w:val="227"/>
        </w:trPr>
        <w:tc>
          <w:tcPr>
            <w:tcW w:w="3103" w:type="dxa"/>
            <w:shd w:val="clear" w:color="auto" w:fill="FFFFFF"/>
            <w:vAlign w:val="center"/>
            <w:hideMark/>
          </w:tcPr>
          <w:p w14:paraId="04B884DB" w14:textId="2E071952"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Pr>
                <w:rFonts w:ascii="Calibri" w:hAnsi="Calibri" w:cs="Calibri"/>
                <w:color w:val="000000"/>
                <w:sz w:val="18"/>
                <w:szCs w:val="18"/>
                <w:lang w:eastAsia="en-IE"/>
              </w:rPr>
              <w:t>Dividends paid</w:t>
            </w:r>
          </w:p>
        </w:tc>
        <w:tc>
          <w:tcPr>
            <w:tcW w:w="896" w:type="dxa"/>
            <w:tcBorders>
              <w:top w:val="nil"/>
              <w:left w:val="single" w:sz="8" w:space="0" w:color="auto"/>
              <w:bottom w:val="nil"/>
              <w:right w:val="single" w:sz="8" w:space="0" w:color="auto"/>
            </w:tcBorders>
            <w:shd w:val="clear" w:color="auto" w:fill="FFFFFF"/>
            <w:noWrap/>
            <w:vAlign w:val="center"/>
            <w:hideMark/>
          </w:tcPr>
          <w:p w14:paraId="35CD79EF" w14:textId="06D0DD60"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841" w:type="dxa"/>
            <w:shd w:val="clear" w:color="auto" w:fill="FFFFFF"/>
            <w:noWrap/>
            <w:vAlign w:val="center"/>
            <w:hideMark/>
          </w:tcPr>
          <w:p w14:paraId="26CB9E64" w14:textId="6ABA8196"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932" w:type="dxa"/>
            <w:shd w:val="clear" w:color="auto" w:fill="FFFFFF"/>
            <w:noWrap/>
            <w:vAlign w:val="center"/>
            <w:hideMark/>
          </w:tcPr>
          <w:p w14:paraId="6C8830A0" w14:textId="7726A118"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1084" w:type="dxa"/>
            <w:shd w:val="clear" w:color="auto" w:fill="FFFFFF"/>
            <w:noWrap/>
            <w:vAlign w:val="center"/>
            <w:hideMark/>
          </w:tcPr>
          <w:p w14:paraId="3FBE6336" w14:textId="14B735FD"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980" w:type="dxa"/>
            <w:shd w:val="clear" w:color="auto" w:fill="FFFFFF"/>
            <w:noWrap/>
            <w:vAlign w:val="bottom"/>
            <w:hideMark/>
          </w:tcPr>
          <w:p w14:paraId="05F0D67A" w14:textId="09B74ECC"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(185.9)</w:t>
            </w:r>
          </w:p>
        </w:tc>
        <w:tc>
          <w:tcPr>
            <w:tcW w:w="979" w:type="dxa"/>
            <w:tcBorders>
              <w:top w:val="nil"/>
              <w:left w:val="single" w:sz="8" w:space="0" w:color="auto"/>
              <w:bottom w:val="nil"/>
              <w:right w:val="nil"/>
            </w:tcBorders>
            <w:shd w:val="clear" w:color="auto" w:fill="FFFFFF"/>
            <w:noWrap/>
            <w:vAlign w:val="bottom"/>
            <w:hideMark/>
          </w:tcPr>
          <w:p w14:paraId="0360C138" w14:textId="1072DA73"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tcBorders>
              <w:top w:val="nil"/>
              <w:left w:val="nil"/>
              <w:bottom w:val="nil"/>
              <w:right w:val="single" w:sz="8" w:space="0" w:color="auto"/>
            </w:tcBorders>
            <w:shd w:val="clear" w:color="auto" w:fill="FFFFFF"/>
            <w:noWrap/>
            <w:vAlign w:val="bottom"/>
            <w:hideMark/>
          </w:tcPr>
          <w:p w14:paraId="31E12BFB" w14:textId="4078B8D4"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979" w:type="dxa"/>
            <w:shd w:val="clear" w:color="auto" w:fill="FFFFFF"/>
            <w:noWrap/>
            <w:vAlign w:val="bottom"/>
            <w:hideMark/>
          </w:tcPr>
          <w:p w14:paraId="2660FD39" w14:textId="22D04634"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(185.9)</w:t>
            </w:r>
          </w:p>
        </w:tc>
      </w:tr>
      <w:tr w:rsidR="00EE5FD1" w:rsidRPr="005A5172" w14:paraId="203F343E" w14:textId="77777777" w:rsidTr="008B1A35">
        <w:trPr>
          <w:trHeight w:val="227"/>
        </w:trPr>
        <w:tc>
          <w:tcPr>
            <w:tcW w:w="3103" w:type="dxa"/>
            <w:shd w:val="clear" w:color="auto" w:fill="FFFFFF"/>
            <w:vAlign w:val="bottom"/>
          </w:tcPr>
          <w:p w14:paraId="484B4C4B" w14:textId="2E748FFC" w:rsidR="00EE5FD1" w:rsidRPr="007C71F1" w:rsidRDefault="00EE5FD1" w:rsidP="00EE5FD1">
            <w:pPr>
              <w:spacing w:after="0" w:line="240" w:lineRule="auto"/>
              <w:ind w:right="-112"/>
              <w:rPr>
                <w:rFonts w:ascii="Calibri" w:hAnsi="Calibri" w:cs="Calibri"/>
                <w:bCs/>
                <w:color w:val="000000"/>
                <w:sz w:val="18"/>
                <w:szCs w:val="18"/>
              </w:rPr>
            </w:pPr>
            <w:r>
              <w:rPr>
                <w:rFonts w:ascii="Calibri" w:hAnsi="Calibri" w:cs="Calibri"/>
                <w:bCs/>
                <w:color w:val="000000"/>
                <w:sz w:val="18"/>
                <w:szCs w:val="18"/>
              </w:rPr>
              <w:t>Share-based payments</w:t>
            </w:r>
          </w:p>
        </w:tc>
        <w:tc>
          <w:tcPr>
            <w:tcW w:w="896" w:type="dxa"/>
            <w:tcBorders>
              <w:top w:val="nil"/>
              <w:left w:val="single" w:sz="8" w:space="0" w:color="auto"/>
              <w:bottom w:val="nil"/>
              <w:right w:val="single" w:sz="8" w:space="0" w:color="auto"/>
            </w:tcBorders>
            <w:shd w:val="clear" w:color="auto" w:fill="FFFFFF"/>
            <w:noWrap/>
            <w:vAlign w:val="bottom"/>
          </w:tcPr>
          <w:p w14:paraId="0BBAC18D" w14:textId="48C47184" w:rsidR="00EE5FD1" w:rsidRPr="00EE5FD1" w:rsidRDefault="00EE5FD1" w:rsidP="00EE5FD1">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w:t>
            </w:r>
          </w:p>
        </w:tc>
        <w:tc>
          <w:tcPr>
            <w:tcW w:w="841" w:type="dxa"/>
            <w:shd w:val="clear" w:color="auto" w:fill="FFFFFF"/>
            <w:noWrap/>
            <w:vAlign w:val="bottom"/>
          </w:tcPr>
          <w:p w14:paraId="169FEBB5" w14:textId="39EA05F3" w:rsidR="00EE5FD1" w:rsidRPr="00EE5FD1" w:rsidRDefault="00EE5FD1" w:rsidP="00EE5FD1">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w:t>
            </w:r>
          </w:p>
        </w:tc>
        <w:tc>
          <w:tcPr>
            <w:tcW w:w="932" w:type="dxa"/>
            <w:shd w:val="clear" w:color="auto" w:fill="FFFFFF"/>
            <w:noWrap/>
            <w:vAlign w:val="bottom"/>
          </w:tcPr>
          <w:p w14:paraId="10223C0C" w14:textId="4630298D" w:rsidR="00EE5FD1" w:rsidRPr="00EE5FD1" w:rsidRDefault="00EE5FD1" w:rsidP="00EE5FD1">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w:t>
            </w:r>
          </w:p>
        </w:tc>
        <w:tc>
          <w:tcPr>
            <w:tcW w:w="1084" w:type="dxa"/>
            <w:shd w:val="clear" w:color="auto" w:fill="FFFFFF"/>
            <w:noWrap/>
            <w:vAlign w:val="bottom"/>
          </w:tcPr>
          <w:p w14:paraId="0C66622B" w14:textId="61F319C3" w:rsidR="00EE5FD1" w:rsidRPr="00EE5FD1" w:rsidRDefault="00EE5FD1" w:rsidP="00EE5FD1">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w:t>
            </w:r>
          </w:p>
        </w:tc>
        <w:tc>
          <w:tcPr>
            <w:tcW w:w="980" w:type="dxa"/>
            <w:shd w:val="clear" w:color="auto" w:fill="FFFFFF"/>
            <w:noWrap/>
            <w:vAlign w:val="bottom"/>
          </w:tcPr>
          <w:p w14:paraId="4ED0BBE0" w14:textId="13504924" w:rsidR="00EE5FD1" w:rsidRPr="00EE5FD1" w:rsidRDefault="00EE5FD1" w:rsidP="00EE5FD1">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w:t>
            </w:r>
          </w:p>
        </w:tc>
        <w:tc>
          <w:tcPr>
            <w:tcW w:w="979" w:type="dxa"/>
            <w:tcBorders>
              <w:top w:val="nil"/>
              <w:left w:val="single" w:sz="8" w:space="0" w:color="auto"/>
              <w:bottom w:val="nil"/>
              <w:right w:val="nil"/>
            </w:tcBorders>
            <w:shd w:val="clear" w:color="auto" w:fill="FFFFFF"/>
            <w:noWrap/>
            <w:vAlign w:val="bottom"/>
          </w:tcPr>
          <w:p w14:paraId="38C45951" w14:textId="0057C502" w:rsidR="00EE5FD1" w:rsidRPr="00EE5FD1" w:rsidRDefault="00EE5FD1" w:rsidP="00EE5FD1">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w:t>
            </w:r>
          </w:p>
        </w:tc>
        <w:tc>
          <w:tcPr>
            <w:tcW w:w="979" w:type="dxa"/>
            <w:tcBorders>
              <w:top w:val="nil"/>
              <w:left w:val="nil"/>
              <w:bottom w:val="nil"/>
              <w:right w:val="single" w:sz="8" w:space="0" w:color="auto"/>
            </w:tcBorders>
            <w:shd w:val="clear" w:color="auto" w:fill="FFFFFF"/>
            <w:noWrap/>
            <w:vAlign w:val="bottom"/>
          </w:tcPr>
          <w:p w14:paraId="5FA34334" w14:textId="5EF9B404" w:rsidR="00EE5FD1" w:rsidRPr="00EE5FD1" w:rsidRDefault="00EE5FD1" w:rsidP="00EE5FD1">
            <w:pPr>
              <w:spacing w:after="0" w:line="240" w:lineRule="auto"/>
              <w:jc w:val="right"/>
              <w:rPr>
                <w:rFonts w:ascii="Calibri" w:eastAsia="Calibri" w:hAnsi="Calibri" w:cs="Calibri"/>
                <w:bCs/>
                <w:sz w:val="18"/>
                <w:szCs w:val="18"/>
                <w:lang w:eastAsia="en-IE"/>
              </w:rPr>
            </w:pPr>
            <w:r w:rsidRPr="00EE5FD1">
              <w:rPr>
                <w:rFonts w:ascii="Calibri" w:eastAsia="Calibri" w:hAnsi="Calibri" w:cs="Calibri"/>
                <w:bCs/>
                <w:sz w:val="18"/>
                <w:szCs w:val="18"/>
                <w:lang w:eastAsia="en-IE"/>
              </w:rPr>
              <w:t>7.7</w:t>
            </w:r>
          </w:p>
        </w:tc>
        <w:tc>
          <w:tcPr>
            <w:tcW w:w="979" w:type="dxa"/>
            <w:shd w:val="clear" w:color="auto" w:fill="FFFFFF"/>
            <w:noWrap/>
            <w:vAlign w:val="bottom"/>
          </w:tcPr>
          <w:p w14:paraId="1556065F" w14:textId="0A1005B9" w:rsidR="00EE5FD1" w:rsidRPr="00EE5FD1" w:rsidRDefault="00EE5FD1" w:rsidP="00EE5FD1">
            <w:pPr>
              <w:spacing w:after="0" w:line="240" w:lineRule="auto"/>
              <w:jc w:val="right"/>
              <w:rPr>
                <w:rFonts w:ascii="Calibri" w:hAnsi="Calibri" w:cs="Calibri"/>
                <w:bCs/>
                <w:color w:val="000000"/>
                <w:sz w:val="18"/>
                <w:szCs w:val="18"/>
                <w:lang w:eastAsia="en-IE"/>
              </w:rPr>
            </w:pPr>
            <w:r w:rsidRPr="00EE5FD1">
              <w:rPr>
                <w:rFonts w:ascii="Calibri" w:hAnsi="Calibri" w:cs="Calibri"/>
                <w:bCs/>
                <w:color w:val="000000"/>
                <w:sz w:val="18"/>
                <w:szCs w:val="18"/>
                <w:lang w:eastAsia="en-IE"/>
              </w:rPr>
              <w:t>7.7</w:t>
            </w:r>
          </w:p>
        </w:tc>
      </w:tr>
      <w:tr w:rsidR="00EE5FD1" w:rsidRPr="005A5172" w14:paraId="38C75BD5" w14:textId="77777777" w:rsidTr="008B1A35">
        <w:trPr>
          <w:trHeight w:val="227"/>
        </w:trPr>
        <w:tc>
          <w:tcPr>
            <w:tcW w:w="3103" w:type="dxa"/>
            <w:shd w:val="clear" w:color="auto" w:fill="FFFFFF"/>
            <w:vAlign w:val="bottom"/>
          </w:tcPr>
          <w:p w14:paraId="0E4DFF5D" w14:textId="184811C6"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7C71F1">
              <w:rPr>
                <w:rFonts w:ascii="Calibri" w:hAnsi="Calibri" w:cs="Calibri"/>
                <w:bCs/>
                <w:color w:val="000000"/>
                <w:sz w:val="18"/>
                <w:szCs w:val="18"/>
              </w:rPr>
              <w:t>Transfer of exercised and expired share-based awards</w:t>
            </w:r>
          </w:p>
        </w:tc>
        <w:tc>
          <w:tcPr>
            <w:tcW w:w="896" w:type="dxa"/>
            <w:tcBorders>
              <w:top w:val="nil"/>
              <w:left w:val="single" w:sz="8" w:space="0" w:color="auto"/>
              <w:bottom w:val="single" w:sz="12" w:space="0" w:color="auto"/>
              <w:right w:val="single" w:sz="8" w:space="0" w:color="auto"/>
            </w:tcBorders>
            <w:shd w:val="clear" w:color="auto" w:fill="FFFFFF"/>
            <w:noWrap/>
            <w:vAlign w:val="bottom"/>
          </w:tcPr>
          <w:p w14:paraId="614A5E63" w14:textId="1FDEA44F"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c>
          <w:tcPr>
            <w:tcW w:w="841" w:type="dxa"/>
            <w:tcBorders>
              <w:bottom w:val="single" w:sz="12" w:space="0" w:color="auto"/>
            </w:tcBorders>
            <w:shd w:val="clear" w:color="auto" w:fill="FFFFFF"/>
            <w:noWrap/>
            <w:vAlign w:val="bottom"/>
          </w:tcPr>
          <w:p w14:paraId="7D13E05E" w14:textId="3B523A33"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eastAsia="Calibri" w:hAnsi="Calibri" w:cs="Calibri"/>
                <w:bCs/>
                <w:sz w:val="18"/>
                <w:szCs w:val="18"/>
                <w:lang w:eastAsia="en-IE"/>
              </w:rPr>
              <w:t>-</w:t>
            </w:r>
          </w:p>
        </w:tc>
        <w:tc>
          <w:tcPr>
            <w:tcW w:w="932" w:type="dxa"/>
            <w:tcBorders>
              <w:bottom w:val="single" w:sz="12" w:space="0" w:color="auto"/>
            </w:tcBorders>
            <w:shd w:val="clear" w:color="auto" w:fill="FFFFFF"/>
            <w:noWrap/>
            <w:vAlign w:val="bottom"/>
          </w:tcPr>
          <w:p w14:paraId="7E935F45" w14:textId="5C8F85A6"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eastAsia="Calibri" w:hAnsi="Calibri" w:cs="Calibri"/>
                <w:bCs/>
                <w:sz w:val="18"/>
                <w:szCs w:val="18"/>
                <w:lang w:eastAsia="en-IE"/>
              </w:rPr>
              <w:t>-</w:t>
            </w:r>
          </w:p>
        </w:tc>
        <w:tc>
          <w:tcPr>
            <w:tcW w:w="1084" w:type="dxa"/>
            <w:tcBorders>
              <w:bottom w:val="single" w:sz="12" w:space="0" w:color="auto"/>
            </w:tcBorders>
            <w:shd w:val="clear" w:color="auto" w:fill="FFFFFF"/>
            <w:noWrap/>
            <w:vAlign w:val="bottom"/>
          </w:tcPr>
          <w:p w14:paraId="76BAD445" w14:textId="09072A51"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eastAsia="Calibri" w:hAnsi="Calibri" w:cs="Calibri"/>
                <w:bCs/>
                <w:sz w:val="18"/>
                <w:szCs w:val="18"/>
                <w:lang w:eastAsia="en-IE"/>
              </w:rPr>
              <w:t>-</w:t>
            </w:r>
          </w:p>
        </w:tc>
        <w:tc>
          <w:tcPr>
            <w:tcW w:w="980" w:type="dxa"/>
            <w:tcBorders>
              <w:bottom w:val="single" w:sz="12" w:space="0" w:color="auto"/>
            </w:tcBorders>
            <w:shd w:val="clear" w:color="auto" w:fill="FFFFFF"/>
            <w:noWrap/>
            <w:vAlign w:val="bottom"/>
          </w:tcPr>
          <w:p w14:paraId="786E6528" w14:textId="72EF2650"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eastAsia="Calibri" w:hAnsi="Calibri" w:cs="Calibri"/>
                <w:bCs/>
                <w:sz w:val="18"/>
                <w:szCs w:val="18"/>
                <w:lang w:eastAsia="en-IE"/>
              </w:rPr>
              <w:t>8.7</w:t>
            </w:r>
          </w:p>
        </w:tc>
        <w:tc>
          <w:tcPr>
            <w:tcW w:w="979" w:type="dxa"/>
            <w:tcBorders>
              <w:top w:val="nil"/>
              <w:left w:val="single" w:sz="8" w:space="0" w:color="auto"/>
              <w:bottom w:val="single" w:sz="12" w:space="0" w:color="auto"/>
              <w:right w:val="nil"/>
            </w:tcBorders>
            <w:shd w:val="clear" w:color="auto" w:fill="FFFFFF"/>
            <w:noWrap/>
            <w:vAlign w:val="bottom"/>
          </w:tcPr>
          <w:p w14:paraId="3E2BA6BE" w14:textId="5B9DB070"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eastAsia="Calibri" w:hAnsi="Calibri" w:cs="Calibri"/>
                <w:bCs/>
                <w:sz w:val="18"/>
                <w:szCs w:val="18"/>
                <w:lang w:eastAsia="en-IE"/>
              </w:rPr>
              <w:t>-</w:t>
            </w:r>
          </w:p>
        </w:tc>
        <w:tc>
          <w:tcPr>
            <w:tcW w:w="979" w:type="dxa"/>
            <w:tcBorders>
              <w:top w:val="nil"/>
              <w:left w:val="nil"/>
              <w:bottom w:val="single" w:sz="12" w:space="0" w:color="auto"/>
              <w:right w:val="single" w:sz="8" w:space="0" w:color="auto"/>
            </w:tcBorders>
            <w:shd w:val="clear" w:color="auto" w:fill="FFFFFF"/>
            <w:noWrap/>
            <w:vAlign w:val="bottom"/>
          </w:tcPr>
          <w:p w14:paraId="2BA8A090" w14:textId="4B86AFC0"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eastAsia="Calibri" w:hAnsi="Calibri" w:cs="Calibri"/>
                <w:bCs/>
                <w:sz w:val="18"/>
                <w:szCs w:val="18"/>
                <w:lang w:eastAsia="en-IE"/>
              </w:rPr>
              <w:t>(8.7)</w:t>
            </w:r>
          </w:p>
        </w:tc>
        <w:tc>
          <w:tcPr>
            <w:tcW w:w="979" w:type="dxa"/>
            <w:tcBorders>
              <w:bottom w:val="single" w:sz="12" w:space="0" w:color="auto"/>
            </w:tcBorders>
            <w:shd w:val="clear" w:color="auto" w:fill="FFFFFF"/>
            <w:noWrap/>
            <w:vAlign w:val="bottom"/>
          </w:tcPr>
          <w:p w14:paraId="7F249079" w14:textId="09112448"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w:t>
            </w:r>
          </w:p>
        </w:tc>
      </w:tr>
      <w:tr w:rsidR="00EE5FD1" w:rsidRPr="005A5172" w14:paraId="113C394E" w14:textId="77777777" w:rsidTr="008B1A35">
        <w:trPr>
          <w:trHeight w:val="227"/>
        </w:trPr>
        <w:tc>
          <w:tcPr>
            <w:tcW w:w="3103" w:type="dxa"/>
            <w:tcBorders>
              <w:right w:val="single" w:sz="12" w:space="0" w:color="auto"/>
            </w:tcBorders>
            <w:shd w:val="clear" w:color="auto" w:fill="FFFFFF"/>
            <w:vAlign w:val="bottom"/>
          </w:tcPr>
          <w:p w14:paraId="531AC72E" w14:textId="4B733435" w:rsidR="00EE5FD1" w:rsidRPr="009024C7" w:rsidRDefault="00EE5FD1" w:rsidP="00EE5FD1">
            <w:pPr>
              <w:spacing w:after="0" w:line="240" w:lineRule="auto"/>
              <w:ind w:right="-112"/>
              <w:rPr>
                <w:rFonts w:ascii="Calibri" w:hAnsi="Calibri" w:cs="Calibri"/>
                <w:b/>
                <w:color w:val="000000"/>
                <w:sz w:val="18"/>
                <w:szCs w:val="18"/>
              </w:rPr>
            </w:pPr>
            <w:r w:rsidRPr="007C71F1">
              <w:rPr>
                <w:rFonts w:ascii="Calibri" w:hAnsi="Calibri" w:cs="Calibri"/>
                <w:b/>
                <w:bCs/>
                <w:color w:val="000000"/>
                <w:sz w:val="18"/>
                <w:szCs w:val="18"/>
              </w:rPr>
              <w:t>Balance at September 30, 2024</w:t>
            </w:r>
          </w:p>
        </w:tc>
        <w:tc>
          <w:tcPr>
            <w:tcW w:w="896" w:type="dxa"/>
            <w:tcBorders>
              <w:top w:val="single" w:sz="12" w:space="0" w:color="auto"/>
              <w:left w:val="single" w:sz="12" w:space="0" w:color="auto"/>
              <w:bottom w:val="single" w:sz="12" w:space="0" w:color="auto"/>
              <w:right w:val="single" w:sz="8" w:space="0" w:color="auto"/>
            </w:tcBorders>
            <w:shd w:val="clear" w:color="auto" w:fill="FFFFFF"/>
            <w:noWrap/>
            <w:vAlign w:val="bottom"/>
          </w:tcPr>
          <w:p w14:paraId="45581085" w14:textId="471E6D3D" w:rsidR="00EE5FD1" w:rsidRPr="00EE5FD1" w:rsidRDefault="00EE5FD1" w:rsidP="00B06DDF">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1,</w:t>
            </w:r>
            <w:r w:rsidRPr="000002EF">
              <w:rPr>
                <w:rFonts w:ascii="Calibri" w:eastAsia="Times New Roman" w:hAnsi="Calibri" w:cs="Calibri"/>
                <w:color w:val="000000"/>
                <w:sz w:val="18"/>
                <w:szCs w:val="18"/>
                <w:lang w:val="en-IE" w:eastAsia="en-IE"/>
              </w:rPr>
              <w:t>094</w:t>
            </w:r>
            <w:r w:rsidRPr="00EE5FD1">
              <w:rPr>
                <w:rFonts w:ascii="Calibri" w:hAnsi="Calibri" w:cs="Calibri"/>
                <w:bCs/>
                <w:color w:val="000000"/>
                <w:sz w:val="18"/>
                <w:szCs w:val="18"/>
                <w:lang w:eastAsia="en-IE"/>
              </w:rPr>
              <w:t>.2</w:t>
            </w:r>
          </w:p>
        </w:tc>
        <w:tc>
          <w:tcPr>
            <w:tcW w:w="841" w:type="dxa"/>
            <w:tcBorders>
              <w:top w:val="single" w:sz="12" w:space="0" w:color="auto"/>
              <w:left w:val="single" w:sz="8" w:space="0" w:color="auto"/>
              <w:bottom w:val="single" w:sz="12" w:space="0" w:color="auto"/>
            </w:tcBorders>
            <w:shd w:val="clear" w:color="auto" w:fill="FFFFFF"/>
            <w:noWrap/>
            <w:vAlign w:val="bottom"/>
          </w:tcPr>
          <w:p w14:paraId="5E7E8BDE" w14:textId="562BEBE5"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hAnsi="Calibri" w:cs="Calibri"/>
                <w:bCs/>
                <w:color w:val="000000"/>
                <w:sz w:val="18"/>
                <w:szCs w:val="18"/>
                <w:lang w:eastAsia="en-IE"/>
              </w:rPr>
              <w:t>6.6</w:t>
            </w:r>
          </w:p>
        </w:tc>
        <w:tc>
          <w:tcPr>
            <w:tcW w:w="932" w:type="dxa"/>
            <w:tcBorders>
              <w:top w:val="single" w:sz="12" w:space="0" w:color="auto"/>
              <w:bottom w:val="single" w:sz="12" w:space="0" w:color="auto"/>
            </w:tcBorders>
            <w:shd w:val="clear" w:color="auto" w:fill="FFFFFF"/>
            <w:noWrap/>
            <w:vAlign w:val="bottom"/>
          </w:tcPr>
          <w:p w14:paraId="37C89D6A" w14:textId="67870FD1"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1,416.6</w:t>
            </w:r>
          </w:p>
        </w:tc>
        <w:tc>
          <w:tcPr>
            <w:tcW w:w="1084" w:type="dxa"/>
            <w:tcBorders>
              <w:top w:val="single" w:sz="12" w:space="0" w:color="auto"/>
              <w:bottom w:val="single" w:sz="12" w:space="0" w:color="auto"/>
            </w:tcBorders>
            <w:shd w:val="clear" w:color="auto" w:fill="FFFFFF"/>
            <w:noWrap/>
            <w:vAlign w:val="bottom"/>
          </w:tcPr>
          <w:p w14:paraId="264BB637" w14:textId="3934112F"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hAnsi="Calibri" w:cs="Calibri"/>
                <w:bCs/>
                <w:color w:val="000000"/>
                <w:sz w:val="18"/>
                <w:szCs w:val="18"/>
                <w:lang w:eastAsia="en-IE"/>
              </w:rPr>
              <w:t>3.8</w:t>
            </w:r>
          </w:p>
        </w:tc>
        <w:tc>
          <w:tcPr>
            <w:tcW w:w="980" w:type="dxa"/>
            <w:tcBorders>
              <w:top w:val="single" w:sz="12" w:space="0" w:color="auto"/>
              <w:bottom w:val="single" w:sz="12" w:space="0" w:color="auto"/>
              <w:right w:val="single" w:sz="8" w:space="0" w:color="auto"/>
            </w:tcBorders>
            <w:shd w:val="clear" w:color="auto" w:fill="FFFFFF"/>
            <w:noWrap/>
            <w:vAlign w:val="bottom"/>
          </w:tcPr>
          <w:p w14:paraId="419A1321" w14:textId="70313E59"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hAnsi="Calibri" w:cs="Calibri"/>
                <w:bCs/>
                <w:color w:val="000000"/>
                <w:sz w:val="18"/>
                <w:szCs w:val="18"/>
                <w:lang w:eastAsia="en-IE"/>
              </w:rPr>
              <w:t>6,636.9</w:t>
            </w:r>
          </w:p>
        </w:tc>
        <w:tc>
          <w:tcPr>
            <w:tcW w:w="979" w:type="dxa"/>
            <w:tcBorders>
              <w:top w:val="single" w:sz="12" w:space="0" w:color="auto"/>
              <w:left w:val="single" w:sz="8" w:space="0" w:color="auto"/>
              <w:bottom w:val="single" w:sz="12" w:space="0" w:color="auto"/>
            </w:tcBorders>
            <w:shd w:val="clear" w:color="auto" w:fill="FFFFFF"/>
            <w:noWrap/>
            <w:vAlign w:val="bottom"/>
          </w:tcPr>
          <w:p w14:paraId="4EDCA6D7" w14:textId="0D90606B"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hAnsi="Calibri" w:cs="Calibri"/>
                <w:bCs/>
                <w:color w:val="000000"/>
                <w:sz w:val="18"/>
                <w:szCs w:val="18"/>
                <w:lang w:eastAsia="en-IE"/>
              </w:rPr>
              <w:t>(339.5)</w:t>
            </w:r>
          </w:p>
        </w:tc>
        <w:tc>
          <w:tcPr>
            <w:tcW w:w="979" w:type="dxa"/>
            <w:tcBorders>
              <w:top w:val="single" w:sz="12" w:space="0" w:color="auto"/>
              <w:bottom w:val="single" w:sz="12" w:space="0" w:color="auto"/>
              <w:right w:val="single" w:sz="8" w:space="0" w:color="auto"/>
            </w:tcBorders>
            <w:shd w:val="clear" w:color="auto" w:fill="FFFFFF"/>
            <w:noWrap/>
            <w:vAlign w:val="bottom"/>
          </w:tcPr>
          <w:p w14:paraId="01F95562" w14:textId="18A1D1FE" w:rsidR="00EE5FD1" w:rsidRPr="00EE5FD1" w:rsidRDefault="00EE5FD1" w:rsidP="00EE5FD1">
            <w:pPr>
              <w:spacing w:after="0" w:line="240" w:lineRule="auto"/>
              <w:jc w:val="right"/>
              <w:rPr>
                <w:rFonts w:ascii="Calibri" w:eastAsia="Calibri" w:hAnsi="Calibri" w:cs="Calibri"/>
                <w:bCs/>
                <w:sz w:val="18"/>
                <w:szCs w:val="18"/>
                <w:lang w:val="en-IE" w:eastAsia="en-IE"/>
              </w:rPr>
            </w:pPr>
            <w:r w:rsidRPr="00EE5FD1">
              <w:rPr>
                <w:rFonts w:ascii="Calibri" w:hAnsi="Calibri" w:cs="Calibri"/>
                <w:bCs/>
                <w:color w:val="000000"/>
                <w:sz w:val="18"/>
                <w:szCs w:val="18"/>
                <w:lang w:eastAsia="en-IE"/>
              </w:rPr>
              <w:t>32.8</w:t>
            </w:r>
          </w:p>
        </w:tc>
        <w:tc>
          <w:tcPr>
            <w:tcW w:w="979" w:type="dxa"/>
            <w:tcBorders>
              <w:top w:val="single" w:sz="12" w:space="0" w:color="auto"/>
              <w:left w:val="single" w:sz="8" w:space="0" w:color="auto"/>
              <w:bottom w:val="single" w:sz="12" w:space="0" w:color="auto"/>
              <w:right w:val="single" w:sz="12" w:space="0" w:color="auto"/>
            </w:tcBorders>
            <w:shd w:val="clear" w:color="auto" w:fill="FFFFFF"/>
            <w:noWrap/>
            <w:vAlign w:val="bottom"/>
          </w:tcPr>
          <w:p w14:paraId="554D4AD2" w14:textId="47251689" w:rsidR="00EE5FD1" w:rsidRPr="00EE5FD1" w:rsidRDefault="00EE5FD1" w:rsidP="00EE5FD1">
            <w:pPr>
              <w:spacing w:after="0" w:line="240" w:lineRule="auto"/>
              <w:jc w:val="right"/>
              <w:rPr>
                <w:rFonts w:ascii="Calibri" w:eastAsia="Times New Roman" w:hAnsi="Calibri" w:cs="Calibri"/>
                <w:bCs/>
                <w:color w:val="000000"/>
                <w:sz w:val="18"/>
                <w:szCs w:val="18"/>
                <w:lang w:val="en-IE" w:eastAsia="en-IE"/>
              </w:rPr>
            </w:pPr>
            <w:r w:rsidRPr="00EE5FD1">
              <w:rPr>
                <w:rFonts w:ascii="Calibri" w:hAnsi="Calibri" w:cs="Calibri"/>
                <w:bCs/>
                <w:color w:val="000000"/>
                <w:sz w:val="18"/>
                <w:szCs w:val="18"/>
                <w:lang w:eastAsia="en-IE"/>
              </w:rPr>
              <w:t>7,757.2</w:t>
            </w:r>
          </w:p>
        </w:tc>
      </w:tr>
      <w:tr w:rsidR="00170E43" w:rsidRPr="005A5172" w14:paraId="7C8F193F" w14:textId="77777777" w:rsidTr="008B1A35">
        <w:trPr>
          <w:trHeight w:val="227"/>
        </w:trPr>
        <w:tc>
          <w:tcPr>
            <w:tcW w:w="3103" w:type="dxa"/>
            <w:tcBorders>
              <w:right w:val="single" w:sz="8" w:space="0" w:color="auto"/>
            </w:tcBorders>
            <w:shd w:val="clear" w:color="auto" w:fill="FFFFFF"/>
            <w:vAlign w:val="bottom"/>
          </w:tcPr>
          <w:p w14:paraId="2BF8B2BB" w14:textId="772B85E7" w:rsidR="00170E43" w:rsidRPr="007C71F1" w:rsidRDefault="00170E43" w:rsidP="00170E43">
            <w:pPr>
              <w:spacing w:after="0" w:line="240" w:lineRule="auto"/>
              <w:ind w:right="-112"/>
              <w:rPr>
                <w:rFonts w:ascii="Calibri" w:hAnsi="Calibri" w:cs="Calibri"/>
                <w:b/>
                <w:bCs/>
                <w:color w:val="000000"/>
                <w:sz w:val="18"/>
                <w:szCs w:val="18"/>
              </w:rPr>
            </w:pPr>
            <w:r>
              <w:rPr>
                <w:rFonts w:ascii="Calibri" w:hAnsi="Calibri" w:cs="Calibri"/>
                <w:bCs/>
                <w:color w:val="000000"/>
                <w:sz w:val="18"/>
                <w:szCs w:val="18"/>
              </w:rPr>
              <w:t>Loss f</w:t>
            </w:r>
            <w:r w:rsidRPr="007C71F1">
              <w:rPr>
                <w:rFonts w:ascii="Calibri" w:hAnsi="Calibri" w:cs="Calibri"/>
                <w:bCs/>
                <w:color w:val="000000"/>
                <w:sz w:val="18"/>
                <w:szCs w:val="18"/>
              </w:rPr>
              <w:t>or the half-year</w:t>
            </w:r>
          </w:p>
        </w:tc>
        <w:tc>
          <w:tcPr>
            <w:tcW w:w="896" w:type="dxa"/>
            <w:tcBorders>
              <w:top w:val="single" w:sz="12" w:space="0" w:color="auto"/>
              <w:left w:val="single" w:sz="8" w:space="0" w:color="auto"/>
              <w:right w:val="single" w:sz="8" w:space="0" w:color="auto"/>
            </w:tcBorders>
            <w:shd w:val="clear" w:color="auto" w:fill="FFFFFF"/>
            <w:noWrap/>
            <w:vAlign w:val="center"/>
          </w:tcPr>
          <w:p w14:paraId="7EED6CC6" w14:textId="1CB7D0FD"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 xml:space="preserve">-  </w:t>
            </w:r>
          </w:p>
        </w:tc>
        <w:tc>
          <w:tcPr>
            <w:tcW w:w="841" w:type="dxa"/>
            <w:tcBorders>
              <w:top w:val="single" w:sz="12" w:space="0" w:color="auto"/>
              <w:left w:val="single" w:sz="8" w:space="0" w:color="auto"/>
            </w:tcBorders>
            <w:shd w:val="clear" w:color="auto" w:fill="FFFFFF"/>
            <w:noWrap/>
            <w:vAlign w:val="center"/>
          </w:tcPr>
          <w:p w14:paraId="7572D4A6" w14:textId="753E0C21"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 xml:space="preserve">-  </w:t>
            </w:r>
          </w:p>
        </w:tc>
        <w:tc>
          <w:tcPr>
            <w:tcW w:w="932" w:type="dxa"/>
            <w:tcBorders>
              <w:top w:val="single" w:sz="12" w:space="0" w:color="auto"/>
            </w:tcBorders>
            <w:shd w:val="clear" w:color="auto" w:fill="FFFFFF"/>
            <w:noWrap/>
            <w:vAlign w:val="center"/>
          </w:tcPr>
          <w:p w14:paraId="5154D3B9" w14:textId="6780A8EE"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 xml:space="preserve">-  </w:t>
            </w:r>
          </w:p>
        </w:tc>
        <w:tc>
          <w:tcPr>
            <w:tcW w:w="1084" w:type="dxa"/>
            <w:tcBorders>
              <w:top w:val="single" w:sz="12" w:space="0" w:color="auto"/>
            </w:tcBorders>
            <w:shd w:val="clear" w:color="auto" w:fill="FFFFFF"/>
            <w:noWrap/>
            <w:vAlign w:val="center"/>
          </w:tcPr>
          <w:p w14:paraId="3E4B3DF1" w14:textId="4A7E3390"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 xml:space="preserve">-  </w:t>
            </w:r>
          </w:p>
        </w:tc>
        <w:tc>
          <w:tcPr>
            <w:tcW w:w="980" w:type="dxa"/>
            <w:tcBorders>
              <w:top w:val="single" w:sz="12" w:space="0" w:color="auto"/>
              <w:right w:val="single" w:sz="8" w:space="0" w:color="auto"/>
            </w:tcBorders>
            <w:shd w:val="clear" w:color="auto" w:fill="FFFFFF"/>
            <w:noWrap/>
            <w:vAlign w:val="center"/>
          </w:tcPr>
          <w:p w14:paraId="6794294E" w14:textId="48BF89AD"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(179.6)</w:t>
            </w:r>
          </w:p>
        </w:tc>
        <w:tc>
          <w:tcPr>
            <w:tcW w:w="979" w:type="dxa"/>
            <w:tcBorders>
              <w:top w:val="single" w:sz="12" w:space="0" w:color="auto"/>
              <w:left w:val="single" w:sz="8" w:space="0" w:color="auto"/>
            </w:tcBorders>
            <w:shd w:val="clear" w:color="auto" w:fill="FFFFFF"/>
            <w:noWrap/>
            <w:vAlign w:val="center"/>
          </w:tcPr>
          <w:p w14:paraId="3A017E9C" w14:textId="77484F2F"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 xml:space="preserve">-  </w:t>
            </w:r>
          </w:p>
        </w:tc>
        <w:tc>
          <w:tcPr>
            <w:tcW w:w="979" w:type="dxa"/>
            <w:tcBorders>
              <w:top w:val="single" w:sz="12" w:space="0" w:color="auto"/>
              <w:right w:val="single" w:sz="8" w:space="0" w:color="auto"/>
            </w:tcBorders>
            <w:shd w:val="clear" w:color="auto" w:fill="FFFFFF"/>
            <w:noWrap/>
            <w:vAlign w:val="center"/>
          </w:tcPr>
          <w:p w14:paraId="66630860" w14:textId="6500C836"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 xml:space="preserve">-  </w:t>
            </w:r>
          </w:p>
        </w:tc>
        <w:tc>
          <w:tcPr>
            <w:tcW w:w="979" w:type="dxa"/>
            <w:tcBorders>
              <w:top w:val="single" w:sz="12" w:space="0" w:color="auto"/>
              <w:left w:val="single" w:sz="8" w:space="0" w:color="auto"/>
            </w:tcBorders>
            <w:shd w:val="clear" w:color="auto" w:fill="FFFFFF"/>
            <w:noWrap/>
            <w:vAlign w:val="center"/>
          </w:tcPr>
          <w:p w14:paraId="004545B0" w14:textId="2AC72102" w:rsidR="00170E43" w:rsidRPr="00EE5FD1" w:rsidRDefault="00170E43" w:rsidP="00170E43">
            <w:pPr>
              <w:spacing w:after="0" w:line="240" w:lineRule="auto"/>
              <w:jc w:val="right"/>
              <w:rPr>
                <w:rFonts w:ascii="Calibri" w:hAnsi="Calibri" w:cs="Calibri"/>
                <w:bCs/>
                <w:color w:val="000000"/>
                <w:sz w:val="18"/>
                <w:szCs w:val="18"/>
                <w:lang w:eastAsia="en-IE"/>
              </w:rPr>
            </w:pPr>
            <w:r>
              <w:rPr>
                <w:rFonts w:ascii="Calibri" w:hAnsi="Calibri" w:cs="Calibri"/>
                <w:color w:val="000000"/>
                <w:sz w:val="18"/>
                <w:szCs w:val="18"/>
              </w:rPr>
              <w:t>(179.6)</w:t>
            </w:r>
          </w:p>
        </w:tc>
      </w:tr>
      <w:tr w:rsidR="00170E43" w:rsidRPr="005A5172" w14:paraId="34AE58F8" w14:textId="77777777" w:rsidTr="008B1A35">
        <w:trPr>
          <w:trHeight w:val="227"/>
        </w:trPr>
        <w:tc>
          <w:tcPr>
            <w:tcW w:w="3103" w:type="dxa"/>
            <w:tcBorders>
              <w:right w:val="single" w:sz="8" w:space="0" w:color="auto"/>
            </w:tcBorders>
            <w:shd w:val="clear" w:color="auto" w:fill="FFFFFF"/>
            <w:vAlign w:val="bottom"/>
          </w:tcPr>
          <w:p w14:paraId="0B634EED" w14:textId="1A4ADCCC" w:rsidR="00170E43" w:rsidRPr="007C71F1" w:rsidRDefault="00170E43" w:rsidP="00170E43">
            <w:pPr>
              <w:spacing w:after="0" w:line="240" w:lineRule="auto"/>
              <w:ind w:right="-112"/>
              <w:rPr>
                <w:rFonts w:ascii="Calibri" w:hAnsi="Calibri" w:cs="Calibri"/>
                <w:b/>
                <w:bCs/>
                <w:color w:val="000000"/>
                <w:sz w:val="18"/>
                <w:szCs w:val="18"/>
              </w:rPr>
            </w:pPr>
            <w:r w:rsidRPr="007C71F1">
              <w:rPr>
                <w:rFonts w:ascii="Calibri" w:hAnsi="Calibri" w:cs="Calibri"/>
                <w:bCs/>
                <w:i/>
                <w:color w:val="000000"/>
                <w:sz w:val="18"/>
                <w:szCs w:val="18"/>
              </w:rPr>
              <w:t xml:space="preserve">Other comprehensive </w:t>
            </w:r>
            <w:r w:rsidR="00C42538">
              <w:rPr>
                <w:rFonts w:ascii="Calibri" w:hAnsi="Calibri" w:cs="Calibri"/>
                <w:bCs/>
                <w:i/>
                <w:color w:val="000000"/>
                <w:sz w:val="18"/>
                <w:szCs w:val="18"/>
              </w:rPr>
              <w:t>i</w:t>
            </w:r>
            <w:r>
              <w:rPr>
                <w:rFonts w:ascii="Calibri" w:hAnsi="Calibri" w:cs="Calibri"/>
                <w:bCs/>
                <w:i/>
                <w:color w:val="000000"/>
                <w:sz w:val="18"/>
                <w:szCs w:val="18"/>
              </w:rPr>
              <w:t>ncome</w:t>
            </w:r>
          </w:p>
        </w:tc>
        <w:tc>
          <w:tcPr>
            <w:tcW w:w="896" w:type="dxa"/>
            <w:tcBorders>
              <w:left w:val="single" w:sz="8" w:space="0" w:color="auto"/>
              <w:right w:val="single" w:sz="8" w:space="0" w:color="auto"/>
            </w:tcBorders>
            <w:shd w:val="clear" w:color="auto" w:fill="FFFFFF"/>
            <w:noWrap/>
            <w:vAlign w:val="center"/>
          </w:tcPr>
          <w:p w14:paraId="7BD788D9" w14:textId="02181D21" w:rsidR="00170E43" w:rsidRPr="00EE5FD1" w:rsidRDefault="00170E43" w:rsidP="00170E43">
            <w:pPr>
              <w:spacing w:after="0" w:line="240" w:lineRule="auto"/>
              <w:jc w:val="right"/>
              <w:rPr>
                <w:rFonts w:ascii="Calibri" w:hAnsi="Calibri" w:cs="Calibri"/>
                <w:bCs/>
                <w:color w:val="000000"/>
                <w:sz w:val="18"/>
                <w:szCs w:val="18"/>
                <w:lang w:eastAsia="en-IE"/>
              </w:rPr>
            </w:pPr>
          </w:p>
        </w:tc>
        <w:tc>
          <w:tcPr>
            <w:tcW w:w="841" w:type="dxa"/>
            <w:tcBorders>
              <w:left w:val="single" w:sz="8" w:space="0" w:color="auto"/>
            </w:tcBorders>
            <w:shd w:val="clear" w:color="auto" w:fill="FFFFFF"/>
            <w:noWrap/>
            <w:vAlign w:val="center"/>
          </w:tcPr>
          <w:p w14:paraId="16A9FA39" w14:textId="468F4A09" w:rsidR="00170E43" w:rsidRPr="00EE5FD1" w:rsidRDefault="00170E43" w:rsidP="00170E43">
            <w:pPr>
              <w:spacing w:after="0" w:line="240" w:lineRule="auto"/>
              <w:jc w:val="right"/>
              <w:rPr>
                <w:rFonts w:ascii="Calibri" w:hAnsi="Calibri" w:cs="Calibri"/>
                <w:bCs/>
                <w:color w:val="000000"/>
                <w:sz w:val="18"/>
                <w:szCs w:val="18"/>
                <w:lang w:eastAsia="en-IE"/>
              </w:rPr>
            </w:pPr>
          </w:p>
        </w:tc>
        <w:tc>
          <w:tcPr>
            <w:tcW w:w="932" w:type="dxa"/>
            <w:shd w:val="clear" w:color="auto" w:fill="FFFFFF"/>
            <w:noWrap/>
            <w:vAlign w:val="center"/>
          </w:tcPr>
          <w:p w14:paraId="11F12D42" w14:textId="3C05D37E" w:rsidR="00170E43" w:rsidRPr="00EE5FD1" w:rsidRDefault="00170E43" w:rsidP="00170E43">
            <w:pPr>
              <w:spacing w:after="0" w:line="240" w:lineRule="auto"/>
              <w:jc w:val="right"/>
              <w:rPr>
                <w:rFonts w:ascii="Calibri" w:hAnsi="Calibri" w:cs="Calibri"/>
                <w:bCs/>
                <w:color w:val="000000"/>
                <w:sz w:val="18"/>
                <w:szCs w:val="18"/>
                <w:lang w:eastAsia="en-IE"/>
              </w:rPr>
            </w:pPr>
          </w:p>
        </w:tc>
        <w:tc>
          <w:tcPr>
            <w:tcW w:w="1084" w:type="dxa"/>
            <w:shd w:val="clear" w:color="auto" w:fill="FFFFFF"/>
            <w:noWrap/>
            <w:vAlign w:val="center"/>
          </w:tcPr>
          <w:p w14:paraId="6C61FA91" w14:textId="79B1FB62" w:rsidR="00170E43" w:rsidRPr="00EE5FD1" w:rsidRDefault="00170E43" w:rsidP="00170E43">
            <w:pPr>
              <w:spacing w:after="0" w:line="240" w:lineRule="auto"/>
              <w:jc w:val="right"/>
              <w:rPr>
                <w:rFonts w:ascii="Calibri" w:hAnsi="Calibri" w:cs="Calibri"/>
                <w:bCs/>
                <w:color w:val="000000"/>
                <w:sz w:val="18"/>
                <w:szCs w:val="18"/>
                <w:lang w:eastAsia="en-IE"/>
              </w:rPr>
            </w:pPr>
          </w:p>
        </w:tc>
        <w:tc>
          <w:tcPr>
            <w:tcW w:w="980" w:type="dxa"/>
            <w:tcBorders>
              <w:right w:val="single" w:sz="8" w:space="0" w:color="auto"/>
            </w:tcBorders>
            <w:shd w:val="clear" w:color="auto" w:fill="FFFFFF"/>
            <w:noWrap/>
            <w:vAlign w:val="center"/>
          </w:tcPr>
          <w:p w14:paraId="05D6725B" w14:textId="3D296FC7" w:rsidR="00170E43" w:rsidRPr="00EE5FD1" w:rsidRDefault="00170E43" w:rsidP="00170E43">
            <w:pPr>
              <w:spacing w:after="0" w:line="240" w:lineRule="auto"/>
              <w:jc w:val="right"/>
              <w:rPr>
                <w:rFonts w:ascii="Calibri" w:hAnsi="Calibri" w:cs="Calibri"/>
                <w:bCs/>
                <w:color w:val="000000"/>
                <w:sz w:val="18"/>
                <w:szCs w:val="18"/>
                <w:lang w:eastAsia="en-IE"/>
              </w:rPr>
            </w:pPr>
          </w:p>
        </w:tc>
        <w:tc>
          <w:tcPr>
            <w:tcW w:w="979" w:type="dxa"/>
            <w:tcBorders>
              <w:left w:val="single" w:sz="8" w:space="0" w:color="auto"/>
            </w:tcBorders>
            <w:shd w:val="clear" w:color="auto" w:fill="FFFFFF"/>
            <w:noWrap/>
            <w:vAlign w:val="center"/>
          </w:tcPr>
          <w:p w14:paraId="0EEDD345" w14:textId="056635C5" w:rsidR="00170E43" w:rsidRPr="00EE5FD1" w:rsidRDefault="00170E43" w:rsidP="00170E43">
            <w:pPr>
              <w:spacing w:after="0" w:line="240" w:lineRule="auto"/>
              <w:jc w:val="right"/>
              <w:rPr>
                <w:rFonts w:ascii="Calibri" w:hAnsi="Calibri" w:cs="Calibri"/>
                <w:bCs/>
                <w:color w:val="000000"/>
                <w:sz w:val="18"/>
                <w:szCs w:val="18"/>
                <w:lang w:eastAsia="en-IE"/>
              </w:rPr>
            </w:pPr>
          </w:p>
        </w:tc>
        <w:tc>
          <w:tcPr>
            <w:tcW w:w="979" w:type="dxa"/>
            <w:tcBorders>
              <w:right w:val="single" w:sz="8" w:space="0" w:color="auto"/>
            </w:tcBorders>
            <w:shd w:val="clear" w:color="auto" w:fill="FFFFFF"/>
            <w:noWrap/>
            <w:vAlign w:val="center"/>
          </w:tcPr>
          <w:p w14:paraId="54CEB91C" w14:textId="359738AE" w:rsidR="00170E43" w:rsidRPr="00EE5FD1" w:rsidRDefault="00170E43" w:rsidP="00170E43">
            <w:pPr>
              <w:spacing w:after="0" w:line="240" w:lineRule="auto"/>
              <w:jc w:val="right"/>
              <w:rPr>
                <w:rFonts w:ascii="Calibri" w:hAnsi="Calibri" w:cs="Calibri"/>
                <w:bCs/>
                <w:color w:val="000000"/>
                <w:sz w:val="18"/>
                <w:szCs w:val="18"/>
                <w:lang w:eastAsia="en-IE"/>
              </w:rPr>
            </w:pPr>
          </w:p>
        </w:tc>
        <w:tc>
          <w:tcPr>
            <w:tcW w:w="979" w:type="dxa"/>
            <w:tcBorders>
              <w:left w:val="single" w:sz="8" w:space="0" w:color="auto"/>
            </w:tcBorders>
            <w:shd w:val="clear" w:color="auto" w:fill="FFFFFF"/>
            <w:noWrap/>
            <w:vAlign w:val="center"/>
          </w:tcPr>
          <w:p w14:paraId="19A0461C" w14:textId="5DB2F614" w:rsidR="00170E43" w:rsidRPr="00EE5FD1" w:rsidRDefault="00170E43" w:rsidP="00170E43">
            <w:pPr>
              <w:spacing w:after="0" w:line="240" w:lineRule="auto"/>
              <w:jc w:val="right"/>
              <w:rPr>
                <w:rFonts w:ascii="Calibri" w:hAnsi="Calibri" w:cs="Calibri"/>
                <w:bCs/>
                <w:color w:val="000000"/>
                <w:sz w:val="18"/>
                <w:szCs w:val="18"/>
                <w:lang w:eastAsia="en-IE"/>
              </w:rPr>
            </w:pPr>
          </w:p>
        </w:tc>
      </w:tr>
      <w:tr w:rsidR="00EE5FD1" w:rsidRPr="005A5172" w14:paraId="2FD532BF" w14:textId="77777777" w:rsidTr="008B1A35">
        <w:trPr>
          <w:trHeight w:val="227"/>
        </w:trPr>
        <w:tc>
          <w:tcPr>
            <w:tcW w:w="3103" w:type="dxa"/>
            <w:shd w:val="clear" w:color="auto" w:fill="FFFFFF"/>
            <w:vAlign w:val="bottom"/>
          </w:tcPr>
          <w:p w14:paraId="4E6F15BD"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Net movements in cash-flow reserve</w:t>
            </w:r>
          </w:p>
        </w:tc>
        <w:tc>
          <w:tcPr>
            <w:tcW w:w="896" w:type="dxa"/>
            <w:tcBorders>
              <w:left w:val="single" w:sz="8" w:space="0" w:color="auto"/>
              <w:bottom w:val="single" w:sz="8" w:space="0" w:color="auto"/>
              <w:right w:val="single" w:sz="8" w:space="0" w:color="auto"/>
            </w:tcBorders>
            <w:shd w:val="clear" w:color="auto" w:fill="FFFFFF"/>
            <w:noWrap/>
            <w:vAlign w:val="center"/>
          </w:tcPr>
          <w:p w14:paraId="16A1DA8A" w14:textId="4D4E0A7E" w:rsidR="00EE5FD1" w:rsidRPr="005A5172" w:rsidRDefault="00170E43" w:rsidP="00EE5FD1">
            <w:pPr>
              <w:spacing w:after="0" w:line="240" w:lineRule="auto"/>
              <w:jc w:val="right"/>
              <w:rPr>
                <w:rFonts w:ascii="Calibri" w:eastAsia="Times New Roman" w:hAnsi="Calibri" w:cs="Calibri"/>
                <w:color w:val="000000"/>
                <w:sz w:val="18"/>
                <w:szCs w:val="18"/>
                <w:lang w:val="en-IE" w:eastAsia="en-IE"/>
              </w:rPr>
            </w:pPr>
            <w:r>
              <w:rPr>
                <w:rFonts w:ascii="Calibri" w:hAnsi="Calibri" w:cs="Calibri"/>
                <w:color w:val="000000"/>
                <w:sz w:val="18"/>
                <w:szCs w:val="18"/>
              </w:rPr>
              <w:t xml:space="preserve">-  </w:t>
            </w:r>
          </w:p>
        </w:tc>
        <w:tc>
          <w:tcPr>
            <w:tcW w:w="841" w:type="dxa"/>
            <w:tcBorders>
              <w:left w:val="single" w:sz="8" w:space="0" w:color="auto"/>
              <w:bottom w:val="single" w:sz="8" w:space="0" w:color="auto"/>
            </w:tcBorders>
            <w:shd w:val="clear" w:color="auto" w:fill="FFFFFF"/>
            <w:noWrap/>
            <w:vAlign w:val="center"/>
          </w:tcPr>
          <w:p w14:paraId="5A49A2AB" w14:textId="74177F0B" w:rsidR="00EE5FD1" w:rsidRPr="005A5172" w:rsidRDefault="00170E43" w:rsidP="00EE5FD1">
            <w:pPr>
              <w:spacing w:after="0" w:line="240" w:lineRule="auto"/>
              <w:jc w:val="right"/>
              <w:rPr>
                <w:rFonts w:ascii="Calibri" w:eastAsia="Calibri" w:hAnsi="Calibri" w:cs="Calibri"/>
                <w:sz w:val="18"/>
                <w:szCs w:val="18"/>
                <w:lang w:val="en-IE" w:eastAsia="en-IE"/>
              </w:rPr>
            </w:pPr>
            <w:r>
              <w:rPr>
                <w:rFonts w:ascii="Calibri" w:hAnsi="Calibri" w:cs="Calibri"/>
                <w:color w:val="000000"/>
                <w:sz w:val="18"/>
                <w:szCs w:val="18"/>
              </w:rPr>
              <w:t xml:space="preserve">-  </w:t>
            </w:r>
          </w:p>
        </w:tc>
        <w:tc>
          <w:tcPr>
            <w:tcW w:w="932" w:type="dxa"/>
            <w:tcBorders>
              <w:bottom w:val="single" w:sz="8" w:space="0" w:color="auto"/>
            </w:tcBorders>
            <w:shd w:val="clear" w:color="auto" w:fill="FFFFFF"/>
            <w:noWrap/>
            <w:vAlign w:val="center"/>
          </w:tcPr>
          <w:p w14:paraId="55F25F59" w14:textId="5D65AE15" w:rsidR="00EE5FD1" w:rsidRPr="005A5172" w:rsidRDefault="00170E43" w:rsidP="00EE5FD1">
            <w:pPr>
              <w:spacing w:after="0" w:line="240" w:lineRule="auto"/>
              <w:jc w:val="right"/>
              <w:rPr>
                <w:rFonts w:ascii="Calibri" w:eastAsia="Times New Roman" w:hAnsi="Calibri" w:cs="Calibri"/>
                <w:color w:val="000000"/>
                <w:sz w:val="18"/>
                <w:szCs w:val="18"/>
                <w:lang w:val="en-IE" w:eastAsia="en-IE"/>
              </w:rPr>
            </w:pPr>
            <w:r>
              <w:rPr>
                <w:rFonts w:ascii="Calibri" w:hAnsi="Calibri" w:cs="Calibri"/>
                <w:color w:val="000000"/>
                <w:sz w:val="18"/>
                <w:szCs w:val="18"/>
              </w:rPr>
              <w:t xml:space="preserve">-  </w:t>
            </w:r>
          </w:p>
        </w:tc>
        <w:tc>
          <w:tcPr>
            <w:tcW w:w="1084" w:type="dxa"/>
            <w:tcBorders>
              <w:bottom w:val="single" w:sz="8" w:space="0" w:color="auto"/>
            </w:tcBorders>
            <w:shd w:val="clear" w:color="auto" w:fill="FFFFFF"/>
            <w:noWrap/>
            <w:vAlign w:val="center"/>
          </w:tcPr>
          <w:p w14:paraId="4E40C262" w14:textId="094D602C" w:rsidR="00EE5FD1" w:rsidRPr="005A5172" w:rsidRDefault="00170E43" w:rsidP="00EE5FD1">
            <w:pPr>
              <w:spacing w:after="0" w:line="240" w:lineRule="auto"/>
              <w:jc w:val="right"/>
              <w:rPr>
                <w:rFonts w:ascii="Calibri" w:eastAsia="Calibri" w:hAnsi="Calibri" w:cs="Calibri"/>
                <w:sz w:val="18"/>
                <w:szCs w:val="18"/>
                <w:lang w:val="en-IE" w:eastAsia="en-IE"/>
              </w:rPr>
            </w:pPr>
            <w:r>
              <w:rPr>
                <w:rFonts w:ascii="Calibri" w:hAnsi="Calibri" w:cs="Calibri"/>
                <w:color w:val="000000"/>
                <w:sz w:val="18"/>
                <w:szCs w:val="18"/>
              </w:rPr>
              <w:t xml:space="preserve">-  </w:t>
            </w:r>
          </w:p>
        </w:tc>
        <w:tc>
          <w:tcPr>
            <w:tcW w:w="980" w:type="dxa"/>
            <w:tcBorders>
              <w:bottom w:val="single" w:sz="8" w:space="0" w:color="auto"/>
            </w:tcBorders>
            <w:shd w:val="clear" w:color="auto" w:fill="FFFFFF"/>
            <w:noWrap/>
            <w:vAlign w:val="center"/>
          </w:tcPr>
          <w:p w14:paraId="256DF668" w14:textId="5D7E2D0B" w:rsidR="00EE5FD1" w:rsidRPr="005A5172" w:rsidRDefault="00170E43" w:rsidP="00EE5FD1">
            <w:pPr>
              <w:spacing w:after="0" w:line="240" w:lineRule="auto"/>
              <w:jc w:val="right"/>
              <w:rPr>
                <w:rFonts w:ascii="Calibri" w:eastAsia="Calibri" w:hAnsi="Calibri" w:cs="Calibri"/>
                <w:sz w:val="18"/>
                <w:szCs w:val="18"/>
                <w:lang w:val="en-IE" w:eastAsia="en-IE"/>
              </w:rPr>
            </w:pPr>
            <w:r>
              <w:rPr>
                <w:rFonts w:ascii="Calibri" w:hAnsi="Calibri" w:cs="Calibri"/>
                <w:color w:val="000000"/>
                <w:sz w:val="18"/>
                <w:szCs w:val="18"/>
              </w:rPr>
              <w:t xml:space="preserve">-  </w:t>
            </w:r>
          </w:p>
        </w:tc>
        <w:tc>
          <w:tcPr>
            <w:tcW w:w="979" w:type="dxa"/>
            <w:tcBorders>
              <w:left w:val="single" w:sz="8" w:space="0" w:color="auto"/>
              <w:bottom w:val="single" w:sz="8" w:space="0" w:color="auto"/>
              <w:right w:val="nil"/>
            </w:tcBorders>
            <w:shd w:val="clear" w:color="auto" w:fill="FFFFFF"/>
            <w:noWrap/>
            <w:vAlign w:val="center"/>
          </w:tcPr>
          <w:p w14:paraId="0692AE3B" w14:textId="3C32F1C6" w:rsidR="00EE5FD1" w:rsidRPr="005A5172" w:rsidRDefault="00170E43" w:rsidP="00EE5FD1">
            <w:pPr>
              <w:spacing w:after="0" w:line="240" w:lineRule="auto"/>
              <w:jc w:val="right"/>
              <w:rPr>
                <w:rFonts w:ascii="Calibri" w:eastAsia="Calibri" w:hAnsi="Calibri" w:cs="Calibri"/>
                <w:sz w:val="18"/>
                <w:szCs w:val="18"/>
                <w:lang w:val="en-IE" w:eastAsia="en-IE"/>
              </w:rPr>
            </w:pPr>
            <w:r>
              <w:rPr>
                <w:rFonts w:ascii="Calibri" w:hAnsi="Calibri" w:cs="Calibri"/>
                <w:color w:val="000000"/>
                <w:sz w:val="18"/>
                <w:szCs w:val="18"/>
              </w:rPr>
              <w:t>318.2</w:t>
            </w:r>
          </w:p>
        </w:tc>
        <w:tc>
          <w:tcPr>
            <w:tcW w:w="979" w:type="dxa"/>
            <w:tcBorders>
              <w:left w:val="nil"/>
              <w:bottom w:val="single" w:sz="8" w:space="0" w:color="auto"/>
              <w:right w:val="single" w:sz="8" w:space="0" w:color="auto"/>
            </w:tcBorders>
            <w:shd w:val="clear" w:color="auto" w:fill="FFFFFF"/>
            <w:noWrap/>
            <w:vAlign w:val="center"/>
          </w:tcPr>
          <w:p w14:paraId="4432B49F" w14:textId="74D18911" w:rsidR="00EE5FD1" w:rsidRPr="005A5172" w:rsidRDefault="00170E43" w:rsidP="00EE5FD1">
            <w:pPr>
              <w:spacing w:after="0" w:line="240" w:lineRule="auto"/>
              <w:jc w:val="right"/>
              <w:rPr>
                <w:rFonts w:ascii="Calibri" w:eastAsia="Calibri" w:hAnsi="Calibri" w:cs="Calibri"/>
                <w:sz w:val="18"/>
                <w:szCs w:val="18"/>
                <w:lang w:val="en-IE" w:eastAsia="en-IE"/>
              </w:rPr>
            </w:pPr>
            <w:r>
              <w:rPr>
                <w:rFonts w:ascii="Calibri" w:hAnsi="Calibri" w:cs="Calibri"/>
                <w:color w:val="000000"/>
                <w:sz w:val="18"/>
                <w:szCs w:val="18"/>
              </w:rPr>
              <w:t xml:space="preserve">-  </w:t>
            </w:r>
          </w:p>
        </w:tc>
        <w:tc>
          <w:tcPr>
            <w:tcW w:w="979" w:type="dxa"/>
            <w:tcBorders>
              <w:bottom w:val="single" w:sz="8" w:space="0" w:color="auto"/>
            </w:tcBorders>
            <w:shd w:val="clear" w:color="auto" w:fill="FFFFFF"/>
            <w:noWrap/>
            <w:vAlign w:val="center"/>
          </w:tcPr>
          <w:p w14:paraId="68481186" w14:textId="60A00312" w:rsidR="00EE5FD1" w:rsidRPr="005A5172" w:rsidRDefault="00170E43" w:rsidP="00EE5FD1">
            <w:pPr>
              <w:spacing w:after="0" w:line="240" w:lineRule="auto"/>
              <w:jc w:val="right"/>
              <w:rPr>
                <w:rFonts w:ascii="Calibri" w:eastAsia="Times New Roman" w:hAnsi="Calibri" w:cs="Calibri"/>
                <w:color w:val="000000"/>
                <w:sz w:val="18"/>
                <w:szCs w:val="18"/>
                <w:lang w:val="en-IE" w:eastAsia="en-IE"/>
              </w:rPr>
            </w:pPr>
            <w:r>
              <w:rPr>
                <w:rFonts w:ascii="Calibri" w:hAnsi="Calibri" w:cs="Calibri"/>
                <w:color w:val="000000"/>
                <w:sz w:val="18"/>
                <w:szCs w:val="18"/>
              </w:rPr>
              <w:t>318.2</w:t>
            </w:r>
          </w:p>
        </w:tc>
      </w:tr>
      <w:tr w:rsidR="00EE5FD1" w:rsidRPr="005A5172" w14:paraId="26537B3D" w14:textId="77777777" w:rsidTr="008B1A35">
        <w:trPr>
          <w:trHeight w:val="227"/>
        </w:trPr>
        <w:tc>
          <w:tcPr>
            <w:tcW w:w="3103" w:type="dxa"/>
            <w:shd w:val="clear" w:color="auto" w:fill="FFFFFF"/>
            <w:vAlign w:val="bottom"/>
          </w:tcPr>
          <w:p w14:paraId="2108A6E6" w14:textId="34E52A64"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Total other comprehensive income</w:t>
            </w:r>
          </w:p>
        </w:tc>
        <w:tc>
          <w:tcPr>
            <w:tcW w:w="896" w:type="dxa"/>
            <w:tcBorders>
              <w:top w:val="single" w:sz="8" w:space="0" w:color="auto"/>
              <w:left w:val="single" w:sz="8" w:space="0" w:color="auto"/>
              <w:bottom w:val="single" w:sz="8" w:space="0" w:color="auto"/>
              <w:right w:val="single" w:sz="8" w:space="0" w:color="auto"/>
            </w:tcBorders>
            <w:shd w:val="clear" w:color="auto" w:fill="FFFFFF"/>
            <w:noWrap/>
          </w:tcPr>
          <w:p w14:paraId="63F79367" w14:textId="218A071A" w:rsidR="00EE5FD1" w:rsidRPr="005A5172" w:rsidRDefault="00BA3B39" w:rsidP="00BA033B">
            <w:pPr>
              <w:spacing w:after="0" w:line="240" w:lineRule="auto"/>
              <w:jc w:val="right"/>
              <w:rPr>
                <w:rFonts w:ascii="Calibri" w:eastAsia="Times New Roman" w:hAnsi="Calibri" w:cs="Calibri"/>
                <w:color w:val="000000"/>
                <w:sz w:val="18"/>
                <w:szCs w:val="18"/>
                <w:lang w:val="en-IE" w:eastAsia="en-IE"/>
              </w:rPr>
            </w:pPr>
            <w:r w:rsidRPr="00E42A45">
              <w:rPr>
                <w:rFonts w:ascii="Calibri" w:hAnsi="Calibri" w:cs="Calibri"/>
                <w:color w:val="000000"/>
                <w:sz w:val="18"/>
                <w:szCs w:val="18"/>
              </w:rPr>
              <w:t xml:space="preserve">  </w:t>
            </w:r>
            <w:r w:rsidR="00BA033B">
              <w:rPr>
                <w:rFonts w:ascii="Calibri" w:hAnsi="Calibri" w:cs="Calibri"/>
                <w:color w:val="000000"/>
                <w:sz w:val="18"/>
                <w:szCs w:val="18"/>
              </w:rPr>
              <w:t>-</w:t>
            </w:r>
          </w:p>
        </w:tc>
        <w:tc>
          <w:tcPr>
            <w:tcW w:w="841" w:type="dxa"/>
            <w:tcBorders>
              <w:top w:val="single" w:sz="8" w:space="0" w:color="auto"/>
              <w:bottom w:val="single" w:sz="8" w:space="0" w:color="auto"/>
            </w:tcBorders>
            <w:shd w:val="clear" w:color="auto" w:fill="FFFFFF"/>
            <w:noWrap/>
          </w:tcPr>
          <w:p w14:paraId="2BDECC0F" w14:textId="5EB5BE67" w:rsidR="00EE5FD1" w:rsidRPr="005A5172" w:rsidRDefault="00BA3B39" w:rsidP="00EE5FD1">
            <w:pPr>
              <w:spacing w:after="0" w:line="240" w:lineRule="auto"/>
              <w:jc w:val="right"/>
              <w:rPr>
                <w:rFonts w:ascii="Calibri" w:eastAsia="Calibri" w:hAnsi="Calibri" w:cs="Calibri"/>
                <w:sz w:val="18"/>
                <w:szCs w:val="18"/>
                <w:lang w:val="en-IE" w:eastAsia="en-IE"/>
              </w:rPr>
            </w:pPr>
            <w:r w:rsidRPr="00E42A45">
              <w:rPr>
                <w:rFonts w:ascii="Calibri" w:hAnsi="Calibri" w:cs="Calibri"/>
                <w:color w:val="000000"/>
                <w:sz w:val="18"/>
                <w:szCs w:val="18"/>
              </w:rPr>
              <w:t xml:space="preserve">-  </w:t>
            </w:r>
          </w:p>
        </w:tc>
        <w:tc>
          <w:tcPr>
            <w:tcW w:w="932" w:type="dxa"/>
            <w:tcBorders>
              <w:top w:val="single" w:sz="8" w:space="0" w:color="auto"/>
              <w:bottom w:val="single" w:sz="8" w:space="0" w:color="auto"/>
            </w:tcBorders>
            <w:shd w:val="clear" w:color="auto" w:fill="FFFFFF"/>
            <w:noWrap/>
          </w:tcPr>
          <w:p w14:paraId="1D4715AC" w14:textId="76C8FF01" w:rsidR="00EE5FD1" w:rsidRPr="005A5172" w:rsidRDefault="00BA3B39" w:rsidP="00EE5FD1">
            <w:pPr>
              <w:spacing w:after="0" w:line="240" w:lineRule="auto"/>
              <w:jc w:val="right"/>
              <w:rPr>
                <w:rFonts w:ascii="Calibri" w:eastAsia="Times New Roman" w:hAnsi="Calibri" w:cs="Calibri"/>
                <w:color w:val="000000"/>
                <w:sz w:val="18"/>
                <w:szCs w:val="18"/>
                <w:lang w:val="en-IE" w:eastAsia="en-IE"/>
              </w:rPr>
            </w:pPr>
            <w:r w:rsidRPr="00E42A45">
              <w:rPr>
                <w:rFonts w:ascii="Calibri" w:hAnsi="Calibri" w:cs="Calibri"/>
                <w:color w:val="000000"/>
                <w:sz w:val="18"/>
                <w:szCs w:val="18"/>
              </w:rPr>
              <w:t xml:space="preserve">-  </w:t>
            </w:r>
          </w:p>
        </w:tc>
        <w:tc>
          <w:tcPr>
            <w:tcW w:w="1084" w:type="dxa"/>
            <w:tcBorders>
              <w:top w:val="single" w:sz="8" w:space="0" w:color="auto"/>
              <w:bottom w:val="single" w:sz="8" w:space="0" w:color="auto"/>
            </w:tcBorders>
            <w:shd w:val="clear" w:color="auto" w:fill="FFFFFF"/>
            <w:noWrap/>
          </w:tcPr>
          <w:p w14:paraId="4B172021" w14:textId="482B3941" w:rsidR="00EE5FD1" w:rsidRPr="005A5172" w:rsidRDefault="00BA3B39" w:rsidP="00EE5FD1">
            <w:pPr>
              <w:spacing w:after="0" w:line="240" w:lineRule="auto"/>
              <w:jc w:val="right"/>
              <w:rPr>
                <w:rFonts w:ascii="Calibri" w:eastAsia="Calibri" w:hAnsi="Calibri" w:cs="Calibri"/>
                <w:sz w:val="18"/>
                <w:szCs w:val="18"/>
                <w:lang w:val="en-IE" w:eastAsia="en-IE"/>
              </w:rPr>
            </w:pPr>
            <w:r w:rsidRPr="00E42A45">
              <w:rPr>
                <w:rFonts w:ascii="Calibri" w:hAnsi="Calibri" w:cs="Calibri"/>
                <w:color w:val="000000"/>
                <w:sz w:val="18"/>
                <w:szCs w:val="18"/>
              </w:rPr>
              <w:t xml:space="preserve">-  </w:t>
            </w:r>
          </w:p>
        </w:tc>
        <w:tc>
          <w:tcPr>
            <w:tcW w:w="980" w:type="dxa"/>
            <w:tcBorders>
              <w:top w:val="single" w:sz="8" w:space="0" w:color="auto"/>
              <w:bottom w:val="single" w:sz="8" w:space="0" w:color="auto"/>
            </w:tcBorders>
            <w:shd w:val="clear" w:color="auto" w:fill="FFFFFF"/>
            <w:noWrap/>
          </w:tcPr>
          <w:p w14:paraId="5138781D" w14:textId="683A5EDE" w:rsidR="00EE5FD1" w:rsidRPr="005A5172" w:rsidRDefault="00BA3B39" w:rsidP="00EE5FD1">
            <w:pPr>
              <w:spacing w:after="0" w:line="240" w:lineRule="auto"/>
              <w:jc w:val="right"/>
              <w:rPr>
                <w:rFonts w:ascii="Calibri" w:eastAsia="Calibri" w:hAnsi="Calibri" w:cs="Calibri"/>
                <w:sz w:val="18"/>
                <w:szCs w:val="18"/>
                <w:lang w:val="en-IE" w:eastAsia="en-IE"/>
              </w:rPr>
            </w:pPr>
            <w:r w:rsidRPr="00E42A45">
              <w:rPr>
                <w:rFonts w:ascii="Calibri" w:hAnsi="Calibri" w:cs="Calibri"/>
                <w:color w:val="000000"/>
                <w:sz w:val="18"/>
                <w:szCs w:val="18"/>
              </w:rPr>
              <w:t xml:space="preserve">-  </w:t>
            </w:r>
          </w:p>
        </w:tc>
        <w:tc>
          <w:tcPr>
            <w:tcW w:w="979" w:type="dxa"/>
            <w:tcBorders>
              <w:top w:val="single" w:sz="8" w:space="0" w:color="auto"/>
              <w:left w:val="single" w:sz="8" w:space="0" w:color="auto"/>
              <w:bottom w:val="single" w:sz="8" w:space="0" w:color="auto"/>
              <w:right w:val="nil"/>
            </w:tcBorders>
            <w:shd w:val="clear" w:color="auto" w:fill="FFFFFF"/>
            <w:noWrap/>
            <w:vAlign w:val="bottom"/>
          </w:tcPr>
          <w:p w14:paraId="7E64E079" w14:textId="65A78D45" w:rsidR="00EE5FD1" w:rsidRPr="005A5172" w:rsidRDefault="00BA3B39"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318.2</w:t>
            </w:r>
          </w:p>
        </w:tc>
        <w:tc>
          <w:tcPr>
            <w:tcW w:w="979" w:type="dxa"/>
            <w:tcBorders>
              <w:top w:val="single" w:sz="8" w:space="0" w:color="auto"/>
              <w:left w:val="nil"/>
              <w:bottom w:val="single" w:sz="8" w:space="0" w:color="auto"/>
              <w:right w:val="single" w:sz="8" w:space="0" w:color="auto"/>
            </w:tcBorders>
            <w:shd w:val="clear" w:color="auto" w:fill="FFFFFF"/>
            <w:noWrap/>
            <w:vAlign w:val="bottom"/>
          </w:tcPr>
          <w:p w14:paraId="7F049064" w14:textId="11F6868C" w:rsidR="00EE5FD1" w:rsidRPr="005A5172" w:rsidRDefault="00BA3B39"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single" w:sz="8" w:space="0" w:color="auto"/>
              <w:bottom w:val="single" w:sz="8" w:space="0" w:color="auto"/>
              <w:right w:val="single" w:sz="8" w:space="0" w:color="auto"/>
            </w:tcBorders>
            <w:shd w:val="clear" w:color="auto" w:fill="FFFFFF"/>
            <w:noWrap/>
            <w:vAlign w:val="bottom"/>
          </w:tcPr>
          <w:p w14:paraId="6D245811" w14:textId="08695F99" w:rsidR="00EE5FD1" w:rsidRPr="005A5172" w:rsidRDefault="00BA3B39"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318.2</w:t>
            </w:r>
          </w:p>
        </w:tc>
      </w:tr>
      <w:tr w:rsidR="00EE5FD1" w:rsidRPr="005A5172" w14:paraId="2FCE7564" w14:textId="77777777" w:rsidTr="008B1A35">
        <w:trPr>
          <w:trHeight w:val="227"/>
        </w:trPr>
        <w:tc>
          <w:tcPr>
            <w:tcW w:w="3103" w:type="dxa"/>
            <w:shd w:val="clear" w:color="auto" w:fill="FFFFFF"/>
            <w:vAlign w:val="bottom"/>
          </w:tcPr>
          <w:p w14:paraId="6BAB9EC3" w14:textId="0B390121"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 xml:space="preserve">Total comprehensive </w:t>
            </w:r>
            <w:r w:rsidR="007B42CE">
              <w:rPr>
                <w:rFonts w:ascii="Calibri" w:eastAsia="Times New Roman" w:hAnsi="Calibri" w:cs="Calibri"/>
                <w:color w:val="000000"/>
                <w:sz w:val="18"/>
                <w:szCs w:val="18"/>
                <w:lang w:val="en-IE" w:eastAsia="en-IE"/>
              </w:rPr>
              <w:t>(</w:t>
            </w:r>
            <w:r w:rsidRPr="005A5172">
              <w:rPr>
                <w:rFonts w:ascii="Calibri" w:eastAsia="Times New Roman" w:hAnsi="Calibri" w:cs="Calibri"/>
                <w:color w:val="000000"/>
                <w:sz w:val="18"/>
                <w:szCs w:val="18"/>
                <w:lang w:val="en-IE" w:eastAsia="en-IE"/>
              </w:rPr>
              <w:t>loss</w:t>
            </w:r>
            <w:r w:rsidR="007B42CE">
              <w:rPr>
                <w:rFonts w:ascii="Calibri" w:eastAsia="Times New Roman" w:hAnsi="Calibri" w:cs="Calibri"/>
                <w:color w:val="000000"/>
                <w:sz w:val="18"/>
                <w:szCs w:val="18"/>
                <w:lang w:val="en-IE" w:eastAsia="en-IE"/>
              </w:rPr>
              <w:t>)</w:t>
            </w:r>
            <w:r w:rsidR="000C55E8">
              <w:rPr>
                <w:rFonts w:ascii="Calibri" w:eastAsia="Times New Roman" w:hAnsi="Calibri" w:cs="Calibri"/>
                <w:color w:val="000000"/>
                <w:sz w:val="18"/>
                <w:szCs w:val="18"/>
                <w:lang w:val="en-IE" w:eastAsia="en-IE"/>
              </w:rPr>
              <w:t>/income</w:t>
            </w:r>
          </w:p>
        </w:tc>
        <w:tc>
          <w:tcPr>
            <w:tcW w:w="896" w:type="dxa"/>
            <w:tcBorders>
              <w:top w:val="single" w:sz="8" w:space="0" w:color="auto"/>
              <w:left w:val="single" w:sz="8" w:space="0" w:color="auto"/>
              <w:bottom w:val="single" w:sz="8" w:space="0" w:color="auto"/>
              <w:right w:val="single" w:sz="8" w:space="0" w:color="auto"/>
            </w:tcBorders>
            <w:shd w:val="clear" w:color="auto" w:fill="FFFFFF"/>
            <w:noWrap/>
          </w:tcPr>
          <w:p w14:paraId="31F6833F" w14:textId="541FB028" w:rsidR="00EE5FD1" w:rsidRPr="005A5172" w:rsidRDefault="00BA3B39" w:rsidP="00EE5FD1">
            <w:pPr>
              <w:spacing w:after="0" w:line="240" w:lineRule="auto"/>
              <w:jc w:val="right"/>
              <w:rPr>
                <w:rFonts w:ascii="Calibri" w:eastAsia="Times New Roman" w:hAnsi="Calibri" w:cs="Calibri"/>
                <w:color w:val="000000"/>
                <w:sz w:val="18"/>
                <w:szCs w:val="18"/>
                <w:lang w:val="en-IE" w:eastAsia="en-IE"/>
              </w:rPr>
            </w:pPr>
            <w:r w:rsidRPr="00E42A45">
              <w:rPr>
                <w:rFonts w:ascii="Calibri" w:hAnsi="Calibri" w:cs="Calibri"/>
                <w:color w:val="000000"/>
                <w:sz w:val="18"/>
                <w:szCs w:val="18"/>
              </w:rPr>
              <w:t xml:space="preserve">-  </w:t>
            </w:r>
          </w:p>
        </w:tc>
        <w:tc>
          <w:tcPr>
            <w:tcW w:w="841" w:type="dxa"/>
            <w:tcBorders>
              <w:top w:val="single" w:sz="8" w:space="0" w:color="auto"/>
              <w:bottom w:val="single" w:sz="8" w:space="0" w:color="auto"/>
            </w:tcBorders>
            <w:shd w:val="clear" w:color="auto" w:fill="FFFFFF"/>
            <w:noWrap/>
          </w:tcPr>
          <w:p w14:paraId="5915CAA6" w14:textId="7D566761" w:rsidR="00EE5FD1" w:rsidRPr="005A5172" w:rsidRDefault="00BA3B39" w:rsidP="00EE5FD1">
            <w:pPr>
              <w:spacing w:after="0" w:line="240" w:lineRule="auto"/>
              <w:jc w:val="right"/>
              <w:rPr>
                <w:rFonts w:ascii="Calibri" w:eastAsia="Calibri" w:hAnsi="Calibri" w:cs="Calibri"/>
                <w:sz w:val="18"/>
                <w:szCs w:val="18"/>
                <w:lang w:val="en-IE" w:eastAsia="en-IE"/>
              </w:rPr>
            </w:pPr>
            <w:r w:rsidRPr="00E42A45">
              <w:rPr>
                <w:rFonts w:ascii="Calibri" w:hAnsi="Calibri" w:cs="Calibri"/>
                <w:color w:val="000000"/>
                <w:sz w:val="18"/>
                <w:szCs w:val="18"/>
              </w:rPr>
              <w:t xml:space="preserve">-  </w:t>
            </w:r>
          </w:p>
        </w:tc>
        <w:tc>
          <w:tcPr>
            <w:tcW w:w="932" w:type="dxa"/>
            <w:tcBorders>
              <w:top w:val="single" w:sz="8" w:space="0" w:color="auto"/>
              <w:bottom w:val="single" w:sz="8" w:space="0" w:color="auto"/>
            </w:tcBorders>
            <w:shd w:val="clear" w:color="auto" w:fill="FFFFFF"/>
            <w:noWrap/>
          </w:tcPr>
          <w:p w14:paraId="340C1613" w14:textId="17EBB27E" w:rsidR="00EE5FD1" w:rsidRPr="005A5172" w:rsidRDefault="00BA3B39" w:rsidP="00EE5FD1">
            <w:pPr>
              <w:spacing w:after="0" w:line="240" w:lineRule="auto"/>
              <w:jc w:val="right"/>
              <w:rPr>
                <w:rFonts w:ascii="Calibri" w:eastAsia="Times New Roman" w:hAnsi="Calibri" w:cs="Calibri"/>
                <w:color w:val="000000"/>
                <w:sz w:val="18"/>
                <w:szCs w:val="18"/>
                <w:lang w:val="en-IE" w:eastAsia="en-IE"/>
              </w:rPr>
            </w:pPr>
            <w:r w:rsidRPr="00E42A45">
              <w:rPr>
                <w:rFonts w:ascii="Calibri" w:hAnsi="Calibri" w:cs="Calibri"/>
                <w:color w:val="000000"/>
                <w:sz w:val="18"/>
                <w:szCs w:val="18"/>
              </w:rPr>
              <w:t xml:space="preserve">-  </w:t>
            </w:r>
          </w:p>
        </w:tc>
        <w:tc>
          <w:tcPr>
            <w:tcW w:w="1084" w:type="dxa"/>
            <w:tcBorders>
              <w:top w:val="single" w:sz="8" w:space="0" w:color="auto"/>
              <w:bottom w:val="single" w:sz="8" w:space="0" w:color="auto"/>
            </w:tcBorders>
            <w:shd w:val="clear" w:color="auto" w:fill="FFFFFF"/>
            <w:noWrap/>
          </w:tcPr>
          <w:p w14:paraId="4EB7B397" w14:textId="3D405645" w:rsidR="00EE5FD1" w:rsidRPr="005A5172" w:rsidRDefault="00BA3B39" w:rsidP="00EE5FD1">
            <w:pPr>
              <w:spacing w:after="0" w:line="240" w:lineRule="auto"/>
              <w:jc w:val="right"/>
              <w:rPr>
                <w:rFonts w:ascii="Calibri" w:eastAsia="Calibri" w:hAnsi="Calibri" w:cs="Calibri"/>
                <w:sz w:val="18"/>
                <w:szCs w:val="18"/>
                <w:lang w:val="en-IE" w:eastAsia="en-IE"/>
              </w:rPr>
            </w:pPr>
            <w:r w:rsidRPr="00E42A45">
              <w:rPr>
                <w:rFonts w:ascii="Calibri" w:hAnsi="Calibri" w:cs="Calibri"/>
                <w:color w:val="000000"/>
                <w:sz w:val="18"/>
                <w:szCs w:val="18"/>
              </w:rPr>
              <w:t xml:space="preserve">-  </w:t>
            </w:r>
          </w:p>
        </w:tc>
        <w:tc>
          <w:tcPr>
            <w:tcW w:w="980" w:type="dxa"/>
            <w:tcBorders>
              <w:top w:val="single" w:sz="8" w:space="0" w:color="auto"/>
              <w:bottom w:val="single" w:sz="8" w:space="0" w:color="auto"/>
            </w:tcBorders>
            <w:shd w:val="clear" w:color="auto" w:fill="FFFFFF"/>
            <w:noWrap/>
          </w:tcPr>
          <w:p w14:paraId="787175C7" w14:textId="534D5716" w:rsidR="00EE5FD1" w:rsidRPr="005A5172" w:rsidRDefault="00BA3B39" w:rsidP="00EE5FD1">
            <w:pPr>
              <w:spacing w:after="0" w:line="240" w:lineRule="auto"/>
              <w:jc w:val="right"/>
              <w:rPr>
                <w:rFonts w:ascii="Calibri" w:eastAsia="Calibri" w:hAnsi="Calibri" w:cs="Calibri"/>
                <w:sz w:val="18"/>
                <w:szCs w:val="18"/>
                <w:lang w:val="en-IE" w:eastAsia="en-IE"/>
              </w:rPr>
            </w:pPr>
            <w:r>
              <w:rPr>
                <w:rFonts w:ascii="Calibri" w:hAnsi="Calibri" w:cs="Calibri"/>
                <w:color w:val="000000"/>
                <w:sz w:val="18"/>
                <w:szCs w:val="18"/>
              </w:rPr>
              <w:t>(179.6)</w:t>
            </w:r>
            <w:r w:rsidRPr="00E42A45">
              <w:rPr>
                <w:rFonts w:ascii="Calibri" w:hAnsi="Calibri" w:cs="Calibri"/>
                <w:color w:val="000000"/>
                <w:sz w:val="18"/>
                <w:szCs w:val="18"/>
              </w:rPr>
              <w:t xml:space="preserve">  </w:t>
            </w:r>
          </w:p>
        </w:tc>
        <w:tc>
          <w:tcPr>
            <w:tcW w:w="979" w:type="dxa"/>
            <w:tcBorders>
              <w:top w:val="single" w:sz="8" w:space="0" w:color="auto"/>
              <w:left w:val="single" w:sz="8" w:space="0" w:color="auto"/>
              <w:bottom w:val="single" w:sz="8" w:space="0" w:color="auto"/>
              <w:right w:val="nil"/>
            </w:tcBorders>
            <w:shd w:val="clear" w:color="auto" w:fill="FFFFFF"/>
            <w:noWrap/>
            <w:vAlign w:val="bottom"/>
          </w:tcPr>
          <w:p w14:paraId="33C04FE6" w14:textId="3F6B3DD4" w:rsidR="00EE5FD1" w:rsidRPr="005A5172" w:rsidRDefault="00BA3B39"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318.2</w:t>
            </w:r>
          </w:p>
        </w:tc>
        <w:tc>
          <w:tcPr>
            <w:tcW w:w="979" w:type="dxa"/>
            <w:tcBorders>
              <w:top w:val="single" w:sz="8" w:space="0" w:color="auto"/>
              <w:left w:val="nil"/>
              <w:bottom w:val="single" w:sz="8" w:space="0" w:color="auto"/>
              <w:right w:val="single" w:sz="8" w:space="0" w:color="auto"/>
            </w:tcBorders>
            <w:shd w:val="clear" w:color="auto" w:fill="FFFFFF"/>
            <w:noWrap/>
            <w:vAlign w:val="bottom"/>
          </w:tcPr>
          <w:p w14:paraId="73C60717" w14:textId="102FB9C5" w:rsidR="00EE5FD1" w:rsidRPr="005A5172" w:rsidRDefault="00BA3B39"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single" w:sz="8" w:space="0" w:color="auto"/>
              <w:bottom w:val="single" w:sz="8" w:space="0" w:color="auto"/>
              <w:right w:val="single" w:sz="8" w:space="0" w:color="auto"/>
            </w:tcBorders>
            <w:shd w:val="clear" w:color="auto" w:fill="FFFFFF"/>
            <w:noWrap/>
            <w:vAlign w:val="bottom"/>
          </w:tcPr>
          <w:p w14:paraId="0F0AE3B6" w14:textId="6B498F5B" w:rsidR="00EE5FD1" w:rsidRPr="005A5172" w:rsidRDefault="00BA3B39"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138.6</w:t>
            </w:r>
          </w:p>
        </w:tc>
      </w:tr>
      <w:tr w:rsidR="00EE5FD1" w:rsidRPr="005A5172" w14:paraId="3B1A6A68" w14:textId="77777777" w:rsidTr="008B1A35">
        <w:trPr>
          <w:trHeight w:val="227"/>
        </w:trPr>
        <w:tc>
          <w:tcPr>
            <w:tcW w:w="3103" w:type="dxa"/>
            <w:shd w:val="clear" w:color="auto" w:fill="FFFFFF"/>
            <w:vAlign w:val="bottom"/>
          </w:tcPr>
          <w:p w14:paraId="1E7A409E"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i/>
                <w:iCs/>
                <w:color w:val="000000"/>
                <w:sz w:val="18"/>
                <w:szCs w:val="18"/>
                <w:lang w:val="en-IE" w:eastAsia="en-IE"/>
              </w:rPr>
              <w:t>Transactions with owners of the Company recognised directly in equity</w:t>
            </w:r>
          </w:p>
        </w:tc>
        <w:tc>
          <w:tcPr>
            <w:tcW w:w="896" w:type="dxa"/>
            <w:tcBorders>
              <w:top w:val="single" w:sz="8" w:space="0" w:color="auto"/>
              <w:left w:val="single" w:sz="8" w:space="0" w:color="auto"/>
              <w:bottom w:val="nil"/>
              <w:right w:val="single" w:sz="8" w:space="0" w:color="auto"/>
            </w:tcBorders>
            <w:shd w:val="clear" w:color="auto" w:fill="FFFFFF"/>
            <w:noWrap/>
            <w:vAlign w:val="bottom"/>
          </w:tcPr>
          <w:p w14:paraId="530DA538" w14:textId="77777777" w:rsidR="00EE5FD1" w:rsidRPr="005A5172" w:rsidRDefault="00EE5FD1" w:rsidP="00EE5FD1">
            <w:pPr>
              <w:spacing w:after="0" w:line="240" w:lineRule="auto"/>
              <w:jc w:val="right"/>
              <w:rPr>
                <w:rFonts w:ascii="Calibri" w:eastAsia="Times New Roman" w:hAnsi="Calibri" w:cs="Calibri"/>
                <w:color w:val="000000"/>
                <w:sz w:val="18"/>
                <w:szCs w:val="18"/>
                <w:lang w:val="en-IE" w:eastAsia="en-IE"/>
              </w:rPr>
            </w:pPr>
          </w:p>
        </w:tc>
        <w:tc>
          <w:tcPr>
            <w:tcW w:w="841" w:type="dxa"/>
            <w:tcBorders>
              <w:top w:val="single" w:sz="8" w:space="0" w:color="auto"/>
            </w:tcBorders>
            <w:shd w:val="clear" w:color="auto" w:fill="FFFFFF"/>
            <w:noWrap/>
            <w:vAlign w:val="bottom"/>
          </w:tcPr>
          <w:p w14:paraId="4D883B8C" w14:textId="77777777" w:rsidR="00EE5FD1" w:rsidRPr="005A5172" w:rsidRDefault="00EE5FD1" w:rsidP="00EE5FD1">
            <w:pPr>
              <w:spacing w:after="0" w:line="240" w:lineRule="auto"/>
              <w:jc w:val="right"/>
              <w:rPr>
                <w:rFonts w:ascii="Calibri" w:eastAsia="Calibri" w:hAnsi="Calibri" w:cs="Calibri"/>
                <w:sz w:val="18"/>
                <w:szCs w:val="18"/>
                <w:lang w:val="en-IE" w:eastAsia="en-IE"/>
              </w:rPr>
            </w:pPr>
          </w:p>
        </w:tc>
        <w:tc>
          <w:tcPr>
            <w:tcW w:w="932" w:type="dxa"/>
            <w:tcBorders>
              <w:top w:val="single" w:sz="8" w:space="0" w:color="auto"/>
            </w:tcBorders>
            <w:shd w:val="clear" w:color="auto" w:fill="FFFFFF"/>
            <w:noWrap/>
            <w:vAlign w:val="bottom"/>
          </w:tcPr>
          <w:p w14:paraId="7E613A67" w14:textId="77777777" w:rsidR="00EE5FD1" w:rsidRPr="005A5172" w:rsidRDefault="00EE5FD1" w:rsidP="00EE5FD1">
            <w:pPr>
              <w:spacing w:after="0" w:line="240" w:lineRule="auto"/>
              <w:jc w:val="right"/>
              <w:rPr>
                <w:rFonts w:ascii="Calibri" w:eastAsia="Times New Roman" w:hAnsi="Calibri" w:cs="Calibri"/>
                <w:color w:val="000000"/>
                <w:sz w:val="18"/>
                <w:szCs w:val="18"/>
                <w:lang w:val="en-IE" w:eastAsia="en-IE"/>
              </w:rPr>
            </w:pPr>
          </w:p>
        </w:tc>
        <w:tc>
          <w:tcPr>
            <w:tcW w:w="1084" w:type="dxa"/>
            <w:tcBorders>
              <w:top w:val="single" w:sz="8" w:space="0" w:color="auto"/>
            </w:tcBorders>
            <w:shd w:val="clear" w:color="auto" w:fill="FFFFFF"/>
            <w:noWrap/>
            <w:vAlign w:val="bottom"/>
          </w:tcPr>
          <w:p w14:paraId="730A8BBC" w14:textId="77777777" w:rsidR="00EE5FD1" w:rsidRPr="005A5172" w:rsidRDefault="00EE5FD1" w:rsidP="00EE5FD1">
            <w:pPr>
              <w:spacing w:after="0" w:line="240" w:lineRule="auto"/>
              <w:jc w:val="right"/>
              <w:rPr>
                <w:rFonts w:ascii="Calibri" w:eastAsia="Calibri" w:hAnsi="Calibri" w:cs="Calibri"/>
                <w:sz w:val="18"/>
                <w:szCs w:val="18"/>
                <w:lang w:val="en-IE" w:eastAsia="en-IE"/>
              </w:rPr>
            </w:pPr>
          </w:p>
        </w:tc>
        <w:tc>
          <w:tcPr>
            <w:tcW w:w="980" w:type="dxa"/>
            <w:tcBorders>
              <w:top w:val="single" w:sz="8" w:space="0" w:color="auto"/>
            </w:tcBorders>
            <w:shd w:val="clear" w:color="auto" w:fill="FFFFFF"/>
            <w:noWrap/>
            <w:vAlign w:val="bottom"/>
          </w:tcPr>
          <w:p w14:paraId="769F911F" w14:textId="77777777" w:rsidR="00EE5FD1" w:rsidRPr="005A5172" w:rsidRDefault="00EE5FD1" w:rsidP="00EE5FD1">
            <w:pPr>
              <w:spacing w:after="0" w:line="240" w:lineRule="auto"/>
              <w:jc w:val="right"/>
              <w:rPr>
                <w:rFonts w:ascii="Calibri" w:eastAsia="Calibri" w:hAnsi="Calibri" w:cs="Calibri"/>
                <w:sz w:val="18"/>
                <w:szCs w:val="18"/>
                <w:lang w:val="en-IE" w:eastAsia="en-IE"/>
              </w:rPr>
            </w:pPr>
          </w:p>
        </w:tc>
        <w:tc>
          <w:tcPr>
            <w:tcW w:w="979" w:type="dxa"/>
            <w:tcBorders>
              <w:top w:val="single" w:sz="8" w:space="0" w:color="auto"/>
              <w:left w:val="single" w:sz="8" w:space="0" w:color="auto"/>
              <w:bottom w:val="nil"/>
              <w:right w:val="nil"/>
            </w:tcBorders>
            <w:shd w:val="clear" w:color="auto" w:fill="FFFFFF"/>
            <w:noWrap/>
            <w:vAlign w:val="bottom"/>
          </w:tcPr>
          <w:p w14:paraId="628F4CC5" w14:textId="77777777" w:rsidR="00EE5FD1" w:rsidRPr="005A5172" w:rsidRDefault="00EE5FD1" w:rsidP="00EE5FD1">
            <w:pPr>
              <w:spacing w:after="0" w:line="240" w:lineRule="auto"/>
              <w:jc w:val="right"/>
              <w:rPr>
                <w:rFonts w:ascii="Calibri" w:eastAsia="Calibri" w:hAnsi="Calibri" w:cs="Calibri"/>
                <w:sz w:val="18"/>
                <w:szCs w:val="18"/>
                <w:lang w:val="en-IE" w:eastAsia="en-IE"/>
              </w:rPr>
            </w:pPr>
          </w:p>
        </w:tc>
        <w:tc>
          <w:tcPr>
            <w:tcW w:w="979" w:type="dxa"/>
            <w:tcBorders>
              <w:top w:val="single" w:sz="8" w:space="0" w:color="auto"/>
              <w:left w:val="nil"/>
              <w:bottom w:val="nil"/>
              <w:right w:val="single" w:sz="8" w:space="0" w:color="auto"/>
            </w:tcBorders>
            <w:shd w:val="clear" w:color="auto" w:fill="FFFFFF"/>
            <w:noWrap/>
            <w:vAlign w:val="bottom"/>
          </w:tcPr>
          <w:p w14:paraId="2E80FACF" w14:textId="77777777" w:rsidR="00EE5FD1" w:rsidRPr="005A5172" w:rsidRDefault="00EE5FD1" w:rsidP="00EE5FD1">
            <w:pPr>
              <w:spacing w:after="0" w:line="240" w:lineRule="auto"/>
              <w:jc w:val="right"/>
              <w:rPr>
                <w:rFonts w:ascii="Calibri" w:eastAsia="Calibri" w:hAnsi="Calibri" w:cs="Calibri"/>
                <w:sz w:val="18"/>
                <w:szCs w:val="18"/>
                <w:lang w:val="en-IE" w:eastAsia="en-IE"/>
              </w:rPr>
            </w:pPr>
          </w:p>
        </w:tc>
        <w:tc>
          <w:tcPr>
            <w:tcW w:w="979" w:type="dxa"/>
            <w:tcBorders>
              <w:top w:val="single" w:sz="8" w:space="0" w:color="auto"/>
            </w:tcBorders>
            <w:shd w:val="clear" w:color="auto" w:fill="FFFFFF"/>
            <w:noWrap/>
            <w:vAlign w:val="bottom"/>
          </w:tcPr>
          <w:p w14:paraId="2522977D" w14:textId="77777777" w:rsidR="00EE5FD1" w:rsidRPr="005A5172" w:rsidRDefault="00EE5FD1" w:rsidP="00EE5FD1">
            <w:pPr>
              <w:spacing w:after="0" w:line="240" w:lineRule="auto"/>
              <w:jc w:val="right"/>
              <w:rPr>
                <w:rFonts w:ascii="Calibri" w:eastAsia="Times New Roman" w:hAnsi="Calibri" w:cs="Calibri"/>
                <w:color w:val="000000"/>
                <w:sz w:val="18"/>
                <w:szCs w:val="18"/>
                <w:lang w:val="en-IE" w:eastAsia="en-IE"/>
              </w:rPr>
            </w:pPr>
          </w:p>
        </w:tc>
      </w:tr>
      <w:tr w:rsidR="00EE5FD1" w:rsidRPr="005A5172" w14:paraId="7272A387" w14:textId="77777777" w:rsidTr="008B1A35">
        <w:trPr>
          <w:trHeight w:val="227"/>
        </w:trPr>
        <w:tc>
          <w:tcPr>
            <w:tcW w:w="3103" w:type="dxa"/>
            <w:shd w:val="clear" w:color="auto" w:fill="FFFFFF"/>
            <w:vAlign w:val="bottom"/>
          </w:tcPr>
          <w:p w14:paraId="7F70E301"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Issue of ordinary equity shares</w:t>
            </w:r>
          </w:p>
        </w:tc>
        <w:tc>
          <w:tcPr>
            <w:tcW w:w="896" w:type="dxa"/>
            <w:tcBorders>
              <w:top w:val="nil"/>
              <w:left w:val="single" w:sz="8" w:space="0" w:color="auto"/>
              <w:bottom w:val="nil"/>
              <w:right w:val="single" w:sz="8" w:space="0" w:color="auto"/>
            </w:tcBorders>
            <w:shd w:val="clear" w:color="auto" w:fill="FFFFFF"/>
            <w:noWrap/>
            <w:vAlign w:val="bottom"/>
          </w:tcPr>
          <w:p w14:paraId="28C1ABA7" w14:textId="40B416C7" w:rsidR="00EE5FD1" w:rsidRPr="005A5172" w:rsidRDefault="00701191"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0.3</w:t>
            </w:r>
          </w:p>
        </w:tc>
        <w:tc>
          <w:tcPr>
            <w:tcW w:w="841" w:type="dxa"/>
            <w:shd w:val="clear" w:color="auto" w:fill="FFFFFF"/>
            <w:noWrap/>
            <w:vAlign w:val="bottom"/>
          </w:tcPr>
          <w:p w14:paraId="28E2FD1C" w14:textId="57DA9EE4" w:rsidR="00EE5FD1" w:rsidRPr="005A5172" w:rsidRDefault="00701191"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32" w:type="dxa"/>
            <w:shd w:val="clear" w:color="auto" w:fill="FFFFFF"/>
            <w:noWrap/>
            <w:vAlign w:val="bottom"/>
          </w:tcPr>
          <w:p w14:paraId="2714F40A" w14:textId="0F33A469" w:rsidR="00EE5FD1" w:rsidRPr="005A5172" w:rsidRDefault="00701191"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5.0</w:t>
            </w:r>
          </w:p>
        </w:tc>
        <w:tc>
          <w:tcPr>
            <w:tcW w:w="1084" w:type="dxa"/>
            <w:shd w:val="clear" w:color="auto" w:fill="FFFFFF"/>
            <w:noWrap/>
            <w:vAlign w:val="bottom"/>
          </w:tcPr>
          <w:p w14:paraId="69E2E771" w14:textId="11650895" w:rsidR="00EE5FD1" w:rsidRPr="005A5172" w:rsidRDefault="00701191"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80" w:type="dxa"/>
            <w:shd w:val="clear" w:color="auto" w:fill="FFFFFF"/>
            <w:noWrap/>
            <w:vAlign w:val="bottom"/>
          </w:tcPr>
          <w:p w14:paraId="40D5C2A7" w14:textId="5AE1A299" w:rsidR="00EE5FD1" w:rsidRPr="005A5172" w:rsidRDefault="00412E02"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r w:rsidR="00701191">
              <w:rPr>
                <w:rFonts w:ascii="Calibri" w:eastAsia="Calibri" w:hAnsi="Calibri" w:cs="Calibri"/>
                <w:sz w:val="18"/>
                <w:szCs w:val="18"/>
                <w:lang w:val="en-IE" w:eastAsia="en-IE"/>
              </w:rPr>
              <w:t>2.0</w:t>
            </w:r>
            <w:r>
              <w:rPr>
                <w:rFonts w:ascii="Calibri" w:eastAsia="Calibri" w:hAnsi="Calibri" w:cs="Calibri"/>
                <w:sz w:val="18"/>
                <w:szCs w:val="18"/>
                <w:lang w:val="en-IE" w:eastAsia="en-IE"/>
              </w:rPr>
              <w:t>)</w:t>
            </w:r>
          </w:p>
        </w:tc>
        <w:tc>
          <w:tcPr>
            <w:tcW w:w="979" w:type="dxa"/>
            <w:tcBorders>
              <w:top w:val="nil"/>
              <w:left w:val="single" w:sz="8" w:space="0" w:color="auto"/>
              <w:bottom w:val="nil"/>
              <w:right w:val="nil"/>
            </w:tcBorders>
            <w:shd w:val="clear" w:color="auto" w:fill="FFFFFF"/>
            <w:noWrap/>
            <w:vAlign w:val="bottom"/>
          </w:tcPr>
          <w:p w14:paraId="63994A05" w14:textId="22D1A185" w:rsidR="00EE5FD1" w:rsidRPr="005A5172" w:rsidRDefault="00701191"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nil"/>
              <w:bottom w:val="nil"/>
              <w:right w:val="single" w:sz="8" w:space="0" w:color="auto"/>
            </w:tcBorders>
            <w:shd w:val="clear" w:color="auto" w:fill="FFFFFF"/>
            <w:noWrap/>
            <w:vAlign w:val="bottom"/>
          </w:tcPr>
          <w:p w14:paraId="0AB99B5B" w14:textId="5F2E2948" w:rsidR="00EE5FD1" w:rsidRPr="005A5172" w:rsidRDefault="00701191"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shd w:val="clear" w:color="auto" w:fill="FFFFFF"/>
            <w:noWrap/>
            <w:vAlign w:val="bottom"/>
          </w:tcPr>
          <w:p w14:paraId="0D899700" w14:textId="6D2F49F3" w:rsidR="00EE5FD1" w:rsidRPr="005A5172" w:rsidRDefault="00701191"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3.0</w:t>
            </w:r>
          </w:p>
        </w:tc>
      </w:tr>
      <w:tr w:rsidR="00EB2237" w:rsidRPr="005A5172" w14:paraId="4439D269" w14:textId="77777777" w:rsidTr="008B1A35">
        <w:trPr>
          <w:trHeight w:val="227"/>
        </w:trPr>
        <w:tc>
          <w:tcPr>
            <w:tcW w:w="3103" w:type="dxa"/>
            <w:shd w:val="clear" w:color="auto" w:fill="FFFFFF"/>
            <w:vAlign w:val="center"/>
          </w:tcPr>
          <w:p w14:paraId="013D48E8" w14:textId="6492733D" w:rsidR="00EB2237" w:rsidRPr="005A5172" w:rsidRDefault="00EB2237" w:rsidP="00EB2237">
            <w:pPr>
              <w:spacing w:after="0" w:line="240" w:lineRule="auto"/>
              <w:ind w:right="-112"/>
              <w:rPr>
                <w:rFonts w:ascii="Calibri" w:eastAsia="Times New Roman" w:hAnsi="Calibri" w:cs="Calibri"/>
                <w:color w:val="000000"/>
                <w:sz w:val="18"/>
                <w:szCs w:val="18"/>
                <w:lang w:val="en-IE" w:eastAsia="en-IE"/>
              </w:rPr>
            </w:pPr>
            <w:r w:rsidRPr="007C71F1">
              <w:rPr>
                <w:rFonts w:ascii="Calibri" w:hAnsi="Calibri" w:cs="Calibri"/>
                <w:color w:val="000000"/>
                <w:sz w:val="18"/>
                <w:szCs w:val="18"/>
                <w:lang w:eastAsia="en-IE"/>
              </w:rPr>
              <w:t>Repurchase of ordinary equity shares</w:t>
            </w:r>
          </w:p>
        </w:tc>
        <w:tc>
          <w:tcPr>
            <w:tcW w:w="896" w:type="dxa"/>
            <w:tcBorders>
              <w:top w:val="nil"/>
              <w:left w:val="single" w:sz="8" w:space="0" w:color="auto"/>
              <w:bottom w:val="nil"/>
              <w:right w:val="single" w:sz="8" w:space="0" w:color="auto"/>
            </w:tcBorders>
            <w:shd w:val="clear" w:color="auto" w:fill="FFFFFF"/>
            <w:noWrap/>
            <w:vAlign w:val="bottom"/>
          </w:tcPr>
          <w:p w14:paraId="2722A9CD" w14:textId="0209EEE4" w:rsidR="00EB2237" w:rsidRDefault="00EB2237" w:rsidP="00EB2237">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841" w:type="dxa"/>
            <w:shd w:val="clear" w:color="auto" w:fill="FFFFFF"/>
            <w:noWrap/>
            <w:vAlign w:val="bottom"/>
          </w:tcPr>
          <w:p w14:paraId="77D8D5D1" w14:textId="521E4937"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32" w:type="dxa"/>
            <w:shd w:val="clear" w:color="auto" w:fill="FFFFFF"/>
            <w:noWrap/>
            <w:vAlign w:val="bottom"/>
          </w:tcPr>
          <w:p w14:paraId="548FAF0B" w14:textId="6EEB9926" w:rsidR="00EB2237" w:rsidRDefault="00EB2237" w:rsidP="00EB2237">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1084" w:type="dxa"/>
            <w:shd w:val="clear" w:color="auto" w:fill="FFFFFF"/>
            <w:noWrap/>
            <w:vAlign w:val="bottom"/>
          </w:tcPr>
          <w:p w14:paraId="273B21D3" w14:textId="5F5F334D" w:rsidR="00EB2237" w:rsidRDefault="00EB2237" w:rsidP="00EB2237">
            <w:pPr>
              <w:spacing w:after="0" w:line="240" w:lineRule="auto"/>
              <w:jc w:val="right"/>
              <w:rPr>
                <w:rFonts w:ascii="Calibri" w:eastAsia="Times New Roman" w:hAnsi="Calibri" w:cs="Calibri"/>
                <w:color w:val="000000"/>
                <w:sz w:val="18"/>
                <w:szCs w:val="18"/>
                <w:lang w:val="en-IE" w:eastAsia="en-US"/>
              </w:rPr>
            </w:pPr>
            <w:r>
              <w:rPr>
                <w:rFonts w:ascii="Calibri" w:eastAsia="Times New Roman" w:hAnsi="Calibri" w:cs="Calibri"/>
                <w:color w:val="000000"/>
                <w:sz w:val="18"/>
                <w:szCs w:val="18"/>
                <w:lang w:val="en-IE" w:eastAsia="en-US"/>
              </w:rPr>
              <w:t>-</w:t>
            </w:r>
          </w:p>
        </w:tc>
        <w:tc>
          <w:tcPr>
            <w:tcW w:w="980" w:type="dxa"/>
            <w:shd w:val="clear" w:color="auto" w:fill="FFFFFF"/>
            <w:noWrap/>
            <w:vAlign w:val="bottom"/>
          </w:tcPr>
          <w:p w14:paraId="228D538D" w14:textId="623FEB69"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(615.2)</w:t>
            </w:r>
          </w:p>
        </w:tc>
        <w:tc>
          <w:tcPr>
            <w:tcW w:w="979" w:type="dxa"/>
            <w:tcBorders>
              <w:top w:val="nil"/>
              <w:left w:val="single" w:sz="8" w:space="0" w:color="auto"/>
              <w:bottom w:val="nil"/>
              <w:right w:val="nil"/>
            </w:tcBorders>
            <w:shd w:val="clear" w:color="auto" w:fill="FFFFFF"/>
            <w:noWrap/>
            <w:vAlign w:val="bottom"/>
          </w:tcPr>
          <w:p w14:paraId="22CB0F08" w14:textId="4936FE33"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nil"/>
              <w:bottom w:val="nil"/>
              <w:right w:val="single" w:sz="8" w:space="0" w:color="auto"/>
            </w:tcBorders>
            <w:shd w:val="clear" w:color="auto" w:fill="FFFFFF"/>
            <w:noWrap/>
            <w:vAlign w:val="bottom"/>
          </w:tcPr>
          <w:p w14:paraId="630C7255" w14:textId="5DC2C94F"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shd w:val="clear" w:color="auto" w:fill="FFFFFF"/>
            <w:noWrap/>
            <w:vAlign w:val="bottom"/>
          </w:tcPr>
          <w:p w14:paraId="6F8B0B35" w14:textId="14B1D34A" w:rsidR="00EB2237" w:rsidRDefault="00EB2237" w:rsidP="00EB2237">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(615.2)</w:t>
            </w:r>
          </w:p>
        </w:tc>
      </w:tr>
      <w:tr w:rsidR="00EB2237" w:rsidRPr="005A5172" w14:paraId="4C620037" w14:textId="77777777" w:rsidTr="008B1A35">
        <w:trPr>
          <w:trHeight w:val="227"/>
        </w:trPr>
        <w:tc>
          <w:tcPr>
            <w:tcW w:w="3103" w:type="dxa"/>
            <w:shd w:val="clear" w:color="auto" w:fill="FFFFFF"/>
            <w:vAlign w:val="center"/>
          </w:tcPr>
          <w:p w14:paraId="0BEE3E95" w14:textId="615BC659" w:rsidR="00EB2237" w:rsidRPr="005A5172" w:rsidRDefault="00EB2237" w:rsidP="00EB2237">
            <w:pPr>
              <w:spacing w:after="0" w:line="240" w:lineRule="auto"/>
              <w:ind w:right="-112"/>
              <w:rPr>
                <w:rFonts w:ascii="Calibri" w:eastAsia="Times New Roman" w:hAnsi="Calibri" w:cs="Calibri"/>
                <w:color w:val="000000"/>
                <w:sz w:val="18"/>
                <w:szCs w:val="18"/>
                <w:lang w:val="en-IE" w:eastAsia="en-IE"/>
              </w:rPr>
            </w:pPr>
            <w:r>
              <w:rPr>
                <w:rFonts w:ascii="Calibri" w:hAnsi="Calibri" w:cs="Calibri"/>
                <w:color w:val="000000"/>
                <w:sz w:val="18"/>
                <w:szCs w:val="18"/>
                <w:lang w:eastAsia="en-IE"/>
              </w:rPr>
              <w:t>Cancellation of repurchased shares</w:t>
            </w:r>
          </w:p>
        </w:tc>
        <w:tc>
          <w:tcPr>
            <w:tcW w:w="896" w:type="dxa"/>
            <w:tcBorders>
              <w:top w:val="nil"/>
              <w:left w:val="single" w:sz="8" w:space="0" w:color="auto"/>
              <w:bottom w:val="nil"/>
              <w:right w:val="single" w:sz="8" w:space="0" w:color="auto"/>
            </w:tcBorders>
            <w:shd w:val="clear" w:color="auto" w:fill="FFFFFF"/>
            <w:noWrap/>
            <w:vAlign w:val="bottom"/>
          </w:tcPr>
          <w:p w14:paraId="4DE380DE" w14:textId="05036D77" w:rsidR="00EB2237" w:rsidRDefault="00EB2237" w:rsidP="00EB2237">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(30.6)</w:t>
            </w:r>
          </w:p>
        </w:tc>
        <w:tc>
          <w:tcPr>
            <w:tcW w:w="841" w:type="dxa"/>
            <w:shd w:val="clear" w:color="auto" w:fill="FFFFFF"/>
            <w:noWrap/>
            <w:vAlign w:val="bottom"/>
          </w:tcPr>
          <w:p w14:paraId="2BD39AF8" w14:textId="6F8B2ED1"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(0.2)</w:t>
            </w:r>
          </w:p>
        </w:tc>
        <w:tc>
          <w:tcPr>
            <w:tcW w:w="932" w:type="dxa"/>
            <w:shd w:val="clear" w:color="auto" w:fill="FFFFFF"/>
            <w:noWrap/>
            <w:vAlign w:val="bottom"/>
          </w:tcPr>
          <w:p w14:paraId="6FECD928" w14:textId="498FF7CB" w:rsidR="00EB2237" w:rsidRDefault="00EB2237" w:rsidP="00EB2237">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1084" w:type="dxa"/>
            <w:shd w:val="clear" w:color="auto" w:fill="FFFFFF"/>
            <w:noWrap/>
            <w:vAlign w:val="bottom"/>
          </w:tcPr>
          <w:p w14:paraId="6C53D528" w14:textId="332207EE" w:rsidR="00EB2237" w:rsidRDefault="00EB2237" w:rsidP="00EB2237">
            <w:pPr>
              <w:spacing w:after="0" w:line="240" w:lineRule="auto"/>
              <w:jc w:val="right"/>
              <w:rPr>
                <w:rFonts w:ascii="Calibri" w:eastAsia="Times New Roman" w:hAnsi="Calibri" w:cs="Calibri"/>
                <w:color w:val="000000"/>
                <w:sz w:val="18"/>
                <w:szCs w:val="18"/>
                <w:lang w:val="en-IE" w:eastAsia="en-US"/>
              </w:rPr>
            </w:pPr>
            <w:r>
              <w:rPr>
                <w:rFonts w:ascii="Calibri" w:eastAsia="Calibri" w:hAnsi="Calibri" w:cs="Calibri"/>
                <w:sz w:val="18"/>
                <w:szCs w:val="18"/>
                <w:lang w:val="en-IE" w:eastAsia="en-IE"/>
              </w:rPr>
              <w:t>0.2</w:t>
            </w:r>
          </w:p>
        </w:tc>
        <w:tc>
          <w:tcPr>
            <w:tcW w:w="980" w:type="dxa"/>
            <w:shd w:val="clear" w:color="auto" w:fill="FFFFFF"/>
            <w:noWrap/>
            <w:vAlign w:val="bottom"/>
          </w:tcPr>
          <w:p w14:paraId="672542A9" w14:textId="3B96FF7E"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single" w:sz="8" w:space="0" w:color="auto"/>
              <w:bottom w:val="nil"/>
              <w:right w:val="nil"/>
            </w:tcBorders>
            <w:shd w:val="clear" w:color="auto" w:fill="FFFFFF"/>
            <w:noWrap/>
            <w:vAlign w:val="bottom"/>
          </w:tcPr>
          <w:p w14:paraId="1B7B333A" w14:textId="2AD449EF"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nil"/>
              <w:bottom w:val="nil"/>
              <w:right w:val="single" w:sz="8" w:space="0" w:color="auto"/>
            </w:tcBorders>
            <w:shd w:val="clear" w:color="auto" w:fill="FFFFFF"/>
            <w:noWrap/>
            <w:vAlign w:val="bottom"/>
          </w:tcPr>
          <w:p w14:paraId="6068E5C6" w14:textId="2D252267" w:rsidR="00EB2237" w:rsidRDefault="00EB2237" w:rsidP="00EB2237">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shd w:val="clear" w:color="auto" w:fill="FFFFFF"/>
            <w:noWrap/>
            <w:vAlign w:val="bottom"/>
          </w:tcPr>
          <w:p w14:paraId="3343D57E" w14:textId="04A59553" w:rsidR="00EB2237" w:rsidRDefault="00EB2237" w:rsidP="00EB2237">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r>
      <w:tr w:rsidR="00EE5FD1" w:rsidRPr="005A5172" w14:paraId="6F30A1B5" w14:textId="77777777" w:rsidTr="008B1A35">
        <w:trPr>
          <w:trHeight w:val="227"/>
        </w:trPr>
        <w:tc>
          <w:tcPr>
            <w:tcW w:w="3103" w:type="dxa"/>
            <w:shd w:val="clear" w:color="auto" w:fill="FFFFFF"/>
            <w:vAlign w:val="bottom"/>
          </w:tcPr>
          <w:p w14:paraId="32F86BA7"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Dividends paid</w:t>
            </w:r>
          </w:p>
        </w:tc>
        <w:tc>
          <w:tcPr>
            <w:tcW w:w="896" w:type="dxa"/>
            <w:tcBorders>
              <w:top w:val="nil"/>
              <w:left w:val="single" w:sz="8" w:space="0" w:color="auto"/>
              <w:bottom w:val="nil"/>
              <w:right w:val="single" w:sz="8" w:space="0" w:color="auto"/>
            </w:tcBorders>
            <w:shd w:val="clear" w:color="auto" w:fill="FFFFFF"/>
            <w:noWrap/>
            <w:vAlign w:val="bottom"/>
          </w:tcPr>
          <w:p w14:paraId="7F46B803" w14:textId="102EFCF5" w:rsidR="00EE5FD1" w:rsidRPr="005A5172" w:rsidRDefault="00EB2237"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841" w:type="dxa"/>
            <w:shd w:val="clear" w:color="auto" w:fill="FFFFFF"/>
            <w:noWrap/>
            <w:vAlign w:val="bottom"/>
          </w:tcPr>
          <w:p w14:paraId="570E3CD4" w14:textId="68DC9EEC" w:rsidR="00EE5FD1" w:rsidRPr="005A5172" w:rsidRDefault="00EB2237"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32" w:type="dxa"/>
            <w:shd w:val="clear" w:color="auto" w:fill="FFFFFF"/>
            <w:noWrap/>
            <w:vAlign w:val="bottom"/>
          </w:tcPr>
          <w:p w14:paraId="58408707" w14:textId="5896EC2B"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1084" w:type="dxa"/>
            <w:shd w:val="clear" w:color="auto" w:fill="FFFFFF"/>
            <w:noWrap/>
            <w:vAlign w:val="bottom"/>
          </w:tcPr>
          <w:p w14:paraId="3E88F49B" w14:textId="5B93FCE9" w:rsidR="00EE5FD1" w:rsidRPr="005A5172" w:rsidRDefault="0046655F" w:rsidP="00EE5FD1">
            <w:pPr>
              <w:spacing w:after="0" w:line="240" w:lineRule="auto"/>
              <w:jc w:val="right"/>
              <w:rPr>
                <w:rFonts w:ascii="Calibri" w:eastAsia="Times New Roman" w:hAnsi="Calibri" w:cs="Calibri"/>
                <w:color w:val="000000"/>
                <w:sz w:val="18"/>
                <w:szCs w:val="18"/>
                <w:lang w:val="en-IE" w:eastAsia="en-US"/>
              </w:rPr>
            </w:pPr>
            <w:r>
              <w:rPr>
                <w:rFonts w:ascii="Calibri" w:eastAsia="Times New Roman" w:hAnsi="Calibri" w:cs="Calibri"/>
                <w:color w:val="000000"/>
                <w:sz w:val="18"/>
                <w:szCs w:val="18"/>
                <w:lang w:val="en-IE" w:eastAsia="en-US"/>
              </w:rPr>
              <w:t>-</w:t>
            </w:r>
          </w:p>
        </w:tc>
        <w:tc>
          <w:tcPr>
            <w:tcW w:w="980" w:type="dxa"/>
            <w:shd w:val="clear" w:color="auto" w:fill="FFFFFF"/>
            <w:noWrap/>
            <w:vAlign w:val="bottom"/>
          </w:tcPr>
          <w:p w14:paraId="271CA8B7" w14:textId="177E190E"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(251.8)</w:t>
            </w:r>
          </w:p>
        </w:tc>
        <w:tc>
          <w:tcPr>
            <w:tcW w:w="979" w:type="dxa"/>
            <w:tcBorders>
              <w:top w:val="nil"/>
              <w:left w:val="single" w:sz="8" w:space="0" w:color="auto"/>
              <w:bottom w:val="nil"/>
              <w:right w:val="nil"/>
            </w:tcBorders>
            <w:shd w:val="clear" w:color="auto" w:fill="FFFFFF"/>
            <w:noWrap/>
            <w:vAlign w:val="bottom"/>
          </w:tcPr>
          <w:p w14:paraId="1181361F" w14:textId="4F91704A"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nil"/>
              <w:bottom w:val="nil"/>
              <w:right w:val="single" w:sz="8" w:space="0" w:color="auto"/>
            </w:tcBorders>
            <w:shd w:val="clear" w:color="auto" w:fill="FFFFFF"/>
            <w:noWrap/>
            <w:vAlign w:val="bottom"/>
          </w:tcPr>
          <w:p w14:paraId="2505FB3C" w14:textId="73423FAB"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shd w:val="clear" w:color="auto" w:fill="FFFFFF"/>
            <w:noWrap/>
            <w:vAlign w:val="bottom"/>
          </w:tcPr>
          <w:p w14:paraId="7183FA92" w14:textId="417ADD23"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(251.8)</w:t>
            </w:r>
          </w:p>
        </w:tc>
      </w:tr>
      <w:tr w:rsidR="00EE5FD1" w:rsidRPr="005A5172" w14:paraId="496CBA32" w14:textId="77777777" w:rsidTr="008B1A35">
        <w:trPr>
          <w:trHeight w:val="227"/>
        </w:trPr>
        <w:tc>
          <w:tcPr>
            <w:tcW w:w="3103" w:type="dxa"/>
            <w:shd w:val="clear" w:color="auto" w:fill="FFFFFF"/>
            <w:vAlign w:val="bottom"/>
          </w:tcPr>
          <w:p w14:paraId="37B88189"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Share-based payments</w:t>
            </w:r>
          </w:p>
        </w:tc>
        <w:tc>
          <w:tcPr>
            <w:tcW w:w="896" w:type="dxa"/>
            <w:tcBorders>
              <w:top w:val="nil"/>
              <w:left w:val="single" w:sz="8" w:space="0" w:color="auto"/>
              <w:bottom w:val="nil"/>
              <w:right w:val="single" w:sz="8" w:space="0" w:color="auto"/>
            </w:tcBorders>
            <w:shd w:val="clear" w:color="auto" w:fill="FFFFFF"/>
            <w:noWrap/>
            <w:vAlign w:val="bottom"/>
          </w:tcPr>
          <w:p w14:paraId="3C4E2416" w14:textId="75AB011E" w:rsidR="00EE5FD1" w:rsidRPr="005A5172" w:rsidRDefault="00EB2237"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841" w:type="dxa"/>
            <w:shd w:val="clear" w:color="auto" w:fill="FFFFFF"/>
            <w:noWrap/>
            <w:vAlign w:val="bottom"/>
          </w:tcPr>
          <w:p w14:paraId="1CCB2621" w14:textId="72C9A0CB" w:rsidR="00EE5FD1" w:rsidRPr="005A5172" w:rsidRDefault="00EB2237"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32" w:type="dxa"/>
            <w:shd w:val="clear" w:color="auto" w:fill="FFFFFF"/>
            <w:noWrap/>
            <w:vAlign w:val="bottom"/>
          </w:tcPr>
          <w:p w14:paraId="38827410" w14:textId="512376F1"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1084" w:type="dxa"/>
            <w:shd w:val="clear" w:color="auto" w:fill="FFFFFF"/>
            <w:noWrap/>
            <w:vAlign w:val="bottom"/>
          </w:tcPr>
          <w:p w14:paraId="7FAB6CDD" w14:textId="575A53C8"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80" w:type="dxa"/>
            <w:shd w:val="clear" w:color="auto" w:fill="FFFFFF"/>
            <w:noWrap/>
            <w:vAlign w:val="bottom"/>
          </w:tcPr>
          <w:p w14:paraId="6E7C5F6E" w14:textId="21F15111"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single" w:sz="8" w:space="0" w:color="auto"/>
              <w:bottom w:val="nil"/>
              <w:right w:val="nil"/>
            </w:tcBorders>
            <w:shd w:val="clear" w:color="auto" w:fill="FFFFFF"/>
            <w:noWrap/>
            <w:vAlign w:val="bottom"/>
          </w:tcPr>
          <w:p w14:paraId="3465F69F" w14:textId="198DB9C0"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nil"/>
              <w:bottom w:val="nil"/>
              <w:right w:val="single" w:sz="8" w:space="0" w:color="auto"/>
            </w:tcBorders>
            <w:shd w:val="clear" w:color="auto" w:fill="FFFFFF"/>
            <w:noWrap/>
            <w:vAlign w:val="bottom"/>
          </w:tcPr>
          <w:p w14:paraId="46B30EBF" w14:textId="2876DE7E"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5.1</w:t>
            </w:r>
          </w:p>
        </w:tc>
        <w:tc>
          <w:tcPr>
            <w:tcW w:w="979" w:type="dxa"/>
            <w:shd w:val="clear" w:color="auto" w:fill="FFFFFF"/>
            <w:noWrap/>
            <w:vAlign w:val="bottom"/>
          </w:tcPr>
          <w:p w14:paraId="5E499F2F" w14:textId="13D6DC72"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5.1</w:t>
            </w:r>
          </w:p>
        </w:tc>
      </w:tr>
      <w:tr w:rsidR="00EE5FD1" w:rsidRPr="005A5172" w14:paraId="4528A19B" w14:textId="77777777" w:rsidTr="008B1A35">
        <w:trPr>
          <w:trHeight w:val="227"/>
        </w:trPr>
        <w:tc>
          <w:tcPr>
            <w:tcW w:w="3103" w:type="dxa"/>
            <w:shd w:val="clear" w:color="auto" w:fill="FFFFFF"/>
            <w:vAlign w:val="bottom"/>
          </w:tcPr>
          <w:p w14:paraId="6B2FEE1F"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color w:val="000000"/>
                <w:sz w:val="18"/>
                <w:szCs w:val="18"/>
                <w:lang w:val="en-IE" w:eastAsia="en-IE"/>
              </w:rPr>
              <w:t>Transfer of exercised and expired share-based awards</w:t>
            </w:r>
          </w:p>
        </w:tc>
        <w:tc>
          <w:tcPr>
            <w:tcW w:w="896" w:type="dxa"/>
            <w:tcBorders>
              <w:top w:val="nil"/>
              <w:left w:val="single" w:sz="8" w:space="0" w:color="auto"/>
              <w:bottom w:val="nil"/>
              <w:right w:val="single" w:sz="8" w:space="0" w:color="auto"/>
            </w:tcBorders>
            <w:shd w:val="clear" w:color="auto" w:fill="FFFFFF"/>
            <w:noWrap/>
            <w:vAlign w:val="bottom"/>
          </w:tcPr>
          <w:p w14:paraId="28CF12ED" w14:textId="3C56CBFE" w:rsidR="00EE5FD1" w:rsidRPr="005A5172" w:rsidRDefault="00EB2237"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841" w:type="dxa"/>
            <w:shd w:val="clear" w:color="auto" w:fill="FFFFFF"/>
            <w:noWrap/>
            <w:vAlign w:val="bottom"/>
          </w:tcPr>
          <w:p w14:paraId="2B15C4B9" w14:textId="3C2A7C84" w:rsidR="00EE5FD1" w:rsidRPr="005A5172" w:rsidRDefault="00EB2237"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32" w:type="dxa"/>
            <w:shd w:val="clear" w:color="auto" w:fill="FFFFFF"/>
            <w:noWrap/>
            <w:vAlign w:val="bottom"/>
          </w:tcPr>
          <w:p w14:paraId="7D28B0A4" w14:textId="05C77D6D"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c>
          <w:tcPr>
            <w:tcW w:w="1084" w:type="dxa"/>
            <w:shd w:val="clear" w:color="auto" w:fill="FFFFFF"/>
            <w:noWrap/>
            <w:vAlign w:val="bottom"/>
          </w:tcPr>
          <w:p w14:paraId="1D0D6FB4" w14:textId="3F4CF107"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80" w:type="dxa"/>
            <w:shd w:val="clear" w:color="auto" w:fill="FFFFFF"/>
            <w:noWrap/>
            <w:vAlign w:val="bottom"/>
          </w:tcPr>
          <w:p w14:paraId="27830410" w14:textId="6A1AD1D9"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0.3</w:t>
            </w:r>
          </w:p>
        </w:tc>
        <w:tc>
          <w:tcPr>
            <w:tcW w:w="979" w:type="dxa"/>
            <w:tcBorders>
              <w:top w:val="nil"/>
              <w:left w:val="single" w:sz="8" w:space="0" w:color="auto"/>
              <w:bottom w:val="nil"/>
              <w:right w:val="nil"/>
            </w:tcBorders>
            <w:shd w:val="clear" w:color="auto" w:fill="FFFFFF"/>
            <w:noWrap/>
            <w:vAlign w:val="bottom"/>
          </w:tcPr>
          <w:p w14:paraId="683FB213" w14:textId="6D1BBFAE"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w:t>
            </w:r>
          </w:p>
        </w:tc>
        <w:tc>
          <w:tcPr>
            <w:tcW w:w="979" w:type="dxa"/>
            <w:tcBorders>
              <w:top w:val="nil"/>
              <w:left w:val="nil"/>
              <w:bottom w:val="nil"/>
              <w:right w:val="single" w:sz="8" w:space="0" w:color="auto"/>
            </w:tcBorders>
            <w:shd w:val="clear" w:color="auto" w:fill="FFFFFF"/>
            <w:noWrap/>
            <w:vAlign w:val="bottom"/>
          </w:tcPr>
          <w:p w14:paraId="6E9F820E" w14:textId="61F6045B" w:rsidR="00EE5FD1" w:rsidRPr="005A5172" w:rsidRDefault="0046655F" w:rsidP="00EE5FD1">
            <w:pPr>
              <w:spacing w:after="0" w:line="240" w:lineRule="auto"/>
              <w:jc w:val="right"/>
              <w:rPr>
                <w:rFonts w:ascii="Calibri" w:eastAsia="Calibri" w:hAnsi="Calibri" w:cs="Calibri"/>
                <w:sz w:val="18"/>
                <w:szCs w:val="18"/>
                <w:lang w:val="en-IE" w:eastAsia="en-IE"/>
              </w:rPr>
            </w:pPr>
            <w:r>
              <w:rPr>
                <w:rFonts w:ascii="Calibri" w:eastAsia="Calibri" w:hAnsi="Calibri" w:cs="Calibri"/>
                <w:sz w:val="18"/>
                <w:szCs w:val="18"/>
                <w:lang w:val="en-IE" w:eastAsia="en-IE"/>
              </w:rPr>
              <w:t>(0.3)</w:t>
            </w:r>
          </w:p>
        </w:tc>
        <w:tc>
          <w:tcPr>
            <w:tcW w:w="979" w:type="dxa"/>
            <w:tcBorders>
              <w:bottom w:val="single" w:sz="8" w:space="0" w:color="auto"/>
            </w:tcBorders>
            <w:shd w:val="clear" w:color="auto" w:fill="FFFFFF"/>
            <w:noWrap/>
            <w:vAlign w:val="bottom"/>
          </w:tcPr>
          <w:p w14:paraId="784D364A" w14:textId="17C71A3D" w:rsidR="00EE5FD1" w:rsidRPr="005A5172" w:rsidRDefault="0046655F" w:rsidP="00EB2237">
            <w:pPr>
              <w:spacing w:after="0" w:line="240" w:lineRule="auto"/>
              <w:jc w:val="center"/>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w:t>
            </w:r>
          </w:p>
        </w:tc>
      </w:tr>
      <w:tr w:rsidR="00EE5FD1" w:rsidRPr="005A5172" w14:paraId="7AEC014F" w14:textId="77777777" w:rsidTr="008B1A35">
        <w:trPr>
          <w:trHeight w:val="227"/>
        </w:trPr>
        <w:tc>
          <w:tcPr>
            <w:tcW w:w="3103" w:type="dxa"/>
            <w:vAlign w:val="bottom"/>
            <w:hideMark/>
          </w:tcPr>
          <w:p w14:paraId="42CC805D" w14:textId="541C317A" w:rsidR="00EE5FD1" w:rsidRPr="005A5172" w:rsidRDefault="00EE5FD1" w:rsidP="00EE5FD1">
            <w:pPr>
              <w:spacing w:after="0" w:line="240" w:lineRule="auto"/>
              <w:ind w:right="-112"/>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IE"/>
              </w:rPr>
              <w:t>Balance at March 31, 202</w:t>
            </w:r>
            <w:r w:rsidR="00895ADA">
              <w:rPr>
                <w:rFonts w:ascii="Calibri" w:eastAsia="Times New Roman" w:hAnsi="Calibri" w:cs="Calibri"/>
                <w:b/>
                <w:bCs/>
                <w:color w:val="000000"/>
                <w:sz w:val="18"/>
                <w:szCs w:val="18"/>
                <w:lang w:val="en-IE" w:eastAsia="en-IE"/>
              </w:rPr>
              <w:t>5</w:t>
            </w:r>
          </w:p>
        </w:tc>
        <w:tc>
          <w:tcPr>
            <w:tcW w:w="896" w:type="dxa"/>
            <w:tcBorders>
              <w:top w:val="single" w:sz="8" w:space="0" w:color="auto"/>
              <w:left w:val="single" w:sz="8" w:space="0" w:color="auto"/>
              <w:bottom w:val="single" w:sz="8" w:space="0" w:color="auto"/>
              <w:right w:val="single" w:sz="8" w:space="0" w:color="auto"/>
            </w:tcBorders>
            <w:noWrap/>
            <w:vAlign w:val="bottom"/>
          </w:tcPr>
          <w:p w14:paraId="3A654D72" w14:textId="52C087CA" w:rsidR="00EE5FD1" w:rsidRPr="005A5172" w:rsidRDefault="00EB2237"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1,063.9</w:t>
            </w:r>
          </w:p>
        </w:tc>
        <w:tc>
          <w:tcPr>
            <w:tcW w:w="841" w:type="dxa"/>
            <w:tcBorders>
              <w:top w:val="single" w:sz="8" w:space="0" w:color="auto"/>
              <w:left w:val="nil"/>
              <w:bottom w:val="single" w:sz="8" w:space="0" w:color="auto"/>
              <w:right w:val="nil"/>
            </w:tcBorders>
            <w:noWrap/>
            <w:vAlign w:val="bottom"/>
          </w:tcPr>
          <w:p w14:paraId="5B58EA33" w14:textId="447EAF78" w:rsidR="00EE5FD1" w:rsidRPr="005A5172" w:rsidRDefault="00EB2237"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6.4</w:t>
            </w:r>
          </w:p>
        </w:tc>
        <w:tc>
          <w:tcPr>
            <w:tcW w:w="932" w:type="dxa"/>
            <w:tcBorders>
              <w:top w:val="single" w:sz="8" w:space="0" w:color="auto"/>
              <w:left w:val="nil"/>
              <w:bottom w:val="single" w:sz="8" w:space="0" w:color="auto"/>
              <w:right w:val="nil"/>
            </w:tcBorders>
            <w:noWrap/>
            <w:vAlign w:val="bottom"/>
          </w:tcPr>
          <w:p w14:paraId="7D1D93EB" w14:textId="24E026D5"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1,421.6</w:t>
            </w:r>
          </w:p>
        </w:tc>
        <w:tc>
          <w:tcPr>
            <w:tcW w:w="1084" w:type="dxa"/>
            <w:tcBorders>
              <w:top w:val="single" w:sz="8" w:space="0" w:color="auto"/>
              <w:left w:val="nil"/>
              <w:bottom w:val="single" w:sz="8" w:space="0" w:color="auto"/>
              <w:right w:val="nil"/>
            </w:tcBorders>
            <w:noWrap/>
            <w:vAlign w:val="bottom"/>
          </w:tcPr>
          <w:p w14:paraId="72C0A610" w14:textId="7D0150CB"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4.0</w:t>
            </w:r>
          </w:p>
        </w:tc>
        <w:tc>
          <w:tcPr>
            <w:tcW w:w="980" w:type="dxa"/>
            <w:tcBorders>
              <w:top w:val="single" w:sz="8" w:space="0" w:color="auto"/>
              <w:left w:val="nil"/>
              <w:bottom w:val="single" w:sz="8" w:space="0" w:color="auto"/>
              <w:right w:val="nil"/>
            </w:tcBorders>
            <w:noWrap/>
            <w:vAlign w:val="bottom"/>
          </w:tcPr>
          <w:p w14:paraId="63AFB237" w14:textId="45FE72DA"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5,588.6</w:t>
            </w:r>
          </w:p>
        </w:tc>
        <w:tc>
          <w:tcPr>
            <w:tcW w:w="979" w:type="dxa"/>
            <w:tcBorders>
              <w:top w:val="single" w:sz="8" w:space="0" w:color="auto"/>
              <w:left w:val="single" w:sz="8" w:space="0" w:color="auto"/>
              <w:bottom w:val="single" w:sz="8" w:space="0" w:color="auto"/>
              <w:right w:val="nil"/>
            </w:tcBorders>
            <w:noWrap/>
            <w:vAlign w:val="bottom"/>
          </w:tcPr>
          <w:p w14:paraId="6654D24D" w14:textId="6B75331F" w:rsidR="00EE5FD1" w:rsidRPr="005A5172" w:rsidRDefault="0046655F" w:rsidP="00D17FCF">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(21.3)</w:t>
            </w:r>
          </w:p>
        </w:tc>
        <w:tc>
          <w:tcPr>
            <w:tcW w:w="979" w:type="dxa"/>
            <w:tcBorders>
              <w:top w:val="single" w:sz="8" w:space="0" w:color="auto"/>
              <w:left w:val="nil"/>
              <w:bottom w:val="single" w:sz="8" w:space="0" w:color="auto"/>
              <w:right w:val="single" w:sz="8" w:space="0" w:color="auto"/>
            </w:tcBorders>
            <w:noWrap/>
            <w:vAlign w:val="bottom"/>
          </w:tcPr>
          <w:p w14:paraId="5F14CA82" w14:textId="5599C9CC"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37.6</w:t>
            </w:r>
          </w:p>
        </w:tc>
        <w:tc>
          <w:tcPr>
            <w:tcW w:w="979" w:type="dxa"/>
            <w:tcBorders>
              <w:top w:val="single" w:sz="8" w:space="0" w:color="auto"/>
              <w:left w:val="nil"/>
              <w:bottom w:val="single" w:sz="8" w:space="0" w:color="auto"/>
              <w:right w:val="single" w:sz="8" w:space="0" w:color="auto"/>
            </w:tcBorders>
            <w:noWrap/>
            <w:vAlign w:val="bottom"/>
          </w:tcPr>
          <w:p w14:paraId="3BA9C4B4" w14:textId="6919A475" w:rsidR="00EE5FD1" w:rsidRPr="005A5172" w:rsidRDefault="0046655F" w:rsidP="00EE5FD1">
            <w:pPr>
              <w:spacing w:after="0" w:line="240" w:lineRule="auto"/>
              <w:jc w:val="right"/>
              <w:rPr>
                <w:rFonts w:ascii="Calibri" w:eastAsia="Times New Roman" w:hAnsi="Calibri" w:cs="Calibri"/>
                <w:color w:val="000000"/>
                <w:sz w:val="18"/>
                <w:szCs w:val="18"/>
                <w:lang w:val="en-IE" w:eastAsia="en-IE"/>
              </w:rPr>
            </w:pPr>
            <w:r>
              <w:rPr>
                <w:rFonts w:ascii="Calibri" w:eastAsia="Times New Roman" w:hAnsi="Calibri" w:cs="Calibri"/>
                <w:color w:val="000000"/>
                <w:sz w:val="18"/>
                <w:szCs w:val="18"/>
                <w:lang w:val="en-IE" w:eastAsia="en-IE"/>
              </w:rPr>
              <w:t>7,036.9</w:t>
            </w:r>
          </w:p>
        </w:tc>
      </w:tr>
      <w:tr w:rsidR="00EE5FD1" w:rsidRPr="005A5172" w14:paraId="49DE9138" w14:textId="77777777" w:rsidTr="008B1A35">
        <w:trPr>
          <w:trHeight w:val="227"/>
        </w:trPr>
        <w:tc>
          <w:tcPr>
            <w:tcW w:w="3103" w:type="dxa"/>
            <w:shd w:val="clear" w:color="auto" w:fill="FFFF00"/>
            <w:vAlign w:val="bottom"/>
            <w:hideMark/>
          </w:tcPr>
          <w:p w14:paraId="4AFB1E52"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bCs/>
                <w:color w:val="000000"/>
                <w:sz w:val="18"/>
                <w:szCs w:val="18"/>
                <w:lang w:val="en-IE" w:eastAsia="en-US"/>
              </w:rPr>
              <w:t>Profit for the half-year</w:t>
            </w:r>
          </w:p>
        </w:tc>
        <w:tc>
          <w:tcPr>
            <w:tcW w:w="896" w:type="dxa"/>
            <w:tcBorders>
              <w:top w:val="nil"/>
              <w:left w:val="single" w:sz="8" w:space="0" w:color="auto"/>
              <w:bottom w:val="nil"/>
              <w:right w:val="single" w:sz="8" w:space="0" w:color="auto"/>
            </w:tcBorders>
            <w:shd w:val="clear" w:color="auto" w:fill="FFFF00"/>
            <w:vAlign w:val="bottom"/>
          </w:tcPr>
          <w:p w14:paraId="1EC71BEA" w14:textId="0009D660" w:rsidR="00EE5FD1" w:rsidRPr="005A5172" w:rsidRDefault="00935992"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shd w:val="clear" w:color="auto" w:fill="FFFF00"/>
            <w:vAlign w:val="bottom"/>
          </w:tcPr>
          <w:p w14:paraId="5786979A" w14:textId="5388190E"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shd w:val="clear" w:color="auto" w:fill="FFFF00"/>
            <w:vAlign w:val="bottom"/>
          </w:tcPr>
          <w:p w14:paraId="6172E69B" w14:textId="273602AF"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shd w:val="clear" w:color="auto" w:fill="FFFF00"/>
            <w:vAlign w:val="bottom"/>
          </w:tcPr>
          <w:p w14:paraId="1005A539" w14:textId="1C530BF7"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shd w:val="clear" w:color="auto" w:fill="FFFF00"/>
            <w:vAlign w:val="bottom"/>
          </w:tcPr>
          <w:p w14:paraId="43A0382D" w14:textId="5F83A202" w:rsidR="00EE5FD1" w:rsidRPr="005A5172" w:rsidRDefault="007B6B1F"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2,</w:t>
            </w:r>
            <w:r w:rsidR="001B614F">
              <w:rPr>
                <w:rFonts w:ascii="Calibri" w:eastAsia="Calibri" w:hAnsi="Calibri" w:cs="Calibri"/>
                <w:b/>
                <w:sz w:val="18"/>
                <w:szCs w:val="18"/>
                <w:lang w:val="en-IE" w:eastAsia="en-IE"/>
              </w:rPr>
              <w:t>538.8</w:t>
            </w:r>
          </w:p>
        </w:tc>
        <w:tc>
          <w:tcPr>
            <w:tcW w:w="979" w:type="dxa"/>
            <w:tcBorders>
              <w:top w:val="nil"/>
              <w:left w:val="single" w:sz="8" w:space="0" w:color="auto"/>
              <w:bottom w:val="nil"/>
              <w:right w:val="nil"/>
            </w:tcBorders>
            <w:shd w:val="clear" w:color="auto" w:fill="FFFF00"/>
            <w:vAlign w:val="bottom"/>
          </w:tcPr>
          <w:p w14:paraId="7497E039" w14:textId="5A191A01" w:rsidR="00EE5FD1" w:rsidRPr="005A5172" w:rsidRDefault="00935992"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p>
        </w:tc>
        <w:tc>
          <w:tcPr>
            <w:tcW w:w="979" w:type="dxa"/>
            <w:tcBorders>
              <w:top w:val="nil"/>
              <w:left w:val="nil"/>
              <w:bottom w:val="nil"/>
              <w:right w:val="single" w:sz="8" w:space="0" w:color="auto"/>
            </w:tcBorders>
            <w:shd w:val="clear" w:color="auto" w:fill="FFFF00"/>
            <w:vAlign w:val="bottom"/>
          </w:tcPr>
          <w:p w14:paraId="0181EEA9" w14:textId="72C552ED"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shd w:val="clear" w:color="auto" w:fill="FFFF00"/>
            <w:vAlign w:val="bottom"/>
          </w:tcPr>
          <w:p w14:paraId="70AD77EC" w14:textId="0DACFCEF" w:rsidR="00EE5FD1" w:rsidRPr="005A5172" w:rsidRDefault="00B92831"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2,538.8</w:t>
            </w:r>
          </w:p>
        </w:tc>
      </w:tr>
      <w:tr w:rsidR="00EE5FD1" w:rsidRPr="005A5172" w14:paraId="24D796F7" w14:textId="77777777" w:rsidTr="008B1A35">
        <w:trPr>
          <w:trHeight w:val="227"/>
        </w:trPr>
        <w:tc>
          <w:tcPr>
            <w:tcW w:w="3103" w:type="dxa"/>
            <w:shd w:val="clear" w:color="auto" w:fill="FFFF00"/>
            <w:vAlign w:val="bottom"/>
            <w:hideMark/>
          </w:tcPr>
          <w:p w14:paraId="7A75F9B7" w14:textId="77777777" w:rsidR="00EE5FD1" w:rsidRPr="005A5172" w:rsidRDefault="00EE5FD1" w:rsidP="00EE5FD1">
            <w:pPr>
              <w:spacing w:after="0" w:line="240" w:lineRule="auto"/>
              <w:ind w:right="-112"/>
              <w:rPr>
                <w:rFonts w:ascii="Calibri" w:eastAsia="Times New Roman" w:hAnsi="Calibri" w:cs="Calibri"/>
                <w:i/>
                <w:iCs/>
                <w:color w:val="000000"/>
                <w:sz w:val="18"/>
                <w:szCs w:val="18"/>
                <w:lang w:val="en-IE" w:eastAsia="en-IE"/>
              </w:rPr>
            </w:pPr>
            <w:r w:rsidRPr="005A5172">
              <w:rPr>
                <w:rFonts w:ascii="Calibri" w:eastAsia="Times New Roman" w:hAnsi="Calibri" w:cs="Calibri"/>
                <w:bCs/>
                <w:i/>
                <w:color w:val="000000"/>
                <w:sz w:val="18"/>
                <w:szCs w:val="18"/>
                <w:lang w:val="en-IE" w:eastAsia="en-US"/>
              </w:rPr>
              <w:t>Other comprehensive loss</w:t>
            </w:r>
          </w:p>
        </w:tc>
        <w:tc>
          <w:tcPr>
            <w:tcW w:w="896" w:type="dxa"/>
            <w:tcBorders>
              <w:top w:val="nil"/>
              <w:left w:val="single" w:sz="8" w:space="0" w:color="auto"/>
              <w:bottom w:val="nil"/>
              <w:right w:val="single" w:sz="8" w:space="0" w:color="auto"/>
            </w:tcBorders>
            <w:shd w:val="clear" w:color="auto" w:fill="FFFF00"/>
            <w:vAlign w:val="bottom"/>
          </w:tcPr>
          <w:p w14:paraId="1AF9E2A9" w14:textId="5683C7A9" w:rsidR="00EE5FD1" w:rsidRPr="005A5172" w:rsidRDefault="00EE5FD1" w:rsidP="00EE5FD1">
            <w:pPr>
              <w:spacing w:after="0" w:line="240" w:lineRule="auto"/>
              <w:jc w:val="right"/>
              <w:rPr>
                <w:rFonts w:ascii="Calibri" w:eastAsia="Times New Roman" w:hAnsi="Calibri" w:cs="Calibri"/>
                <w:b/>
                <w:i/>
                <w:iCs/>
                <w:color w:val="000000"/>
                <w:sz w:val="18"/>
                <w:szCs w:val="18"/>
                <w:lang w:val="en-IE" w:eastAsia="en-IE"/>
              </w:rPr>
            </w:pPr>
          </w:p>
        </w:tc>
        <w:tc>
          <w:tcPr>
            <w:tcW w:w="841" w:type="dxa"/>
            <w:shd w:val="clear" w:color="auto" w:fill="FFFF00"/>
            <w:vAlign w:val="bottom"/>
          </w:tcPr>
          <w:p w14:paraId="7F792690" w14:textId="06787742"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32" w:type="dxa"/>
            <w:shd w:val="clear" w:color="auto" w:fill="FFFF00"/>
            <w:vAlign w:val="bottom"/>
          </w:tcPr>
          <w:p w14:paraId="65C952DA" w14:textId="1E5037C6"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1084" w:type="dxa"/>
            <w:shd w:val="clear" w:color="auto" w:fill="FFFF00"/>
            <w:vAlign w:val="bottom"/>
          </w:tcPr>
          <w:p w14:paraId="777C6ECD" w14:textId="5AAC47ED"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80" w:type="dxa"/>
            <w:shd w:val="clear" w:color="auto" w:fill="FFFF00"/>
            <w:vAlign w:val="bottom"/>
          </w:tcPr>
          <w:p w14:paraId="7BB3A71B" w14:textId="711556B5"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79" w:type="dxa"/>
            <w:tcBorders>
              <w:top w:val="nil"/>
              <w:left w:val="single" w:sz="8" w:space="0" w:color="auto"/>
              <w:bottom w:val="nil"/>
              <w:right w:val="nil"/>
            </w:tcBorders>
            <w:shd w:val="clear" w:color="auto" w:fill="FFFF00"/>
            <w:vAlign w:val="bottom"/>
          </w:tcPr>
          <w:p w14:paraId="361EA1BB" w14:textId="4D9BE7B8" w:rsidR="00EE5FD1" w:rsidRPr="005A5172" w:rsidRDefault="00EE5FD1" w:rsidP="00D17FCF">
            <w:pPr>
              <w:spacing w:after="0" w:line="240" w:lineRule="auto"/>
              <w:jc w:val="right"/>
              <w:rPr>
                <w:rFonts w:ascii="Calibri" w:eastAsia="Calibri" w:hAnsi="Calibri" w:cs="Calibri"/>
                <w:b/>
                <w:sz w:val="18"/>
                <w:szCs w:val="18"/>
                <w:lang w:val="en-IE" w:eastAsia="en-IE"/>
              </w:rPr>
            </w:pPr>
          </w:p>
        </w:tc>
        <w:tc>
          <w:tcPr>
            <w:tcW w:w="979" w:type="dxa"/>
            <w:tcBorders>
              <w:top w:val="nil"/>
              <w:left w:val="nil"/>
              <w:bottom w:val="nil"/>
              <w:right w:val="single" w:sz="8" w:space="0" w:color="auto"/>
            </w:tcBorders>
            <w:shd w:val="clear" w:color="auto" w:fill="FFFF00"/>
            <w:vAlign w:val="bottom"/>
          </w:tcPr>
          <w:p w14:paraId="502F6491" w14:textId="375EDEF3"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79" w:type="dxa"/>
            <w:shd w:val="clear" w:color="auto" w:fill="FFFF00"/>
            <w:vAlign w:val="bottom"/>
          </w:tcPr>
          <w:p w14:paraId="4531DC27" w14:textId="6AF796BE" w:rsidR="00EE5FD1" w:rsidRPr="005A5172" w:rsidRDefault="00EE5FD1" w:rsidP="00EE5FD1">
            <w:pPr>
              <w:spacing w:after="0" w:line="240" w:lineRule="auto"/>
              <w:jc w:val="right"/>
              <w:rPr>
                <w:rFonts w:ascii="Calibri" w:eastAsia="Times New Roman" w:hAnsi="Calibri" w:cs="Calibri"/>
                <w:b/>
                <w:bCs/>
                <w:color w:val="000000"/>
                <w:sz w:val="18"/>
                <w:szCs w:val="18"/>
                <w:lang w:val="en-IE" w:eastAsia="en-IE"/>
              </w:rPr>
            </w:pPr>
          </w:p>
        </w:tc>
      </w:tr>
      <w:tr w:rsidR="00EE5FD1" w:rsidRPr="005A5172" w14:paraId="5014D585" w14:textId="77777777" w:rsidTr="008B1A35">
        <w:trPr>
          <w:trHeight w:val="227"/>
        </w:trPr>
        <w:tc>
          <w:tcPr>
            <w:tcW w:w="3103" w:type="dxa"/>
            <w:shd w:val="clear" w:color="auto" w:fill="FFFF00"/>
            <w:vAlign w:val="bottom"/>
            <w:hideMark/>
          </w:tcPr>
          <w:p w14:paraId="7DC7508D"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bCs/>
                <w:color w:val="000000"/>
                <w:sz w:val="18"/>
                <w:szCs w:val="18"/>
                <w:lang w:val="en-IE" w:eastAsia="en-US"/>
              </w:rPr>
              <w:t>Net movements in cash flow reserve</w:t>
            </w:r>
          </w:p>
        </w:tc>
        <w:tc>
          <w:tcPr>
            <w:tcW w:w="896" w:type="dxa"/>
            <w:tcBorders>
              <w:top w:val="nil"/>
              <w:left w:val="single" w:sz="8" w:space="0" w:color="auto"/>
              <w:bottom w:val="nil"/>
              <w:right w:val="single" w:sz="8" w:space="0" w:color="auto"/>
            </w:tcBorders>
            <w:shd w:val="clear" w:color="auto" w:fill="FFFF00"/>
            <w:vAlign w:val="bottom"/>
          </w:tcPr>
          <w:p w14:paraId="626A34B8" w14:textId="6BFDE89C" w:rsidR="00EE5FD1" w:rsidRPr="005A5172" w:rsidRDefault="00935992"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shd w:val="clear" w:color="auto" w:fill="FFFF00"/>
            <w:vAlign w:val="bottom"/>
          </w:tcPr>
          <w:p w14:paraId="1F756EA8" w14:textId="06D1A201"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shd w:val="clear" w:color="auto" w:fill="FFFF00"/>
            <w:vAlign w:val="bottom"/>
          </w:tcPr>
          <w:p w14:paraId="7722E783" w14:textId="66ACCA9B"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shd w:val="clear" w:color="auto" w:fill="FFFF00"/>
            <w:vAlign w:val="bottom"/>
          </w:tcPr>
          <w:p w14:paraId="11188D8B" w14:textId="0DE59D0A"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shd w:val="clear" w:color="auto" w:fill="FFFF00"/>
            <w:vAlign w:val="bottom"/>
          </w:tcPr>
          <w:p w14:paraId="75FAD832" w14:textId="2307AE3B"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tcBorders>
              <w:top w:val="nil"/>
              <w:left w:val="single" w:sz="8" w:space="0" w:color="auto"/>
              <w:bottom w:val="nil"/>
              <w:right w:val="nil"/>
            </w:tcBorders>
            <w:shd w:val="clear" w:color="auto" w:fill="FFFF00"/>
            <w:vAlign w:val="bottom"/>
          </w:tcPr>
          <w:p w14:paraId="3344FA0A" w14:textId="0DB0BE1A" w:rsidR="00EE5FD1" w:rsidRPr="005A5172" w:rsidRDefault="00FF5F7F"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493FDA">
              <w:rPr>
                <w:rFonts w:ascii="Calibri" w:eastAsia="Calibri" w:hAnsi="Calibri" w:cs="Calibri"/>
                <w:b/>
                <w:sz w:val="18"/>
                <w:szCs w:val="18"/>
                <w:lang w:val="en-IE" w:eastAsia="en-IE"/>
              </w:rPr>
              <w:t>(181.9)</w:t>
            </w:r>
          </w:p>
        </w:tc>
        <w:tc>
          <w:tcPr>
            <w:tcW w:w="979" w:type="dxa"/>
            <w:tcBorders>
              <w:top w:val="nil"/>
              <w:left w:val="nil"/>
              <w:bottom w:val="nil"/>
              <w:right w:val="single" w:sz="8" w:space="0" w:color="auto"/>
            </w:tcBorders>
            <w:shd w:val="clear" w:color="auto" w:fill="FFFF00"/>
            <w:vAlign w:val="bottom"/>
          </w:tcPr>
          <w:p w14:paraId="78391F7B" w14:textId="5869B953" w:rsidR="00EE5FD1" w:rsidRPr="005A5172" w:rsidRDefault="008B0A96"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tcBorders>
              <w:bottom w:val="single" w:sz="8" w:space="0" w:color="auto"/>
            </w:tcBorders>
            <w:shd w:val="clear" w:color="auto" w:fill="FFFF00"/>
            <w:vAlign w:val="bottom"/>
          </w:tcPr>
          <w:p w14:paraId="4279A752" w14:textId="7D13409D" w:rsidR="00EE5FD1" w:rsidRPr="005A5172" w:rsidRDefault="00307B48"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(181.9)</w:t>
            </w:r>
          </w:p>
        </w:tc>
      </w:tr>
      <w:tr w:rsidR="00EE5FD1" w:rsidRPr="005A5172" w14:paraId="2B9DEE16" w14:textId="77777777" w:rsidTr="008B1A35">
        <w:trPr>
          <w:trHeight w:val="227"/>
        </w:trPr>
        <w:tc>
          <w:tcPr>
            <w:tcW w:w="3103" w:type="dxa"/>
            <w:shd w:val="clear" w:color="auto" w:fill="FFFF00"/>
            <w:vAlign w:val="bottom"/>
            <w:hideMark/>
          </w:tcPr>
          <w:p w14:paraId="4A503C43"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bCs/>
                <w:color w:val="000000"/>
                <w:sz w:val="18"/>
                <w:szCs w:val="18"/>
                <w:lang w:val="en-IE" w:eastAsia="en-US"/>
              </w:rPr>
              <w:t>Total other comprehensive loss</w:t>
            </w:r>
          </w:p>
        </w:tc>
        <w:tc>
          <w:tcPr>
            <w:tcW w:w="896" w:type="dxa"/>
            <w:tcBorders>
              <w:top w:val="single" w:sz="8" w:space="0" w:color="auto"/>
              <w:left w:val="single" w:sz="8" w:space="0" w:color="auto"/>
              <w:bottom w:val="single" w:sz="8" w:space="0" w:color="auto"/>
              <w:right w:val="single" w:sz="8" w:space="0" w:color="auto"/>
            </w:tcBorders>
            <w:shd w:val="clear" w:color="auto" w:fill="FFFF00"/>
            <w:vAlign w:val="bottom"/>
          </w:tcPr>
          <w:p w14:paraId="0324B43B" w14:textId="4E48B7C2" w:rsidR="00EE5FD1" w:rsidRPr="005A5172" w:rsidRDefault="00935992"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tcBorders>
              <w:top w:val="single" w:sz="8" w:space="0" w:color="auto"/>
              <w:left w:val="nil"/>
              <w:bottom w:val="single" w:sz="8" w:space="0" w:color="auto"/>
              <w:right w:val="nil"/>
            </w:tcBorders>
            <w:shd w:val="clear" w:color="auto" w:fill="FFFF00"/>
            <w:vAlign w:val="bottom"/>
          </w:tcPr>
          <w:p w14:paraId="3222DF66" w14:textId="56BE7553"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tcBorders>
              <w:top w:val="single" w:sz="8" w:space="0" w:color="auto"/>
              <w:left w:val="nil"/>
              <w:bottom w:val="single" w:sz="8" w:space="0" w:color="auto"/>
              <w:right w:val="nil"/>
            </w:tcBorders>
            <w:shd w:val="clear" w:color="auto" w:fill="FFFF00"/>
            <w:vAlign w:val="bottom"/>
          </w:tcPr>
          <w:p w14:paraId="7EE12D16" w14:textId="63A7E7E9"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tcBorders>
              <w:top w:val="single" w:sz="8" w:space="0" w:color="auto"/>
              <w:left w:val="nil"/>
              <w:bottom w:val="single" w:sz="8" w:space="0" w:color="auto"/>
              <w:right w:val="nil"/>
            </w:tcBorders>
            <w:shd w:val="clear" w:color="auto" w:fill="FFFF00"/>
            <w:vAlign w:val="bottom"/>
          </w:tcPr>
          <w:p w14:paraId="1F8B9E74" w14:textId="3B78D207"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tcBorders>
              <w:top w:val="single" w:sz="8" w:space="0" w:color="auto"/>
              <w:left w:val="nil"/>
              <w:bottom w:val="single" w:sz="8" w:space="0" w:color="auto"/>
              <w:right w:val="nil"/>
            </w:tcBorders>
            <w:shd w:val="clear" w:color="auto" w:fill="FFFF00"/>
            <w:vAlign w:val="bottom"/>
          </w:tcPr>
          <w:p w14:paraId="4A4A8C8D" w14:textId="251E1E1A"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tcBorders>
              <w:top w:val="single" w:sz="8" w:space="0" w:color="auto"/>
              <w:left w:val="single" w:sz="8" w:space="0" w:color="auto"/>
              <w:bottom w:val="single" w:sz="8" w:space="0" w:color="auto"/>
              <w:right w:val="nil"/>
            </w:tcBorders>
            <w:shd w:val="clear" w:color="auto" w:fill="FFFF00"/>
            <w:vAlign w:val="bottom"/>
          </w:tcPr>
          <w:p w14:paraId="28FED0D8" w14:textId="6303CA3A" w:rsidR="00EE5FD1" w:rsidRPr="005A5172" w:rsidRDefault="00FF5F7F"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5E1690">
              <w:rPr>
                <w:rFonts w:ascii="Calibri" w:eastAsia="Calibri" w:hAnsi="Calibri" w:cs="Calibri"/>
                <w:b/>
                <w:sz w:val="18"/>
                <w:szCs w:val="18"/>
                <w:lang w:val="en-IE" w:eastAsia="en-IE"/>
              </w:rPr>
              <w:t>(181.9)</w:t>
            </w:r>
          </w:p>
        </w:tc>
        <w:tc>
          <w:tcPr>
            <w:tcW w:w="979" w:type="dxa"/>
            <w:tcBorders>
              <w:top w:val="single" w:sz="8" w:space="0" w:color="auto"/>
              <w:left w:val="nil"/>
              <w:bottom w:val="single" w:sz="8" w:space="0" w:color="auto"/>
              <w:right w:val="single" w:sz="8" w:space="0" w:color="auto"/>
            </w:tcBorders>
            <w:shd w:val="clear" w:color="auto" w:fill="FFFF00"/>
            <w:vAlign w:val="bottom"/>
          </w:tcPr>
          <w:p w14:paraId="529EBD38" w14:textId="246398C7"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tcBorders>
              <w:top w:val="single" w:sz="8" w:space="0" w:color="auto"/>
              <w:left w:val="nil"/>
              <w:bottom w:val="single" w:sz="8" w:space="0" w:color="auto"/>
              <w:right w:val="single" w:sz="8" w:space="0" w:color="auto"/>
            </w:tcBorders>
            <w:shd w:val="clear" w:color="auto" w:fill="FFFF00"/>
            <w:vAlign w:val="bottom"/>
          </w:tcPr>
          <w:p w14:paraId="2ECDE383" w14:textId="1208F725" w:rsidR="00EE5FD1" w:rsidRPr="005A5172" w:rsidRDefault="00307B48"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(181.9)</w:t>
            </w:r>
          </w:p>
        </w:tc>
      </w:tr>
      <w:tr w:rsidR="00EE5FD1" w:rsidRPr="005A5172" w14:paraId="3BC7AD40" w14:textId="77777777" w:rsidTr="008B1A35">
        <w:trPr>
          <w:trHeight w:val="227"/>
        </w:trPr>
        <w:tc>
          <w:tcPr>
            <w:tcW w:w="3103" w:type="dxa"/>
            <w:shd w:val="clear" w:color="auto" w:fill="FFFF00"/>
            <w:vAlign w:val="bottom"/>
            <w:hideMark/>
          </w:tcPr>
          <w:p w14:paraId="64C37F22"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bCs/>
                <w:color w:val="000000"/>
                <w:sz w:val="18"/>
                <w:szCs w:val="18"/>
                <w:lang w:val="en-IE" w:eastAsia="en-US"/>
              </w:rPr>
              <w:t>Total comprehensive income/(loss)</w:t>
            </w:r>
          </w:p>
        </w:tc>
        <w:tc>
          <w:tcPr>
            <w:tcW w:w="896" w:type="dxa"/>
            <w:tcBorders>
              <w:top w:val="nil"/>
              <w:left w:val="single" w:sz="8" w:space="0" w:color="auto"/>
              <w:bottom w:val="single" w:sz="8" w:space="0" w:color="auto"/>
              <w:right w:val="single" w:sz="8" w:space="0" w:color="auto"/>
            </w:tcBorders>
            <w:shd w:val="clear" w:color="auto" w:fill="FFFF00"/>
            <w:vAlign w:val="bottom"/>
          </w:tcPr>
          <w:p w14:paraId="3AF11D95" w14:textId="0B827178" w:rsidR="00EE5FD1" w:rsidRPr="005A5172" w:rsidRDefault="00935992"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tcBorders>
              <w:bottom w:val="single" w:sz="8" w:space="0" w:color="auto"/>
            </w:tcBorders>
            <w:shd w:val="clear" w:color="auto" w:fill="FFFF00"/>
            <w:vAlign w:val="bottom"/>
          </w:tcPr>
          <w:p w14:paraId="4F08BBFD" w14:textId="2C41F680"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tcBorders>
              <w:bottom w:val="single" w:sz="8" w:space="0" w:color="auto"/>
            </w:tcBorders>
            <w:shd w:val="clear" w:color="auto" w:fill="FFFF00"/>
            <w:vAlign w:val="bottom"/>
          </w:tcPr>
          <w:p w14:paraId="1D20B11A" w14:textId="799A4C09"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tcBorders>
              <w:bottom w:val="single" w:sz="8" w:space="0" w:color="auto"/>
            </w:tcBorders>
            <w:shd w:val="clear" w:color="auto" w:fill="FFFF00"/>
            <w:vAlign w:val="bottom"/>
          </w:tcPr>
          <w:p w14:paraId="0A370445" w14:textId="2F63F6AC"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tcBorders>
              <w:bottom w:val="single" w:sz="8" w:space="0" w:color="auto"/>
            </w:tcBorders>
            <w:shd w:val="clear" w:color="auto" w:fill="FFFF00"/>
            <w:vAlign w:val="bottom"/>
          </w:tcPr>
          <w:p w14:paraId="7BAB8C07" w14:textId="123B5A9D" w:rsidR="00EE5FD1" w:rsidRPr="005A5172" w:rsidRDefault="005A30DA"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2,538.8</w:t>
            </w:r>
          </w:p>
        </w:tc>
        <w:tc>
          <w:tcPr>
            <w:tcW w:w="979" w:type="dxa"/>
            <w:tcBorders>
              <w:top w:val="nil"/>
              <w:left w:val="single" w:sz="8" w:space="0" w:color="auto"/>
              <w:bottom w:val="single" w:sz="8" w:space="0" w:color="auto"/>
              <w:right w:val="nil"/>
            </w:tcBorders>
            <w:shd w:val="clear" w:color="auto" w:fill="FFFF00"/>
            <w:vAlign w:val="bottom"/>
          </w:tcPr>
          <w:p w14:paraId="7F27D4E3" w14:textId="663B4590" w:rsidR="00EE5FD1" w:rsidRPr="005A5172" w:rsidRDefault="00FF5F7F"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307B48">
              <w:rPr>
                <w:rFonts w:ascii="Calibri" w:eastAsia="Calibri" w:hAnsi="Calibri" w:cs="Calibri"/>
                <w:b/>
                <w:sz w:val="18"/>
                <w:szCs w:val="18"/>
                <w:lang w:val="en-IE" w:eastAsia="en-IE"/>
              </w:rPr>
              <w:t>(181.9)</w:t>
            </w:r>
          </w:p>
        </w:tc>
        <w:tc>
          <w:tcPr>
            <w:tcW w:w="979" w:type="dxa"/>
            <w:tcBorders>
              <w:top w:val="nil"/>
              <w:left w:val="nil"/>
              <w:bottom w:val="single" w:sz="8" w:space="0" w:color="auto"/>
              <w:right w:val="single" w:sz="8" w:space="0" w:color="auto"/>
            </w:tcBorders>
            <w:shd w:val="clear" w:color="auto" w:fill="FFFF00"/>
            <w:vAlign w:val="bottom"/>
          </w:tcPr>
          <w:p w14:paraId="361EFB7B" w14:textId="1BE8D539" w:rsidR="00EE5FD1" w:rsidRPr="005A5172" w:rsidRDefault="00935992"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tcBorders>
              <w:top w:val="single" w:sz="8" w:space="0" w:color="auto"/>
              <w:bottom w:val="single" w:sz="8" w:space="0" w:color="auto"/>
              <w:right w:val="single" w:sz="8" w:space="0" w:color="auto"/>
            </w:tcBorders>
            <w:shd w:val="clear" w:color="auto" w:fill="FFFF00"/>
            <w:vAlign w:val="bottom"/>
          </w:tcPr>
          <w:p w14:paraId="5DA270A1" w14:textId="3A53608D" w:rsidR="00EE5FD1" w:rsidRPr="005A5172" w:rsidRDefault="00307B48"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2,356.9</w:t>
            </w:r>
          </w:p>
        </w:tc>
      </w:tr>
      <w:tr w:rsidR="00EE5FD1" w:rsidRPr="005A5172" w14:paraId="0EEE3246" w14:textId="77777777" w:rsidTr="008B1A35">
        <w:trPr>
          <w:trHeight w:val="227"/>
        </w:trPr>
        <w:tc>
          <w:tcPr>
            <w:tcW w:w="3103" w:type="dxa"/>
            <w:shd w:val="clear" w:color="auto" w:fill="FFFF00"/>
            <w:vAlign w:val="bottom"/>
            <w:hideMark/>
          </w:tcPr>
          <w:p w14:paraId="764E4524" w14:textId="77777777" w:rsidR="00EE5FD1" w:rsidRPr="005A5172" w:rsidRDefault="00EE5FD1" w:rsidP="00EE5FD1">
            <w:pPr>
              <w:spacing w:after="0" w:line="240" w:lineRule="auto"/>
              <w:ind w:right="-112"/>
              <w:rPr>
                <w:rFonts w:ascii="Calibri" w:eastAsia="Times New Roman" w:hAnsi="Calibri" w:cs="Calibri"/>
                <w:i/>
                <w:iCs/>
                <w:color w:val="000000"/>
                <w:sz w:val="18"/>
                <w:szCs w:val="18"/>
                <w:lang w:val="en-IE" w:eastAsia="en-IE"/>
              </w:rPr>
            </w:pPr>
            <w:r w:rsidRPr="005A5172">
              <w:rPr>
                <w:rFonts w:ascii="Calibri" w:eastAsia="Times New Roman" w:hAnsi="Calibri" w:cs="Calibri"/>
                <w:bCs/>
                <w:i/>
                <w:color w:val="000000"/>
                <w:sz w:val="18"/>
                <w:szCs w:val="18"/>
                <w:lang w:val="en-IE" w:eastAsia="en-US"/>
              </w:rPr>
              <w:t>Transactions with owners of the Company recognised directly in equity</w:t>
            </w:r>
          </w:p>
        </w:tc>
        <w:tc>
          <w:tcPr>
            <w:tcW w:w="896" w:type="dxa"/>
            <w:tcBorders>
              <w:top w:val="single" w:sz="8" w:space="0" w:color="auto"/>
              <w:left w:val="single" w:sz="8" w:space="0" w:color="auto"/>
              <w:right w:val="single" w:sz="8" w:space="0" w:color="auto"/>
            </w:tcBorders>
            <w:shd w:val="clear" w:color="auto" w:fill="FFFF00"/>
            <w:vAlign w:val="bottom"/>
          </w:tcPr>
          <w:p w14:paraId="33BF6E90" w14:textId="62E8B546" w:rsidR="00EE5FD1" w:rsidRPr="005A5172" w:rsidRDefault="00EE5FD1" w:rsidP="00EE5FD1">
            <w:pPr>
              <w:spacing w:after="0" w:line="240" w:lineRule="auto"/>
              <w:jc w:val="right"/>
              <w:rPr>
                <w:rFonts w:ascii="Calibri" w:eastAsia="Times New Roman" w:hAnsi="Calibri" w:cs="Calibri"/>
                <w:b/>
                <w:i/>
                <w:iCs/>
                <w:color w:val="000000"/>
                <w:sz w:val="18"/>
                <w:szCs w:val="18"/>
                <w:lang w:val="en-IE" w:eastAsia="en-IE"/>
              </w:rPr>
            </w:pPr>
          </w:p>
        </w:tc>
        <w:tc>
          <w:tcPr>
            <w:tcW w:w="841" w:type="dxa"/>
            <w:tcBorders>
              <w:top w:val="single" w:sz="8" w:space="0" w:color="auto"/>
              <w:left w:val="single" w:sz="8" w:space="0" w:color="auto"/>
              <w:right w:val="nil"/>
            </w:tcBorders>
            <w:shd w:val="clear" w:color="auto" w:fill="FFFF00"/>
            <w:vAlign w:val="bottom"/>
          </w:tcPr>
          <w:p w14:paraId="52016726" w14:textId="249E2B1D"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32" w:type="dxa"/>
            <w:tcBorders>
              <w:top w:val="single" w:sz="8" w:space="0" w:color="auto"/>
              <w:left w:val="nil"/>
              <w:right w:val="nil"/>
            </w:tcBorders>
            <w:shd w:val="clear" w:color="auto" w:fill="FFFF00"/>
            <w:vAlign w:val="bottom"/>
          </w:tcPr>
          <w:p w14:paraId="1ADEF8AB" w14:textId="322DDDAE"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1084" w:type="dxa"/>
            <w:tcBorders>
              <w:top w:val="single" w:sz="8" w:space="0" w:color="auto"/>
              <w:left w:val="nil"/>
              <w:right w:val="nil"/>
            </w:tcBorders>
            <w:shd w:val="clear" w:color="auto" w:fill="FFFF00"/>
            <w:vAlign w:val="bottom"/>
          </w:tcPr>
          <w:p w14:paraId="76F6861E" w14:textId="7FA68449"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80" w:type="dxa"/>
            <w:tcBorders>
              <w:top w:val="single" w:sz="8" w:space="0" w:color="auto"/>
              <w:left w:val="nil"/>
              <w:right w:val="single" w:sz="8" w:space="0" w:color="auto"/>
            </w:tcBorders>
            <w:shd w:val="clear" w:color="auto" w:fill="FFFF00"/>
            <w:vAlign w:val="bottom"/>
          </w:tcPr>
          <w:p w14:paraId="6A843078" w14:textId="73939420"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79" w:type="dxa"/>
            <w:tcBorders>
              <w:top w:val="single" w:sz="8" w:space="0" w:color="auto"/>
              <w:left w:val="single" w:sz="8" w:space="0" w:color="auto"/>
              <w:right w:val="nil"/>
            </w:tcBorders>
            <w:shd w:val="clear" w:color="auto" w:fill="FFFF00"/>
            <w:vAlign w:val="bottom"/>
          </w:tcPr>
          <w:p w14:paraId="6C446A4C" w14:textId="126CD0D1" w:rsidR="00EE5FD1" w:rsidRPr="005A5172" w:rsidRDefault="00EE5FD1" w:rsidP="00D17FCF">
            <w:pPr>
              <w:spacing w:after="0" w:line="240" w:lineRule="auto"/>
              <w:jc w:val="right"/>
              <w:rPr>
                <w:rFonts w:ascii="Calibri" w:eastAsia="Calibri" w:hAnsi="Calibri" w:cs="Calibri"/>
                <w:b/>
                <w:sz w:val="18"/>
                <w:szCs w:val="18"/>
                <w:lang w:val="en-IE" w:eastAsia="en-IE"/>
              </w:rPr>
            </w:pPr>
          </w:p>
        </w:tc>
        <w:tc>
          <w:tcPr>
            <w:tcW w:w="979" w:type="dxa"/>
            <w:tcBorders>
              <w:top w:val="single" w:sz="8" w:space="0" w:color="auto"/>
              <w:left w:val="nil"/>
              <w:right w:val="single" w:sz="8" w:space="0" w:color="auto"/>
            </w:tcBorders>
            <w:shd w:val="clear" w:color="auto" w:fill="FFFF00"/>
            <w:vAlign w:val="bottom"/>
          </w:tcPr>
          <w:p w14:paraId="17AEC55F" w14:textId="05F7E730" w:rsidR="00EE5FD1" w:rsidRPr="005A5172" w:rsidRDefault="00EE5FD1" w:rsidP="00EE5FD1">
            <w:pPr>
              <w:spacing w:after="0" w:line="240" w:lineRule="auto"/>
              <w:jc w:val="right"/>
              <w:rPr>
                <w:rFonts w:ascii="Calibri" w:eastAsia="Calibri" w:hAnsi="Calibri" w:cs="Calibri"/>
                <w:b/>
                <w:sz w:val="18"/>
                <w:szCs w:val="18"/>
                <w:lang w:val="en-IE" w:eastAsia="en-IE"/>
              </w:rPr>
            </w:pPr>
          </w:p>
        </w:tc>
        <w:tc>
          <w:tcPr>
            <w:tcW w:w="979" w:type="dxa"/>
            <w:tcBorders>
              <w:top w:val="single" w:sz="8" w:space="0" w:color="auto"/>
              <w:left w:val="single" w:sz="8" w:space="0" w:color="auto"/>
              <w:right w:val="nil"/>
            </w:tcBorders>
            <w:shd w:val="clear" w:color="auto" w:fill="FFFF00"/>
            <w:vAlign w:val="bottom"/>
          </w:tcPr>
          <w:p w14:paraId="26D68662" w14:textId="7B79AD3D" w:rsidR="00EE5FD1" w:rsidRPr="005A5172" w:rsidRDefault="00EE5FD1" w:rsidP="00EE5FD1">
            <w:pPr>
              <w:spacing w:after="0" w:line="240" w:lineRule="auto"/>
              <w:jc w:val="right"/>
              <w:rPr>
                <w:rFonts w:ascii="Calibri" w:eastAsia="Times New Roman" w:hAnsi="Calibri" w:cs="Calibri"/>
                <w:b/>
                <w:bCs/>
                <w:color w:val="000000"/>
                <w:sz w:val="18"/>
                <w:szCs w:val="18"/>
                <w:lang w:val="en-IE" w:eastAsia="en-IE"/>
              </w:rPr>
            </w:pPr>
          </w:p>
        </w:tc>
      </w:tr>
      <w:tr w:rsidR="00EE5FD1" w:rsidRPr="005A5172" w14:paraId="3C394DC3" w14:textId="77777777" w:rsidTr="008B1A35">
        <w:trPr>
          <w:trHeight w:val="227"/>
        </w:trPr>
        <w:tc>
          <w:tcPr>
            <w:tcW w:w="3103" w:type="dxa"/>
            <w:shd w:val="clear" w:color="auto" w:fill="FFFF00"/>
            <w:vAlign w:val="bottom"/>
            <w:hideMark/>
          </w:tcPr>
          <w:p w14:paraId="630B64A5"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bCs/>
                <w:color w:val="000000"/>
                <w:sz w:val="18"/>
                <w:szCs w:val="18"/>
                <w:lang w:val="en-IE" w:eastAsia="en-US"/>
              </w:rPr>
              <w:t>Issue of ordinary equity shares</w:t>
            </w:r>
          </w:p>
        </w:tc>
        <w:tc>
          <w:tcPr>
            <w:tcW w:w="896" w:type="dxa"/>
            <w:tcBorders>
              <w:left w:val="single" w:sz="8" w:space="0" w:color="auto"/>
              <w:bottom w:val="nil"/>
              <w:right w:val="single" w:sz="8" w:space="0" w:color="auto"/>
            </w:tcBorders>
            <w:shd w:val="clear" w:color="auto" w:fill="FFFF00"/>
            <w:vAlign w:val="bottom"/>
          </w:tcPr>
          <w:p w14:paraId="4720F724" w14:textId="361951B3" w:rsidR="00EE5FD1" w:rsidRPr="005A5172" w:rsidRDefault="00563EF1"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0.4</w:t>
            </w:r>
          </w:p>
        </w:tc>
        <w:tc>
          <w:tcPr>
            <w:tcW w:w="841" w:type="dxa"/>
            <w:shd w:val="clear" w:color="auto" w:fill="FFFF00"/>
            <w:vAlign w:val="bottom"/>
          </w:tcPr>
          <w:p w14:paraId="56B5FAD1" w14:textId="5E8014D6"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shd w:val="clear" w:color="auto" w:fill="FFFF00"/>
            <w:vAlign w:val="bottom"/>
          </w:tcPr>
          <w:p w14:paraId="1E63FC7E" w14:textId="61B295B9" w:rsidR="00EE5FD1" w:rsidRPr="005A5172" w:rsidRDefault="00A26FF6"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10.2</w:t>
            </w:r>
          </w:p>
        </w:tc>
        <w:tc>
          <w:tcPr>
            <w:tcW w:w="1084" w:type="dxa"/>
            <w:shd w:val="clear" w:color="auto" w:fill="FFFF00"/>
            <w:vAlign w:val="bottom"/>
          </w:tcPr>
          <w:p w14:paraId="7CDA3C12" w14:textId="0000396D"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shd w:val="clear" w:color="auto" w:fill="FFFF00"/>
            <w:vAlign w:val="bottom"/>
          </w:tcPr>
          <w:p w14:paraId="5B3F779F" w14:textId="1AB2CFA2" w:rsidR="00EE5FD1" w:rsidRPr="005A5172" w:rsidRDefault="00A26FF6"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(8.4)</w:t>
            </w:r>
          </w:p>
        </w:tc>
        <w:tc>
          <w:tcPr>
            <w:tcW w:w="979" w:type="dxa"/>
            <w:tcBorders>
              <w:left w:val="single" w:sz="8" w:space="0" w:color="auto"/>
              <w:bottom w:val="nil"/>
              <w:right w:val="nil"/>
            </w:tcBorders>
            <w:shd w:val="clear" w:color="auto" w:fill="FFFF00"/>
            <w:vAlign w:val="bottom"/>
          </w:tcPr>
          <w:p w14:paraId="2CDCFCFC" w14:textId="09194A26" w:rsidR="00EE5FD1" w:rsidRPr="005A5172" w:rsidRDefault="00870D67"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FF5F7F">
              <w:rPr>
                <w:rFonts w:ascii="Calibri" w:eastAsia="Calibri" w:hAnsi="Calibri" w:cs="Calibri"/>
                <w:b/>
                <w:sz w:val="18"/>
                <w:szCs w:val="18"/>
                <w:lang w:val="en-IE" w:eastAsia="en-IE"/>
              </w:rPr>
              <w:t xml:space="preserve">  </w:t>
            </w:r>
            <w:r>
              <w:rPr>
                <w:rFonts w:ascii="Calibri" w:eastAsia="Calibri" w:hAnsi="Calibri" w:cs="Calibri"/>
                <w:b/>
                <w:sz w:val="18"/>
                <w:szCs w:val="18"/>
                <w:lang w:val="en-IE" w:eastAsia="en-IE"/>
              </w:rPr>
              <w:t xml:space="preserve">   -</w:t>
            </w:r>
          </w:p>
        </w:tc>
        <w:tc>
          <w:tcPr>
            <w:tcW w:w="979" w:type="dxa"/>
            <w:tcBorders>
              <w:left w:val="nil"/>
              <w:bottom w:val="nil"/>
              <w:right w:val="single" w:sz="8" w:space="0" w:color="auto"/>
            </w:tcBorders>
            <w:shd w:val="clear" w:color="auto" w:fill="FFFF00"/>
            <w:vAlign w:val="bottom"/>
          </w:tcPr>
          <w:p w14:paraId="34E20A71" w14:textId="4E816D88"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shd w:val="clear" w:color="auto" w:fill="FFFF00"/>
            <w:vAlign w:val="bottom"/>
          </w:tcPr>
          <w:p w14:paraId="5EB7620C" w14:textId="6D31361E" w:rsidR="00EE5FD1" w:rsidRPr="005A5172" w:rsidRDefault="00EF68B2"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1.8</w:t>
            </w:r>
          </w:p>
        </w:tc>
      </w:tr>
      <w:tr w:rsidR="00EE5FD1" w:rsidRPr="005A5172" w14:paraId="4F652815" w14:textId="77777777" w:rsidTr="008B1A35">
        <w:trPr>
          <w:trHeight w:val="227"/>
        </w:trPr>
        <w:tc>
          <w:tcPr>
            <w:tcW w:w="3103" w:type="dxa"/>
            <w:shd w:val="clear" w:color="auto" w:fill="FFFF00"/>
            <w:vAlign w:val="center"/>
          </w:tcPr>
          <w:p w14:paraId="7D68FECA" w14:textId="77777777" w:rsidR="00EE5FD1" w:rsidRPr="005A5172" w:rsidRDefault="00EE5FD1" w:rsidP="00EE5FD1">
            <w:pPr>
              <w:spacing w:after="0" w:line="240" w:lineRule="auto"/>
              <w:ind w:right="-112"/>
              <w:rPr>
                <w:rFonts w:ascii="Calibri" w:eastAsia="Times New Roman" w:hAnsi="Calibri" w:cs="Calibri"/>
                <w:bCs/>
                <w:color w:val="000000"/>
                <w:sz w:val="18"/>
                <w:szCs w:val="18"/>
                <w:lang w:val="en-IE" w:eastAsia="en-US"/>
              </w:rPr>
            </w:pPr>
            <w:r w:rsidRPr="005A5172">
              <w:rPr>
                <w:rFonts w:ascii="Calibri" w:eastAsia="Times New Roman" w:hAnsi="Calibri" w:cs="Calibri"/>
                <w:color w:val="000000"/>
                <w:sz w:val="18"/>
                <w:szCs w:val="18"/>
                <w:lang w:val="en-IE" w:eastAsia="en-IE"/>
              </w:rPr>
              <w:t>Repurchase of ordinary equity shares</w:t>
            </w:r>
          </w:p>
        </w:tc>
        <w:tc>
          <w:tcPr>
            <w:tcW w:w="896" w:type="dxa"/>
            <w:tcBorders>
              <w:left w:val="single" w:sz="8" w:space="0" w:color="auto"/>
              <w:bottom w:val="nil"/>
              <w:right w:val="single" w:sz="8" w:space="0" w:color="auto"/>
            </w:tcBorders>
            <w:shd w:val="clear" w:color="auto" w:fill="FFFF00"/>
            <w:vAlign w:val="center"/>
          </w:tcPr>
          <w:p w14:paraId="40037A21" w14:textId="40FFB23F" w:rsidR="00EE5FD1" w:rsidRPr="005A5172" w:rsidRDefault="00D26F18"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shd w:val="clear" w:color="auto" w:fill="FFFF00"/>
            <w:vAlign w:val="center"/>
          </w:tcPr>
          <w:p w14:paraId="60710972" w14:textId="72AC3559"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shd w:val="clear" w:color="auto" w:fill="FFFF00"/>
            <w:vAlign w:val="center"/>
          </w:tcPr>
          <w:p w14:paraId="6B8442DD" w14:textId="7009DDF1"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shd w:val="clear" w:color="auto" w:fill="FFFF00"/>
            <w:vAlign w:val="center"/>
          </w:tcPr>
          <w:p w14:paraId="4C05FA11" w14:textId="23A7CC29"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shd w:val="clear" w:color="auto" w:fill="FFFF00"/>
            <w:vAlign w:val="center"/>
          </w:tcPr>
          <w:p w14:paraId="1C5739AA" w14:textId="203FF088" w:rsidR="00EE5FD1" w:rsidRPr="005A5172" w:rsidRDefault="004B0C75"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(205.8)</w:t>
            </w:r>
          </w:p>
        </w:tc>
        <w:tc>
          <w:tcPr>
            <w:tcW w:w="979" w:type="dxa"/>
            <w:tcBorders>
              <w:left w:val="single" w:sz="8" w:space="0" w:color="auto"/>
              <w:bottom w:val="nil"/>
              <w:right w:val="nil"/>
            </w:tcBorders>
            <w:shd w:val="clear" w:color="auto" w:fill="FFFF00"/>
            <w:vAlign w:val="center"/>
          </w:tcPr>
          <w:p w14:paraId="594C0047" w14:textId="33C5755F" w:rsidR="00EE5FD1" w:rsidRPr="005A5172" w:rsidRDefault="00870D67"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FF5F7F">
              <w:rPr>
                <w:rFonts w:ascii="Calibri" w:eastAsia="Calibri" w:hAnsi="Calibri" w:cs="Calibri"/>
                <w:b/>
                <w:sz w:val="18"/>
                <w:szCs w:val="18"/>
                <w:lang w:val="en-IE" w:eastAsia="en-IE"/>
              </w:rPr>
              <w:t xml:space="preserve">  </w:t>
            </w:r>
            <w:r>
              <w:rPr>
                <w:rFonts w:ascii="Calibri" w:eastAsia="Calibri" w:hAnsi="Calibri" w:cs="Calibri"/>
                <w:b/>
                <w:sz w:val="18"/>
                <w:szCs w:val="18"/>
                <w:lang w:val="en-IE" w:eastAsia="en-IE"/>
              </w:rPr>
              <w:t xml:space="preserve"> -</w:t>
            </w:r>
          </w:p>
        </w:tc>
        <w:tc>
          <w:tcPr>
            <w:tcW w:w="979" w:type="dxa"/>
            <w:tcBorders>
              <w:left w:val="nil"/>
              <w:bottom w:val="nil"/>
              <w:right w:val="single" w:sz="8" w:space="0" w:color="auto"/>
            </w:tcBorders>
            <w:shd w:val="clear" w:color="auto" w:fill="FFFF00"/>
            <w:vAlign w:val="center"/>
          </w:tcPr>
          <w:p w14:paraId="53B3959C" w14:textId="5653E1BB"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shd w:val="clear" w:color="auto" w:fill="FFFF00"/>
            <w:vAlign w:val="center"/>
          </w:tcPr>
          <w:p w14:paraId="2B7F5824" w14:textId="4BD2D4CB" w:rsidR="00EE5FD1" w:rsidRPr="005A5172" w:rsidRDefault="004B0C75"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(205.8)</w:t>
            </w:r>
          </w:p>
        </w:tc>
      </w:tr>
      <w:tr w:rsidR="00EE5FD1" w:rsidRPr="005A5172" w14:paraId="1228B7EF" w14:textId="77777777" w:rsidTr="008B1A35">
        <w:trPr>
          <w:trHeight w:val="227"/>
        </w:trPr>
        <w:tc>
          <w:tcPr>
            <w:tcW w:w="3103" w:type="dxa"/>
            <w:shd w:val="clear" w:color="auto" w:fill="FFFF00"/>
            <w:vAlign w:val="center"/>
          </w:tcPr>
          <w:p w14:paraId="76BF80A5" w14:textId="77777777" w:rsidR="00EE5FD1" w:rsidRPr="005A5172" w:rsidRDefault="00EE5FD1" w:rsidP="00EE5FD1">
            <w:pPr>
              <w:spacing w:after="0" w:line="240" w:lineRule="auto"/>
              <w:ind w:right="-112"/>
              <w:rPr>
                <w:rFonts w:ascii="Calibri" w:eastAsia="Times New Roman" w:hAnsi="Calibri" w:cs="Calibri"/>
                <w:bCs/>
                <w:color w:val="000000"/>
                <w:sz w:val="18"/>
                <w:szCs w:val="18"/>
                <w:lang w:val="en-IE" w:eastAsia="en-US"/>
              </w:rPr>
            </w:pPr>
            <w:r w:rsidRPr="005A5172">
              <w:rPr>
                <w:rFonts w:ascii="Calibri" w:eastAsia="Times New Roman" w:hAnsi="Calibri" w:cs="Calibri"/>
                <w:color w:val="000000"/>
                <w:sz w:val="18"/>
                <w:szCs w:val="18"/>
                <w:lang w:val="en-IE" w:eastAsia="en-IE"/>
              </w:rPr>
              <w:t>Cancellation of repurchased shares</w:t>
            </w:r>
          </w:p>
        </w:tc>
        <w:tc>
          <w:tcPr>
            <w:tcW w:w="896" w:type="dxa"/>
            <w:tcBorders>
              <w:left w:val="single" w:sz="8" w:space="0" w:color="auto"/>
              <w:bottom w:val="nil"/>
              <w:right w:val="single" w:sz="8" w:space="0" w:color="auto"/>
            </w:tcBorders>
            <w:shd w:val="clear" w:color="auto" w:fill="FFFF00"/>
            <w:vAlign w:val="center"/>
          </w:tcPr>
          <w:p w14:paraId="2BB74409" w14:textId="3A84C4C7" w:rsidR="00EE5FD1" w:rsidRPr="005A5172" w:rsidRDefault="00394102"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(8.2)</w:t>
            </w:r>
          </w:p>
        </w:tc>
        <w:tc>
          <w:tcPr>
            <w:tcW w:w="841" w:type="dxa"/>
            <w:shd w:val="clear" w:color="auto" w:fill="FFFF00"/>
            <w:vAlign w:val="center"/>
          </w:tcPr>
          <w:p w14:paraId="30B9DE1E" w14:textId="53878ED7"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shd w:val="clear" w:color="auto" w:fill="FFFF00"/>
            <w:vAlign w:val="center"/>
          </w:tcPr>
          <w:p w14:paraId="658AFE5C" w14:textId="4594610F"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shd w:val="clear" w:color="auto" w:fill="FFFF00"/>
            <w:vAlign w:val="center"/>
          </w:tcPr>
          <w:p w14:paraId="204D0AFB" w14:textId="77501842"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shd w:val="clear" w:color="auto" w:fill="FFFF00"/>
            <w:vAlign w:val="center"/>
          </w:tcPr>
          <w:p w14:paraId="46AB06D1" w14:textId="0B601235"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tcBorders>
              <w:left w:val="single" w:sz="8" w:space="0" w:color="auto"/>
              <w:bottom w:val="nil"/>
              <w:right w:val="nil"/>
            </w:tcBorders>
            <w:shd w:val="clear" w:color="auto" w:fill="FFFF00"/>
            <w:vAlign w:val="center"/>
          </w:tcPr>
          <w:p w14:paraId="2A314C48" w14:textId="2EAB2B62" w:rsidR="00EE5FD1" w:rsidRPr="005A5172" w:rsidRDefault="00870D67"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FF5F7F">
              <w:rPr>
                <w:rFonts w:ascii="Calibri" w:eastAsia="Calibri" w:hAnsi="Calibri" w:cs="Calibri"/>
                <w:b/>
                <w:sz w:val="18"/>
                <w:szCs w:val="18"/>
                <w:lang w:val="en-IE" w:eastAsia="en-IE"/>
              </w:rPr>
              <w:t xml:space="preserve">  </w:t>
            </w:r>
            <w:r>
              <w:rPr>
                <w:rFonts w:ascii="Calibri" w:eastAsia="Calibri" w:hAnsi="Calibri" w:cs="Calibri"/>
                <w:b/>
                <w:sz w:val="18"/>
                <w:szCs w:val="18"/>
                <w:lang w:val="en-IE" w:eastAsia="en-IE"/>
              </w:rPr>
              <w:t>-</w:t>
            </w:r>
          </w:p>
        </w:tc>
        <w:tc>
          <w:tcPr>
            <w:tcW w:w="979" w:type="dxa"/>
            <w:tcBorders>
              <w:left w:val="nil"/>
              <w:bottom w:val="nil"/>
              <w:right w:val="single" w:sz="8" w:space="0" w:color="auto"/>
            </w:tcBorders>
            <w:shd w:val="clear" w:color="auto" w:fill="FFFF00"/>
            <w:vAlign w:val="center"/>
          </w:tcPr>
          <w:p w14:paraId="40481D27" w14:textId="6B07AF47"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shd w:val="clear" w:color="auto" w:fill="FFFF00"/>
            <w:vAlign w:val="center"/>
          </w:tcPr>
          <w:p w14:paraId="29934772" w14:textId="6FFEB7C3" w:rsidR="00EE5FD1" w:rsidRPr="005A5172" w:rsidRDefault="00D26F18"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w:t>
            </w:r>
          </w:p>
        </w:tc>
      </w:tr>
      <w:tr w:rsidR="00EE5FD1" w:rsidRPr="005A5172" w14:paraId="46839B4E" w14:textId="77777777" w:rsidTr="008B1A35">
        <w:trPr>
          <w:trHeight w:val="227"/>
        </w:trPr>
        <w:tc>
          <w:tcPr>
            <w:tcW w:w="3103" w:type="dxa"/>
            <w:shd w:val="clear" w:color="auto" w:fill="FFFF00"/>
            <w:vAlign w:val="bottom"/>
          </w:tcPr>
          <w:p w14:paraId="3F25054B" w14:textId="77777777" w:rsidR="00EE5FD1" w:rsidRPr="005A5172" w:rsidRDefault="00EE5FD1" w:rsidP="00EE5FD1">
            <w:pPr>
              <w:spacing w:after="0" w:line="240" w:lineRule="auto"/>
              <w:ind w:right="-112"/>
              <w:rPr>
                <w:rFonts w:ascii="Calibri" w:eastAsia="Times New Roman" w:hAnsi="Calibri" w:cs="Calibri"/>
                <w:bCs/>
                <w:color w:val="000000"/>
                <w:sz w:val="18"/>
                <w:szCs w:val="18"/>
                <w:lang w:val="en-IE" w:eastAsia="en-US"/>
              </w:rPr>
            </w:pPr>
            <w:r w:rsidRPr="005A5172">
              <w:rPr>
                <w:rFonts w:ascii="Calibri" w:eastAsia="Times New Roman" w:hAnsi="Calibri" w:cs="Calibri"/>
                <w:color w:val="000000"/>
                <w:sz w:val="18"/>
                <w:szCs w:val="18"/>
                <w:lang w:val="en-IE" w:eastAsia="en-IE"/>
              </w:rPr>
              <w:t>Dividends paid</w:t>
            </w:r>
          </w:p>
        </w:tc>
        <w:tc>
          <w:tcPr>
            <w:tcW w:w="896" w:type="dxa"/>
            <w:tcBorders>
              <w:left w:val="single" w:sz="8" w:space="0" w:color="auto"/>
              <w:bottom w:val="nil"/>
              <w:right w:val="single" w:sz="8" w:space="0" w:color="auto"/>
            </w:tcBorders>
            <w:shd w:val="clear" w:color="auto" w:fill="FFFF00"/>
            <w:vAlign w:val="bottom"/>
          </w:tcPr>
          <w:p w14:paraId="0A48F44D" w14:textId="2C65EF68" w:rsidR="00EE5FD1" w:rsidRPr="005A5172" w:rsidRDefault="00D26F18"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shd w:val="clear" w:color="auto" w:fill="FFFF00"/>
            <w:vAlign w:val="bottom"/>
          </w:tcPr>
          <w:p w14:paraId="2BD0F096" w14:textId="127FC385"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shd w:val="clear" w:color="auto" w:fill="FFFF00"/>
            <w:vAlign w:val="bottom"/>
          </w:tcPr>
          <w:p w14:paraId="09AA7054" w14:textId="685C55B0"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shd w:val="clear" w:color="auto" w:fill="FFFF00"/>
            <w:vAlign w:val="bottom"/>
          </w:tcPr>
          <w:p w14:paraId="6AA40514" w14:textId="56BFA206"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shd w:val="clear" w:color="auto" w:fill="FFFF00"/>
            <w:vAlign w:val="bottom"/>
          </w:tcPr>
          <w:p w14:paraId="3163C3CE" w14:textId="3DDF251B" w:rsidR="00EE5FD1" w:rsidRPr="005A5172" w:rsidRDefault="00475CB6"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(229.0)</w:t>
            </w:r>
          </w:p>
        </w:tc>
        <w:tc>
          <w:tcPr>
            <w:tcW w:w="979" w:type="dxa"/>
            <w:tcBorders>
              <w:left w:val="single" w:sz="8" w:space="0" w:color="auto"/>
              <w:bottom w:val="nil"/>
              <w:right w:val="nil"/>
            </w:tcBorders>
            <w:shd w:val="clear" w:color="auto" w:fill="FFFF00"/>
            <w:vAlign w:val="bottom"/>
          </w:tcPr>
          <w:p w14:paraId="5B5B931F" w14:textId="1E3A1B08" w:rsidR="00EE5FD1" w:rsidRPr="005A5172" w:rsidRDefault="00870D67"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FF5F7F">
              <w:rPr>
                <w:rFonts w:ascii="Calibri" w:eastAsia="Calibri" w:hAnsi="Calibri" w:cs="Calibri"/>
                <w:b/>
                <w:sz w:val="18"/>
                <w:szCs w:val="18"/>
                <w:lang w:val="en-IE" w:eastAsia="en-IE"/>
              </w:rPr>
              <w:t xml:space="preserve">  </w:t>
            </w:r>
            <w:r>
              <w:rPr>
                <w:rFonts w:ascii="Calibri" w:eastAsia="Calibri" w:hAnsi="Calibri" w:cs="Calibri"/>
                <w:b/>
                <w:sz w:val="18"/>
                <w:szCs w:val="18"/>
                <w:lang w:val="en-IE" w:eastAsia="en-IE"/>
              </w:rPr>
              <w:t>-</w:t>
            </w:r>
          </w:p>
        </w:tc>
        <w:tc>
          <w:tcPr>
            <w:tcW w:w="979" w:type="dxa"/>
            <w:tcBorders>
              <w:left w:val="nil"/>
              <w:bottom w:val="nil"/>
              <w:right w:val="single" w:sz="8" w:space="0" w:color="auto"/>
            </w:tcBorders>
            <w:shd w:val="clear" w:color="auto" w:fill="FFFF00"/>
            <w:vAlign w:val="bottom"/>
          </w:tcPr>
          <w:p w14:paraId="6327EB92" w14:textId="20DC29A9"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shd w:val="clear" w:color="auto" w:fill="FFFF00"/>
            <w:vAlign w:val="bottom"/>
          </w:tcPr>
          <w:p w14:paraId="0D851BAE" w14:textId="5B46880F" w:rsidR="00EE5FD1" w:rsidRPr="005A5172" w:rsidRDefault="00475CB6"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(229.0)</w:t>
            </w:r>
          </w:p>
        </w:tc>
      </w:tr>
      <w:tr w:rsidR="00EE5FD1" w:rsidRPr="005A5172" w14:paraId="5C3CD37C" w14:textId="77777777" w:rsidTr="008B1A35">
        <w:trPr>
          <w:trHeight w:val="227"/>
        </w:trPr>
        <w:tc>
          <w:tcPr>
            <w:tcW w:w="3103" w:type="dxa"/>
            <w:shd w:val="clear" w:color="auto" w:fill="FFFF00"/>
            <w:vAlign w:val="bottom"/>
            <w:hideMark/>
          </w:tcPr>
          <w:p w14:paraId="41E9E8E9"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bCs/>
                <w:color w:val="000000"/>
                <w:sz w:val="18"/>
                <w:szCs w:val="18"/>
                <w:lang w:val="en-IE" w:eastAsia="en-US"/>
              </w:rPr>
              <w:t>Share-based payments</w:t>
            </w:r>
          </w:p>
        </w:tc>
        <w:tc>
          <w:tcPr>
            <w:tcW w:w="896" w:type="dxa"/>
            <w:tcBorders>
              <w:top w:val="nil"/>
              <w:left w:val="single" w:sz="8" w:space="0" w:color="auto"/>
              <w:bottom w:val="nil"/>
              <w:right w:val="single" w:sz="8" w:space="0" w:color="auto"/>
            </w:tcBorders>
            <w:shd w:val="clear" w:color="auto" w:fill="FFFF00"/>
            <w:vAlign w:val="bottom"/>
          </w:tcPr>
          <w:p w14:paraId="459909DC" w14:textId="5D9E3E6C" w:rsidR="00EE5FD1" w:rsidRPr="005A5172" w:rsidRDefault="00D26F18"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shd w:val="clear" w:color="auto" w:fill="FFFF00"/>
            <w:vAlign w:val="bottom"/>
          </w:tcPr>
          <w:p w14:paraId="1B1C273F" w14:textId="4A7C90FE"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shd w:val="clear" w:color="auto" w:fill="FFFF00"/>
            <w:vAlign w:val="bottom"/>
          </w:tcPr>
          <w:p w14:paraId="221A6C10" w14:textId="39502797"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shd w:val="clear" w:color="auto" w:fill="FFFF00"/>
            <w:vAlign w:val="bottom"/>
          </w:tcPr>
          <w:p w14:paraId="6AB062EC" w14:textId="10B79860"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shd w:val="clear" w:color="auto" w:fill="FFFF00"/>
            <w:vAlign w:val="bottom"/>
          </w:tcPr>
          <w:p w14:paraId="0BCFF205" w14:textId="7FA7414F"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79" w:type="dxa"/>
            <w:tcBorders>
              <w:top w:val="nil"/>
              <w:left w:val="single" w:sz="8" w:space="0" w:color="auto"/>
              <w:bottom w:val="nil"/>
              <w:right w:val="nil"/>
            </w:tcBorders>
            <w:shd w:val="clear" w:color="auto" w:fill="FFFF00"/>
            <w:vAlign w:val="bottom"/>
          </w:tcPr>
          <w:p w14:paraId="43846E14" w14:textId="4A524ECD" w:rsidR="00EE5FD1" w:rsidRPr="005A5172" w:rsidRDefault="00870D67"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FF5F7F">
              <w:rPr>
                <w:rFonts w:ascii="Calibri" w:eastAsia="Calibri" w:hAnsi="Calibri" w:cs="Calibri"/>
                <w:b/>
                <w:sz w:val="18"/>
                <w:szCs w:val="18"/>
                <w:lang w:val="en-IE" w:eastAsia="en-IE"/>
              </w:rPr>
              <w:t xml:space="preserve">  </w:t>
            </w:r>
            <w:r>
              <w:rPr>
                <w:rFonts w:ascii="Calibri" w:eastAsia="Calibri" w:hAnsi="Calibri" w:cs="Calibri"/>
                <w:b/>
                <w:sz w:val="18"/>
                <w:szCs w:val="18"/>
                <w:lang w:val="en-IE" w:eastAsia="en-IE"/>
              </w:rPr>
              <w:t>-</w:t>
            </w:r>
          </w:p>
        </w:tc>
        <w:tc>
          <w:tcPr>
            <w:tcW w:w="979" w:type="dxa"/>
            <w:tcBorders>
              <w:top w:val="nil"/>
              <w:left w:val="nil"/>
              <w:bottom w:val="nil"/>
              <w:right w:val="single" w:sz="8" w:space="0" w:color="auto"/>
            </w:tcBorders>
            <w:shd w:val="clear" w:color="auto" w:fill="FFFF00"/>
            <w:vAlign w:val="bottom"/>
          </w:tcPr>
          <w:p w14:paraId="4A7FBAF3" w14:textId="678EF8D5" w:rsidR="00EE5FD1" w:rsidRPr="005A5172" w:rsidRDefault="00A3242B"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9.0</w:t>
            </w:r>
          </w:p>
        </w:tc>
        <w:tc>
          <w:tcPr>
            <w:tcW w:w="979" w:type="dxa"/>
            <w:shd w:val="clear" w:color="auto" w:fill="FFFF00"/>
            <w:vAlign w:val="bottom"/>
          </w:tcPr>
          <w:p w14:paraId="2133D345" w14:textId="7D816AC2" w:rsidR="00EE5FD1" w:rsidRPr="005A5172" w:rsidRDefault="00A3242B"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9.0</w:t>
            </w:r>
          </w:p>
        </w:tc>
      </w:tr>
      <w:tr w:rsidR="00EE5FD1" w:rsidRPr="005A5172" w14:paraId="73739917" w14:textId="77777777" w:rsidTr="008B1A35">
        <w:trPr>
          <w:trHeight w:val="227"/>
        </w:trPr>
        <w:tc>
          <w:tcPr>
            <w:tcW w:w="3103" w:type="dxa"/>
            <w:shd w:val="clear" w:color="auto" w:fill="FFFF00"/>
            <w:vAlign w:val="bottom"/>
            <w:hideMark/>
          </w:tcPr>
          <w:p w14:paraId="248A1896" w14:textId="77777777" w:rsidR="00EE5FD1" w:rsidRPr="005A5172" w:rsidRDefault="00EE5FD1" w:rsidP="00EE5FD1">
            <w:pPr>
              <w:spacing w:after="0" w:line="240" w:lineRule="auto"/>
              <w:ind w:right="-112"/>
              <w:rPr>
                <w:rFonts w:ascii="Calibri" w:eastAsia="Times New Roman" w:hAnsi="Calibri" w:cs="Calibri"/>
                <w:color w:val="000000"/>
                <w:sz w:val="18"/>
                <w:szCs w:val="18"/>
                <w:lang w:val="en-IE" w:eastAsia="en-IE"/>
              </w:rPr>
            </w:pPr>
            <w:r w:rsidRPr="005A5172">
              <w:rPr>
                <w:rFonts w:ascii="Calibri" w:eastAsia="Times New Roman" w:hAnsi="Calibri" w:cs="Calibri"/>
                <w:bCs/>
                <w:color w:val="000000"/>
                <w:sz w:val="18"/>
                <w:szCs w:val="18"/>
                <w:lang w:val="en-IE" w:eastAsia="en-US"/>
              </w:rPr>
              <w:t>Transfer of exercised and expired share-based awards</w:t>
            </w:r>
          </w:p>
        </w:tc>
        <w:tc>
          <w:tcPr>
            <w:tcW w:w="896" w:type="dxa"/>
            <w:tcBorders>
              <w:top w:val="nil"/>
              <w:left w:val="single" w:sz="8" w:space="0" w:color="auto"/>
              <w:bottom w:val="single" w:sz="12" w:space="0" w:color="auto"/>
              <w:right w:val="single" w:sz="8" w:space="0" w:color="auto"/>
            </w:tcBorders>
            <w:shd w:val="clear" w:color="auto" w:fill="FFFF00"/>
            <w:vAlign w:val="bottom"/>
          </w:tcPr>
          <w:p w14:paraId="60DDF27B" w14:textId="1ACDA6AE" w:rsidR="00EE5FD1" w:rsidRPr="005A5172" w:rsidRDefault="00D26F18" w:rsidP="00EE5FD1">
            <w:pPr>
              <w:spacing w:after="0" w:line="240" w:lineRule="auto"/>
              <w:jc w:val="right"/>
              <w:rPr>
                <w:rFonts w:ascii="Calibri" w:eastAsia="Times New Roman" w:hAnsi="Calibri" w:cs="Calibri"/>
                <w:b/>
                <w:color w:val="000000"/>
                <w:sz w:val="18"/>
                <w:szCs w:val="18"/>
                <w:lang w:val="en-IE" w:eastAsia="en-IE"/>
              </w:rPr>
            </w:pPr>
            <w:r>
              <w:rPr>
                <w:rFonts w:ascii="Calibri" w:eastAsia="Times New Roman" w:hAnsi="Calibri" w:cs="Calibri"/>
                <w:b/>
                <w:color w:val="000000"/>
                <w:sz w:val="18"/>
                <w:szCs w:val="18"/>
                <w:lang w:val="en-IE" w:eastAsia="en-IE"/>
              </w:rPr>
              <w:t>-</w:t>
            </w:r>
          </w:p>
        </w:tc>
        <w:tc>
          <w:tcPr>
            <w:tcW w:w="841" w:type="dxa"/>
            <w:tcBorders>
              <w:bottom w:val="single" w:sz="12" w:space="0" w:color="auto"/>
            </w:tcBorders>
            <w:shd w:val="clear" w:color="auto" w:fill="FFFF00"/>
            <w:vAlign w:val="bottom"/>
          </w:tcPr>
          <w:p w14:paraId="3DAC372B" w14:textId="27D34BA6"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32" w:type="dxa"/>
            <w:tcBorders>
              <w:bottom w:val="single" w:sz="12" w:space="0" w:color="auto"/>
            </w:tcBorders>
            <w:shd w:val="clear" w:color="auto" w:fill="FFFF00"/>
            <w:vAlign w:val="bottom"/>
          </w:tcPr>
          <w:p w14:paraId="12CD4856" w14:textId="530B9FD9"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1084" w:type="dxa"/>
            <w:tcBorders>
              <w:bottom w:val="single" w:sz="12" w:space="0" w:color="auto"/>
            </w:tcBorders>
            <w:shd w:val="clear" w:color="auto" w:fill="FFFF00"/>
            <w:vAlign w:val="bottom"/>
          </w:tcPr>
          <w:p w14:paraId="685CCB4E" w14:textId="6E5D4655" w:rsidR="00EE5FD1" w:rsidRPr="005A5172" w:rsidRDefault="00D26F18"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w:t>
            </w:r>
          </w:p>
        </w:tc>
        <w:tc>
          <w:tcPr>
            <w:tcW w:w="980" w:type="dxa"/>
            <w:tcBorders>
              <w:bottom w:val="single" w:sz="12" w:space="0" w:color="auto"/>
            </w:tcBorders>
            <w:shd w:val="clear" w:color="auto" w:fill="FFFF00"/>
            <w:vAlign w:val="bottom"/>
          </w:tcPr>
          <w:p w14:paraId="4AF054CA" w14:textId="07E67A2F" w:rsidR="00EE5FD1" w:rsidRPr="005A5172" w:rsidRDefault="0076519C"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0.1</w:t>
            </w:r>
          </w:p>
        </w:tc>
        <w:tc>
          <w:tcPr>
            <w:tcW w:w="979" w:type="dxa"/>
            <w:tcBorders>
              <w:top w:val="nil"/>
              <w:left w:val="single" w:sz="8" w:space="0" w:color="auto"/>
              <w:bottom w:val="single" w:sz="12" w:space="0" w:color="auto"/>
              <w:right w:val="nil"/>
            </w:tcBorders>
            <w:shd w:val="clear" w:color="auto" w:fill="FFFF00"/>
            <w:vAlign w:val="bottom"/>
          </w:tcPr>
          <w:p w14:paraId="00F1A0FA" w14:textId="4B4CA691" w:rsidR="00EE5FD1" w:rsidRPr="005A5172" w:rsidRDefault="00870D67" w:rsidP="00D17FCF">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FF5F7F">
              <w:rPr>
                <w:rFonts w:ascii="Calibri" w:eastAsia="Calibri" w:hAnsi="Calibri" w:cs="Calibri"/>
                <w:b/>
                <w:sz w:val="18"/>
                <w:szCs w:val="18"/>
                <w:lang w:val="en-IE" w:eastAsia="en-IE"/>
              </w:rPr>
              <w:t xml:space="preserve">   </w:t>
            </w:r>
            <w:r>
              <w:rPr>
                <w:rFonts w:ascii="Calibri" w:eastAsia="Calibri" w:hAnsi="Calibri" w:cs="Calibri"/>
                <w:b/>
                <w:sz w:val="18"/>
                <w:szCs w:val="18"/>
                <w:lang w:val="en-IE" w:eastAsia="en-IE"/>
              </w:rPr>
              <w:t>-</w:t>
            </w:r>
          </w:p>
        </w:tc>
        <w:tc>
          <w:tcPr>
            <w:tcW w:w="979" w:type="dxa"/>
            <w:tcBorders>
              <w:top w:val="nil"/>
              <w:left w:val="nil"/>
              <w:bottom w:val="single" w:sz="12" w:space="0" w:color="auto"/>
              <w:right w:val="single" w:sz="8" w:space="0" w:color="auto"/>
            </w:tcBorders>
            <w:shd w:val="clear" w:color="auto" w:fill="FFFF00"/>
            <w:vAlign w:val="bottom"/>
          </w:tcPr>
          <w:p w14:paraId="50B95742" w14:textId="2E11CA98" w:rsidR="00EE5FD1" w:rsidRPr="005A5172" w:rsidRDefault="00FF5F7F" w:rsidP="00EE5FD1">
            <w:pPr>
              <w:spacing w:after="0" w:line="240" w:lineRule="auto"/>
              <w:jc w:val="right"/>
              <w:rPr>
                <w:rFonts w:ascii="Calibri" w:eastAsia="Calibri" w:hAnsi="Calibri" w:cs="Calibri"/>
                <w:b/>
                <w:sz w:val="18"/>
                <w:szCs w:val="18"/>
                <w:lang w:val="en-IE" w:eastAsia="en-IE"/>
              </w:rPr>
            </w:pPr>
            <w:r>
              <w:rPr>
                <w:rFonts w:ascii="Calibri" w:eastAsia="Calibri" w:hAnsi="Calibri" w:cs="Calibri"/>
                <w:b/>
                <w:sz w:val="18"/>
                <w:szCs w:val="18"/>
                <w:lang w:val="en-IE" w:eastAsia="en-IE"/>
              </w:rPr>
              <w:t xml:space="preserve">  </w:t>
            </w:r>
            <w:r w:rsidR="0076519C">
              <w:rPr>
                <w:rFonts w:ascii="Calibri" w:eastAsia="Calibri" w:hAnsi="Calibri" w:cs="Calibri"/>
                <w:b/>
                <w:sz w:val="18"/>
                <w:szCs w:val="18"/>
                <w:lang w:val="en-IE" w:eastAsia="en-IE"/>
              </w:rPr>
              <w:t>(0.1)</w:t>
            </w:r>
          </w:p>
        </w:tc>
        <w:tc>
          <w:tcPr>
            <w:tcW w:w="979" w:type="dxa"/>
            <w:tcBorders>
              <w:bottom w:val="single" w:sz="12" w:space="0" w:color="auto"/>
            </w:tcBorders>
            <w:shd w:val="clear" w:color="auto" w:fill="FFFF00"/>
            <w:vAlign w:val="bottom"/>
          </w:tcPr>
          <w:p w14:paraId="715560E8" w14:textId="19DCA702" w:rsidR="00EE5FD1" w:rsidRPr="005A5172" w:rsidRDefault="00D26F18" w:rsidP="00EE5FD1">
            <w:pPr>
              <w:spacing w:after="0" w:line="240" w:lineRule="auto"/>
              <w:jc w:val="right"/>
              <w:rPr>
                <w:rFonts w:ascii="Calibri" w:eastAsia="Times New Roman" w:hAnsi="Calibri" w:cs="Calibri"/>
                <w:b/>
                <w:bCs/>
                <w:color w:val="000000"/>
                <w:sz w:val="18"/>
                <w:szCs w:val="18"/>
                <w:lang w:val="en-IE" w:eastAsia="en-IE"/>
              </w:rPr>
            </w:pPr>
            <w:r>
              <w:rPr>
                <w:rFonts w:ascii="Calibri" w:eastAsia="Times New Roman" w:hAnsi="Calibri" w:cs="Calibri"/>
                <w:b/>
                <w:bCs/>
                <w:color w:val="000000"/>
                <w:sz w:val="18"/>
                <w:szCs w:val="18"/>
                <w:lang w:val="en-IE" w:eastAsia="en-IE"/>
              </w:rPr>
              <w:t>-</w:t>
            </w:r>
          </w:p>
        </w:tc>
      </w:tr>
      <w:tr w:rsidR="00EE5FD1" w:rsidRPr="005A5172" w14:paraId="7E004B77" w14:textId="77777777" w:rsidTr="008B1A35">
        <w:trPr>
          <w:trHeight w:val="227"/>
        </w:trPr>
        <w:tc>
          <w:tcPr>
            <w:tcW w:w="3103" w:type="dxa"/>
            <w:shd w:val="clear" w:color="auto" w:fill="FFFF00"/>
            <w:vAlign w:val="bottom"/>
            <w:hideMark/>
          </w:tcPr>
          <w:p w14:paraId="34C50E74" w14:textId="4192F0E4" w:rsidR="00EE5FD1" w:rsidRPr="005A5172" w:rsidRDefault="00EE5FD1" w:rsidP="00EE5FD1">
            <w:pPr>
              <w:spacing w:after="0" w:line="240" w:lineRule="auto"/>
              <w:ind w:right="-112"/>
              <w:rPr>
                <w:rFonts w:ascii="Calibri" w:eastAsia="Times New Roman" w:hAnsi="Calibri" w:cs="Calibri"/>
                <w:b/>
                <w:bCs/>
                <w:color w:val="000000"/>
                <w:sz w:val="18"/>
                <w:szCs w:val="18"/>
                <w:lang w:val="en-IE" w:eastAsia="en-IE"/>
              </w:rPr>
            </w:pPr>
            <w:r w:rsidRPr="005A5172">
              <w:rPr>
                <w:rFonts w:ascii="Calibri" w:eastAsia="Times New Roman" w:hAnsi="Calibri" w:cs="Calibri"/>
                <w:b/>
                <w:bCs/>
                <w:color w:val="000000"/>
                <w:sz w:val="18"/>
                <w:szCs w:val="18"/>
                <w:lang w:val="en-IE" w:eastAsia="en-US"/>
              </w:rPr>
              <w:t>Balance at September 30, 202</w:t>
            </w:r>
            <w:r w:rsidR="006A55BB">
              <w:rPr>
                <w:rFonts w:ascii="Calibri" w:eastAsia="Times New Roman" w:hAnsi="Calibri" w:cs="Calibri"/>
                <w:b/>
                <w:bCs/>
                <w:color w:val="000000"/>
                <w:sz w:val="18"/>
                <w:szCs w:val="18"/>
                <w:lang w:val="en-IE" w:eastAsia="en-US"/>
              </w:rPr>
              <w:t>5</w:t>
            </w:r>
          </w:p>
        </w:tc>
        <w:tc>
          <w:tcPr>
            <w:tcW w:w="896" w:type="dxa"/>
            <w:tcBorders>
              <w:top w:val="single" w:sz="12" w:space="0" w:color="auto"/>
              <w:left w:val="single" w:sz="8" w:space="0" w:color="auto"/>
              <w:bottom w:val="single" w:sz="12" w:space="0" w:color="auto"/>
              <w:right w:val="single" w:sz="8" w:space="0" w:color="auto"/>
            </w:tcBorders>
            <w:shd w:val="clear" w:color="auto" w:fill="FFFF00"/>
            <w:vAlign w:val="bottom"/>
          </w:tcPr>
          <w:p w14:paraId="06C83ECD" w14:textId="2F287150" w:rsidR="00EE5FD1" w:rsidRPr="000A256C" w:rsidRDefault="00870D67" w:rsidP="00EE5FD1">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1,056.1</w:t>
            </w:r>
          </w:p>
        </w:tc>
        <w:tc>
          <w:tcPr>
            <w:tcW w:w="841" w:type="dxa"/>
            <w:tcBorders>
              <w:top w:val="single" w:sz="12" w:space="0" w:color="auto"/>
              <w:left w:val="nil"/>
              <w:bottom w:val="single" w:sz="12" w:space="0" w:color="auto"/>
              <w:right w:val="nil"/>
            </w:tcBorders>
            <w:shd w:val="clear" w:color="auto" w:fill="FFFF00"/>
            <w:vAlign w:val="bottom"/>
          </w:tcPr>
          <w:p w14:paraId="4B1DFCF6" w14:textId="26CE039E" w:rsidR="00EE5FD1" w:rsidRPr="000A256C" w:rsidRDefault="00870D67" w:rsidP="00EE5FD1">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6.4</w:t>
            </w:r>
          </w:p>
        </w:tc>
        <w:tc>
          <w:tcPr>
            <w:tcW w:w="932" w:type="dxa"/>
            <w:tcBorders>
              <w:top w:val="single" w:sz="12" w:space="0" w:color="auto"/>
              <w:left w:val="nil"/>
              <w:bottom w:val="single" w:sz="12" w:space="0" w:color="auto"/>
              <w:right w:val="nil"/>
            </w:tcBorders>
            <w:shd w:val="clear" w:color="auto" w:fill="FFFF00"/>
            <w:vAlign w:val="bottom"/>
          </w:tcPr>
          <w:p w14:paraId="587E55F0" w14:textId="4293B307" w:rsidR="00EE5FD1" w:rsidRPr="000A256C" w:rsidRDefault="00870D67" w:rsidP="00EE5FD1">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1,431.8</w:t>
            </w:r>
          </w:p>
        </w:tc>
        <w:tc>
          <w:tcPr>
            <w:tcW w:w="1084" w:type="dxa"/>
            <w:tcBorders>
              <w:top w:val="single" w:sz="12" w:space="0" w:color="auto"/>
              <w:left w:val="nil"/>
              <w:bottom w:val="single" w:sz="12" w:space="0" w:color="auto"/>
              <w:right w:val="nil"/>
            </w:tcBorders>
            <w:shd w:val="clear" w:color="auto" w:fill="FFFF00"/>
            <w:vAlign w:val="bottom"/>
          </w:tcPr>
          <w:p w14:paraId="01B3B999" w14:textId="5C049EF8" w:rsidR="00EE5FD1" w:rsidRPr="000A256C" w:rsidRDefault="00870D67" w:rsidP="00EE5FD1">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4.0</w:t>
            </w:r>
          </w:p>
        </w:tc>
        <w:tc>
          <w:tcPr>
            <w:tcW w:w="980" w:type="dxa"/>
            <w:tcBorders>
              <w:top w:val="single" w:sz="12" w:space="0" w:color="auto"/>
              <w:left w:val="nil"/>
              <w:bottom w:val="single" w:sz="12" w:space="0" w:color="auto"/>
              <w:right w:val="nil"/>
            </w:tcBorders>
            <w:shd w:val="clear" w:color="auto" w:fill="FFFF00"/>
            <w:vAlign w:val="bottom"/>
          </w:tcPr>
          <w:p w14:paraId="66E3DB27" w14:textId="2F5ED69C" w:rsidR="00EE5FD1" w:rsidRPr="000A256C" w:rsidRDefault="00870D67" w:rsidP="00EE5FD1">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7,684.3</w:t>
            </w:r>
          </w:p>
        </w:tc>
        <w:tc>
          <w:tcPr>
            <w:tcW w:w="979" w:type="dxa"/>
            <w:tcBorders>
              <w:top w:val="single" w:sz="12" w:space="0" w:color="auto"/>
              <w:left w:val="single" w:sz="8" w:space="0" w:color="auto"/>
              <w:bottom w:val="single" w:sz="12" w:space="0" w:color="auto"/>
              <w:right w:val="nil"/>
            </w:tcBorders>
            <w:shd w:val="clear" w:color="auto" w:fill="FFFF00"/>
            <w:vAlign w:val="bottom"/>
          </w:tcPr>
          <w:p w14:paraId="4E5B4654" w14:textId="27A41C4B" w:rsidR="00EE5FD1" w:rsidRPr="000A256C" w:rsidRDefault="00FF5F7F" w:rsidP="00D17FCF">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 xml:space="preserve">  </w:t>
            </w:r>
            <w:r w:rsidR="00010CB1" w:rsidRPr="000A256C">
              <w:rPr>
                <w:rFonts w:ascii="Calibri" w:eastAsia="Times New Roman" w:hAnsi="Calibri" w:cs="Calibri"/>
                <w:b/>
                <w:bCs/>
                <w:color w:val="000000"/>
                <w:sz w:val="18"/>
                <w:szCs w:val="18"/>
                <w:highlight w:val="yellow"/>
                <w:lang w:val="en-IE" w:eastAsia="en-IE"/>
              </w:rPr>
              <w:t>(</w:t>
            </w:r>
            <w:r w:rsidR="00E725DA" w:rsidRPr="000A256C">
              <w:rPr>
                <w:rFonts w:ascii="Calibri" w:eastAsia="Times New Roman" w:hAnsi="Calibri" w:cs="Calibri"/>
                <w:b/>
                <w:bCs/>
                <w:color w:val="000000"/>
                <w:sz w:val="18"/>
                <w:szCs w:val="18"/>
                <w:highlight w:val="yellow"/>
                <w:lang w:val="en-IE" w:eastAsia="en-IE"/>
              </w:rPr>
              <w:t>203.2)</w:t>
            </w:r>
          </w:p>
        </w:tc>
        <w:tc>
          <w:tcPr>
            <w:tcW w:w="979" w:type="dxa"/>
            <w:tcBorders>
              <w:top w:val="single" w:sz="12" w:space="0" w:color="auto"/>
              <w:left w:val="nil"/>
              <w:bottom w:val="single" w:sz="12" w:space="0" w:color="auto"/>
              <w:right w:val="single" w:sz="8" w:space="0" w:color="auto"/>
            </w:tcBorders>
            <w:shd w:val="clear" w:color="auto" w:fill="FFFF00"/>
            <w:vAlign w:val="bottom"/>
          </w:tcPr>
          <w:p w14:paraId="1EA5E939" w14:textId="4A266F8B" w:rsidR="00EE5FD1" w:rsidRPr="000A256C" w:rsidRDefault="00E725DA" w:rsidP="00EE5FD1">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46.5</w:t>
            </w:r>
          </w:p>
        </w:tc>
        <w:tc>
          <w:tcPr>
            <w:tcW w:w="979" w:type="dxa"/>
            <w:tcBorders>
              <w:top w:val="single" w:sz="12" w:space="0" w:color="auto"/>
              <w:left w:val="nil"/>
              <w:bottom w:val="single" w:sz="12" w:space="0" w:color="auto"/>
              <w:right w:val="single" w:sz="12" w:space="0" w:color="auto"/>
            </w:tcBorders>
            <w:shd w:val="clear" w:color="auto" w:fill="FFFF00"/>
            <w:vAlign w:val="bottom"/>
          </w:tcPr>
          <w:p w14:paraId="5DF0E7FA" w14:textId="7DBE8E3C" w:rsidR="00EE5FD1" w:rsidRPr="000A256C" w:rsidRDefault="00E725DA" w:rsidP="00EE5FD1">
            <w:pPr>
              <w:spacing w:after="0" w:line="240" w:lineRule="auto"/>
              <w:jc w:val="right"/>
              <w:rPr>
                <w:rFonts w:ascii="Calibri" w:eastAsia="Times New Roman" w:hAnsi="Calibri" w:cs="Calibri"/>
                <w:b/>
                <w:bCs/>
                <w:color w:val="000000"/>
                <w:sz w:val="18"/>
                <w:szCs w:val="18"/>
                <w:highlight w:val="yellow"/>
                <w:lang w:val="en-IE" w:eastAsia="en-IE"/>
              </w:rPr>
            </w:pPr>
            <w:r w:rsidRPr="000A256C">
              <w:rPr>
                <w:rFonts w:ascii="Calibri" w:eastAsia="Times New Roman" w:hAnsi="Calibri" w:cs="Calibri"/>
                <w:b/>
                <w:bCs/>
                <w:color w:val="000000"/>
                <w:sz w:val="18"/>
                <w:szCs w:val="18"/>
                <w:highlight w:val="yellow"/>
                <w:lang w:val="en-IE" w:eastAsia="en-IE"/>
              </w:rPr>
              <w:t>8,</w:t>
            </w:r>
            <w:r w:rsidR="00FF5F7F" w:rsidRPr="000A256C">
              <w:rPr>
                <w:rFonts w:ascii="Calibri" w:eastAsia="Times New Roman" w:hAnsi="Calibri" w:cs="Calibri"/>
                <w:b/>
                <w:bCs/>
                <w:color w:val="000000"/>
                <w:sz w:val="18"/>
                <w:szCs w:val="18"/>
                <w:highlight w:val="yellow"/>
                <w:lang w:val="en-IE" w:eastAsia="en-IE"/>
              </w:rPr>
              <w:t>969.8</w:t>
            </w:r>
          </w:p>
        </w:tc>
      </w:tr>
    </w:tbl>
    <w:p w14:paraId="0D3CB985" w14:textId="14F1FB7E" w:rsidR="008B1A35" w:rsidRDefault="008B1A35">
      <w:pPr>
        <w:rPr>
          <w:rFonts w:ascii="Calibri" w:eastAsia="Times New Roman" w:hAnsi="Calibri" w:cs="Calibri"/>
          <w:b/>
          <w:bCs/>
          <w:color w:val="000000"/>
          <w:lang w:val="en-IE" w:eastAsia="en-US"/>
        </w:rPr>
      </w:pPr>
      <w:r>
        <w:rPr>
          <w:rFonts w:ascii="Calibri" w:eastAsia="Times New Roman" w:hAnsi="Calibri" w:cs="Calibri"/>
          <w:b/>
          <w:bCs/>
          <w:color w:val="000000"/>
          <w:lang w:val="en-IE" w:eastAsia="en-US"/>
        </w:rPr>
        <w:br w:type="page"/>
      </w:r>
    </w:p>
    <w:p w14:paraId="40EFA009" w14:textId="0E81D489" w:rsidR="000E5963" w:rsidRPr="000E5963" w:rsidRDefault="000E5963" w:rsidP="000E5963">
      <w:pPr>
        <w:spacing w:after="0" w:line="240" w:lineRule="auto"/>
        <w:ind w:right="283"/>
        <w:jc w:val="both"/>
        <w:rPr>
          <w:rFonts w:ascii="Calibri" w:eastAsia="Times New Roman" w:hAnsi="Calibri" w:cs="Calibri"/>
          <w:b/>
          <w:bCs/>
          <w:lang w:val="en-IE" w:eastAsia="en-US"/>
        </w:rPr>
      </w:pPr>
      <w:bookmarkStart w:id="3" w:name="_Hlk483399485"/>
      <w:bookmarkStart w:id="4" w:name="_Hlk496863115"/>
      <w:bookmarkStart w:id="5" w:name="_Hlk536721142"/>
      <w:bookmarkStart w:id="6" w:name="_Hlk527704244"/>
      <w:r w:rsidRPr="000E5963">
        <w:rPr>
          <w:rFonts w:ascii="Calibri" w:eastAsia="Times New Roman" w:hAnsi="Calibri" w:cs="Calibri"/>
          <w:b/>
          <w:bCs/>
          <w:lang w:val="en-IE" w:eastAsia="en-US"/>
        </w:rPr>
        <w:lastRenderedPageBreak/>
        <w:t>Ryanair Holdings plc and Subsidiaries</w:t>
      </w:r>
    </w:p>
    <w:p w14:paraId="43DB4373" w14:textId="0C743FB4" w:rsidR="000E5963" w:rsidRPr="000E5963" w:rsidRDefault="000E5963" w:rsidP="000E5963">
      <w:pPr>
        <w:spacing w:after="0" w:line="240" w:lineRule="auto"/>
        <w:jc w:val="both"/>
        <w:rPr>
          <w:rFonts w:ascii="Calibri" w:eastAsia="Times New Roman" w:hAnsi="Calibri" w:cs="Calibri"/>
          <w:b/>
          <w:lang w:val="en-IE" w:eastAsia="en-US"/>
        </w:rPr>
      </w:pPr>
      <w:r w:rsidRPr="000E5963">
        <w:rPr>
          <w:rFonts w:ascii="Calibri" w:eastAsia="Times New Roman" w:hAnsi="Calibri" w:cs="Calibri"/>
          <w:b/>
          <w:lang w:val="en-IE" w:eastAsia="en-US"/>
        </w:rPr>
        <w:t xml:space="preserve">MD&amp;A </w:t>
      </w:r>
      <w:r w:rsidR="00C9361F">
        <w:rPr>
          <w:rFonts w:ascii="Calibri" w:eastAsia="Times New Roman" w:hAnsi="Calibri" w:cs="Calibri"/>
          <w:b/>
          <w:lang w:val="en-IE" w:eastAsia="en-US"/>
        </w:rPr>
        <w:t>Half-Year Ended</w:t>
      </w:r>
      <w:r w:rsidRPr="000E5963">
        <w:rPr>
          <w:rFonts w:ascii="Calibri" w:eastAsia="Times New Roman" w:hAnsi="Calibri" w:cs="Calibri"/>
          <w:b/>
          <w:lang w:val="en-IE" w:eastAsia="en-US"/>
        </w:rPr>
        <w:t xml:space="preserve"> </w:t>
      </w:r>
      <w:r w:rsidR="00C9361F">
        <w:rPr>
          <w:rFonts w:ascii="Calibri" w:eastAsia="Times New Roman" w:hAnsi="Calibri" w:cs="Calibri"/>
          <w:b/>
          <w:lang w:val="en-IE" w:eastAsia="en-US"/>
        </w:rPr>
        <w:t>September</w:t>
      </w:r>
      <w:r w:rsidRPr="000E5963">
        <w:rPr>
          <w:rFonts w:ascii="Calibri" w:eastAsia="Times New Roman" w:hAnsi="Calibri" w:cs="Calibri"/>
          <w:b/>
          <w:lang w:val="en-IE" w:eastAsia="en-US"/>
        </w:rPr>
        <w:t xml:space="preserve"> 30, 2025 (“</w:t>
      </w:r>
      <w:r w:rsidR="00C9361F">
        <w:rPr>
          <w:rFonts w:ascii="Calibri" w:eastAsia="Times New Roman" w:hAnsi="Calibri" w:cs="Calibri"/>
          <w:b/>
          <w:lang w:val="en-IE" w:eastAsia="en-US"/>
        </w:rPr>
        <w:t>H</w:t>
      </w:r>
      <w:r w:rsidRPr="000E5963">
        <w:rPr>
          <w:rFonts w:ascii="Calibri" w:eastAsia="Times New Roman" w:hAnsi="Calibri" w:cs="Calibri"/>
          <w:b/>
          <w:lang w:val="en-IE" w:eastAsia="en-US"/>
        </w:rPr>
        <w:t>1 FY26”)</w:t>
      </w:r>
    </w:p>
    <w:p w14:paraId="4DB765DF" w14:textId="77777777" w:rsidR="000E5963" w:rsidRPr="000E5963" w:rsidRDefault="000E5963" w:rsidP="000E5963">
      <w:pPr>
        <w:spacing w:after="0" w:line="240" w:lineRule="auto"/>
        <w:ind w:right="283"/>
        <w:jc w:val="both"/>
        <w:rPr>
          <w:rFonts w:ascii="Calibri" w:eastAsia="Times New Roman" w:hAnsi="Calibri" w:cs="Calibri"/>
          <w:b/>
          <w:lang w:val="en-IE" w:eastAsia="en-US"/>
        </w:rPr>
      </w:pPr>
    </w:p>
    <w:p w14:paraId="0FCC06B6" w14:textId="77777777" w:rsidR="000E5963" w:rsidRPr="000E5963" w:rsidRDefault="000E5963" w:rsidP="000E5963">
      <w:pPr>
        <w:tabs>
          <w:tab w:val="left" w:pos="1630"/>
        </w:tabs>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Introduction</w:t>
      </w:r>
      <w:r w:rsidRPr="000E5963">
        <w:rPr>
          <w:rFonts w:ascii="Calibri" w:eastAsia="Times New Roman" w:hAnsi="Calibri" w:cs="Calibri"/>
          <w:b/>
          <w:sz w:val="22"/>
          <w:szCs w:val="22"/>
          <w:lang w:val="en-IE" w:eastAsia="en-US"/>
        </w:rPr>
        <w:tab/>
      </w:r>
    </w:p>
    <w:p w14:paraId="212A40C5" w14:textId="69B3858A"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For the purposes of the Management Discussion and Analysis (“MD&amp;A”) (with the exception of the balance sheet commentary) all figures and comments are by reference to the </w:t>
      </w:r>
      <w:r w:rsidR="00320B2E">
        <w:rPr>
          <w:rFonts w:ascii="Calibri" w:eastAsia="Times New Roman" w:hAnsi="Calibri" w:cs="Calibri"/>
          <w:sz w:val="22"/>
          <w:szCs w:val="22"/>
          <w:lang w:val="en-IE" w:eastAsia="en-US"/>
        </w:rPr>
        <w:t xml:space="preserve">half-year </w:t>
      </w:r>
      <w:r w:rsidRPr="000E5963">
        <w:rPr>
          <w:rFonts w:ascii="Calibri" w:eastAsia="Times New Roman" w:hAnsi="Calibri" w:cs="Calibri"/>
          <w:sz w:val="22"/>
          <w:szCs w:val="22"/>
          <w:lang w:val="en-IE" w:eastAsia="en-US"/>
        </w:rPr>
        <w:t xml:space="preserve">ended </w:t>
      </w:r>
      <w:r w:rsidR="00320B2E">
        <w:rPr>
          <w:rFonts w:ascii="Calibri" w:eastAsia="Times New Roman" w:hAnsi="Calibri" w:cs="Calibri"/>
          <w:sz w:val="22"/>
          <w:szCs w:val="22"/>
          <w:lang w:val="en-IE" w:eastAsia="en-US"/>
        </w:rPr>
        <w:t>September</w:t>
      </w:r>
      <w:r w:rsidRPr="000E5963">
        <w:rPr>
          <w:rFonts w:ascii="Calibri" w:eastAsia="Times New Roman" w:hAnsi="Calibri" w:cs="Calibri"/>
          <w:sz w:val="22"/>
          <w:szCs w:val="22"/>
          <w:lang w:val="en-IE" w:eastAsia="en-US"/>
        </w:rPr>
        <w:t xml:space="preserve"> 30, 2025 results.</w:t>
      </w:r>
    </w:p>
    <w:p w14:paraId="6D03986F"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3DFBD67B" w14:textId="77777777" w:rsidR="000E5963" w:rsidRPr="000E5963" w:rsidRDefault="000E5963" w:rsidP="000E5963">
      <w:pPr>
        <w:spacing w:after="0" w:line="240" w:lineRule="auto"/>
        <w:ind w:right="283"/>
        <w:jc w:val="both"/>
        <w:rPr>
          <w:rFonts w:ascii="Calibri" w:eastAsia="Times New Roman" w:hAnsi="Calibri" w:cs="Calibri"/>
          <w:b/>
          <w:sz w:val="22"/>
          <w:szCs w:val="22"/>
          <w:u w:val="single"/>
          <w:lang w:val="en-IE" w:eastAsia="en-US"/>
        </w:rPr>
      </w:pPr>
      <w:r w:rsidRPr="000E5963">
        <w:rPr>
          <w:rFonts w:ascii="Calibri" w:eastAsia="Times New Roman" w:hAnsi="Calibri" w:cs="Calibri"/>
          <w:b/>
          <w:sz w:val="22"/>
          <w:szCs w:val="22"/>
          <w:u w:val="single"/>
          <w:lang w:val="en-IE" w:eastAsia="en-US"/>
        </w:rPr>
        <w:t>Income Statement</w:t>
      </w:r>
    </w:p>
    <w:p w14:paraId="016005C7"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p>
    <w:p w14:paraId="5BCA55A5" w14:textId="77777777" w:rsidR="000E5963" w:rsidRPr="009C0A5D" w:rsidRDefault="000E5963" w:rsidP="000E5963">
      <w:pPr>
        <w:keepNext/>
        <w:spacing w:after="0" w:line="240" w:lineRule="auto"/>
        <w:ind w:right="283"/>
        <w:jc w:val="both"/>
        <w:rPr>
          <w:rFonts w:ascii="Calibri" w:eastAsia="Times New Roman" w:hAnsi="Calibri" w:cs="Calibri"/>
          <w:b/>
          <w:sz w:val="22"/>
          <w:szCs w:val="22"/>
          <w:lang w:val="en-IE" w:eastAsia="en-US"/>
        </w:rPr>
      </w:pPr>
      <w:r w:rsidRPr="009C0A5D">
        <w:rPr>
          <w:rFonts w:ascii="Calibri" w:eastAsia="Times New Roman" w:hAnsi="Calibri" w:cs="Calibri"/>
          <w:b/>
          <w:sz w:val="22"/>
          <w:szCs w:val="22"/>
          <w:lang w:val="en-IE" w:eastAsia="en-US"/>
        </w:rPr>
        <w:t>Scheduled revenues:</w:t>
      </w:r>
    </w:p>
    <w:p w14:paraId="7C44772D" w14:textId="793885E7" w:rsidR="000E5963" w:rsidRPr="002E2625" w:rsidRDefault="000E5963" w:rsidP="000E5963">
      <w:pPr>
        <w:spacing w:after="0" w:line="240" w:lineRule="auto"/>
        <w:ind w:right="283"/>
        <w:jc w:val="both"/>
        <w:rPr>
          <w:rFonts w:ascii="Calibri" w:eastAsia="Times New Roman" w:hAnsi="Calibri" w:cs="Calibri"/>
          <w:sz w:val="22"/>
          <w:szCs w:val="22"/>
          <w:lang w:val="en-IE" w:eastAsia="en-US"/>
        </w:rPr>
      </w:pPr>
      <w:r w:rsidRPr="002E2625">
        <w:rPr>
          <w:rFonts w:ascii="Calibri" w:eastAsia="Times New Roman" w:hAnsi="Calibri" w:cs="Calibri"/>
          <w:sz w:val="22"/>
          <w:szCs w:val="22"/>
          <w:lang w:val="en-IE" w:eastAsia="en-US"/>
        </w:rPr>
        <w:t xml:space="preserve">Scheduled revenues </w:t>
      </w:r>
      <w:r w:rsidR="002A0B1D" w:rsidRPr="002E2625">
        <w:rPr>
          <w:rFonts w:ascii="Calibri" w:eastAsia="Times New Roman" w:hAnsi="Calibri" w:cs="Calibri"/>
          <w:sz w:val="22"/>
          <w:szCs w:val="22"/>
          <w:lang w:val="en-IE" w:eastAsia="en-US"/>
        </w:rPr>
        <w:t>increased</w:t>
      </w:r>
      <w:r w:rsidRPr="002E2625">
        <w:rPr>
          <w:rFonts w:ascii="Calibri" w:eastAsia="Times New Roman" w:hAnsi="Calibri" w:cs="Calibri"/>
          <w:sz w:val="22"/>
          <w:szCs w:val="22"/>
          <w:lang w:val="en-IE" w:eastAsia="en-US"/>
        </w:rPr>
        <w:t xml:space="preserve"> </w:t>
      </w:r>
      <w:r w:rsidR="00185594" w:rsidRPr="002E2625">
        <w:rPr>
          <w:rFonts w:ascii="Calibri" w:eastAsia="Times New Roman" w:hAnsi="Calibri" w:cs="Calibri"/>
          <w:b/>
          <w:bCs/>
          <w:sz w:val="22"/>
          <w:szCs w:val="22"/>
          <w:lang w:val="en-IE" w:eastAsia="en-US"/>
        </w:rPr>
        <w:t>1</w:t>
      </w:r>
      <w:r w:rsidR="347ABCAA" w:rsidRPr="002E2625">
        <w:rPr>
          <w:rFonts w:ascii="Calibri" w:eastAsia="Times New Roman" w:hAnsi="Calibri" w:cs="Calibri"/>
          <w:b/>
          <w:bCs/>
          <w:sz w:val="22"/>
          <w:szCs w:val="22"/>
          <w:lang w:val="en-IE" w:eastAsia="en-US"/>
        </w:rPr>
        <w:t>6</w:t>
      </w:r>
      <w:r w:rsidRPr="002E2625">
        <w:rPr>
          <w:rFonts w:ascii="Calibri" w:eastAsia="Times New Roman" w:hAnsi="Calibri" w:cs="Calibri"/>
          <w:b/>
          <w:bCs/>
          <w:sz w:val="22"/>
          <w:szCs w:val="22"/>
          <w:lang w:val="en-IE" w:eastAsia="en-US"/>
        </w:rPr>
        <w:t>% to €</w:t>
      </w:r>
      <w:r w:rsidR="00185594" w:rsidRPr="002E2625">
        <w:rPr>
          <w:rFonts w:ascii="Calibri" w:eastAsia="Times New Roman" w:hAnsi="Calibri" w:cs="Calibri"/>
          <w:b/>
          <w:bCs/>
          <w:sz w:val="22"/>
          <w:szCs w:val="22"/>
          <w:lang w:val="en-IE" w:eastAsia="en-US"/>
        </w:rPr>
        <w:t>6</w:t>
      </w:r>
      <w:r w:rsidRPr="002E2625">
        <w:rPr>
          <w:rFonts w:ascii="Calibri" w:eastAsia="Times New Roman" w:hAnsi="Calibri" w:cs="Calibri"/>
          <w:b/>
          <w:bCs/>
          <w:sz w:val="22"/>
          <w:szCs w:val="22"/>
          <w:lang w:val="en-IE" w:eastAsia="en-US"/>
        </w:rPr>
        <w:t>.9</w:t>
      </w:r>
      <w:r w:rsidR="00877AC8" w:rsidRPr="002E2625">
        <w:rPr>
          <w:rFonts w:ascii="Calibri" w:eastAsia="Times New Roman" w:hAnsi="Calibri" w:cs="Calibri"/>
          <w:b/>
          <w:bCs/>
          <w:sz w:val="22"/>
          <w:szCs w:val="22"/>
          <w:lang w:val="en-IE" w:eastAsia="en-US"/>
        </w:rPr>
        <w:t>1</w:t>
      </w:r>
      <w:r w:rsidRPr="002E2625">
        <w:rPr>
          <w:rFonts w:ascii="Calibri" w:eastAsia="Times New Roman" w:hAnsi="Calibri" w:cs="Calibri"/>
          <w:b/>
          <w:bCs/>
          <w:sz w:val="22"/>
          <w:szCs w:val="22"/>
          <w:lang w:val="en-IE" w:eastAsia="en-US"/>
        </w:rPr>
        <w:t>BN</w:t>
      </w:r>
      <w:r w:rsidRPr="002E2625">
        <w:rPr>
          <w:rFonts w:ascii="Calibri" w:eastAsia="Times New Roman" w:hAnsi="Calibri" w:cs="Calibri"/>
          <w:sz w:val="22"/>
          <w:szCs w:val="22"/>
          <w:lang w:val="en-IE" w:eastAsia="en-US"/>
        </w:rPr>
        <w:t xml:space="preserve"> </w:t>
      </w:r>
      <w:r w:rsidR="00537F72" w:rsidRPr="002E2625">
        <w:rPr>
          <w:rFonts w:ascii="Calibri" w:eastAsia="Times New Roman" w:hAnsi="Calibri" w:cs="Calibri"/>
          <w:sz w:val="22"/>
          <w:szCs w:val="22"/>
          <w:lang w:val="en-IE" w:eastAsia="en-US"/>
        </w:rPr>
        <w:t>as</w:t>
      </w:r>
      <w:r w:rsidRPr="002E2625">
        <w:rPr>
          <w:rFonts w:ascii="Calibri" w:eastAsia="Times New Roman" w:hAnsi="Calibri" w:cs="Calibri"/>
          <w:sz w:val="22"/>
          <w:szCs w:val="22"/>
          <w:lang w:val="en-IE" w:eastAsia="en-US"/>
        </w:rPr>
        <w:t xml:space="preserve"> traffic gr</w:t>
      </w:r>
      <w:r w:rsidR="00537F72" w:rsidRPr="002E2625">
        <w:rPr>
          <w:rFonts w:ascii="Calibri" w:eastAsia="Times New Roman" w:hAnsi="Calibri" w:cs="Calibri"/>
          <w:sz w:val="22"/>
          <w:szCs w:val="22"/>
          <w:lang w:val="en-IE" w:eastAsia="en-US"/>
        </w:rPr>
        <w:t>ew</w:t>
      </w:r>
      <w:r w:rsidRPr="002E2625">
        <w:rPr>
          <w:rFonts w:ascii="Calibri" w:eastAsia="Times New Roman" w:hAnsi="Calibri" w:cs="Calibri"/>
          <w:sz w:val="22"/>
          <w:szCs w:val="22"/>
          <w:lang w:val="en-IE" w:eastAsia="en-US"/>
        </w:rPr>
        <w:t xml:space="preserve"> </w:t>
      </w:r>
      <w:r w:rsidR="00575CCA" w:rsidRPr="002E2625">
        <w:rPr>
          <w:rFonts w:ascii="Calibri" w:eastAsia="Times New Roman" w:hAnsi="Calibri" w:cs="Calibri"/>
          <w:sz w:val="22"/>
          <w:szCs w:val="22"/>
          <w:lang w:val="en-IE" w:eastAsia="en-US"/>
        </w:rPr>
        <w:t>3</w:t>
      </w:r>
      <w:r w:rsidRPr="002E2625">
        <w:rPr>
          <w:rFonts w:ascii="Calibri" w:eastAsia="Times New Roman" w:hAnsi="Calibri" w:cs="Calibri"/>
          <w:sz w:val="22"/>
          <w:szCs w:val="22"/>
          <w:lang w:val="en-IE" w:eastAsia="en-US"/>
        </w:rPr>
        <w:t xml:space="preserve">% </w:t>
      </w:r>
      <w:r w:rsidR="00796197" w:rsidRPr="002E2625">
        <w:rPr>
          <w:rFonts w:ascii="Calibri" w:eastAsia="Times New Roman" w:hAnsi="Calibri" w:cs="Calibri"/>
          <w:sz w:val="22"/>
          <w:szCs w:val="22"/>
          <w:lang w:val="en-IE" w:eastAsia="en-US"/>
        </w:rPr>
        <w:t>(</w:t>
      </w:r>
      <w:r w:rsidRPr="002E2625">
        <w:rPr>
          <w:rFonts w:ascii="Calibri" w:eastAsia="Times New Roman" w:hAnsi="Calibri" w:cs="Calibri"/>
          <w:sz w:val="22"/>
          <w:szCs w:val="22"/>
          <w:lang w:val="en-IE" w:eastAsia="en-US"/>
        </w:rPr>
        <w:t>to</w:t>
      </w:r>
      <w:r w:rsidR="00537F72" w:rsidRPr="002E2625">
        <w:rPr>
          <w:rFonts w:ascii="Calibri" w:eastAsia="Times New Roman" w:hAnsi="Calibri" w:cs="Calibri"/>
          <w:sz w:val="22"/>
          <w:szCs w:val="22"/>
          <w:lang w:val="en-IE" w:eastAsia="en-US"/>
        </w:rPr>
        <w:t xml:space="preserve"> </w:t>
      </w:r>
      <w:r w:rsidR="009A2717" w:rsidRPr="002E2625">
        <w:rPr>
          <w:rFonts w:ascii="Calibri" w:eastAsia="Times New Roman" w:hAnsi="Calibri" w:cs="Calibri"/>
          <w:sz w:val="22"/>
          <w:szCs w:val="22"/>
          <w:lang w:val="en-IE" w:eastAsia="en-US"/>
        </w:rPr>
        <w:t>119</w:t>
      </w:r>
      <w:r w:rsidR="00537F72" w:rsidRPr="002E2625">
        <w:rPr>
          <w:rFonts w:ascii="Calibri" w:eastAsia="Times New Roman" w:hAnsi="Calibri" w:cs="Calibri"/>
          <w:sz w:val="22"/>
          <w:szCs w:val="22"/>
          <w:lang w:val="en-IE" w:eastAsia="en-US"/>
        </w:rPr>
        <w:t>.</w:t>
      </w:r>
      <w:r w:rsidR="009A2717" w:rsidRPr="002E2625">
        <w:rPr>
          <w:rFonts w:ascii="Calibri" w:eastAsia="Times New Roman" w:hAnsi="Calibri" w:cs="Calibri"/>
          <w:sz w:val="22"/>
          <w:szCs w:val="22"/>
          <w:lang w:val="en-IE" w:eastAsia="en-US"/>
        </w:rPr>
        <w:t>0</w:t>
      </w:r>
      <w:r w:rsidR="00537F72" w:rsidRPr="002E2625">
        <w:rPr>
          <w:rFonts w:ascii="Calibri" w:eastAsia="Times New Roman" w:hAnsi="Calibri" w:cs="Calibri"/>
          <w:sz w:val="22"/>
          <w:szCs w:val="22"/>
          <w:lang w:val="en-IE" w:eastAsia="en-US"/>
        </w:rPr>
        <w:t>M passengers</w:t>
      </w:r>
      <w:r w:rsidR="00EA64F0" w:rsidRPr="002E2625">
        <w:rPr>
          <w:rFonts w:ascii="Calibri" w:eastAsia="Times New Roman" w:hAnsi="Calibri" w:cs="Calibri"/>
          <w:sz w:val="22"/>
          <w:szCs w:val="22"/>
          <w:lang w:val="en-IE" w:eastAsia="en-US"/>
        </w:rPr>
        <w:t>)</w:t>
      </w:r>
      <w:r w:rsidRPr="002E2625">
        <w:rPr>
          <w:rFonts w:ascii="Calibri" w:eastAsia="Times New Roman" w:hAnsi="Calibri" w:cs="Calibri"/>
          <w:sz w:val="22"/>
          <w:szCs w:val="22"/>
          <w:lang w:val="en-IE" w:eastAsia="en-US"/>
        </w:rPr>
        <w:t xml:space="preserve"> </w:t>
      </w:r>
      <w:r w:rsidR="00CF038F">
        <w:rPr>
          <w:rFonts w:ascii="Calibri" w:eastAsia="Times New Roman" w:hAnsi="Calibri" w:cs="Calibri"/>
          <w:sz w:val="22"/>
          <w:szCs w:val="22"/>
          <w:lang w:val="en-IE" w:eastAsia="en-US"/>
        </w:rPr>
        <w:t>at</w:t>
      </w:r>
      <w:r w:rsidR="1FA9609A" w:rsidRPr="002E2625">
        <w:rPr>
          <w:rFonts w:ascii="Calibri" w:eastAsia="Times New Roman" w:hAnsi="Calibri" w:cs="Calibri"/>
          <w:sz w:val="22"/>
          <w:szCs w:val="22"/>
          <w:lang w:val="en-IE" w:eastAsia="en-US"/>
        </w:rPr>
        <w:t xml:space="preserve"> </w:t>
      </w:r>
      <w:r w:rsidR="006D07E0" w:rsidRPr="002E2625">
        <w:rPr>
          <w:rFonts w:ascii="Calibri" w:eastAsia="Times New Roman" w:hAnsi="Calibri" w:cs="Calibri"/>
          <w:sz w:val="22"/>
          <w:szCs w:val="22"/>
          <w:lang w:val="en-IE" w:eastAsia="en-US"/>
        </w:rPr>
        <w:t>13</w:t>
      </w:r>
      <w:r w:rsidR="1FA9609A" w:rsidRPr="002E2625">
        <w:rPr>
          <w:rFonts w:ascii="Calibri" w:eastAsia="Times New Roman" w:hAnsi="Calibri" w:cs="Calibri"/>
          <w:sz w:val="22"/>
          <w:szCs w:val="22"/>
          <w:lang w:val="en-IE" w:eastAsia="en-US"/>
        </w:rPr>
        <w:t xml:space="preserve">% </w:t>
      </w:r>
      <w:r w:rsidRPr="002E2625">
        <w:rPr>
          <w:rFonts w:ascii="Calibri" w:eastAsia="Times New Roman" w:hAnsi="Calibri" w:cs="Calibri"/>
          <w:sz w:val="22"/>
          <w:szCs w:val="22"/>
          <w:lang w:val="en-IE" w:eastAsia="en-US"/>
        </w:rPr>
        <w:t xml:space="preserve">higher fares </w:t>
      </w:r>
      <w:r w:rsidR="00474D59" w:rsidRPr="002E2625">
        <w:rPr>
          <w:rFonts w:ascii="Calibri" w:eastAsia="Times New Roman" w:hAnsi="Calibri" w:cs="Calibri"/>
          <w:sz w:val="22"/>
          <w:szCs w:val="22"/>
          <w:lang w:val="en-IE" w:eastAsia="en-US"/>
        </w:rPr>
        <w:t>(</w:t>
      </w:r>
      <w:r w:rsidR="00240206">
        <w:rPr>
          <w:rFonts w:ascii="Calibri" w:eastAsia="Times New Roman" w:hAnsi="Calibri" w:cs="Calibri"/>
          <w:sz w:val="22"/>
          <w:szCs w:val="22"/>
          <w:lang w:val="en-IE" w:eastAsia="en-US"/>
        </w:rPr>
        <w:t>to c.</w:t>
      </w:r>
      <w:r w:rsidR="006B5C37" w:rsidRPr="002E2625">
        <w:rPr>
          <w:rFonts w:ascii="Calibri" w:eastAsia="Times New Roman" w:hAnsi="Calibri" w:cs="Calibri"/>
          <w:sz w:val="22"/>
          <w:szCs w:val="22"/>
          <w:lang w:val="en-IE" w:eastAsia="en-US"/>
        </w:rPr>
        <w:t>€</w:t>
      </w:r>
      <w:r w:rsidR="00943DE4" w:rsidRPr="002E2625">
        <w:rPr>
          <w:rFonts w:ascii="Calibri" w:eastAsia="Times New Roman" w:hAnsi="Calibri" w:cs="Calibri"/>
          <w:sz w:val="22"/>
          <w:szCs w:val="22"/>
          <w:lang w:val="en-IE" w:eastAsia="en-US"/>
        </w:rPr>
        <w:t>5</w:t>
      </w:r>
      <w:r w:rsidR="009B2C9E" w:rsidRPr="002E2625">
        <w:rPr>
          <w:rFonts w:ascii="Calibri" w:eastAsia="Times New Roman" w:hAnsi="Calibri" w:cs="Calibri"/>
          <w:sz w:val="22"/>
          <w:szCs w:val="22"/>
          <w:lang w:val="en-IE" w:eastAsia="en-US"/>
        </w:rPr>
        <w:t>8</w:t>
      </w:r>
      <w:r w:rsidR="00474D59" w:rsidRPr="002E2625">
        <w:rPr>
          <w:rFonts w:ascii="Calibri" w:eastAsia="Times New Roman" w:hAnsi="Calibri" w:cs="Calibri"/>
          <w:sz w:val="22"/>
          <w:szCs w:val="22"/>
          <w:lang w:val="en-IE" w:eastAsia="en-US"/>
        </w:rPr>
        <w:t>)</w:t>
      </w:r>
      <w:r w:rsidR="00FB0CA6" w:rsidRPr="002E2625">
        <w:rPr>
          <w:rFonts w:ascii="Calibri" w:eastAsia="Times New Roman" w:hAnsi="Calibri" w:cs="Calibri"/>
          <w:sz w:val="22"/>
          <w:szCs w:val="22"/>
          <w:lang w:val="en-IE" w:eastAsia="en-US"/>
        </w:rPr>
        <w:t xml:space="preserve">. </w:t>
      </w:r>
      <w:r w:rsidR="000A2B23" w:rsidRPr="002E2625">
        <w:rPr>
          <w:rFonts w:ascii="Calibri" w:eastAsia="Times New Roman" w:hAnsi="Calibri" w:cs="Calibri"/>
          <w:sz w:val="22"/>
          <w:szCs w:val="22"/>
          <w:lang w:val="en-IE" w:eastAsia="en-US"/>
        </w:rPr>
        <w:t>H</w:t>
      </w:r>
      <w:r w:rsidR="00FB0CA6" w:rsidRPr="002E2625">
        <w:rPr>
          <w:rFonts w:ascii="Calibri" w:eastAsia="Times New Roman" w:hAnsi="Calibri" w:cs="Calibri"/>
          <w:sz w:val="22"/>
          <w:szCs w:val="22"/>
          <w:lang w:val="en-IE" w:eastAsia="en-US"/>
        </w:rPr>
        <w:t xml:space="preserve">1 fares benefitted from having </w:t>
      </w:r>
      <w:r w:rsidR="00454CA7">
        <w:rPr>
          <w:rFonts w:ascii="Calibri" w:eastAsia="Times New Roman" w:hAnsi="Calibri" w:cs="Calibri"/>
          <w:sz w:val="22"/>
          <w:szCs w:val="22"/>
          <w:lang w:val="en-IE" w:eastAsia="en-US"/>
        </w:rPr>
        <w:t>the</w:t>
      </w:r>
      <w:r w:rsidR="00FB0CA6" w:rsidRPr="002E2625">
        <w:rPr>
          <w:rFonts w:ascii="Calibri" w:eastAsia="Times New Roman" w:hAnsi="Calibri" w:cs="Calibri"/>
          <w:sz w:val="22"/>
          <w:szCs w:val="22"/>
          <w:lang w:val="en-IE" w:eastAsia="en-US"/>
        </w:rPr>
        <w:t xml:space="preserve"> full Easter holiday in </w:t>
      </w:r>
      <w:r w:rsidR="00046F92">
        <w:rPr>
          <w:rFonts w:ascii="Calibri" w:eastAsia="Times New Roman" w:hAnsi="Calibri" w:cs="Calibri"/>
          <w:sz w:val="22"/>
          <w:szCs w:val="22"/>
          <w:lang w:val="en-IE" w:eastAsia="en-US"/>
        </w:rPr>
        <w:t>Q1</w:t>
      </w:r>
      <w:r w:rsidR="00B326FC">
        <w:rPr>
          <w:rFonts w:ascii="Calibri" w:eastAsia="Times New Roman" w:hAnsi="Calibri" w:cs="Calibri"/>
          <w:sz w:val="22"/>
          <w:szCs w:val="22"/>
          <w:lang w:val="en-IE" w:eastAsia="en-US"/>
        </w:rPr>
        <w:t xml:space="preserve"> (</w:t>
      </w:r>
      <w:r w:rsidR="00B44465">
        <w:rPr>
          <w:rFonts w:ascii="Calibri" w:eastAsia="Times New Roman" w:hAnsi="Calibri" w:cs="Calibri"/>
          <w:sz w:val="22"/>
          <w:szCs w:val="22"/>
          <w:lang w:val="en-IE" w:eastAsia="en-US"/>
        </w:rPr>
        <w:t>with</w:t>
      </w:r>
      <w:r w:rsidR="00C52AC5" w:rsidRPr="002E2625">
        <w:rPr>
          <w:rFonts w:ascii="Calibri" w:eastAsia="Times New Roman" w:hAnsi="Calibri" w:cs="Calibri"/>
          <w:sz w:val="22"/>
          <w:szCs w:val="22"/>
          <w:lang w:val="en-IE" w:eastAsia="en-US"/>
        </w:rPr>
        <w:t xml:space="preserve"> weak prior</w:t>
      </w:r>
      <w:r w:rsidR="00E23F6B">
        <w:rPr>
          <w:rFonts w:ascii="Calibri" w:eastAsia="Times New Roman" w:hAnsi="Calibri" w:cs="Calibri"/>
          <w:sz w:val="22"/>
          <w:szCs w:val="22"/>
          <w:lang w:val="en-IE" w:eastAsia="en-US"/>
        </w:rPr>
        <w:t>-</w:t>
      </w:r>
      <w:r w:rsidR="00C52AC5" w:rsidRPr="002E2625">
        <w:rPr>
          <w:rFonts w:ascii="Calibri" w:eastAsia="Times New Roman" w:hAnsi="Calibri" w:cs="Calibri"/>
          <w:sz w:val="22"/>
          <w:szCs w:val="22"/>
          <w:lang w:val="en-IE" w:eastAsia="en-US"/>
        </w:rPr>
        <w:t>year comps</w:t>
      </w:r>
      <w:r w:rsidR="00EC2F12">
        <w:rPr>
          <w:rFonts w:ascii="Calibri" w:eastAsia="Times New Roman" w:hAnsi="Calibri" w:cs="Calibri"/>
          <w:sz w:val="22"/>
          <w:szCs w:val="22"/>
          <w:lang w:val="en-IE" w:eastAsia="en-US"/>
        </w:rPr>
        <w:t>) and full recovery of the 7% fare decli</w:t>
      </w:r>
      <w:r w:rsidR="002E6F52">
        <w:rPr>
          <w:rFonts w:ascii="Calibri" w:eastAsia="Times New Roman" w:hAnsi="Calibri" w:cs="Calibri"/>
          <w:sz w:val="22"/>
          <w:szCs w:val="22"/>
          <w:lang w:val="en-IE" w:eastAsia="en-US"/>
        </w:rPr>
        <w:t xml:space="preserve">ne suffered in </w:t>
      </w:r>
      <w:r w:rsidR="00AD63EA">
        <w:rPr>
          <w:rFonts w:ascii="Calibri" w:eastAsia="Times New Roman" w:hAnsi="Calibri" w:cs="Calibri"/>
          <w:sz w:val="22"/>
          <w:szCs w:val="22"/>
          <w:lang w:val="en-IE" w:eastAsia="en-US"/>
        </w:rPr>
        <w:t>last year’s</w:t>
      </w:r>
      <w:r w:rsidR="002E6F52">
        <w:rPr>
          <w:rFonts w:ascii="Calibri" w:eastAsia="Times New Roman" w:hAnsi="Calibri" w:cs="Calibri"/>
          <w:sz w:val="22"/>
          <w:szCs w:val="22"/>
          <w:lang w:val="en-IE" w:eastAsia="en-US"/>
        </w:rPr>
        <w:t xml:space="preserve"> Q2</w:t>
      </w:r>
      <w:r w:rsidR="00C52AC5" w:rsidRPr="002E2625">
        <w:rPr>
          <w:rFonts w:ascii="Calibri" w:eastAsia="Times New Roman" w:hAnsi="Calibri" w:cs="Calibri"/>
          <w:sz w:val="22"/>
          <w:szCs w:val="22"/>
          <w:lang w:val="en-IE" w:eastAsia="en-US"/>
        </w:rPr>
        <w:t>.</w:t>
      </w:r>
    </w:p>
    <w:p w14:paraId="699CF5A7" w14:textId="77777777" w:rsidR="000E5963" w:rsidRPr="009029EB" w:rsidRDefault="000E5963" w:rsidP="000E5963">
      <w:pPr>
        <w:spacing w:after="0" w:line="240" w:lineRule="auto"/>
        <w:ind w:right="283"/>
        <w:jc w:val="both"/>
        <w:rPr>
          <w:rFonts w:ascii="Calibri" w:eastAsia="Times New Roman" w:hAnsi="Calibri" w:cs="Calibri"/>
          <w:sz w:val="22"/>
          <w:szCs w:val="22"/>
          <w:highlight w:val="yellow"/>
          <w:lang w:val="en-IE" w:eastAsia="en-US"/>
        </w:rPr>
      </w:pPr>
    </w:p>
    <w:p w14:paraId="4588EEB2" w14:textId="77777777" w:rsidR="000E5963" w:rsidRPr="009029EB" w:rsidRDefault="000E5963" w:rsidP="000E5963">
      <w:pPr>
        <w:spacing w:after="0" w:line="240" w:lineRule="auto"/>
        <w:ind w:right="283"/>
        <w:jc w:val="both"/>
        <w:rPr>
          <w:rFonts w:ascii="Calibri" w:eastAsia="Times New Roman" w:hAnsi="Calibri" w:cs="Calibri"/>
          <w:b/>
          <w:sz w:val="22"/>
          <w:szCs w:val="22"/>
          <w:lang w:val="en-IE" w:eastAsia="en-US"/>
        </w:rPr>
      </w:pPr>
      <w:r w:rsidRPr="009029EB">
        <w:rPr>
          <w:rFonts w:ascii="Calibri" w:eastAsia="Times New Roman" w:hAnsi="Calibri" w:cs="Calibri"/>
          <w:b/>
          <w:sz w:val="22"/>
          <w:szCs w:val="22"/>
          <w:lang w:val="en-IE" w:eastAsia="en-US"/>
        </w:rPr>
        <w:t xml:space="preserve">Ancillary revenues: </w:t>
      </w:r>
    </w:p>
    <w:p w14:paraId="3139F323" w14:textId="13275314" w:rsidR="000E5963" w:rsidRPr="009029EB" w:rsidRDefault="000E5963" w:rsidP="000E5963">
      <w:pPr>
        <w:spacing w:after="0" w:line="240" w:lineRule="auto"/>
        <w:ind w:right="283"/>
        <w:contextualSpacing/>
        <w:jc w:val="both"/>
        <w:rPr>
          <w:rFonts w:ascii="Calibri" w:eastAsia="Times New Roman" w:hAnsi="Calibri" w:cs="Calibri"/>
          <w:bCs/>
          <w:sz w:val="22"/>
          <w:szCs w:val="22"/>
          <w:highlight w:val="yellow"/>
          <w:lang w:val="en-IE" w:eastAsia="en-US"/>
        </w:rPr>
      </w:pPr>
      <w:r w:rsidRPr="00877AC8">
        <w:rPr>
          <w:rFonts w:ascii="Calibri" w:eastAsia="Times New Roman" w:hAnsi="Calibri" w:cs="Calibri"/>
          <w:sz w:val="22"/>
          <w:szCs w:val="22"/>
          <w:lang w:val="en-IE" w:eastAsia="en-US"/>
        </w:rPr>
        <w:t xml:space="preserve">Ancillary revenue </w:t>
      </w:r>
      <w:r w:rsidR="00DA1B41">
        <w:rPr>
          <w:rFonts w:ascii="Calibri" w:eastAsia="Times New Roman" w:hAnsi="Calibri" w:cs="Calibri"/>
          <w:sz w:val="22"/>
          <w:szCs w:val="22"/>
          <w:lang w:val="en-IE" w:eastAsia="en-US"/>
        </w:rPr>
        <w:t>was</w:t>
      </w:r>
      <w:r w:rsidR="00786A24" w:rsidRPr="00D1699E">
        <w:rPr>
          <w:rFonts w:ascii="Calibri" w:eastAsia="Times New Roman" w:hAnsi="Calibri" w:cs="Calibri"/>
          <w:sz w:val="22"/>
          <w:szCs w:val="22"/>
          <w:lang w:val="en-IE" w:eastAsia="en-US"/>
        </w:rPr>
        <w:t xml:space="preserve"> solid</w:t>
      </w:r>
      <w:r w:rsidR="001C554E">
        <w:rPr>
          <w:rFonts w:ascii="Calibri" w:eastAsia="Times New Roman" w:hAnsi="Calibri" w:cs="Calibri"/>
          <w:sz w:val="22"/>
          <w:szCs w:val="22"/>
          <w:lang w:val="en-IE" w:eastAsia="en-US"/>
        </w:rPr>
        <w:t>,</w:t>
      </w:r>
      <w:r w:rsidR="00786A24" w:rsidRPr="00D1699E">
        <w:rPr>
          <w:rFonts w:ascii="Calibri" w:eastAsia="Times New Roman" w:hAnsi="Calibri" w:cs="Calibri"/>
          <w:sz w:val="22"/>
          <w:szCs w:val="22"/>
          <w:lang w:val="en-IE" w:eastAsia="en-US"/>
        </w:rPr>
        <w:t xml:space="preserve"> rising</w:t>
      </w:r>
      <w:r w:rsidR="00C437D3" w:rsidRPr="00D1699E">
        <w:rPr>
          <w:rFonts w:ascii="Calibri" w:eastAsia="Times New Roman" w:hAnsi="Calibri" w:cs="Calibri"/>
          <w:sz w:val="22"/>
          <w:szCs w:val="22"/>
          <w:lang w:val="en-IE" w:eastAsia="en-US"/>
        </w:rPr>
        <w:t xml:space="preserve"> </w:t>
      </w:r>
      <w:r w:rsidR="009C0A5D" w:rsidRPr="00D1699E">
        <w:rPr>
          <w:rFonts w:ascii="Calibri" w:eastAsia="Times New Roman" w:hAnsi="Calibri" w:cs="Calibri"/>
          <w:b/>
          <w:bCs/>
          <w:sz w:val="22"/>
          <w:szCs w:val="22"/>
          <w:lang w:val="en-IE" w:eastAsia="en-US"/>
        </w:rPr>
        <w:t>6</w:t>
      </w:r>
      <w:r w:rsidRPr="00D1699E">
        <w:rPr>
          <w:rFonts w:ascii="Calibri" w:eastAsia="Times New Roman" w:hAnsi="Calibri" w:cs="Calibri"/>
          <w:b/>
          <w:bCs/>
          <w:sz w:val="22"/>
          <w:szCs w:val="22"/>
          <w:lang w:val="en-IE" w:eastAsia="en-US"/>
        </w:rPr>
        <w:t>%</w:t>
      </w:r>
      <w:r w:rsidRPr="00D1699E">
        <w:rPr>
          <w:rFonts w:ascii="Calibri" w:eastAsia="Times New Roman" w:hAnsi="Calibri" w:cs="Calibri"/>
          <w:sz w:val="22"/>
          <w:szCs w:val="22"/>
          <w:lang w:val="en-IE" w:eastAsia="en-US"/>
        </w:rPr>
        <w:t xml:space="preserve"> </w:t>
      </w:r>
      <w:r w:rsidRPr="00D1699E">
        <w:rPr>
          <w:rFonts w:ascii="Calibri" w:eastAsia="Times New Roman" w:hAnsi="Calibri" w:cs="Calibri"/>
          <w:b/>
          <w:sz w:val="22"/>
          <w:szCs w:val="22"/>
          <w:lang w:val="en-IE" w:eastAsia="en-US"/>
        </w:rPr>
        <w:t>to €</w:t>
      </w:r>
      <w:r w:rsidR="00877AC8" w:rsidRPr="00D1699E">
        <w:rPr>
          <w:rFonts w:ascii="Calibri" w:eastAsia="Times New Roman" w:hAnsi="Calibri" w:cs="Calibri"/>
          <w:b/>
          <w:sz w:val="22"/>
          <w:szCs w:val="22"/>
          <w:lang w:val="en-IE" w:eastAsia="en-US"/>
        </w:rPr>
        <w:t>2</w:t>
      </w:r>
      <w:r w:rsidRPr="00D1699E">
        <w:rPr>
          <w:rFonts w:ascii="Calibri" w:eastAsia="Times New Roman" w:hAnsi="Calibri" w:cs="Calibri"/>
          <w:b/>
          <w:sz w:val="22"/>
          <w:szCs w:val="22"/>
          <w:lang w:val="en-IE" w:eastAsia="en-US"/>
        </w:rPr>
        <w:t>.9</w:t>
      </w:r>
      <w:r w:rsidR="00877AC8" w:rsidRPr="00D1699E">
        <w:rPr>
          <w:rFonts w:ascii="Calibri" w:eastAsia="Times New Roman" w:hAnsi="Calibri" w:cs="Calibri"/>
          <w:b/>
          <w:sz w:val="22"/>
          <w:szCs w:val="22"/>
          <w:lang w:val="en-IE" w:eastAsia="en-US"/>
        </w:rPr>
        <w:t>1</w:t>
      </w:r>
      <w:r w:rsidRPr="00D1699E">
        <w:rPr>
          <w:rFonts w:ascii="Calibri" w:eastAsia="Times New Roman" w:hAnsi="Calibri" w:cs="Calibri"/>
          <w:b/>
          <w:sz w:val="22"/>
          <w:szCs w:val="22"/>
          <w:lang w:val="en-IE" w:eastAsia="en-US"/>
        </w:rPr>
        <w:t xml:space="preserve">BN </w:t>
      </w:r>
      <w:r w:rsidR="00093CCE" w:rsidRPr="00093CCE">
        <w:rPr>
          <w:rFonts w:ascii="Calibri" w:eastAsia="Times New Roman" w:hAnsi="Calibri" w:cs="Calibri"/>
          <w:bCs/>
          <w:sz w:val="22"/>
          <w:szCs w:val="22"/>
          <w:lang w:val="en-IE" w:eastAsia="en-US"/>
        </w:rPr>
        <w:t xml:space="preserve">as </w:t>
      </w:r>
      <w:r w:rsidR="00AD63EA">
        <w:rPr>
          <w:rFonts w:ascii="Calibri" w:eastAsia="Times New Roman" w:hAnsi="Calibri" w:cs="Calibri"/>
          <w:bCs/>
          <w:sz w:val="22"/>
          <w:szCs w:val="22"/>
          <w:lang w:val="en-IE" w:eastAsia="en-US"/>
        </w:rPr>
        <w:t xml:space="preserve">both </w:t>
      </w:r>
      <w:r w:rsidR="00093CCE" w:rsidRPr="00093CCE">
        <w:rPr>
          <w:rFonts w:ascii="Calibri" w:eastAsia="Times New Roman" w:hAnsi="Calibri" w:cs="Calibri"/>
          <w:bCs/>
          <w:sz w:val="22"/>
          <w:szCs w:val="22"/>
          <w:lang w:val="en-IE" w:eastAsia="en-US"/>
        </w:rPr>
        <w:t xml:space="preserve">traffic and </w:t>
      </w:r>
      <w:r w:rsidR="005273F3">
        <w:rPr>
          <w:rFonts w:ascii="Calibri" w:eastAsia="Times New Roman" w:hAnsi="Calibri" w:cs="Calibri"/>
          <w:bCs/>
          <w:sz w:val="22"/>
          <w:szCs w:val="22"/>
          <w:lang w:val="en-IE" w:eastAsia="en-US"/>
        </w:rPr>
        <w:t xml:space="preserve">spend </w:t>
      </w:r>
      <w:r w:rsidR="00093CCE" w:rsidRPr="00093CCE">
        <w:rPr>
          <w:rFonts w:ascii="Calibri" w:eastAsia="Times New Roman" w:hAnsi="Calibri" w:cs="Calibri"/>
          <w:bCs/>
          <w:sz w:val="22"/>
          <w:szCs w:val="22"/>
          <w:lang w:val="en-IE" w:eastAsia="en-US"/>
        </w:rPr>
        <w:t>per passenger</w:t>
      </w:r>
      <w:r w:rsidR="009F2C3D">
        <w:rPr>
          <w:rFonts w:ascii="Calibri" w:eastAsia="Times New Roman" w:hAnsi="Calibri" w:cs="Calibri"/>
          <w:bCs/>
          <w:sz w:val="22"/>
          <w:szCs w:val="22"/>
          <w:lang w:val="en-IE" w:eastAsia="en-US"/>
        </w:rPr>
        <w:t xml:space="preserve"> rose</w:t>
      </w:r>
      <w:r w:rsidR="00093CCE" w:rsidRPr="00093CCE">
        <w:rPr>
          <w:rFonts w:ascii="Calibri" w:eastAsia="Times New Roman" w:hAnsi="Calibri" w:cs="Calibri"/>
          <w:bCs/>
          <w:sz w:val="22"/>
          <w:szCs w:val="22"/>
          <w:lang w:val="en-IE" w:eastAsia="en-US"/>
        </w:rPr>
        <w:t xml:space="preserve"> </w:t>
      </w:r>
      <w:r w:rsidR="00743A13">
        <w:rPr>
          <w:rFonts w:ascii="Calibri" w:eastAsia="Times New Roman" w:hAnsi="Calibri" w:cs="Calibri"/>
          <w:bCs/>
          <w:sz w:val="22"/>
          <w:szCs w:val="22"/>
          <w:lang w:val="en-IE" w:eastAsia="en-US"/>
        </w:rPr>
        <w:t>3</w:t>
      </w:r>
      <w:r w:rsidR="00093CCE" w:rsidRPr="00093CCE">
        <w:rPr>
          <w:rFonts w:ascii="Calibri" w:eastAsia="Times New Roman" w:hAnsi="Calibri" w:cs="Calibri"/>
          <w:bCs/>
          <w:sz w:val="22"/>
          <w:szCs w:val="22"/>
          <w:lang w:val="en-IE" w:eastAsia="en-US"/>
        </w:rPr>
        <w:t>%</w:t>
      </w:r>
      <w:r w:rsidR="009F2C3D">
        <w:rPr>
          <w:rFonts w:ascii="Calibri" w:eastAsia="Times New Roman" w:hAnsi="Calibri" w:cs="Calibri"/>
          <w:bCs/>
          <w:sz w:val="22"/>
          <w:szCs w:val="22"/>
          <w:lang w:val="en-IE" w:eastAsia="en-US"/>
        </w:rPr>
        <w:t>.</w:t>
      </w:r>
    </w:p>
    <w:p w14:paraId="173162B4" w14:textId="77777777" w:rsidR="000E5963" w:rsidRPr="009029EB" w:rsidRDefault="000E5963" w:rsidP="000E5963">
      <w:pPr>
        <w:spacing w:after="0" w:line="240" w:lineRule="auto"/>
        <w:ind w:right="283"/>
        <w:contextualSpacing/>
        <w:jc w:val="both"/>
        <w:rPr>
          <w:rFonts w:ascii="Calibri" w:eastAsia="Times New Roman" w:hAnsi="Calibri" w:cs="Calibri"/>
          <w:sz w:val="22"/>
          <w:szCs w:val="22"/>
          <w:highlight w:val="yellow"/>
          <w:lang w:val="en-IE" w:eastAsia="en-US"/>
        </w:rPr>
      </w:pPr>
    </w:p>
    <w:p w14:paraId="5CA456D3" w14:textId="69A5F7BA" w:rsidR="000E5963" w:rsidRPr="009029EB" w:rsidRDefault="000E5963" w:rsidP="000E5963">
      <w:pPr>
        <w:spacing w:after="0" w:line="240" w:lineRule="auto"/>
        <w:ind w:right="283"/>
        <w:contextualSpacing/>
        <w:jc w:val="both"/>
        <w:rPr>
          <w:rFonts w:ascii="Calibri" w:eastAsia="Times New Roman" w:hAnsi="Calibri" w:cs="Calibri"/>
          <w:b/>
          <w:sz w:val="22"/>
          <w:szCs w:val="22"/>
          <w:lang w:val="en-IE" w:eastAsia="en-US"/>
        </w:rPr>
      </w:pPr>
      <w:r w:rsidRPr="009029EB">
        <w:rPr>
          <w:rFonts w:ascii="Calibri" w:eastAsia="Times New Roman" w:hAnsi="Calibri" w:cs="Calibri"/>
          <w:b/>
          <w:sz w:val="22"/>
          <w:szCs w:val="22"/>
          <w:lang w:val="en-IE" w:eastAsia="en-US"/>
        </w:rPr>
        <w:t>Total revenue:</w:t>
      </w:r>
    </w:p>
    <w:p w14:paraId="27A3C8C7" w14:textId="76EBDFE6" w:rsidR="000E5963" w:rsidRPr="00877AC8" w:rsidRDefault="000E5963" w:rsidP="000E5963">
      <w:pPr>
        <w:spacing w:after="0" w:line="240" w:lineRule="auto"/>
        <w:ind w:right="283"/>
        <w:contextualSpacing/>
        <w:jc w:val="both"/>
        <w:rPr>
          <w:rFonts w:ascii="Calibri" w:eastAsia="Times New Roman" w:hAnsi="Calibri" w:cs="Calibri"/>
          <w:b/>
          <w:sz w:val="22"/>
          <w:szCs w:val="22"/>
          <w:lang w:val="en-IE" w:eastAsia="en-US"/>
        </w:rPr>
      </w:pPr>
      <w:r w:rsidRPr="00877AC8">
        <w:rPr>
          <w:rFonts w:ascii="Calibri" w:eastAsia="Times New Roman" w:hAnsi="Calibri" w:cs="Calibri"/>
          <w:sz w:val="22"/>
          <w:szCs w:val="22"/>
          <w:lang w:val="en-IE" w:eastAsia="en-US"/>
        </w:rPr>
        <w:t xml:space="preserve">As a result of the above, total revenue </w:t>
      </w:r>
      <w:r w:rsidR="009D7BD8" w:rsidRPr="00877AC8">
        <w:rPr>
          <w:rFonts w:ascii="Calibri" w:eastAsia="Times New Roman" w:hAnsi="Calibri" w:cs="Calibri"/>
          <w:sz w:val="22"/>
          <w:szCs w:val="22"/>
          <w:lang w:val="en-IE" w:eastAsia="en-US"/>
        </w:rPr>
        <w:t>rose</w:t>
      </w:r>
      <w:r w:rsidRPr="00877AC8">
        <w:rPr>
          <w:rFonts w:ascii="Calibri" w:eastAsia="Times New Roman" w:hAnsi="Calibri" w:cs="Calibri"/>
          <w:sz w:val="22"/>
          <w:szCs w:val="22"/>
          <w:lang w:val="en-IE" w:eastAsia="en-US"/>
        </w:rPr>
        <w:t xml:space="preserve"> </w:t>
      </w:r>
      <w:r w:rsidR="00877AC8" w:rsidRPr="00877AC8">
        <w:rPr>
          <w:rFonts w:ascii="Calibri" w:eastAsia="Times New Roman" w:hAnsi="Calibri" w:cs="Calibri"/>
          <w:b/>
          <w:sz w:val="22"/>
          <w:szCs w:val="22"/>
          <w:lang w:val="en-IE" w:eastAsia="en-US"/>
        </w:rPr>
        <w:t>13</w:t>
      </w:r>
      <w:r w:rsidRPr="00877AC8">
        <w:rPr>
          <w:rFonts w:ascii="Calibri" w:eastAsia="Times New Roman" w:hAnsi="Calibri" w:cs="Calibri"/>
          <w:b/>
          <w:sz w:val="22"/>
          <w:szCs w:val="22"/>
          <w:lang w:val="en-IE" w:eastAsia="en-US"/>
        </w:rPr>
        <w:t>% to €</w:t>
      </w:r>
      <w:r w:rsidR="00877AC8" w:rsidRPr="00877AC8">
        <w:rPr>
          <w:rFonts w:ascii="Calibri" w:eastAsia="Times New Roman" w:hAnsi="Calibri" w:cs="Calibri"/>
          <w:b/>
          <w:sz w:val="22"/>
          <w:szCs w:val="22"/>
          <w:lang w:val="en-IE" w:eastAsia="en-US"/>
        </w:rPr>
        <w:t>9</w:t>
      </w:r>
      <w:r w:rsidRPr="00877AC8">
        <w:rPr>
          <w:rFonts w:ascii="Calibri" w:eastAsia="Times New Roman" w:hAnsi="Calibri" w:cs="Calibri"/>
          <w:b/>
          <w:sz w:val="22"/>
          <w:szCs w:val="22"/>
          <w:lang w:val="en-IE" w:eastAsia="en-US"/>
        </w:rPr>
        <w:t>.</w:t>
      </w:r>
      <w:r w:rsidR="00877AC8" w:rsidRPr="00877AC8">
        <w:rPr>
          <w:rFonts w:ascii="Calibri" w:eastAsia="Times New Roman" w:hAnsi="Calibri" w:cs="Calibri"/>
          <w:b/>
          <w:sz w:val="22"/>
          <w:szCs w:val="22"/>
          <w:lang w:val="en-IE" w:eastAsia="en-US"/>
        </w:rPr>
        <w:t>82</w:t>
      </w:r>
      <w:r w:rsidR="007076DB" w:rsidRPr="00877AC8">
        <w:rPr>
          <w:rFonts w:ascii="Calibri" w:eastAsia="Times New Roman" w:hAnsi="Calibri" w:cs="Calibri"/>
          <w:b/>
          <w:sz w:val="22"/>
          <w:szCs w:val="22"/>
          <w:lang w:val="en-IE" w:eastAsia="en-US"/>
        </w:rPr>
        <w:t>BN</w:t>
      </w:r>
      <w:r w:rsidRPr="00877AC8">
        <w:rPr>
          <w:rFonts w:ascii="Calibri" w:eastAsia="Times New Roman" w:hAnsi="Calibri" w:cs="Calibri"/>
          <w:b/>
          <w:sz w:val="22"/>
          <w:szCs w:val="22"/>
          <w:lang w:val="en-IE" w:eastAsia="en-US"/>
        </w:rPr>
        <w:t>.</w:t>
      </w:r>
    </w:p>
    <w:p w14:paraId="515A31E4" w14:textId="77777777" w:rsidR="000E5963" w:rsidRPr="009029EB" w:rsidRDefault="000E5963" w:rsidP="000E5963">
      <w:pPr>
        <w:spacing w:after="0" w:line="240" w:lineRule="auto"/>
        <w:ind w:right="283"/>
        <w:contextualSpacing/>
        <w:jc w:val="both"/>
        <w:rPr>
          <w:rFonts w:ascii="Calibri" w:eastAsia="Times New Roman" w:hAnsi="Calibri" w:cs="Calibri"/>
          <w:b/>
          <w:sz w:val="22"/>
          <w:szCs w:val="22"/>
          <w:highlight w:val="yellow"/>
          <w:lang w:val="en-IE" w:eastAsia="en-US"/>
        </w:rPr>
      </w:pPr>
    </w:p>
    <w:p w14:paraId="0C38C921" w14:textId="77777777" w:rsidR="000E5963" w:rsidRPr="009029EB" w:rsidRDefault="000E5963" w:rsidP="000E5963">
      <w:pPr>
        <w:spacing w:after="0" w:line="240" w:lineRule="auto"/>
        <w:ind w:right="283"/>
        <w:jc w:val="both"/>
        <w:rPr>
          <w:rFonts w:ascii="Calibri" w:eastAsia="Times New Roman" w:hAnsi="Calibri" w:cs="Calibri"/>
          <w:b/>
          <w:sz w:val="22"/>
          <w:szCs w:val="22"/>
          <w:lang w:val="en-IE" w:eastAsia="en-US"/>
        </w:rPr>
      </w:pPr>
      <w:r w:rsidRPr="009029EB">
        <w:rPr>
          <w:rFonts w:ascii="Calibri" w:eastAsia="Times New Roman" w:hAnsi="Calibri" w:cs="Calibri"/>
          <w:b/>
          <w:sz w:val="22"/>
          <w:szCs w:val="22"/>
          <w:lang w:val="en-IE" w:eastAsia="en-US"/>
        </w:rPr>
        <w:t>Operating Expenses:</w:t>
      </w:r>
    </w:p>
    <w:p w14:paraId="7988AD88" w14:textId="77777777" w:rsidR="000E5963" w:rsidRPr="009029EB" w:rsidRDefault="000E5963" w:rsidP="000E5963">
      <w:pPr>
        <w:spacing w:after="0" w:line="240" w:lineRule="auto"/>
        <w:ind w:right="283"/>
        <w:jc w:val="both"/>
        <w:rPr>
          <w:rFonts w:ascii="Calibri" w:eastAsia="Times New Roman" w:hAnsi="Calibri" w:cs="Calibri"/>
          <w:b/>
          <w:sz w:val="22"/>
          <w:szCs w:val="22"/>
          <w:lang w:val="en-IE" w:eastAsia="en-US"/>
        </w:rPr>
      </w:pPr>
    </w:p>
    <w:p w14:paraId="0B76439A" w14:textId="77777777" w:rsidR="000E5963" w:rsidRPr="009029EB" w:rsidRDefault="000E5963" w:rsidP="000E5963">
      <w:pPr>
        <w:spacing w:after="0" w:line="240" w:lineRule="auto"/>
        <w:ind w:right="283"/>
        <w:jc w:val="both"/>
        <w:rPr>
          <w:rFonts w:ascii="Calibri" w:eastAsia="Times New Roman" w:hAnsi="Calibri" w:cs="Calibri"/>
          <w:b/>
          <w:sz w:val="22"/>
          <w:szCs w:val="22"/>
          <w:lang w:val="en-IE" w:eastAsia="en-US"/>
        </w:rPr>
      </w:pPr>
      <w:bookmarkStart w:id="7" w:name="_Hlk163221372"/>
      <w:r w:rsidRPr="009029EB">
        <w:rPr>
          <w:rFonts w:ascii="Calibri" w:eastAsia="Times New Roman" w:hAnsi="Calibri" w:cs="Calibri"/>
          <w:b/>
          <w:sz w:val="22"/>
          <w:szCs w:val="22"/>
          <w:lang w:val="en-IE" w:eastAsia="en-US"/>
        </w:rPr>
        <w:t>Fuel and oil:</w:t>
      </w:r>
    </w:p>
    <w:p w14:paraId="1656401C" w14:textId="4C369DEE" w:rsidR="000E5963" w:rsidRPr="009029EB" w:rsidRDefault="000E5963" w:rsidP="000E5963">
      <w:pPr>
        <w:spacing w:after="0" w:line="240" w:lineRule="auto"/>
        <w:ind w:right="283"/>
        <w:jc w:val="both"/>
        <w:rPr>
          <w:rFonts w:ascii="Calibri" w:eastAsia="Times New Roman" w:hAnsi="Calibri" w:cs="Calibri"/>
          <w:sz w:val="22"/>
          <w:szCs w:val="22"/>
          <w:highlight w:val="yellow"/>
          <w:lang w:val="en-IE" w:eastAsia="en-US"/>
        </w:rPr>
      </w:pPr>
      <w:bookmarkStart w:id="8" w:name="_Hlk187135348"/>
      <w:r w:rsidRPr="00921285">
        <w:rPr>
          <w:rFonts w:ascii="Calibri" w:eastAsia="Times New Roman" w:hAnsi="Calibri" w:cs="Calibri"/>
          <w:sz w:val="22"/>
          <w:szCs w:val="22"/>
          <w:lang w:val="en-IE" w:eastAsia="en-US"/>
        </w:rPr>
        <w:t xml:space="preserve">Fuel and oil increased </w:t>
      </w:r>
      <w:r w:rsidRPr="00921285">
        <w:rPr>
          <w:rFonts w:ascii="Calibri" w:eastAsia="Times New Roman" w:hAnsi="Calibri" w:cs="Calibri"/>
          <w:b/>
          <w:sz w:val="22"/>
          <w:szCs w:val="22"/>
          <w:lang w:val="en-IE" w:eastAsia="en-US"/>
        </w:rPr>
        <w:t>2</w:t>
      </w:r>
      <w:r w:rsidR="00F412C0" w:rsidRPr="00921285">
        <w:rPr>
          <w:rFonts w:ascii="Calibri" w:eastAsia="Times New Roman" w:hAnsi="Calibri" w:cs="Calibri"/>
          <w:b/>
          <w:sz w:val="22"/>
          <w:szCs w:val="22"/>
          <w:lang w:val="en-IE" w:eastAsia="en-US"/>
        </w:rPr>
        <w:t>%</w:t>
      </w:r>
      <w:r w:rsidRPr="00921285">
        <w:rPr>
          <w:rFonts w:ascii="Calibri" w:eastAsia="Times New Roman" w:hAnsi="Calibri" w:cs="Calibri"/>
          <w:b/>
          <w:sz w:val="22"/>
          <w:szCs w:val="22"/>
          <w:lang w:val="en-IE" w:eastAsia="en-US"/>
        </w:rPr>
        <w:t xml:space="preserve"> to </w:t>
      </w:r>
      <w:r w:rsidR="00F412C0" w:rsidRPr="00921285">
        <w:rPr>
          <w:rFonts w:ascii="Calibri" w:eastAsia="Times New Roman" w:hAnsi="Calibri" w:cs="Calibri"/>
          <w:b/>
          <w:sz w:val="22"/>
          <w:szCs w:val="22"/>
          <w:lang w:val="en-IE" w:eastAsia="en-US"/>
        </w:rPr>
        <w:t>€</w:t>
      </w:r>
      <w:r w:rsidR="008E6098" w:rsidRPr="00921285">
        <w:rPr>
          <w:rFonts w:ascii="Calibri" w:eastAsia="Times New Roman" w:hAnsi="Calibri" w:cs="Calibri"/>
          <w:b/>
          <w:sz w:val="22"/>
          <w:szCs w:val="22"/>
          <w:lang w:val="en-IE" w:eastAsia="en-US"/>
        </w:rPr>
        <w:t>2</w:t>
      </w:r>
      <w:r w:rsidRPr="00921285">
        <w:rPr>
          <w:rFonts w:ascii="Calibri" w:eastAsia="Times New Roman" w:hAnsi="Calibri" w:cs="Calibri"/>
          <w:b/>
          <w:sz w:val="22"/>
          <w:szCs w:val="22"/>
          <w:lang w:val="en-IE" w:eastAsia="en-US"/>
        </w:rPr>
        <w:t>.</w:t>
      </w:r>
      <w:r w:rsidR="008E6098" w:rsidRPr="008C06B9">
        <w:rPr>
          <w:rFonts w:ascii="Calibri" w:eastAsia="Times New Roman" w:hAnsi="Calibri" w:cs="Calibri"/>
          <w:b/>
          <w:sz w:val="22"/>
          <w:szCs w:val="22"/>
          <w:lang w:val="en-IE" w:eastAsia="en-US"/>
        </w:rPr>
        <w:t>97</w:t>
      </w:r>
      <w:r w:rsidRPr="008C06B9">
        <w:rPr>
          <w:rFonts w:ascii="Calibri" w:eastAsia="Times New Roman" w:hAnsi="Calibri" w:cs="Calibri"/>
          <w:b/>
          <w:sz w:val="22"/>
          <w:szCs w:val="22"/>
          <w:lang w:val="en-IE" w:eastAsia="en-US"/>
        </w:rPr>
        <w:t>BN</w:t>
      </w:r>
      <w:r w:rsidR="0059148F" w:rsidRPr="008C06B9">
        <w:rPr>
          <w:rFonts w:ascii="Calibri" w:eastAsia="Times New Roman" w:hAnsi="Calibri" w:cs="Calibri"/>
          <w:sz w:val="22"/>
          <w:szCs w:val="22"/>
          <w:lang w:val="en-IE" w:eastAsia="en-US"/>
        </w:rPr>
        <w:t xml:space="preserve"> </w:t>
      </w:r>
      <w:r w:rsidR="00077049" w:rsidRPr="00077049">
        <w:rPr>
          <w:rFonts w:ascii="Calibri" w:eastAsia="Times New Roman" w:hAnsi="Calibri" w:cs="Calibri"/>
          <w:sz w:val="22"/>
          <w:szCs w:val="22"/>
          <w:lang w:val="en-IE" w:eastAsia="en-US"/>
        </w:rPr>
        <w:t xml:space="preserve">as </w:t>
      </w:r>
      <w:r w:rsidR="003F529C">
        <w:rPr>
          <w:rFonts w:ascii="Calibri" w:eastAsia="Times New Roman" w:hAnsi="Calibri" w:cs="Calibri"/>
          <w:sz w:val="22"/>
          <w:szCs w:val="22"/>
          <w:lang w:val="en-IE" w:eastAsia="en-US"/>
        </w:rPr>
        <w:t>the Group’s</w:t>
      </w:r>
      <w:r w:rsidR="00077049" w:rsidRPr="00077049">
        <w:rPr>
          <w:rFonts w:ascii="Calibri" w:eastAsia="Times New Roman" w:hAnsi="Calibri" w:cs="Calibri"/>
          <w:sz w:val="22"/>
          <w:szCs w:val="22"/>
          <w:lang w:val="en-IE" w:eastAsia="en-US"/>
        </w:rPr>
        <w:t xml:space="preserve"> jet fuel hedging and lower fuel burn (</w:t>
      </w:r>
      <w:r w:rsidR="00611BD3">
        <w:rPr>
          <w:rFonts w:ascii="Calibri" w:eastAsia="Times New Roman" w:hAnsi="Calibri" w:cs="Calibri"/>
          <w:sz w:val="22"/>
          <w:szCs w:val="22"/>
          <w:lang w:val="en-IE" w:eastAsia="en-US"/>
        </w:rPr>
        <w:t>more</w:t>
      </w:r>
      <w:r w:rsidR="002F37E1">
        <w:rPr>
          <w:rFonts w:ascii="Calibri" w:eastAsia="Times New Roman" w:hAnsi="Calibri" w:cs="Calibri"/>
          <w:sz w:val="22"/>
          <w:szCs w:val="22"/>
          <w:lang w:val="en-IE" w:eastAsia="en-US"/>
        </w:rPr>
        <w:t xml:space="preserve"> </w:t>
      </w:r>
      <w:r w:rsidR="00077049" w:rsidRPr="00077049">
        <w:rPr>
          <w:rFonts w:ascii="Calibri" w:eastAsia="Times New Roman" w:hAnsi="Calibri" w:cs="Calibri"/>
          <w:sz w:val="22"/>
          <w:szCs w:val="22"/>
          <w:lang w:val="en-IE" w:eastAsia="en-US"/>
        </w:rPr>
        <w:t xml:space="preserve">B737-8200 “Gamechanger” aircraft and retrofit scimitar winglets on our B737-800NG fleet) helped offset </w:t>
      </w:r>
      <w:r w:rsidR="00D07249">
        <w:rPr>
          <w:rFonts w:ascii="Calibri" w:eastAsia="Times New Roman" w:hAnsi="Calibri" w:cs="Calibri"/>
          <w:sz w:val="22"/>
          <w:szCs w:val="22"/>
          <w:lang w:val="en-IE" w:eastAsia="en-US"/>
        </w:rPr>
        <w:t xml:space="preserve">a 3% </w:t>
      </w:r>
      <w:r w:rsidR="007B6523">
        <w:rPr>
          <w:rFonts w:ascii="Calibri" w:eastAsia="Times New Roman" w:hAnsi="Calibri" w:cs="Calibri"/>
          <w:sz w:val="22"/>
          <w:szCs w:val="22"/>
          <w:lang w:val="en-IE" w:eastAsia="en-US"/>
        </w:rPr>
        <w:t xml:space="preserve">increase in flight hours and </w:t>
      </w:r>
      <w:r w:rsidR="00077049" w:rsidRPr="00077049">
        <w:rPr>
          <w:rFonts w:ascii="Calibri" w:eastAsia="Times New Roman" w:hAnsi="Calibri" w:cs="Calibri"/>
          <w:sz w:val="22"/>
          <w:szCs w:val="22"/>
          <w:lang w:val="en-IE" w:eastAsia="en-US"/>
        </w:rPr>
        <w:t>higher environmental costs (ETS allowance unwind and SAF blend mandates from Jan. 2025)</w:t>
      </w:r>
      <w:r w:rsidR="001A2E5F">
        <w:rPr>
          <w:rFonts w:ascii="Calibri" w:eastAsia="Times New Roman" w:hAnsi="Calibri" w:cs="Calibri"/>
          <w:sz w:val="22"/>
          <w:szCs w:val="22"/>
          <w:lang w:val="en-IE" w:eastAsia="en-US"/>
        </w:rPr>
        <w:t>.</w:t>
      </w:r>
    </w:p>
    <w:p w14:paraId="48BAEDE5" w14:textId="77777777" w:rsidR="00F412C0" w:rsidRPr="009029EB" w:rsidRDefault="00F412C0" w:rsidP="000E5963">
      <w:pPr>
        <w:spacing w:after="0" w:line="240" w:lineRule="auto"/>
        <w:ind w:right="283"/>
        <w:jc w:val="both"/>
        <w:rPr>
          <w:rFonts w:ascii="Calibri" w:eastAsia="Times New Roman" w:hAnsi="Calibri" w:cs="Calibri"/>
          <w:b/>
          <w:sz w:val="22"/>
          <w:szCs w:val="22"/>
          <w:highlight w:val="yellow"/>
          <w:lang w:val="en-IE" w:eastAsia="en-US"/>
        </w:rPr>
      </w:pPr>
    </w:p>
    <w:p w14:paraId="528FF2F4" w14:textId="77777777" w:rsidR="00330DEB" w:rsidRPr="009029EB" w:rsidRDefault="00330DEB" w:rsidP="00330DEB">
      <w:pPr>
        <w:spacing w:after="0" w:line="240" w:lineRule="auto"/>
        <w:ind w:right="283"/>
        <w:jc w:val="both"/>
        <w:rPr>
          <w:rFonts w:ascii="Calibri" w:eastAsia="Times New Roman" w:hAnsi="Calibri" w:cs="Calibri"/>
          <w:b/>
          <w:sz w:val="22"/>
          <w:szCs w:val="22"/>
          <w:lang w:val="en-IE" w:eastAsia="en-US"/>
        </w:rPr>
      </w:pPr>
      <w:r w:rsidRPr="009029EB">
        <w:rPr>
          <w:rFonts w:ascii="Calibri" w:eastAsia="Times New Roman" w:hAnsi="Calibri" w:cs="Calibri"/>
          <w:b/>
          <w:sz w:val="22"/>
          <w:szCs w:val="22"/>
          <w:lang w:val="en-IE" w:eastAsia="en-US"/>
        </w:rPr>
        <w:t>Airport and handling charges:</w:t>
      </w:r>
    </w:p>
    <w:p w14:paraId="77686735" w14:textId="24A6DA5F" w:rsidR="00330DEB" w:rsidRPr="00300BDC" w:rsidRDefault="00330DEB" w:rsidP="00330DEB">
      <w:pPr>
        <w:spacing w:after="0" w:line="240" w:lineRule="auto"/>
        <w:ind w:right="283"/>
        <w:jc w:val="both"/>
        <w:rPr>
          <w:rFonts w:ascii="Calibri" w:eastAsia="Times New Roman" w:hAnsi="Calibri" w:cs="Calibri"/>
          <w:sz w:val="22"/>
          <w:szCs w:val="22"/>
          <w:lang w:val="en-IE" w:eastAsia="en-US"/>
        </w:rPr>
      </w:pPr>
      <w:r w:rsidRPr="00300BDC">
        <w:rPr>
          <w:rFonts w:ascii="Calibri" w:eastAsia="Times New Roman" w:hAnsi="Calibri" w:cs="Calibri"/>
          <w:sz w:val="22"/>
          <w:szCs w:val="22"/>
          <w:lang w:val="en-IE" w:eastAsia="en-US"/>
        </w:rPr>
        <w:t xml:space="preserve">Airport and handling charges rose </w:t>
      </w:r>
      <w:r w:rsidR="00921285" w:rsidRPr="00300BDC">
        <w:rPr>
          <w:rFonts w:ascii="Calibri" w:eastAsia="Times New Roman" w:hAnsi="Calibri" w:cs="Calibri"/>
          <w:b/>
          <w:bCs/>
          <w:sz w:val="22"/>
          <w:szCs w:val="22"/>
          <w:lang w:val="en-IE" w:eastAsia="en-US"/>
        </w:rPr>
        <w:t>4</w:t>
      </w:r>
      <w:r w:rsidRPr="00300BDC">
        <w:rPr>
          <w:rFonts w:ascii="Calibri" w:eastAsia="Times New Roman" w:hAnsi="Calibri" w:cs="Calibri"/>
          <w:b/>
          <w:bCs/>
          <w:sz w:val="22"/>
          <w:szCs w:val="22"/>
          <w:lang w:val="en-IE" w:eastAsia="en-US"/>
        </w:rPr>
        <w:t>% to €</w:t>
      </w:r>
      <w:r w:rsidR="00921285" w:rsidRPr="00300BDC">
        <w:rPr>
          <w:rFonts w:ascii="Calibri" w:eastAsia="Times New Roman" w:hAnsi="Calibri" w:cs="Calibri"/>
          <w:b/>
          <w:bCs/>
          <w:sz w:val="22"/>
          <w:szCs w:val="22"/>
          <w:lang w:val="en-IE" w:eastAsia="en-US"/>
        </w:rPr>
        <w:t>1.0</w:t>
      </w:r>
      <w:r w:rsidR="007B7BE8">
        <w:rPr>
          <w:rFonts w:ascii="Calibri" w:eastAsia="Times New Roman" w:hAnsi="Calibri" w:cs="Calibri"/>
          <w:b/>
          <w:bCs/>
          <w:sz w:val="22"/>
          <w:szCs w:val="22"/>
          <w:lang w:val="en-IE" w:eastAsia="en-US"/>
        </w:rPr>
        <w:t>1</w:t>
      </w:r>
      <w:r w:rsidR="00921285" w:rsidRPr="00300BDC">
        <w:rPr>
          <w:rFonts w:ascii="Calibri" w:eastAsia="Times New Roman" w:hAnsi="Calibri" w:cs="Calibri"/>
          <w:b/>
          <w:bCs/>
          <w:sz w:val="22"/>
          <w:szCs w:val="22"/>
          <w:lang w:val="en-IE" w:eastAsia="en-US"/>
        </w:rPr>
        <w:t>BN</w:t>
      </w:r>
      <w:r w:rsidRPr="00300BDC">
        <w:rPr>
          <w:rFonts w:ascii="Calibri" w:eastAsia="Times New Roman" w:hAnsi="Calibri" w:cs="Calibri"/>
          <w:sz w:val="22"/>
          <w:szCs w:val="22"/>
          <w:lang w:val="en-IE" w:eastAsia="en-US"/>
        </w:rPr>
        <w:t xml:space="preserve">, due to </w:t>
      </w:r>
      <w:r w:rsidR="00521E67">
        <w:rPr>
          <w:rFonts w:ascii="Calibri" w:eastAsia="Times New Roman" w:hAnsi="Calibri" w:cs="Calibri"/>
          <w:sz w:val="22"/>
          <w:szCs w:val="22"/>
          <w:lang w:val="en-IE" w:eastAsia="en-US"/>
        </w:rPr>
        <w:t>3</w:t>
      </w:r>
      <w:r w:rsidRPr="00300BDC">
        <w:rPr>
          <w:rFonts w:ascii="Calibri" w:eastAsia="Times New Roman" w:hAnsi="Calibri" w:cs="Calibri"/>
          <w:sz w:val="22"/>
          <w:szCs w:val="22"/>
          <w:lang w:val="en-IE" w:eastAsia="en-US"/>
        </w:rPr>
        <w:t>% traffic growth</w:t>
      </w:r>
      <w:r w:rsidR="000F71EC" w:rsidRPr="00300BDC">
        <w:rPr>
          <w:rFonts w:ascii="Calibri" w:eastAsia="Times New Roman" w:hAnsi="Calibri" w:cs="Calibri"/>
          <w:sz w:val="22"/>
          <w:szCs w:val="22"/>
          <w:lang w:val="en-IE" w:eastAsia="en-US"/>
        </w:rPr>
        <w:t>,</w:t>
      </w:r>
      <w:r w:rsidRPr="00300BDC">
        <w:rPr>
          <w:rFonts w:ascii="Calibri" w:eastAsia="Times New Roman" w:hAnsi="Calibri" w:cs="Calibri"/>
          <w:sz w:val="22"/>
          <w:szCs w:val="22"/>
          <w:lang w:val="en-IE" w:eastAsia="en-US"/>
        </w:rPr>
        <w:t xml:space="preserve"> </w:t>
      </w:r>
      <w:r w:rsidR="007A1708" w:rsidRPr="00300BDC">
        <w:rPr>
          <w:rFonts w:ascii="Calibri" w:eastAsia="Times New Roman" w:hAnsi="Calibri" w:cs="Calibri"/>
          <w:sz w:val="22"/>
          <w:szCs w:val="22"/>
          <w:lang w:val="en-IE" w:eastAsia="en-US"/>
        </w:rPr>
        <w:t>ground ATC</w:t>
      </w:r>
      <w:r w:rsidR="00536531" w:rsidRPr="00300BDC">
        <w:rPr>
          <w:rFonts w:ascii="Calibri" w:eastAsia="Times New Roman" w:hAnsi="Calibri" w:cs="Calibri"/>
          <w:sz w:val="22"/>
          <w:szCs w:val="22"/>
          <w:lang w:val="en-IE" w:eastAsia="en-US"/>
        </w:rPr>
        <w:t xml:space="preserve"> rate hikes</w:t>
      </w:r>
      <w:r w:rsidR="000E20D3" w:rsidRPr="00300BDC">
        <w:rPr>
          <w:rFonts w:ascii="Calibri" w:eastAsia="Times New Roman" w:hAnsi="Calibri" w:cs="Calibri"/>
          <w:sz w:val="22"/>
          <w:szCs w:val="22"/>
          <w:lang w:val="en-IE" w:eastAsia="en-US"/>
        </w:rPr>
        <w:t xml:space="preserve"> and </w:t>
      </w:r>
      <w:r w:rsidR="00BB0EED" w:rsidRPr="00300BDC">
        <w:rPr>
          <w:rFonts w:ascii="Calibri" w:eastAsia="Times New Roman" w:hAnsi="Calibri" w:cs="Calibri"/>
          <w:sz w:val="22"/>
          <w:szCs w:val="22"/>
          <w:lang w:val="en-IE" w:eastAsia="en-US"/>
        </w:rPr>
        <w:t xml:space="preserve">higher </w:t>
      </w:r>
      <w:r w:rsidR="00763D30" w:rsidRPr="00300BDC">
        <w:rPr>
          <w:rFonts w:ascii="Calibri" w:eastAsia="Times New Roman" w:hAnsi="Calibri" w:cs="Calibri"/>
          <w:sz w:val="22"/>
          <w:szCs w:val="22"/>
          <w:lang w:val="en-IE" w:eastAsia="en-US"/>
        </w:rPr>
        <w:t>handling labour costs.</w:t>
      </w:r>
    </w:p>
    <w:p w14:paraId="6DC0A662" w14:textId="77777777" w:rsidR="00330DEB" w:rsidRPr="009029EB" w:rsidRDefault="00330DEB" w:rsidP="000E5963">
      <w:pPr>
        <w:spacing w:after="0" w:line="240" w:lineRule="auto"/>
        <w:ind w:right="283"/>
        <w:jc w:val="both"/>
        <w:rPr>
          <w:rFonts w:ascii="Calibri" w:eastAsia="Times New Roman" w:hAnsi="Calibri" w:cs="Calibri"/>
          <w:b/>
          <w:sz w:val="22"/>
          <w:szCs w:val="22"/>
          <w:highlight w:val="yellow"/>
          <w:lang w:val="en-IE" w:eastAsia="en-US"/>
        </w:rPr>
      </w:pPr>
    </w:p>
    <w:p w14:paraId="05E642E0" w14:textId="74E77000" w:rsidR="000E5963" w:rsidRPr="009029EB" w:rsidRDefault="000E5963" w:rsidP="000E5963">
      <w:pPr>
        <w:spacing w:after="0" w:line="240" w:lineRule="auto"/>
        <w:ind w:right="283"/>
        <w:jc w:val="both"/>
        <w:rPr>
          <w:rFonts w:ascii="Calibri" w:eastAsia="Times New Roman" w:hAnsi="Calibri" w:cs="Calibri"/>
          <w:b/>
          <w:sz w:val="22"/>
          <w:szCs w:val="22"/>
          <w:lang w:val="en-IE" w:eastAsia="en-US"/>
        </w:rPr>
      </w:pPr>
      <w:r w:rsidRPr="009029EB">
        <w:rPr>
          <w:rFonts w:ascii="Calibri" w:eastAsia="Times New Roman" w:hAnsi="Calibri" w:cs="Calibri"/>
          <w:b/>
          <w:sz w:val="22"/>
          <w:szCs w:val="22"/>
          <w:lang w:val="en-IE" w:eastAsia="en-US"/>
        </w:rPr>
        <w:t>Staff costs:</w:t>
      </w:r>
    </w:p>
    <w:bookmarkEnd w:id="7"/>
    <w:bookmarkEnd w:id="8"/>
    <w:p w14:paraId="6DA03089" w14:textId="298CC668" w:rsidR="000E5963" w:rsidRPr="009029EB" w:rsidRDefault="000E5963" w:rsidP="000E5963">
      <w:pPr>
        <w:spacing w:after="0" w:line="240" w:lineRule="auto"/>
        <w:ind w:right="283"/>
        <w:jc w:val="both"/>
        <w:rPr>
          <w:rFonts w:ascii="Calibri" w:eastAsia="Times New Roman" w:hAnsi="Calibri" w:cs="Calibri"/>
          <w:sz w:val="22"/>
          <w:szCs w:val="22"/>
          <w:highlight w:val="yellow"/>
          <w:lang w:val="en-IE" w:eastAsia="en-US"/>
        </w:rPr>
      </w:pPr>
      <w:r w:rsidRPr="00D51F20">
        <w:rPr>
          <w:rFonts w:ascii="Calibri" w:eastAsia="Times New Roman" w:hAnsi="Calibri" w:cs="Calibri"/>
          <w:sz w:val="22"/>
          <w:szCs w:val="22"/>
          <w:lang w:val="en-IE" w:eastAsia="en-US"/>
        </w:rPr>
        <w:t>Staff costs increased</w:t>
      </w:r>
      <w:r w:rsidRPr="00D51F20">
        <w:rPr>
          <w:rFonts w:ascii="Calibri" w:eastAsia="Times New Roman" w:hAnsi="Calibri" w:cs="Calibri"/>
          <w:b/>
          <w:bCs/>
          <w:sz w:val="22"/>
          <w:szCs w:val="22"/>
          <w:lang w:val="en-IE" w:eastAsia="en-US"/>
        </w:rPr>
        <w:t xml:space="preserve"> </w:t>
      </w:r>
      <w:r w:rsidR="00D232D7" w:rsidRPr="00D51F20">
        <w:rPr>
          <w:rFonts w:ascii="Calibri" w:eastAsia="Times New Roman" w:hAnsi="Calibri" w:cs="Calibri"/>
          <w:b/>
          <w:bCs/>
          <w:sz w:val="22"/>
          <w:szCs w:val="22"/>
          <w:lang w:val="en-IE" w:eastAsia="en-US"/>
        </w:rPr>
        <w:t>3</w:t>
      </w:r>
      <w:r w:rsidRPr="00D51F20">
        <w:rPr>
          <w:rFonts w:ascii="Calibri" w:eastAsia="Times New Roman" w:hAnsi="Calibri" w:cs="Calibri"/>
          <w:b/>
          <w:bCs/>
          <w:sz w:val="22"/>
          <w:szCs w:val="22"/>
          <w:lang w:val="en-IE" w:eastAsia="en-US"/>
        </w:rPr>
        <w:t>% to €</w:t>
      </w:r>
      <w:r w:rsidR="00D51F20" w:rsidRPr="00D51F20">
        <w:rPr>
          <w:rFonts w:ascii="Calibri" w:eastAsia="Times New Roman" w:hAnsi="Calibri" w:cs="Calibri"/>
          <w:b/>
          <w:bCs/>
          <w:sz w:val="22"/>
          <w:szCs w:val="22"/>
          <w:lang w:val="en-IE" w:eastAsia="en-US"/>
        </w:rPr>
        <w:t>926</w:t>
      </w:r>
      <w:r w:rsidRPr="00D51F20">
        <w:rPr>
          <w:rFonts w:ascii="Calibri" w:eastAsia="Times New Roman" w:hAnsi="Calibri" w:cs="Calibri"/>
          <w:b/>
          <w:bCs/>
          <w:sz w:val="22"/>
          <w:szCs w:val="22"/>
          <w:lang w:val="en-IE" w:eastAsia="en-US"/>
        </w:rPr>
        <w:t>M</w:t>
      </w:r>
      <w:r w:rsidR="0041138C" w:rsidRPr="00642809">
        <w:rPr>
          <w:rFonts w:ascii="Calibri" w:eastAsia="Times New Roman" w:hAnsi="Calibri" w:cs="Calibri"/>
          <w:sz w:val="22"/>
          <w:szCs w:val="22"/>
          <w:lang w:val="en-IE" w:eastAsia="en-US"/>
        </w:rPr>
        <w:t>,</w:t>
      </w:r>
      <w:r w:rsidRPr="00AB2FE4">
        <w:rPr>
          <w:rFonts w:ascii="Calibri" w:eastAsia="Times New Roman" w:hAnsi="Calibri" w:cs="Calibri"/>
          <w:sz w:val="22"/>
          <w:szCs w:val="22"/>
          <w:lang w:val="en-IE" w:eastAsia="en-US"/>
        </w:rPr>
        <w:t xml:space="preserve"> </w:t>
      </w:r>
      <w:r w:rsidR="00311AE5" w:rsidRPr="00AB2FE4">
        <w:rPr>
          <w:rFonts w:ascii="Calibri" w:eastAsia="Times New Roman" w:hAnsi="Calibri" w:cs="Calibri"/>
          <w:sz w:val="22"/>
          <w:szCs w:val="22"/>
          <w:lang w:val="en-IE" w:eastAsia="en-US"/>
        </w:rPr>
        <w:t xml:space="preserve">as </w:t>
      </w:r>
      <w:r w:rsidR="00521E67" w:rsidRPr="00AB2FE4">
        <w:rPr>
          <w:rFonts w:ascii="Calibri" w:eastAsia="Times New Roman" w:hAnsi="Calibri" w:cs="Calibri"/>
          <w:sz w:val="22"/>
          <w:szCs w:val="22"/>
          <w:lang w:val="en-IE" w:eastAsia="en-US"/>
        </w:rPr>
        <w:t>3</w:t>
      </w:r>
      <w:r w:rsidR="0041138C" w:rsidRPr="00AB2FE4">
        <w:rPr>
          <w:rFonts w:ascii="Calibri" w:eastAsia="Times New Roman" w:hAnsi="Calibri" w:cs="Calibri"/>
          <w:sz w:val="22"/>
          <w:szCs w:val="22"/>
          <w:lang w:val="en-IE" w:eastAsia="en-US"/>
        </w:rPr>
        <w:t xml:space="preserve">% </w:t>
      </w:r>
      <w:r w:rsidR="00DA0C96">
        <w:rPr>
          <w:rFonts w:ascii="Calibri" w:eastAsia="Times New Roman" w:hAnsi="Calibri" w:cs="Calibri"/>
          <w:sz w:val="22"/>
          <w:szCs w:val="22"/>
          <w:lang w:val="en-IE" w:eastAsia="en-US"/>
        </w:rPr>
        <w:t>higher</w:t>
      </w:r>
      <w:r w:rsidR="0041138C" w:rsidRPr="00AB2FE4">
        <w:rPr>
          <w:rFonts w:ascii="Calibri" w:eastAsia="Times New Roman" w:hAnsi="Calibri" w:cs="Calibri"/>
          <w:sz w:val="22"/>
          <w:szCs w:val="22"/>
          <w:lang w:val="en-IE" w:eastAsia="en-US"/>
        </w:rPr>
        <w:t xml:space="preserve"> sectors</w:t>
      </w:r>
      <w:r w:rsidR="005C46B7" w:rsidRPr="00AB2FE4">
        <w:rPr>
          <w:rFonts w:ascii="Calibri" w:eastAsia="Times New Roman" w:hAnsi="Calibri" w:cs="Calibri"/>
          <w:sz w:val="22"/>
          <w:szCs w:val="22"/>
          <w:lang w:val="en-IE" w:eastAsia="en-US"/>
        </w:rPr>
        <w:t xml:space="preserve"> and agreed pay increases </w:t>
      </w:r>
      <w:r w:rsidR="004335DD" w:rsidRPr="00AB2FE4">
        <w:rPr>
          <w:rFonts w:ascii="Calibri" w:eastAsia="Times New Roman" w:hAnsi="Calibri" w:cs="Calibri"/>
          <w:sz w:val="22"/>
          <w:szCs w:val="22"/>
          <w:lang w:val="en-IE" w:eastAsia="en-US"/>
        </w:rPr>
        <w:t>(</w:t>
      </w:r>
      <w:r w:rsidR="005C46B7" w:rsidRPr="00AB2FE4">
        <w:rPr>
          <w:rFonts w:ascii="Calibri" w:eastAsia="Times New Roman" w:hAnsi="Calibri" w:cs="Calibri"/>
          <w:sz w:val="22"/>
          <w:szCs w:val="22"/>
          <w:lang w:val="en-IE" w:eastAsia="en-US"/>
        </w:rPr>
        <w:t>under CLAs</w:t>
      </w:r>
      <w:r w:rsidR="004335DD" w:rsidRPr="00AB2FE4">
        <w:rPr>
          <w:rFonts w:ascii="Calibri" w:eastAsia="Times New Roman" w:hAnsi="Calibri" w:cs="Calibri"/>
          <w:sz w:val="22"/>
          <w:szCs w:val="22"/>
          <w:lang w:val="en-IE" w:eastAsia="en-US"/>
        </w:rPr>
        <w:t>)</w:t>
      </w:r>
      <w:r w:rsidR="005C46B7" w:rsidRPr="00AB2FE4">
        <w:rPr>
          <w:rFonts w:ascii="Calibri" w:eastAsia="Times New Roman" w:hAnsi="Calibri" w:cs="Calibri"/>
          <w:sz w:val="22"/>
          <w:szCs w:val="22"/>
          <w:lang w:val="en-IE" w:eastAsia="en-US"/>
        </w:rPr>
        <w:t xml:space="preserve"> were</w:t>
      </w:r>
      <w:r w:rsidR="001C5BAE" w:rsidRPr="00AB2FE4">
        <w:rPr>
          <w:rFonts w:ascii="Calibri" w:eastAsia="Times New Roman" w:hAnsi="Calibri" w:cs="Calibri"/>
          <w:sz w:val="22"/>
          <w:szCs w:val="22"/>
          <w:lang w:val="en-IE" w:eastAsia="en-US"/>
        </w:rPr>
        <w:t xml:space="preserve"> somewhat</w:t>
      </w:r>
      <w:r w:rsidR="005C46B7" w:rsidRPr="00AB2FE4">
        <w:rPr>
          <w:rFonts w:ascii="Calibri" w:eastAsia="Times New Roman" w:hAnsi="Calibri" w:cs="Calibri"/>
          <w:sz w:val="22"/>
          <w:szCs w:val="22"/>
          <w:lang w:val="en-IE" w:eastAsia="en-US"/>
        </w:rPr>
        <w:t xml:space="preserve"> offset by</w:t>
      </w:r>
      <w:r w:rsidR="00AD26A1" w:rsidRPr="00AB2FE4">
        <w:rPr>
          <w:rFonts w:ascii="Calibri" w:eastAsia="Times New Roman" w:hAnsi="Calibri" w:cs="Calibri"/>
          <w:sz w:val="22"/>
          <w:szCs w:val="22"/>
          <w:lang w:val="en-IE" w:eastAsia="en-US"/>
        </w:rPr>
        <w:t xml:space="preserve"> 2</w:t>
      </w:r>
      <w:r w:rsidR="00AB2FE4" w:rsidRPr="00AB2FE4">
        <w:rPr>
          <w:rFonts w:ascii="Calibri" w:eastAsia="Times New Roman" w:hAnsi="Calibri" w:cs="Calibri"/>
          <w:sz w:val="22"/>
          <w:szCs w:val="22"/>
          <w:lang w:val="en-IE" w:eastAsia="en-US"/>
        </w:rPr>
        <w:t>9</w:t>
      </w:r>
      <w:r w:rsidR="00AD26A1" w:rsidRPr="00AB2FE4">
        <w:rPr>
          <w:rFonts w:ascii="Calibri" w:eastAsia="Times New Roman" w:hAnsi="Calibri" w:cs="Calibri"/>
          <w:sz w:val="22"/>
          <w:szCs w:val="22"/>
          <w:lang w:val="en-IE" w:eastAsia="en-US"/>
        </w:rPr>
        <w:t xml:space="preserve"> additional </w:t>
      </w:r>
      <w:r w:rsidR="00AC4BAC">
        <w:rPr>
          <w:rFonts w:ascii="Calibri" w:eastAsia="Times New Roman" w:hAnsi="Calibri" w:cs="Calibri"/>
          <w:sz w:val="22"/>
          <w:szCs w:val="22"/>
          <w:lang w:val="en-IE" w:eastAsia="en-US"/>
        </w:rPr>
        <w:t xml:space="preserve">B737-8200 </w:t>
      </w:r>
      <w:r w:rsidR="00156060">
        <w:rPr>
          <w:rFonts w:ascii="Calibri" w:eastAsia="Times New Roman" w:hAnsi="Calibri" w:cs="Calibri"/>
          <w:sz w:val="22"/>
          <w:szCs w:val="22"/>
          <w:lang w:val="en-IE" w:eastAsia="en-US"/>
        </w:rPr>
        <w:t>“</w:t>
      </w:r>
      <w:r w:rsidR="006A37F8">
        <w:rPr>
          <w:rFonts w:ascii="Calibri" w:eastAsia="Times New Roman" w:hAnsi="Calibri" w:cs="Calibri"/>
          <w:sz w:val="22"/>
          <w:szCs w:val="22"/>
          <w:lang w:val="en-IE" w:eastAsia="en-US"/>
        </w:rPr>
        <w:t>G</w:t>
      </w:r>
      <w:r w:rsidR="00AD26A1" w:rsidRPr="00AB2FE4">
        <w:rPr>
          <w:rFonts w:ascii="Calibri" w:eastAsia="Times New Roman" w:hAnsi="Calibri" w:cs="Calibri"/>
          <w:sz w:val="22"/>
          <w:szCs w:val="22"/>
          <w:lang w:val="en-IE" w:eastAsia="en-US"/>
        </w:rPr>
        <w:t>amechanger</w:t>
      </w:r>
      <w:r w:rsidR="006A37F8">
        <w:rPr>
          <w:rFonts w:ascii="Calibri" w:eastAsia="Times New Roman" w:hAnsi="Calibri" w:cs="Calibri"/>
          <w:sz w:val="22"/>
          <w:szCs w:val="22"/>
          <w:lang w:val="en-IE" w:eastAsia="en-US"/>
        </w:rPr>
        <w:t>”</w:t>
      </w:r>
      <w:r w:rsidR="00AD26A1" w:rsidRPr="00AB2FE4">
        <w:rPr>
          <w:rFonts w:ascii="Calibri" w:eastAsia="Times New Roman" w:hAnsi="Calibri" w:cs="Calibri"/>
          <w:sz w:val="22"/>
          <w:szCs w:val="22"/>
          <w:lang w:val="en-IE" w:eastAsia="en-US"/>
        </w:rPr>
        <w:t xml:space="preserve"> aircraft in the fleet</w:t>
      </w:r>
      <w:r w:rsidR="00513CAB" w:rsidRPr="00AB2FE4">
        <w:rPr>
          <w:rFonts w:ascii="Calibri" w:eastAsia="Times New Roman" w:hAnsi="Calibri" w:cs="Calibri"/>
          <w:sz w:val="22"/>
          <w:szCs w:val="22"/>
          <w:lang w:val="en-IE" w:eastAsia="en-US"/>
        </w:rPr>
        <w:t xml:space="preserve"> (driving </w:t>
      </w:r>
      <w:r w:rsidR="006669FC">
        <w:rPr>
          <w:rFonts w:ascii="Calibri" w:eastAsia="Times New Roman" w:hAnsi="Calibri" w:cs="Calibri"/>
          <w:sz w:val="22"/>
          <w:szCs w:val="22"/>
          <w:lang w:val="en-IE" w:eastAsia="en-US"/>
        </w:rPr>
        <w:t>better efficiency</w:t>
      </w:r>
      <w:r w:rsidR="00513CAB" w:rsidRPr="00AB2FE4">
        <w:rPr>
          <w:rFonts w:ascii="Calibri" w:eastAsia="Times New Roman" w:hAnsi="Calibri" w:cs="Calibri"/>
          <w:sz w:val="22"/>
          <w:szCs w:val="22"/>
          <w:lang w:val="en-IE" w:eastAsia="en-US"/>
        </w:rPr>
        <w:t>)</w:t>
      </w:r>
      <w:r w:rsidR="00AB2FE4" w:rsidRPr="00AB2FE4">
        <w:rPr>
          <w:rFonts w:ascii="Calibri" w:eastAsia="Times New Roman" w:hAnsi="Calibri" w:cs="Calibri"/>
          <w:sz w:val="22"/>
          <w:szCs w:val="22"/>
          <w:lang w:val="en-IE" w:eastAsia="en-US"/>
        </w:rPr>
        <w:t>.</w:t>
      </w:r>
    </w:p>
    <w:p w14:paraId="6A2ED9E1" w14:textId="77777777" w:rsidR="000E5963" w:rsidRPr="009029EB" w:rsidRDefault="000E5963" w:rsidP="000E5963">
      <w:pPr>
        <w:spacing w:after="0" w:line="240" w:lineRule="auto"/>
        <w:ind w:right="283"/>
        <w:jc w:val="both"/>
        <w:rPr>
          <w:rFonts w:ascii="Calibri" w:eastAsia="Times New Roman" w:hAnsi="Calibri" w:cs="Calibri"/>
          <w:sz w:val="22"/>
          <w:szCs w:val="22"/>
          <w:highlight w:val="yellow"/>
          <w:lang w:val="en-IE" w:eastAsia="en-US"/>
        </w:rPr>
      </w:pPr>
    </w:p>
    <w:p w14:paraId="2269884C" w14:textId="77777777" w:rsidR="000E5963" w:rsidRPr="009029EB" w:rsidRDefault="000E5963" w:rsidP="000E5963">
      <w:pPr>
        <w:spacing w:after="0" w:line="240" w:lineRule="auto"/>
        <w:ind w:right="283"/>
        <w:jc w:val="both"/>
        <w:rPr>
          <w:rFonts w:ascii="Calibri" w:eastAsia="Times New Roman" w:hAnsi="Calibri" w:cs="Calibri"/>
          <w:b/>
          <w:sz w:val="22"/>
          <w:szCs w:val="22"/>
          <w:lang w:val="en-IE" w:eastAsia="en-US"/>
        </w:rPr>
      </w:pPr>
      <w:r w:rsidRPr="009029EB">
        <w:rPr>
          <w:rFonts w:ascii="Calibri" w:eastAsia="Times New Roman" w:hAnsi="Calibri" w:cs="Calibri"/>
          <w:b/>
          <w:sz w:val="22"/>
          <w:szCs w:val="22"/>
          <w:lang w:val="en-IE" w:eastAsia="en-US"/>
        </w:rPr>
        <w:t xml:space="preserve">Route charges: </w:t>
      </w:r>
    </w:p>
    <w:p w14:paraId="459E933E" w14:textId="39C6A2B4" w:rsidR="000E5963" w:rsidRPr="00247001" w:rsidRDefault="000E5963" w:rsidP="000E5963">
      <w:pPr>
        <w:spacing w:after="0" w:line="240" w:lineRule="auto"/>
        <w:ind w:right="283"/>
        <w:jc w:val="both"/>
        <w:rPr>
          <w:rFonts w:ascii="Calibri" w:eastAsia="Times New Roman" w:hAnsi="Calibri" w:cs="Calibri"/>
          <w:sz w:val="22"/>
          <w:szCs w:val="22"/>
          <w:lang w:val="en-IE" w:eastAsia="en-US"/>
        </w:rPr>
      </w:pPr>
      <w:r w:rsidRPr="00247001">
        <w:rPr>
          <w:rFonts w:ascii="Calibri" w:eastAsia="Times New Roman" w:hAnsi="Calibri" w:cs="Calibri"/>
          <w:sz w:val="22"/>
          <w:szCs w:val="22"/>
          <w:lang w:val="en-IE" w:eastAsia="en-US"/>
        </w:rPr>
        <w:t xml:space="preserve">Route charges rose </w:t>
      </w:r>
      <w:r w:rsidRPr="00247001">
        <w:rPr>
          <w:rFonts w:ascii="Calibri" w:eastAsia="Times New Roman" w:hAnsi="Calibri" w:cs="Calibri"/>
          <w:b/>
          <w:bCs/>
          <w:sz w:val="22"/>
          <w:szCs w:val="22"/>
          <w:lang w:val="en-IE" w:eastAsia="en-US"/>
        </w:rPr>
        <w:t>1</w:t>
      </w:r>
      <w:r w:rsidR="00D51F20" w:rsidRPr="00247001">
        <w:rPr>
          <w:rFonts w:ascii="Calibri" w:eastAsia="Times New Roman" w:hAnsi="Calibri" w:cs="Calibri"/>
          <w:b/>
          <w:bCs/>
          <w:sz w:val="22"/>
          <w:szCs w:val="22"/>
          <w:lang w:val="en-IE" w:eastAsia="en-US"/>
        </w:rPr>
        <w:t>4</w:t>
      </w:r>
      <w:r w:rsidRPr="00247001">
        <w:rPr>
          <w:rFonts w:ascii="Calibri" w:eastAsia="Times New Roman" w:hAnsi="Calibri" w:cs="Calibri"/>
          <w:b/>
          <w:bCs/>
          <w:sz w:val="22"/>
          <w:szCs w:val="22"/>
          <w:lang w:val="en-IE" w:eastAsia="en-US"/>
        </w:rPr>
        <w:t>% to €</w:t>
      </w:r>
      <w:r w:rsidR="00726324" w:rsidRPr="00247001">
        <w:rPr>
          <w:rFonts w:ascii="Calibri" w:eastAsia="Times New Roman" w:hAnsi="Calibri" w:cs="Calibri"/>
          <w:b/>
          <w:bCs/>
          <w:sz w:val="22"/>
          <w:szCs w:val="22"/>
          <w:lang w:val="en-IE" w:eastAsia="en-US"/>
        </w:rPr>
        <w:t>725</w:t>
      </w:r>
      <w:r w:rsidRPr="00247001">
        <w:rPr>
          <w:rFonts w:ascii="Calibri" w:eastAsia="Times New Roman" w:hAnsi="Calibri" w:cs="Calibri"/>
          <w:b/>
          <w:bCs/>
          <w:sz w:val="22"/>
          <w:szCs w:val="22"/>
          <w:lang w:val="en-IE" w:eastAsia="en-US"/>
        </w:rPr>
        <w:t>M</w:t>
      </w:r>
      <w:r w:rsidRPr="00247001">
        <w:rPr>
          <w:rFonts w:ascii="Calibri" w:eastAsia="Times New Roman" w:hAnsi="Calibri" w:cs="Calibri"/>
          <w:sz w:val="22"/>
          <w:szCs w:val="22"/>
          <w:lang w:val="en-IE" w:eastAsia="en-US"/>
        </w:rPr>
        <w:t xml:space="preserve">, primarily due to </w:t>
      </w:r>
      <w:r w:rsidR="00824EBB" w:rsidRPr="00247001">
        <w:rPr>
          <w:rFonts w:ascii="Calibri" w:eastAsia="Times New Roman" w:hAnsi="Calibri" w:cs="Calibri"/>
          <w:sz w:val="22"/>
          <w:szCs w:val="22"/>
          <w:lang w:val="en-IE" w:eastAsia="en-US"/>
        </w:rPr>
        <w:t>significantly</w:t>
      </w:r>
      <w:r w:rsidRPr="00247001">
        <w:rPr>
          <w:rFonts w:ascii="Calibri" w:eastAsia="Times New Roman" w:hAnsi="Calibri" w:cs="Calibri"/>
          <w:sz w:val="22"/>
          <w:szCs w:val="22"/>
          <w:lang w:val="en-IE" w:eastAsia="en-US"/>
        </w:rPr>
        <w:t xml:space="preserve"> higher Eurocontrol</w:t>
      </w:r>
      <w:r w:rsidR="00796197" w:rsidRPr="00247001">
        <w:rPr>
          <w:rFonts w:ascii="Calibri" w:eastAsia="Times New Roman" w:hAnsi="Calibri" w:cs="Calibri"/>
          <w:sz w:val="22"/>
          <w:szCs w:val="22"/>
          <w:lang w:val="en-IE" w:eastAsia="en-US"/>
        </w:rPr>
        <w:t>/ATC</w:t>
      </w:r>
      <w:r w:rsidRPr="00247001">
        <w:rPr>
          <w:rFonts w:ascii="Calibri" w:eastAsia="Times New Roman" w:hAnsi="Calibri" w:cs="Calibri"/>
          <w:sz w:val="22"/>
          <w:szCs w:val="22"/>
          <w:lang w:val="en-IE" w:eastAsia="en-US"/>
        </w:rPr>
        <w:t xml:space="preserve"> rates and a </w:t>
      </w:r>
      <w:r w:rsidR="00247001" w:rsidRPr="00247001">
        <w:rPr>
          <w:rFonts w:ascii="Calibri" w:eastAsia="Times New Roman" w:hAnsi="Calibri" w:cs="Calibri"/>
          <w:sz w:val="22"/>
          <w:szCs w:val="22"/>
          <w:lang w:val="en-IE" w:eastAsia="en-US"/>
        </w:rPr>
        <w:t>3</w:t>
      </w:r>
      <w:r w:rsidRPr="00247001">
        <w:rPr>
          <w:rFonts w:ascii="Calibri" w:eastAsia="Times New Roman" w:hAnsi="Calibri" w:cs="Calibri"/>
          <w:sz w:val="22"/>
          <w:szCs w:val="22"/>
          <w:lang w:val="en-IE" w:eastAsia="en-US"/>
        </w:rPr>
        <w:t>% increase in flight hours.</w:t>
      </w:r>
    </w:p>
    <w:p w14:paraId="03A30ED8" w14:textId="77777777" w:rsidR="00B26005" w:rsidRPr="009029EB" w:rsidRDefault="00B26005" w:rsidP="000E5963">
      <w:pPr>
        <w:spacing w:after="0" w:line="240" w:lineRule="auto"/>
        <w:ind w:right="283"/>
        <w:jc w:val="both"/>
        <w:rPr>
          <w:rFonts w:ascii="Calibri" w:eastAsia="Times New Roman" w:hAnsi="Calibri" w:cs="Calibri"/>
          <w:sz w:val="22"/>
          <w:szCs w:val="22"/>
          <w:highlight w:val="yellow"/>
          <w:lang w:val="en-IE" w:eastAsia="en-US"/>
        </w:rPr>
      </w:pPr>
    </w:p>
    <w:p w14:paraId="4105C1B4" w14:textId="77777777" w:rsidR="00B26005" w:rsidRPr="009029EB" w:rsidRDefault="00B26005" w:rsidP="00B26005">
      <w:pPr>
        <w:spacing w:after="0" w:line="240" w:lineRule="auto"/>
        <w:ind w:right="283"/>
        <w:jc w:val="both"/>
        <w:rPr>
          <w:rFonts w:ascii="Calibri" w:eastAsia="Times New Roman" w:hAnsi="Calibri" w:cs="Calibri"/>
          <w:b/>
          <w:sz w:val="22"/>
          <w:szCs w:val="22"/>
          <w:lang w:val="en-IE" w:eastAsia="en-US"/>
        </w:rPr>
      </w:pPr>
      <w:r w:rsidRPr="009029EB">
        <w:rPr>
          <w:rFonts w:ascii="Calibri" w:eastAsia="Times New Roman" w:hAnsi="Calibri" w:cs="Calibri"/>
          <w:b/>
          <w:sz w:val="22"/>
          <w:szCs w:val="22"/>
          <w:lang w:val="en-IE" w:eastAsia="en-US"/>
        </w:rPr>
        <w:t>Depreciation:</w:t>
      </w:r>
    </w:p>
    <w:p w14:paraId="452BEBE6" w14:textId="1FAC6A02" w:rsidR="00B26005" w:rsidRPr="00183980" w:rsidRDefault="00B26005" w:rsidP="000E5963">
      <w:pPr>
        <w:spacing w:after="0" w:line="240" w:lineRule="auto"/>
        <w:ind w:right="283"/>
        <w:jc w:val="both"/>
        <w:rPr>
          <w:rFonts w:ascii="Calibri" w:eastAsia="Times New Roman" w:hAnsi="Calibri" w:cs="Calibri"/>
          <w:sz w:val="22"/>
          <w:szCs w:val="22"/>
          <w:lang w:eastAsia="en-US"/>
        </w:rPr>
      </w:pPr>
      <w:r w:rsidRPr="168D5417">
        <w:rPr>
          <w:rFonts w:ascii="Calibri" w:eastAsia="Times New Roman" w:hAnsi="Calibri" w:cs="Calibri"/>
          <w:sz w:val="22"/>
          <w:szCs w:val="22"/>
          <w:lang w:eastAsia="en-US"/>
        </w:rPr>
        <w:t xml:space="preserve">Depreciation increased </w:t>
      </w:r>
      <w:r w:rsidRPr="168D5417">
        <w:rPr>
          <w:rFonts w:ascii="Calibri" w:eastAsia="Times New Roman" w:hAnsi="Calibri" w:cs="Calibri"/>
          <w:b/>
          <w:sz w:val="22"/>
          <w:szCs w:val="22"/>
          <w:lang w:eastAsia="en-US"/>
        </w:rPr>
        <w:t>10% to €</w:t>
      </w:r>
      <w:r w:rsidR="00726324" w:rsidRPr="168D5417">
        <w:rPr>
          <w:rFonts w:ascii="Calibri" w:eastAsia="Times New Roman" w:hAnsi="Calibri" w:cs="Calibri"/>
          <w:b/>
          <w:sz w:val="22"/>
          <w:szCs w:val="22"/>
          <w:lang w:eastAsia="en-US"/>
        </w:rPr>
        <w:t>688</w:t>
      </w:r>
      <w:r w:rsidRPr="168D5417">
        <w:rPr>
          <w:rFonts w:ascii="Calibri" w:eastAsia="Times New Roman" w:hAnsi="Calibri" w:cs="Calibri"/>
          <w:b/>
          <w:sz w:val="22"/>
          <w:szCs w:val="22"/>
          <w:lang w:eastAsia="en-US"/>
        </w:rPr>
        <w:t>M</w:t>
      </w:r>
      <w:r w:rsidRPr="168D5417">
        <w:rPr>
          <w:rFonts w:ascii="Calibri" w:eastAsia="Times New Roman" w:hAnsi="Calibri" w:cs="Calibri"/>
          <w:sz w:val="22"/>
          <w:szCs w:val="22"/>
          <w:lang w:eastAsia="en-US"/>
        </w:rPr>
        <w:t>, primarily due to 2</w:t>
      </w:r>
      <w:r w:rsidR="00AE538E" w:rsidRPr="168D5417">
        <w:rPr>
          <w:rFonts w:ascii="Calibri" w:eastAsia="Times New Roman" w:hAnsi="Calibri" w:cs="Calibri"/>
          <w:sz w:val="22"/>
          <w:szCs w:val="22"/>
          <w:lang w:eastAsia="en-US"/>
        </w:rPr>
        <w:t>9</w:t>
      </w:r>
      <w:r w:rsidRPr="168D5417">
        <w:rPr>
          <w:rFonts w:ascii="Calibri" w:eastAsia="Times New Roman" w:hAnsi="Calibri" w:cs="Calibri"/>
          <w:sz w:val="22"/>
          <w:szCs w:val="22"/>
          <w:lang w:eastAsia="en-US"/>
        </w:rPr>
        <w:t xml:space="preserve"> </w:t>
      </w:r>
      <w:r w:rsidR="00E341AD" w:rsidRPr="168D5417">
        <w:rPr>
          <w:rFonts w:ascii="Calibri" w:eastAsia="Times New Roman" w:hAnsi="Calibri" w:cs="Calibri"/>
          <w:sz w:val="22"/>
          <w:szCs w:val="22"/>
          <w:lang w:eastAsia="en-US"/>
        </w:rPr>
        <w:t>additional</w:t>
      </w:r>
      <w:r w:rsidRPr="168D5417">
        <w:rPr>
          <w:rFonts w:ascii="Calibri" w:eastAsia="Times New Roman" w:hAnsi="Calibri" w:cs="Calibri"/>
          <w:sz w:val="22"/>
          <w:szCs w:val="22"/>
          <w:lang w:eastAsia="en-US"/>
        </w:rPr>
        <w:t xml:space="preserve"> </w:t>
      </w:r>
      <w:r w:rsidR="00985FD0" w:rsidRPr="168D5417">
        <w:rPr>
          <w:rFonts w:ascii="Calibri" w:eastAsia="Times New Roman" w:hAnsi="Calibri" w:cs="Calibri"/>
          <w:sz w:val="22"/>
          <w:szCs w:val="22"/>
          <w:lang w:eastAsia="en-US"/>
        </w:rPr>
        <w:t xml:space="preserve">B737-8200 </w:t>
      </w:r>
      <w:r w:rsidRPr="168D5417">
        <w:rPr>
          <w:rFonts w:ascii="Calibri" w:eastAsia="Times New Roman" w:hAnsi="Calibri" w:cs="Calibri"/>
          <w:sz w:val="22"/>
          <w:szCs w:val="22"/>
          <w:lang w:eastAsia="en-US"/>
        </w:rPr>
        <w:t>“Gamechanger” aircraft</w:t>
      </w:r>
      <w:r w:rsidR="00BC79FC" w:rsidRPr="168D5417">
        <w:rPr>
          <w:rFonts w:ascii="Calibri" w:eastAsia="Times New Roman" w:hAnsi="Calibri" w:cs="Calibri"/>
          <w:sz w:val="22"/>
          <w:szCs w:val="22"/>
          <w:lang w:eastAsia="en-US"/>
        </w:rPr>
        <w:t xml:space="preserve"> in the fleet</w:t>
      </w:r>
      <w:r w:rsidRPr="168D5417">
        <w:rPr>
          <w:rFonts w:ascii="Calibri" w:eastAsia="Times New Roman" w:hAnsi="Calibri" w:cs="Calibri"/>
          <w:sz w:val="22"/>
          <w:szCs w:val="22"/>
          <w:lang w:eastAsia="en-US"/>
        </w:rPr>
        <w:t>,</w:t>
      </w:r>
      <w:r w:rsidR="003E44EA" w:rsidRPr="168D5417">
        <w:rPr>
          <w:rFonts w:ascii="Calibri" w:eastAsia="Times New Roman" w:hAnsi="Calibri" w:cs="Calibri"/>
          <w:sz w:val="22"/>
          <w:szCs w:val="22"/>
          <w:lang w:eastAsia="en-US"/>
        </w:rPr>
        <w:t xml:space="preserve"> higher aircraft </w:t>
      </w:r>
      <w:proofErr w:type="spellStart"/>
      <w:r w:rsidR="003E44EA" w:rsidRPr="168D5417">
        <w:rPr>
          <w:rFonts w:ascii="Calibri" w:eastAsia="Times New Roman" w:hAnsi="Calibri" w:cs="Calibri"/>
          <w:sz w:val="22"/>
          <w:szCs w:val="22"/>
          <w:lang w:eastAsia="en-US"/>
        </w:rPr>
        <w:t>utilisation</w:t>
      </w:r>
      <w:proofErr w:type="spellEnd"/>
      <w:r w:rsidR="003E44EA" w:rsidRPr="168D5417">
        <w:rPr>
          <w:rFonts w:ascii="Calibri" w:eastAsia="Times New Roman" w:hAnsi="Calibri" w:cs="Calibri"/>
          <w:sz w:val="22"/>
          <w:szCs w:val="22"/>
          <w:lang w:eastAsia="en-US"/>
        </w:rPr>
        <w:t xml:space="preserve"> (sectors</w:t>
      </w:r>
      <w:r w:rsidR="00A85199" w:rsidRPr="168D5417">
        <w:rPr>
          <w:rFonts w:ascii="Calibri" w:eastAsia="Times New Roman" w:hAnsi="Calibri" w:cs="Calibri"/>
          <w:sz w:val="22"/>
          <w:szCs w:val="22"/>
          <w:lang w:eastAsia="en-US"/>
        </w:rPr>
        <w:t xml:space="preserve"> up </w:t>
      </w:r>
      <w:r w:rsidR="00183980" w:rsidRPr="168D5417">
        <w:rPr>
          <w:rFonts w:ascii="Calibri" w:eastAsia="Times New Roman" w:hAnsi="Calibri" w:cs="Calibri"/>
          <w:sz w:val="22"/>
          <w:szCs w:val="22"/>
          <w:lang w:eastAsia="en-US"/>
        </w:rPr>
        <w:t>3</w:t>
      </w:r>
      <w:r w:rsidR="00A85199" w:rsidRPr="168D5417">
        <w:rPr>
          <w:rFonts w:ascii="Calibri" w:eastAsia="Times New Roman" w:hAnsi="Calibri" w:cs="Calibri"/>
          <w:sz w:val="22"/>
          <w:szCs w:val="22"/>
          <w:lang w:eastAsia="en-US"/>
        </w:rPr>
        <w:t>%)</w:t>
      </w:r>
      <w:r w:rsidR="00E2211D" w:rsidRPr="168D5417">
        <w:rPr>
          <w:rFonts w:ascii="Calibri" w:eastAsia="Times New Roman" w:hAnsi="Calibri" w:cs="Calibri"/>
          <w:sz w:val="22"/>
          <w:szCs w:val="22"/>
          <w:lang w:eastAsia="en-US"/>
        </w:rPr>
        <w:t xml:space="preserve"> and </w:t>
      </w:r>
      <w:r w:rsidR="006579B7" w:rsidRPr="168D5417">
        <w:rPr>
          <w:rFonts w:ascii="Calibri" w:eastAsia="Times New Roman" w:hAnsi="Calibri" w:cs="Calibri"/>
          <w:sz w:val="22"/>
          <w:szCs w:val="22"/>
          <w:lang w:eastAsia="en-US"/>
        </w:rPr>
        <w:t xml:space="preserve">increased </w:t>
      </w:r>
      <w:r w:rsidR="006E4A77" w:rsidRPr="168D5417">
        <w:rPr>
          <w:rFonts w:ascii="Calibri" w:eastAsia="Times New Roman" w:hAnsi="Calibri" w:cs="Calibri"/>
          <w:sz w:val="22"/>
          <w:szCs w:val="22"/>
          <w:lang w:eastAsia="en-US"/>
        </w:rPr>
        <w:t>maintenance on</w:t>
      </w:r>
      <w:r w:rsidRPr="168D5417">
        <w:rPr>
          <w:rFonts w:ascii="Calibri" w:eastAsia="Times New Roman" w:hAnsi="Calibri" w:cs="Calibri"/>
          <w:sz w:val="22"/>
          <w:szCs w:val="22"/>
          <w:lang w:eastAsia="en-US"/>
        </w:rPr>
        <w:t xml:space="preserve"> </w:t>
      </w:r>
      <w:r w:rsidR="00832945" w:rsidRPr="168D5417">
        <w:rPr>
          <w:rFonts w:ascii="Calibri" w:eastAsia="Times New Roman" w:hAnsi="Calibri" w:cs="Calibri"/>
          <w:sz w:val="22"/>
          <w:szCs w:val="22"/>
          <w:lang w:eastAsia="en-US"/>
        </w:rPr>
        <w:t>the</w:t>
      </w:r>
      <w:r w:rsidR="00796197" w:rsidRPr="168D5417">
        <w:rPr>
          <w:rFonts w:ascii="Calibri" w:eastAsia="Times New Roman" w:hAnsi="Calibri" w:cs="Calibri"/>
          <w:sz w:val="22"/>
          <w:szCs w:val="22"/>
          <w:lang w:eastAsia="en-US"/>
        </w:rPr>
        <w:t xml:space="preserve"> </w:t>
      </w:r>
      <w:r w:rsidR="00784899" w:rsidRPr="168D5417">
        <w:rPr>
          <w:rFonts w:ascii="Calibri" w:eastAsia="Times New Roman" w:hAnsi="Calibri" w:cs="Calibri"/>
          <w:sz w:val="22"/>
          <w:szCs w:val="22"/>
          <w:lang w:eastAsia="en-US"/>
        </w:rPr>
        <w:t>B737NG</w:t>
      </w:r>
      <w:r w:rsidRPr="168D5417">
        <w:rPr>
          <w:rFonts w:ascii="Calibri" w:eastAsia="Times New Roman" w:hAnsi="Calibri" w:cs="Calibri"/>
          <w:sz w:val="22"/>
          <w:szCs w:val="22"/>
          <w:lang w:eastAsia="en-US"/>
        </w:rPr>
        <w:t xml:space="preserve"> fleet</w:t>
      </w:r>
      <w:r w:rsidR="004E73B9" w:rsidRPr="168D5417">
        <w:rPr>
          <w:rFonts w:ascii="Calibri" w:eastAsia="Times New Roman" w:hAnsi="Calibri" w:cs="Calibri"/>
          <w:sz w:val="22"/>
          <w:szCs w:val="22"/>
          <w:lang w:eastAsia="en-US"/>
        </w:rPr>
        <w:t>.</w:t>
      </w:r>
    </w:p>
    <w:p w14:paraId="6F837DDF" w14:textId="77777777" w:rsidR="000E5963" w:rsidRPr="009029EB" w:rsidRDefault="000E5963" w:rsidP="000E5963">
      <w:pPr>
        <w:spacing w:after="0" w:line="240" w:lineRule="auto"/>
        <w:ind w:right="283"/>
        <w:jc w:val="both"/>
        <w:rPr>
          <w:rFonts w:ascii="Calibri" w:eastAsia="Times New Roman" w:hAnsi="Calibri" w:cs="Calibri"/>
          <w:sz w:val="22"/>
          <w:szCs w:val="22"/>
          <w:highlight w:val="yellow"/>
          <w:lang w:val="en-IE" w:eastAsia="en-US"/>
        </w:rPr>
      </w:pPr>
    </w:p>
    <w:p w14:paraId="2280D7BD" w14:textId="77777777" w:rsidR="000E5963" w:rsidRPr="009C0A5D" w:rsidRDefault="000E5963" w:rsidP="000E5963">
      <w:pPr>
        <w:spacing w:after="0" w:line="240" w:lineRule="auto"/>
        <w:ind w:right="283"/>
        <w:jc w:val="both"/>
        <w:rPr>
          <w:rFonts w:ascii="Calibri" w:eastAsia="Times New Roman" w:hAnsi="Calibri" w:cs="Calibri"/>
          <w:b/>
          <w:sz w:val="22"/>
          <w:szCs w:val="22"/>
          <w:lang w:val="en-IE" w:eastAsia="en-US"/>
        </w:rPr>
      </w:pPr>
      <w:r w:rsidRPr="009C0A5D">
        <w:rPr>
          <w:rFonts w:ascii="Calibri" w:eastAsia="Times New Roman" w:hAnsi="Calibri" w:cs="Calibri"/>
          <w:b/>
          <w:sz w:val="22"/>
          <w:szCs w:val="22"/>
          <w:lang w:val="en-IE" w:eastAsia="en-US"/>
        </w:rPr>
        <w:t>Marketing, distribution and other:</w:t>
      </w:r>
    </w:p>
    <w:p w14:paraId="43E12DB9" w14:textId="68A45834" w:rsidR="000E5963" w:rsidRPr="009029EB" w:rsidRDefault="000E5963" w:rsidP="000E5963">
      <w:pPr>
        <w:spacing w:after="0" w:line="240" w:lineRule="auto"/>
        <w:ind w:right="283"/>
        <w:jc w:val="both"/>
        <w:rPr>
          <w:rFonts w:ascii="Calibri" w:eastAsia="Times New Roman" w:hAnsi="Calibri" w:cs="Calibri"/>
          <w:sz w:val="22"/>
          <w:szCs w:val="22"/>
          <w:highlight w:val="yellow"/>
          <w:lang w:val="en-IE" w:eastAsia="en-US"/>
        </w:rPr>
      </w:pPr>
      <w:r w:rsidRPr="003E79D7">
        <w:rPr>
          <w:rFonts w:ascii="Calibri" w:eastAsia="Times New Roman" w:hAnsi="Calibri" w:cs="Calibri"/>
          <w:sz w:val="22"/>
          <w:szCs w:val="22"/>
          <w:lang w:val="en-IE" w:eastAsia="en-US"/>
        </w:rPr>
        <w:t xml:space="preserve">Marketing, distribution and other </w:t>
      </w:r>
      <w:r w:rsidR="004C16F7">
        <w:rPr>
          <w:rFonts w:ascii="Calibri" w:eastAsia="Times New Roman" w:hAnsi="Calibri" w:cs="Calibri"/>
          <w:sz w:val="22"/>
          <w:szCs w:val="22"/>
          <w:lang w:val="en-IE" w:eastAsia="en-US"/>
        </w:rPr>
        <w:t>decreased</w:t>
      </w:r>
      <w:r w:rsidR="007C7B46" w:rsidRPr="003E79D7">
        <w:rPr>
          <w:rFonts w:ascii="Calibri" w:eastAsia="Times New Roman" w:hAnsi="Calibri" w:cs="Calibri"/>
          <w:sz w:val="22"/>
          <w:szCs w:val="22"/>
          <w:lang w:val="en-IE" w:eastAsia="en-US"/>
        </w:rPr>
        <w:t xml:space="preserve"> </w:t>
      </w:r>
      <w:r w:rsidR="00726324" w:rsidRPr="003E79D7">
        <w:rPr>
          <w:rFonts w:ascii="Calibri" w:eastAsia="Times New Roman" w:hAnsi="Calibri" w:cs="Calibri"/>
          <w:b/>
          <w:bCs/>
          <w:sz w:val="22"/>
          <w:szCs w:val="22"/>
          <w:lang w:val="en-IE" w:eastAsia="en-US"/>
        </w:rPr>
        <w:t>6</w:t>
      </w:r>
      <w:r w:rsidRPr="003E79D7">
        <w:rPr>
          <w:rFonts w:ascii="Calibri" w:eastAsia="Times New Roman" w:hAnsi="Calibri" w:cs="Calibri"/>
          <w:b/>
          <w:bCs/>
          <w:sz w:val="22"/>
          <w:szCs w:val="22"/>
          <w:lang w:val="en-IE" w:eastAsia="en-US"/>
        </w:rPr>
        <w:t>% to €</w:t>
      </w:r>
      <w:r w:rsidR="003E79D7" w:rsidRPr="003E79D7">
        <w:rPr>
          <w:rFonts w:ascii="Calibri" w:eastAsia="Times New Roman" w:hAnsi="Calibri" w:cs="Calibri"/>
          <w:b/>
          <w:bCs/>
          <w:sz w:val="22"/>
          <w:szCs w:val="22"/>
          <w:lang w:val="en-IE" w:eastAsia="en-US"/>
        </w:rPr>
        <w:t>43</w:t>
      </w:r>
      <w:r w:rsidR="00E73BCF">
        <w:rPr>
          <w:rFonts w:ascii="Calibri" w:eastAsia="Times New Roman" w:hAnsi="Calibri" w:cs="Calibri"/>
          <w:b/>
          <w:bCs/>
          <w:sz w:val="22"/>
          <w:szCs w:val="22"/>
          <w:lang w:val="en-IE" w:eastAsia="en-US"/>
        </w:rPr>
        <w:t>9</w:t>
      </w:r>
      <w:r w:rsidRPr="003E79D7">
        <w:rPr>
          <w:rFonts w:ascii="Calibri" w:eastAsia="Times New Roman" w:hAnsi="Calibri" w:cs="Calibri"/>
          <w:b/>
          <w:bCs/>
          <w:sz w:val="22"/>
          <w:szCs w:val="22"/>
          <w:lang w:val="en-IE" w:eastAsia="en-US"/>
        </w:rPr>
        <w:t xml:space="preserve">M </w:t>
      </w:r>
      <w:r w:rsidR="00A1680D" w:rsidRPr="00A1680D">
        <w:rPr>
          <w:rFonts w:ascii="Calibri" w:eastAsia="Times New Roman" w:hAnsi="Calibri" w:cs="Calibri"/>
          <w:sz w:val="22"/>
          <w:szCs w:val="22"/>
          <w:lang w:val="en-IE" w:eastAsia="en-US"/>
        </w:rPr>
        <w:t>due to lower EU261 compensation and marketing spend</w:t>
      </w:r>
      <w:r w:rsidR="009F4F0B">
        <w:rPr>
          <w:rFonts w:ascii="Calibri" w:eastAsia="Times New Roman" w:hAnsi="Calibri" w:cs="Calibri"/>
          <w:sz w:val="22"/>
          <w:szCs w:val="22"/>
          <w:lang w:val="en-IE" w:eastAsia="en-US"/>
        </w:rPr>
        <w:t xml:space="preserve"> offset by</w:t>
      </w:r>
      <w:r w:rsidR="00DE1312">
        <w:rPr>
          <w:rFonts w:ascii="Calibri" w:eastAsia="Times New Roman" w:hAnsi="Calibri" w:cs="Calibri"/>
          <w:sz w:val="22"/>
          <w:szCs w:val="22"/>
          <w:lang w:val="en-IE" w:eastAsia="en-US"/>
        </w:rPr>
        <w:t xml:space="preserve"> other costs driven by growth</w:t>
      </w:r>
      <w:r w:rsidR="00A1680D" w:rsidRPr="00A1680D">
        <w:rPr>
          <w:rFonts w:ascii="Calibri" w:eastAsia="Times New Roman" w:hAnsi="Calibri" w:cs="Calibri"/>
          <w:sz w:val="22"/>
          <w:szCs w:val="22"/>
          <w:lang w:val="en-IE" w:eastAsia="en-US"/>
        </w:rPr>
        <w:t>.</w:t>
      </w:r>
    </w:p>
    <w:p w14:paraId="30A3F7A9" w14:textId="77777777" w:rsidR="000E5963" w:rsidRPr="009029EB" w:rsidRDefault="000E5963" w:rsidP="000E5963">
      <w:pPr>
        <w:spacing w:after="0" w:line="240" w:lineRule="auto"/>
        <w:ind w:right="283"/>
        <w:jc w:val="both"/>
        <w:rPr>
          <w:rFonts w:ascii="Calibri" w:eastAsia="Times New Roman" w:hAnsi="Calibri" w:cs="Calibri"/>
          <w:b/>
          <w:sz w:val="22"/>
          <w:szCs w:val="22"/>
          <w:highlight w:val="yellow"/>
          <w:lang w:val="en-IE" w:eastAsia="en-US"/>
        </w:rPr>
      </w:pPr>
    </w:p>
    <w:p w14:paraId="1D60E5FD" w14:textId="77777777" w:rsidR="000E5963" w:rsidRPr="003E79D7" w:rsidRDefault="000E5963" w:rsidP="000E5963">
      <w:pPr>
        <w:spacing w:after="0" w:line="240" w:lineRule="auto"/>
        <w:ind w:right="283"/>
        <w:jc w:val="both"/>
        <w:rPr>
          <w:rFonts w:ascii="Calibri" w:eastAsia="Times New Roman" w:hAnsi="Calibri" w:cs="Calibri"/>
          <w:b/>
          <w:sz w:val="22"/>
          <w:szCs w:val="22"/>
          <w:lang w:val="en-IE" w:eastAsia="en-US"/>
        </w:rPr>
      </w:pPr>
      <w:r w:rsidRPr="003E79D7">
        <w:rPr>
          <w:rFonts w:ascii="Calibri" w:eastAsia="Times New Roman" w:hAnsi="Calibri" w:cs="Calibri"/>
          <w:b/>
          <w:sz w:val="22"/>
          <w:szCs w:val="22"/>
          <w:lang w:val="en-IE" w:eastAsia="en-US"/>
        </w:rPr>
        <w:t>Maintenance, materials and repairs:</w:t>
      </w:r>
    </w:p>
    <w:p w14:paraId="76E2C743" w14:textId="6397DB18" w:rsidR="000E5963" w:rsidRPr="009029EB" w:rsidRDefault="000E5963" w:rsidP="000E5963">
      <w:pPr>
        <w:spacing w:after="0" w:line="240" w:lineRule="auto"/>
        <w:ind w:right="283"/>
        <w:jc w:val="both"/>
        <w:rPr>
          <w:rFonts w:ascii="Calibri" w:eastAsia="Times New Roman" w:hAnsi="Calibri" w:cs="Calibri"/>
          <w:b/>
          <w:sz w:val="22"/>
          <w:szCs w:val="22"/>
          <w:highlight w:val="yellow"/>
          <w:lang w:val="en-IE" w:eastAsia="en-US"/>
        </w:rPr>
      </w:pPr>
      <w:r w:rsidRPr="003E79D7">
        <w:rPr>
          <w:rFonts w:ascii="Calibri" w:eastAsia="Times New Roman" w:hAnsi="Calibri" w:cs="Calibri"/>
          <w:sz w:val="22"/>
          <w:szCs w:val="22"/>
          <w:lang w:val="en-IE" w:eastAsia="en-US"/>
        </w:rPr>
        <w:t xml:space="preserve">Maintenance, materials and repairs </w:t>
      </w:r>
      <w:r w:rsidR="00D04CC8">
        <w:rPr>
          <w:rFonts w:ascii="Calibri" w:eastAsia="Times New Roman" w:hAnsi="Calibri" w:cs="Calibri"/>
          <w:sz w:val="22"/>
          <w:szCs w:val="22"/>
          <w:lang w:val="en-IE" w:eastAsia="en-US"/>
        </w:rPr>
        <w:t>rose</w:t>
      </w:r>
      <w:r w:rsidRPr="003E79D7">
        <w:rPr>
          <w:rFonts w:ascii="Calibri" w:eastAsia="Times New Roman" w:hAnsi="Calibri" w:cs="Calibri"/>
          <w:sz w:val="22"/>
          <w:szCs w:val="22"/>
          <w:lang w:val="en-IE" w:eastAsia="en-US"/>
        </w:rPr>
        <w:t xml:space="preserve"> </w:t>
      </w:r>
      <w:r w:rsidR="003E79D7" w:rsidRPr="003E79D7">
        <w:rPr>
          <w:rFonts w:ascii="Calibri" w:eastAsia="Times New Roman" w:hAnsi="Calibri" w:cs="Calibri"/>
          <w:b/>
          <w:sz w:val="22"/>
          <w:szCs w:val="22"/>
          <w:lang w:val="en-IE" w:eastAsia="en-US"/>
        </w:rPr>
        <w:t>11</w:t>
      </w:r>
      <w:r w:rsidRPr="003E79D7">
        <w:rPr>
          <w:rFonts w:ascii="Calibri" w:eastAsia="Times New Roman" w:hAnsi="Calibri" w:cs="Calibri"/>
          <w:b/>
          <w:bCs/>
          <w:sz w:val="22"/>
          <w:szCs w:val="22"/>
          <w:lang w:val="en-IE" w:eastAsia="en-US"/>
        </w:rPr>
        <w:t>%</w:t>
      </w:r>
      <w:r w:rsidRPr="003E79D7">
        <w:rPr>
          <w:rFonts w:ascii="Calibri" w:eastAsia="Times New Roman" w:hAnsi="Calibri" w:cs="Calibri"/>
          <w:b/>
          <w:sz w:val="22"/>
          <w:szCs w:val="22"/>
          <w:lang w:val="en-IE" w:eastAsia="en-US"/>
        </w:rPr>
        <w:t xml:space="preserve"> to </w:t>
      </w:r>
      <w:r w:rsidRPr="003E79D7">
        <w:rPr>
          <w:rFonts w:ascii="Calibri" w:eastAsia="Times New Roman" w:hAnsi="Calibri" w:cs="Calibri"/>
          <w:b/>
          <w:bCs/>
          <w:sz w:val="22"/>
          <w:szCs w:val="22"/>
          <w:lang w:val="en-IE" w:eastAsia="en-US"/>
        </w:rPr>
        <w:t>€</w:t>
      </w:r>
      <w:r w:rsidR="003E79D7" w:rsidRPr="003E79D7">
        <w:rPr>
          <w:rFonts w:ascii="Calibri" w:eastAsia="Times New Roman" w:hAnsi="Calibri" w:cs="Calibri"/>
          <w:b/>
          <w:sz w:val="22"/>
          <w:szCs w:val="22"/>
          <w:lang w:val="en-IE" w:eastAsia="en-US"/>
        </w:rPr>
        <w:t>205</w:t>
      </w:r>
      <w:r w:rsidR="00B95F2C" w:rsidRPr="003E79D7">
        <w:rPr>
          <w:rFonts w:ascii="Calibri" w:eastAsia="Times New Roman" w:hAnsi="Calibri" w:cs="Calibri"/>
          <w:b/>
          <w:sz w:val="22"/>
          <w:szCs w:val="22"/>
          <w:lang w:val="en-IE" w:eastAsia="en-US"/>
        </w:rPr>
        <w:t xml:space="preserve">M </w:t>
      </w:r>
      <w:r w:rsidR="00BC3F30" w:rsidRPr="00B6277E">
        <w:rPr>
          <w:rFonts w:ascii="Calibri" w:eastAsia="Times New Roman" w:hAnsi="Calibri" w:cs="Calibri"/>
          <w:bCs/>
          <w:sz w:val="22"/>
          <w:szCs w:val="22"/>
          <w:lang w:val="en-IE" w:eastAsia="en-US"/>
        </w:rPr>
        <w:t xml:space="preserve">due to </w:t>
      </w:r>
      <w:r w:rsidR="0049295A">
        <w:rPr>
          <w:rFonts w:ascii="Calibri" w:eastAsia="Times New Roman" w:hAnsi="Calibri" w:cs="Calibri"/>
          <w:bCs/>
          <w:sz w:val="22"/>
          <w:szCs w:val="22"/>
          <w:lang w:val="en-IE" w:eastAsia="en-US"/>
        </w:rPr>
        <w:t>3% higher sectors</w:t>
      </w:r>
      <w:r w:rsidR="0024551F">
        <w:rPr>
          <w:rFonts w:ascii="Calibri" w:eastAsia="Times New Roman" w:hAnsi="Calibri" w:cs="Calibri"/>
          <w:bCs/>
          <w:sz w:val="22"/>
          <w:szCs w:val="22"/>
          <w:lang w:val="en-IE" w:eastAsia="en-US"/>
        </w:rPr>
        <w:t>, increased line maintenance as the fleet grows</w:t>
      </w:r>
      <w:r w:rsidR="00136101">
        <w:rPr>
          <w:rFonts w:ascii="Calibri" w:eastAsia="Times New Roman" w:hAnsi="Calibri" w:cs="Calibri"/>
          <w:bCs/>
          <w:sz w:val="22"/>
          <w:szCs w:val="22"/>
          <w:lang w:val="en-IE" w:eastAsia="en-US"/>
        </w:rPr>
        <w:t xml:space="preserve"> </w:t>
      </w:r>
      <w:r w:rsidR="0049295A">
        <w:rPr>
          <w:rFonts w:ascii="Calibri" w:eastAsia="Times New Roman" w:hAnsi="Calibri" w:cs="Calibri"/>
          <w:bCs/>
          <w:sz w:val="22"/>
          <w:szCs w:val="22"/>
          <w:lang w:val="en-IE" w:eastAsia="en-US"/>
        </w:rPr>
        <w:t xml:space="preserve">and </w:t>
      </w:r>
      <w:r w:rsidR="004C08E9">
        <w:rPr>
          <w:rFonts w:ascii="Calibri" w:eastAsia="Times New Roman" w:hAnsi="Calibri" w:cs="Calibri"/>
          <w:bCs/>
          <w:sz w:val="22"/>
          <w:szCs w:val="22"/>
          <w:lang w:val="en-IE" w:eastAsia="en-US"/>
        </w:rPr>
        <w:t>reduc</w:t>
      </w:r>
      <w:r w:rsidR="00D847B7">
        <w:rPr>
          <w:rFonts w:ascii="Calibri" w:eastAsia="Times New Roman" w:hAnsi="Calibri" w:cs="Calibri"/>
          <w:bCs/>
          <w:sz w:val="22"/>
          <w:szCs w:val="22"/>
          <w:lang w:val="en-IE" w:eastAsia="en-US"/>
        </w:rPr>
        <w:t>ing</w:t>
      </w:r>
      <w:r w:rsidR="004C08E9">
        <w:rPr>
          <w:rFonts w:ascii="Calibri" w:eastAsia="Times New Roman" w:hAnsi="Calibri" w:cs="Calibri"/>
          <w:bCs/>
          <w:sz w:val="22"/>
          <w:szCs w:val="22"/>
          <w:lang w:val="en-IE" w:eastAsia="en-US"/>
        </w:rPr>
        <w:t xml:space="preserve"> supplier</w:t>
      </w:r>
      <w:r w:rsidR="00E91CEE">
        <w:rPr>
          <w:rFonts w:ascii="Calibri" w:eastAsia="Times New Roman" w:hAnsi="Calibri" w:cs="Calibri"/>
          <w:bCs/>
          <w:sz w:val="22"/>
          <w:szCs w:val="22"/>
          <w:lang w:val="en-IE" w:eastAsia="en-US"/>
        </w:rPr>
        <w:t xml:space="preserve"> delay</w:t>
      </w:r>
      <w:r w:rsidR="004C08E9">
        <w:rPr>
          <w:rFonts w:ascii="Calibri" w:eastAsia="Times New Roman" w:hAnsi="Calibri" w:cs="Calibri"/>
          <w:bCs/>
          <w:sz w:val="22"/>
          <w:szCs w:val="22"/>
          <w:lang w:val="en-IE" w:eastAsia="en-US"/>
        </w:rPr>
        <w:t xml:space="preserve"> credits.</w:t>
      </w:r>
      <w:r w:rsidRPr="009029EB">
        <w:rPr>
          <w:rFonts w:ascii="Calibri" w:eastAsia="Times New Roman" w:hAnsi="Calibri" w:cs="Calibri"/>
          <w:b/>
          <w:sz w:val="22"/>
          <w:szCs w:val="22"/>
          <w:highlight w:val="yellow"/>
          <w:lang w:val="en-IE" w:eastAsia="en-US"/>
        </w:rPr>
        <w:br w:type="page"/>
      </w:r>
      <w:r w:rsidRPr="009C0A5D">
        <w:rPr>
          <w:rFonts w:ascii="Calibri" w:eastAsia="Times New Roman" w:hAnsi="Calibri" w:cs="Calibri"/>
          <w:b/>
          <w:sz w:val="22"/>
          <w:szCs w:val="22"/>
          <w:lang w:val="en-IE" w:eastAsia="en-US"/>
        </w:rPr>
        <w:lastRenderedPageBreak/>
        <w:t>Other income:</w:t>
      </w:r>
    </w:p>
    <w:p w14:paraId="75033EB0" w14:textId="0BDE6607" w:rsidR="000E5963" w:rsidRPr="000E5963" w:rsidRDefault="000E5963" w:rsidP="000E5963">
      <w:pPr>
        <w:tabs>
          <w:tab w:val="left" w:pos="7655"/>
        </w:tabs>
        <w:spacing w:after="0" w:line="240" w:lineRule="auto"/>
        <w:ind w:right="283"/>
        <w:jc w:val="both"/>
        <w:rPr>
          <w:rFonts w:ascii="Calibri" w:eastAsia="Times New Roman" w:hAnsi="Calibri" w:cs="Calibri"/>
          <w:sz w:val="22"/>
          <w:szCs w:val="22"/>
          <w:lang w:val="en-IE" w:eastAsia="en-US"/>
        </w:rPr>
      </w:pPr>
      <w:r w:rsidRPr="00426DC4">
        <w:rPr>
          <w:rFonts w:ascii="Calibri" w:eastAsia="Times New Roman" w:hAnsi="Calibri" w:cs="Calibri"/>
          <w:sz w:val="22"/>
          <w:szCs w:val="22"/>
          <w:lang w:val="en-IE" w:eastAsia="en-US"/>
        </w:rPr>
        <w:t xml:space="preserve">Net finance and other income increased </w:t>
      </w:r>
      <w:r w:rsidR="000465E1">
        <w:rPr>
          <w:rFonts w:ascii="Calibri" w:eastAsia="Times New Roman" w:hAnsi="Calibri" w:cs="Calibri"/>
          <w:sz w:val="22"/>
          <w:szCs w:val="22"/>
          <w:lang w:val="en-IE" w:eastAsia="en-US"/>
        </w:rPr>
        <w:t>thanks</w:t>
      </w:r>
      <w:r w:rsidRPr="00426DC4">
        <w:rPr>
          <w:rFonts w:ascii="Calibri" w:eastAsia="Times New Roman" w:hAnsi="Calibri" w:cs="Calibri"/>
          <w:sz w:val="22"/>
          <w:szCs w:val="22"/>
          <w:lang w:val="en-IE" w:eastAsia="en-US"/>
        </w:rPr>
        <w:t xml:space="preserve"> </w:t>
      </w:r>
      <w:r w:rsidR="008C48E3" w:rsidRPr="00426DC4">
        <w:rPr>
          <w:rFonts w:ascii="Calibri" w:eastAsia="Times New Roman" w:hAnsi="Calibri" w:cs="Calibri"/>
          <w:sz w:val="22"/>
          <w:szCs w:val="22"/>
          <w:lang w:val="en-IE" w:eastAsia="en-US"/>
        </w:rPr>
        <w:t xml:space="preserve">to </w:t>
      </w:r>
      <w:r w:rsidR="00B540C7" w:rsidRPr="0053248E">
        <w:rPr>
          <w:rFonts w:ascii="Calibri" w:eastAsia="Times New Roman" w:hAnsi="Calibri" w:cs="Calibri"/>
          <w:sz w:val="22"/>
          <w:szCs w:val="22"/>
          <w:lang w:val="en-IE" w:eastAsia="en-US"/>
        </w:rPr>
        <w:t xml:space="preserve">a strong </w:t>
      </w:r>
      <w:r w:rsidR="002A3403">
        <w:rPr>
          <w:rFonts w:ascii="Calibri" w:eastAsia="Times New Roman" w:hAnsi="Calibri" w:cs="Calibri"/>
          <w:sz w:val="22"/>
          <w:szCs w:val="22"/>
          <w:lang w:val="en-IE" w:eastAsia="en-US"/>
        </w:rPr>
        <w:t xml:space="preserve">net </w:t>
      </w:r>
      <w:r w:rsidR="00B540C7" w:rsidRPr="0053248E">
        <w:rPr>
          <w:rFonts w:ascii="Calibri" w:eastAsia="Times New Roman" w:hAnsi="Calibri" w:cs="Calibri"/>
          <w:sz w:val="22"/>
          <w:szCs w:val="22"/>
          <w:lang w:val="en-IE" w:eastAsia="en-US"/>
        </w:rPr>
        <w:t>cash balance,</w:t>
      </w:r>
      <w:r w:rsidR="00FF1734" w:rsidRPr="0053248E">
        <w:rPr>
          <w:rFonts w:ascii="Calibri" w:eastAsia="Times New Roman" w:hAnsi="Calibri" w:cs="Calibri"/>
          <w:sz w:val="22"/>
          <w:szCs w:val="22"/>
          <w:lang w:val="en-IE" w:eastAsia="en-US"/>
        </w:rPr>
        <w:t xml:space="preserve"> </w:t>
      </w:r>
      <w:r w:rsidR="00A06C33">
        <w:rPr>
          <w:rFonts w:ascii="Calibri" w:eastAsia="Times New Roman" w:hAnsi="Calibri" w:cs="Calibri"/>
          <w:sz w:val="22"/>
          <w:szCs w:val="22"/>
          <w:lang w:val="en-IE" w:eastAsia="en-US"/>
        </w:rPr>
        <w:t>debt repayments</w:t>
      </w:r>
      <w:r w:rsidRPr="0053248E">
        <w:rPr>
          <w:rFonts w:ascii="Calibri" w:eastAsia="Times New Roman" w:hAnsi="Calibri" w:cs="Calibri"/>
          <w:sz w:val="22"/>
          <w:szCs w:val="22"/>
          <w:lang w:val="en-IE" w:eastAsia="en-US"/>
        </w:rPr>
        <w:t xml:space="preserve"> and</w:t>
      </w:r>
      <w:r w:rsidR="009D66B1" w:rsidRPr="0053248E">
        <w:rPr>
          <w:rFonts w:ascii="Calibri" w:eastAsia="Times New Roman" w:hAnsi="Calibri" w:cs="Calibri"/>
          <w:sz w:val="22"/>
          <w:szCs w:val="22"/>
          <w:lang w:val="en-IE" w:eastAsia="en-US"/>
        </w:rPr>
        <w:t xml:space="preserve"> modest</w:t>
      </w:r>
      <w:r w:rsidRPr="0053248E">
        <w:rPr>
          <w:rFonts w:ascii="Calibri" w:eastAsia="Times New Roman" w:hAnsi="Calibri" w:cs="Calibri"/>
          <w:sz w:val="22"/>
          <w:szCs w:val="22"/>
          <w:lang w:val="en-IE" w:eastAsia="en-US"/>
        </w:rPr>
        <w:t xml:space="preserve"> delay compensation received. Foreign exchange translation reflects the impact of primarily €/US$ exchange rate movements on</w:t>
      </w:r>
      <w:r w:rsidR="00721ECA" w:rsidRPr="0053248E">
        <w:rPr>
          <w:rFonts w:ascii="Calibri" w:eastAsia="Times New Roman" w:hAnsi="Calibri" w:cs="Calibri"/>
          <w:sz w:val="22"/>
          <w:szCs w:val="22"/>
          <w:lang w:val="en-IE" w:eastAsia="en-US"/>
        </w:rPr>
        <w:t xml:space="preserve"> </w:t>
      </w:r>
      <w:r w:rsidRPr="0053248E">
        <w:rPr>
          <w:rFonts w:ascii="Calibri" w:eastAsia="Times New Roman" w:hAnsi="Calibri" w:cs="Calibri"/>
          <w:sz w:val="22"/>
          <w:szCs w:val="22"/>
          <w:lang w:val="en-IE" w:eastAsia="en-US"/>
        </w:rPr>
        <w:t>balance sheet revaluations.</w:t>
      </w:r>
    </w:p>
    <w:p w14:paraId="1888CEC4" w14:textId="77777777" w:rsidR="000E5963" w:rsidRPr="000E5963" w:rsidRDefault="000E5963" w:rsidP="000E5963">
      <w:pPr>
        <w:tabs>
          <w:tab w:val="left" w:pos="7655"/>
        </w:tabs>
        <w:spacing w:after="0" w:line="240" w:lineRule="auto"/>
        <w:ind w:right="283"/>
        <w:jc w:val="both"/>
        <w:rPr>
          <w:rFonts w:ascii="Calibri" w:eastAsia="Times New Roman" w:hAnsi="Calibri" w:cs="Calibri"/>
          <w:b/>
          <w:sz w:val="22"/>
          <w:szCs w:val="22"/>
          <w:highlight w:val="yellow"/>
          <w:lang w:val="en-IE" w:eastAsia="en-US"/>
        </w:rPr>
      </w:pPr>
    </w:p>
    <w:p w14:paraId="5370ED2C" w14:textId="77777777" w:rsidR="000E5963" w:rsidRPr="000E5963" w:rsidRDefault="000E5963" w:rsidP="000E5963">
      <w:pPr>
        <w:tabs>
          <w:tab w:val="left" w:pos="7655"/>
        </w:tabs>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Balance sheet:</w:t>
      </w:r>
    </w:p>
    <w:p w14:paraId="1B439253" w14:textId="0CF01DF5" w:rsidR="0049366D" w:rsidRPr="000A2B23" w:rsidRDefault="0049366D" w:rsidP="0049366D">
      <w:pPr>
        <w:spacing w:after="0" w:line="240" w:lineRule="auto"/>
        <w:ind w:right="283"/>
        <w:jc w:val="both"/>
        <w:rPr>
          <w:rFonts w:ascii="Calibri" w:eastAsia="Times New Roman" w:hAnsi="Calibri" w:cs="Calibri"/>
          <w:sz w:val="22"/>
          <w:szCs w:val="22"/>
          <w:highlight w:val="yellow"/>
          <w:lang w:val="en-IE" w:eastAsia="en-US"/>
        </w:rPr>
      </w:pPr>
      <w:r w:rsidRPr="007276B6">
        <w:rPr>
          <w:rFonts w:ascii="Calibri" w:eastAsia="Times New Roman" w:hAnsi="Calibri" w:cs="Calibri"/>
          <w:sz w:val="22"/>
          <w:szCs w:val="22"/>
          <w:lang w:val="en-IE" w:eastAsia="en-US"/>
        </w:rPr>
        <w:t xml:space="preserve">Gross cash was </w:t>
      </w:r>
      <w:r w:rsidRPr="00485365">
        <w:rPr>
          <w:rFonts w:ascii="Calibri" w:eastAsia="Times New Roman" w:hAnsi="Calibri" w:cs="Calibri"/>
          <w:b/>
          <w:sz w:val="22"/>
          <w:szCs w:val="22"/>
          <w:lang w:val="en-IE" w:eastAsia="en-US"/>
        </w:rPr>
        <w:t>€3.0</w:t>
      </w:r>
      <w:r w:rsidRPr="00485365">
        <w:rPr>
          <w:rFonts w:ascii="Calibri" w:eastAsia="Times New Roman" w:hAnsi="Calibri" w:cs="Calibri"/>
          <w:b/>
          <w:bCs/>
          <w:sz w:val="22"/>
          <w:szCs w:val="22"/>
          <w:lang w:val="en-IE" w:eastAsia="en-US"/>
        </w:rPr>
        <w:t>BN</w:t>
      </w:r>
      <w:r w:rsidRPr="007276B6">
        <w:rPr>
          <w:rFonts w:ascii="Calibri" w:eastAsia="Times New Roman" w:hAnsi="Calibri" w:cs="Calibri"/>
          <w:sz w:val="22"/>
          <w:szCs w:val="22"/>
          <w:lang w:val="en-IE" w:eastAsia="en-US"/>
        </w:rPr>
        <w:t xml:space="preserve"> at </w:t>
      </w:r>
      <w:r>
        <w:rPr>
          <w:rFonts w:ascii="Calibri" w:eastAsia="Times New Roman" w:hAnsi="Calibri" w:cs="Calibri"/>
          <w:sz w:val="22"/>
          <w:szCs w:val="22"/>
          <w:lang w:val="en-IE" w:eastAsia="en-US"/>
        </w:rPr>
        <w:t>September</w:t>
      </w:r>
      <w:r w:rsidRPr="007276B6">
        <w:rPr>
          <w:rFonts w:ascii="Calibri" w:eastAsia="Times New Roman" w:hAnsi="Calibri" w:cs="Calibri"/>
          <w:sz w:val="22"/>
          <w:szCs w:val="22"/>
          <w:lang w:val="en-IE" w:eastAsia="en-US"/>
        </w:rPr>
        <w:t xml:space="preserve"> 30, 2025 </w:t>
      </w:r>
      <w:r w:rsidRPr="00FD14CA">
        <w:rPr>
          <w:rFonts w:ascii="Calibri" w:eastAsia="Times New Roman" w:hAnsi="Calibri" w:cs="Calibri"/>
          <w:sz w:val="22"/>
          <w:szCs w:val="22"/>
          <w:lang w:val="en-IE" w:eastAsia="en-US"/>
        </w:rPr>
        <w:t xml:space="preserve">despite </w:t>
      </w:r>
      <w:r w:rsidR="00131154" w:rsidRPr="00FD14CA">
        <w:rPr>
          <w:rFonts w:ascii="Calibri" w:eastAsia="Times New Roman" w:hAnsi="Calibri" w:cs="Calibri"/>
          <w:b/>
          <w:sz w:val="22"/>
          <w:szCs w:val="22"/>
          <w:lang w:val="en-IE" w:eastAsia="en-US"/>
        </w:rPr>
        <w:t>€1.2BN</w:t>
      </w:r>
      <w:r w:rsidR="00131154" w:rsidRPr="00FD14CA">
        <w:rPr>
          <w:rFonts w:ascii="Calibri" w:eastAsia="Times New Roman" w:hAnsi="Calibri" w:cs="Calibri"/>
          <w:sz w:val="22"/>
          <w:szCs w:val="22"/>
          <w:lang w:val="en-IE" w:eastAsia="en-US"/>
        </w:rPr>
        <w:t xml:space="preserve"> debt repayments</w:t>
      </w:r>
      <w:r w:rsidR="00131154" w:rsidRPr="00C90F0D">
        <w:rPr>
          <w:rFonts w:ascii="Calibri" w:eastAsia="Times New Roman" w:hAnsi="Calibri" w:cs="Calibri"/>
          <w:bCs/>
          <w:sz w:val="22"/>
          <w:szCs w:val="22"/>
          <w:lang w:val="en-IE" w:eastAsia="en-US"/>
        </w:rPr>
        <w:t>,</w:t>
      </w:r>
      <w:r w:rsidR="00131154">
        <w:rPr>
          <w:rFonts w:ascii="Calibri" w:eastAsia="Times New Roman" w:hAnsi="Calibri" w:cs="Calibri"/>
          <w:b/>
          <w:sz w:val="22"/>
          <w:szCs w:val="22"/>
          <w:lang w:val="en-IE" w:eastAsia="en-US"/>
        </w:rPr>
        <w:t xml:space="preserve"> </w:t>
      </w:r>
      <w:r w:rsidRPr="00FD14CA">
        <w:rPr>
          <w:rFonts w:ascii="Calibri" w:eastAsia="Times New Roman" w:hAnsi="Calibri" w:cs="Calibri"/>
          <w:b/>
          <w:sz w:val="22"/>
          <w:szCs w:val="22"/>
          <w:lang w:val="en-IE" w:eastAsia="en-US"/>
        </w:rPr>
        <w:t>€</w:t>
      </w:r>
      <w:r w:rsidRPr="00FD14CA">
        <w:rPr>
          <w:rFonts w:ascii="Calibri" w:eastAsia="Times New Roman" w:hAnsi="Calibri" w:cs="Calibri"/>
          <w:b/>
          <w:bCs/>
          <w:sz w:val="22"/>
          <w:szCs w:val="22"/>
          <w:lang w:val="en-IE" w:eastAsia="en-US"/>
        </w:rPr>
        <w:t>1.1BN</w:t>
      </w:r>
      <w:r w:rsidRPr="00FD14CA" w:rsidDel="00782019">
        <w:rPr>
          <w:rFonts w:ascii="Calibri" w:eastAsia="Times New Roman" w:hAnsi="Calibri" w:cs="Calibri"/>
          <w:b/>
          <w:sz w:val="22"/>
          <w:szCs w:val="22"/>
          <w:lang w:val="en-IE" w:eastAsia="en-US"/>
        </w:rPr>
        <w:t xml:space="preserve"> </w:t>
      </w:r>
      <w:r w:rsidRPr="00FD14CA">
        <w:rPr>
          <w:rFonts w:ascii="Calibri" w:eastAsia="Times New Roman" w:hAnsi="Calibri" w:cs="Calibri"/>
          <w:sz w:val="22"/>
          <w:szCs w:val="22"/>
          <w:lang w:val="en-IE" w:eastAsia="en-US"/>
        </w:rPr>
        <w:t>cape</w:t>
      </w:r>
      <w:r w:rsidRPr="00532529">
        <w:rPr>
          <w:rFonts w:ascii="Calibri" w:eastAsia="Times New Roman" w:hAnsi="Calibri" w:cs="Calibri"/>
          <w:sz w:val="22"/>
          <w:szCs w:val="22"/>
          <w:lang w:val="en-IE" w:eastAsia="en-US"/>
        </w:rPr>
        <w:t>x</w:t>
      </w:r>
      <w:r w:rsidR="00504D69" w:rsidRPr="00532529">
        <w:rPr>
          <w:rFonts w:ascii="Calibri" w:eastAsia="Times New Roman" w:hAnsi="Calibri" w:cs="Calibri"/>
          <w:sz w:val="22"/>
          <w:szCs w:val="22"/>
          <w:lang w:val="en-IE" w:eastAsia="en-US"/>
        </w:rPr>
        <w:t xml:space="preserve"> </w:t>
      </w:r>
      <w:r w:rsidR="00E034AF">
        <w:rPr>
          <w:rFonts w:ascii="Calibri" w:eastAsia="Times New Roman" w:hAnsi="Calibri" w:cs="Calibri"/>
          <w:sz w:val="22"/>
          <w:szCs w:val="22"/>
          <w:lang w:val="en-IE" w:eastAsia="en-US"/>
        </w:rPr>
        <w:t>and</w:t>
      </w:r>
      <w:r w:rsidR="00504D69" w:rsidRPr="00532529">
        <w:rPr>
          <w:rFonts w:ascii="Calibri" w:eastAsia="Times New Roman" w:hAnsi="Calibri" w:cs="Calibri"/>
          <w:sz w:val="22"/>
          <w:szCs w:val="22"/>
          <w:lang w:val="en-IE" w:eastAsia="en-US"/>
        </w:rPr>
        <w:t xml:space="preserve"> </w:t>
      </w:r>
      <w:r w:rsidRPr="00532529">
        <w:rPr>
          <w:rFonts w:ascii="Calibri" w:eastAsia="Times New Roman" w:hAnsi="Calibri" w:cs="Calibri"/>
          <w:b/>
          <w:bCs/>
          <w:sz w:val="22"/>
          <w:szCs w:val="22"/>
          <w:lang w:val="en-IE" w:eastAsia="en-US"/>
        </w:rPr>
        <w:t>€0.</w:t>
      </w:r>
      <w:r w:rsidR="00E034AF">
        <w:rPr>
          <w:rFonts w:ascii="Calibri" w:eastAsia="Times New Roman" w:hAnsi="Calibri" w:cs="Calibri"/>
          <w:b/>
          <w:bCs/>
          <w:sz w:val="22"/>
          <w:szCs w:val="22"/>
          <w:lang w:val="en-IE" w:eastAsia="en-US"/>
        </w:rPr>
        <w:t>4</w:t>
      </w:r>
      <w:r w:rsidRPr="00532529">
        <w:rPr>
          <w:rFonts w:ascii="Calibri" w:eastAsia="Times New Roman" w:hAnsi="Calibri" w:cs="Calibri"/>
          <w:b/>
          <w:bCs/>
          <w:sz w:val="22"/>
          <w:szCs w:val="22"/>
          <w:lang w:val="en-IE" w:eastAsia="en-US"/>
        </w:rPr>
        <w:t>BN</w:t>
      </w:r>
      <w:r w:rsidRPr="00532529">
        <w:rPr>
          <w:rFonts w:ascii="Calibri" w:eastAsia="Times New Roman" w:hAnsi="Calibri" w:cs="Calibri"/>
          <w:sz w:val="22"/>
          <w:szCs w:val="22"/>
          <w:lang w:val="en-IE" w:eastAsia="en-US"/>
        </w:rPr>
        <w:t xml:space="preserve"> share</w:t>
      </w:r>
      <w:r w:rsidR="00CE0970">
        <w:rPr>
          <w:rFonts w:ascii="Calibri" w:eastAsia="Times New Roman" w:hAnsi="Calibri" w:cs="Calibri"/>
          <w:sz w:val="22"/>
          <w:szCs w:val="22"/>
          <w:lang w:val="en-IE" w:eastAsia="en-US"/>
        </w:rPr>
        <w:t xml:space="preserve">holder </w:t>
      </w:r>
      <w:r w:rsidR="00DF2415">
        <w:rPr>
          <w:rFonts w:ascii="Calibri" w:eastAsia="Times New Roman" w:hAnsi="Calibri" w:cs="Calibri"/>
          <w:sz w:val="22"/>
          <w:szCs w:val="22"/>
          <w:lang w:val="en-IE" w:eastAsia="en-US"/>
        </w:rPr>
        <w:t>distributions</w:t>
      </w:r>
      <w:r w:rsidRPr="00532529">
        <w:rPr>
          <w:rFonts w:ascii="Calibri" w:eastAsia="Times New Roman" w:hAnsi="Calibri" w:cs="Calibri"/>
          <w:sz w:val="22"/>
          <w:szCs w:val="22"/>
          <w:lang w:val="en-IE" w:eastAsia="en-US"/>
        </w:rPr>
        <w:t xml:space="preserve">. Gross debt was </w:t>
      </w:r>
      <w:r w:rsidRPr="00532529">
        <w:rPr>
          <w:rFonts w:ascii="Calibri" w:eastAsia="Times New Roman" w:hAnsi="Calibri" w:cs="Calibri"/>
          <w:b/>
          <w:sz w:val="22"/>
          <w:szCs w:val="22"/>
          <w:lang w:val="en-IE" w:eastAsia="en-US"/>
        </w:rPr>
        <w:t>€</w:t>
      </w:r>
      <w:r w:rsidRPr="00532529">
        <w:rPr>
          <w:rFonts w:ascii="Calibri" w:eastAsia="Times New Roman" w:hAnsi="Calibri" w:cs="Calibri"/>
          <w:b/>
          <w:bCs/>
          <w:sz w:val="22"/>
          <w:szCs w:val="22"/>
          <w:lang w:val="en-IE" w:eastAsia="en-US"/>
        </w:rPr>
        <w:t>1.5BN</w:t>
      </w:r>
      <w:r w:rsidRPr="00532529" w:rsidDel="00D742D0">
        <w:rPr>
          <w:rFonts w:ascii="Calibri" w:eastAsia="Times New Roman" w:hAnsi="Calibri" w:cs="Calibri"/>
          <w:b/>
          <w:sz w:val="22"/>
          <w:szCs w:val="22"/>
          <w:lang w:val="en-IE" w:eastAsia="en-US"/>
        </w:rPr>
        <w:t xml:space="preserve"> </w:t>
      </w:r>
      <w:r w:rsidRPr="00532529">
        <w:rPr>
          <w:rFonts w:ascii="Calibri" w:eastAsia="Times New Roman" w:hAnsi="Calibri" w:cs="Calibri"/>
          <w:bCs/>
          <w:sz w:val="22"/>
          <w:szCs w:val="22"/>
          <w:lang w:val="en-IE" w:eastAsia="en-US"/>
        </w:rPr>
        <w:t>(March 31, 2025: €2.7BN)</w:t>
      </w:r>
      <w:r w:rsidRPr="00532529">
        <w:rPr>
          <w:rFonts w:ascii="Calibri" w:eastAsia="Times New Roman" w:hAnsi="Calibri" w:cs="Calibri"/>
          <w:b/>
          <w:sz w:val="22"/>
          <w:szCs w:val="22"/>
          <w:lang w:val="en-IE" w:eastAsia="en-US"/>
        </w:rPr>
        <w:t xml:space="preserve"> </w:t>
      </w:r>
      <w:r w:rsidRPr="00532529">
        <w:rPr>
          <w:rFonts w:ascii="Calibri" w:eastAsia="Times New Roman" w:hAnsi="Calibri" w:cs="Calibri"/>
          <w:sz w:val="22"/>
          <w:szCs w:val="22"/>
          <w:lang w:val="en-IE" w:eastAsia="en-US"/>
        </w:rPr>
        <w:t xml:space="preserve">and net cash was </w:t>
      </w:r>
      <w:r w:rsidR="005E3A0C">
        <w:rPr>
          <w:rFonts w:ascii="Calibri" w:eastAsia="Times New Roman" w:hAnsi="Calibri" w:cs="Calibri"/>
          <w:sz w:val="22"/>
          <w:szCs w:val="22"/>
          <w:lang w:val="en-IE" w:eastAsia="en-US"/>
        </w:rPr>
        <w:t>over</w:t>
      </w:r>
      <w:r w:rsidRPr="00532529">
        <w:rPr>
          <w:rFonts w:ascii="Calibri" w:eastAsia="Times New Roman" w:hAnsi="Calibri" w:cs="Calibri"/>
          <w:sz w:val="22"/>
          <w:szCs w:val="22"/>
          <w:lang w:val="en-IE" w:eastAsia="en-US"/>
        </w:rPr>
        <w:t xml:space="preserve"> </w:t>
      </w:r>
      <w:r w:rsidRPr="00532529">
        <w:rPr>
          <w:rFonts w:ascii="Calibri" w:eastAsia="Times New Roman" w:hAnsi="Calibri" w:cs="Calibri"/>
          <w:b/>
          <w:sz w:val="22"/>
          <w:szCs w:val="22"/>
          <w:lang w:val="en-IE" w:eastAsia="en-US"/>
        </w:rPr>
        <w:t>€</w:t>
      </w:r>
      <w:r w:rsidRPr="00532529">
        <w:rPr>
          <w:rFonts w:ascii="Calibri" w:eastAsia="Times New Roman" w:hAnsi="Calibri" w:cs="Calibri"/>
          <w:b/>
          <w:bCs/>
          <w:sz w:val="22"/>
          <w:szCs w:val="22"/>
          <w:lang w:val="en-IE" w:eastAsia="en-US"/>
        </w:rPr>
        <w:t>1.5BN</w:t>
      </w:r>
      <w:r w:rsidR="0038286F">
        <w:rPr>
          <w:rFonts w:ascii="Calibri" w:eastAsia="Times New Roman" w:hAnsi="Calibri" w:cs="Calibri"/>
          <w:b/>
          <w:sz w:val="22"/>
          <w:szCs w:val="22"/>
          <w:lang w:val="en-IE" w:eastAsia="en-US"/>
        </w:rPr>
        <w:t xml:space="preserve"> </w:t>
      </w:r>
      <w:r w:rsidRPr="00532529">
        <w:rPr>
          <w:rFonts w:ascii="Calibri" w:eastAsia="Times New Roman" w:hAnsi="Calibri" w:cs="Calibri"/>
          <w:sz w:val="22"/>
          <w:szCs w:val="22"/>
          <w:lang w:val="en-IE" w:eastAsia="en-US"/>
        </w:rPr>
        <w:t xml:space="preserve">at </w:t>
      </w:r>
      <w:r w:rsidR="00532529" w:rsidRPr="00532529">
        <w:rPr>
          <w:rFonts w:ascii="Calibri" w:eastAsia="Times New Roman" w:hAnsi="Calibri" w:cs="Calibri"/>
          <w:sz w:val="22"/>
          <w:szCs w:val="22"/>
          <w:lang w:val="en-IE" w:eastAsia="en-US"/>
        </w:rPr>
        <w:t xml:space="preserve">September </w:t>
      </w:r>
      <w:r w:rsidRPr="00532529">
        <w:rPr>
          <w:rFonts w:ascii="Calibri" w:eastAsia="Times New Roman" w:hAnsi="Calibri" w:cs="Calibri"/>
          <w:sz w:val="22"/>
          <w:szCs w:val="22"/>
          <w:lang w:val="en-IE" w:eastAsia="en-US"/>
        </w:rPr>
        <w:t>30, 2025 (March 31, 2025: €1.3BN).</w:t>
      </w:r>
    </w:p>
    <w:p w14:paraId="0D9684EF" w14:textId="77777777" w:rsidR="000E5963" w:rsidRPr="000E5963" w:rsidRDefault="000E5963" w:rsidP="000E5963">
      <w:pPr>
        <w:spacing w:after="0" w:line="240" w:lineRule="auto"/>
        <w:ind w:right="283"/>
        <w:jc w:val="both"/>
        <w:rPr>
          <w:rFonts w:ascii="Calibri" w:eastAsia="Times New Roman" w:hAnsi="Calibri" w:cs="Calibri"/>
          <w:sz w:val="22"/>
          <w:szCs w:val="22"/>
          <w:highlight w:val="yellow"/>
          <w:lang w:val="en-IE" w:eastAsia="en-US"/>
        </w:rPr>
      </w:pPr>
    </w:p>
    <w:p w14:paraId="6276832A" w14:textId="77777777" w:rsidR="000E5963" w:rsidRPr="000E5963" w:rsidRDefault="000E5963" w:rsidP="000E5963">
      <w:pPr>
        <w:spacing w:after="0" w:line="240" w:lineRule="auto"/>
        <w:ind w:right="283"/>
        <w:jc w:val="both"/>
        <w:rPr>
          <w:rFonts w:ascii="Calibri" w:eastAsia="Times New Roman" w:hAnsi="Calibri" w:cs="Calibri"/>
          <w:b/>
          <w:bCs/>
          <w:sz w:val="22"/>
          <w:szCs w:val="22"/>
          <w:lang w:val="en-IE" w:eastAsia="en-US"/>
        </w:rPr>
      </w:pPr>
      <w:r w:rsidRPr="000E5963">
        <w:rPr>
          <w:rFonts w:ascii="Calibri" w:eastAsia="Times New Roman" w:hAnsi="Calibri" w:cs="Calibri"/>
          <w:b/>
          <w:bCs/>
          <w:sz w:val="22"/>
          <w:szCs w:val="22"/>
          <w:lang w:val="en-IE" w:eastAsia="en-US"/>
        </w:rPr>
        <w:t xml:space="preserve">Shareholders’ equity: </w:t>
      </w:r>
    </w:p>
    <w:p w14:paraId="7792C0E4" w14:textId="2B5A7081"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8B5220">
        <w:rPr>
          <w:rFonts w:ascii="Calibri" w:eastAsia="Times New Roman" w:hAnsi="Calibri" w:cs="Calibri"/>
          <w:sz w:val="22"/>
          <w:szCs w:val="22"/>
          <w:lang w:val="en-IE" w:eastAsia="en-US"/>
        </w:rPr>
        <w:t xml:space="preserve">Shareholders’ </w:t>
      </w:r>
      <w:r w:rsidRPr="00A8638B">
        <w:rPr>
          <w:rFonts w:ascii="Calibri" w:eastAsia="Times New Roman" w:hAnsi="Calibri" w:cs="Calibri"/>
          <w:sz w:val="22"/>
          <w:szCs w:val="22"/>
          <w:lang w:val="en-IE" w:eastAsia="en-US"/>
        </w:rPr>
        <w:t xml:space="preserve">equity </w:t>
      </w:r>
      <w:r w:rsidR="006E1815" w:rsidRPr="00A8638B">
        <w:rPr>
          <w:rFonts w:ascii="Calibri" w:eastAsia="Times New Roman" w:hAnsi="Calibri" w:cs="Calibri"/>
          <w:sz w:val="22"/>
          <w:szCs w:val="22"/>
          <w:lang w:val="en-IE" w:eastAsia="en-US"/>
        </w:rPr>
        <w:t>increased</w:t>
      </w:r>
      <w:r w:rsidRPr="00A8638B">
        <w:rPr>
          <w:rFonts w:ascii="Calibri" w:eastAsia="Times New Roman" w:hAnsi="Calibri" w:cs="Calibri"/>
          <w:sz w:val="22"/>
          <w:szCs w:val="22"/>
          <w:lang w:val="en-IE" w:eastAsia="en-US"/>
        </w:rPr>
        <w:t xml:space="preserve"> by </w:t>
      </w:r>
      <w:r w:rsidRPr="00A8638B">
        <w:rPr>
          <w:rFonts w:ascii="Calibri" w:eastAsia="Times New Roman" w:hAnsi="Calibri" w:cs="Calibri"/>
          <w:b/>
          <w:sz w:val="22"/>
          <w:szCs w:val="22"/>
          <w:lang w:val="en-IE" w:eastAsia="en-US"/>
        </w:rPr>
        <w:t>€</w:t>
      </w:r>
      <w:r w:rsidR="007F263C" w:rsidRPr="00A8638B">
        <w:rPr>
          <w:rFonts w:ascii="Calibri" w:eastAsia="Times New Roman" w:hAnsi="Calibri" w:cs="Calibri"/>
          <w:b/>
          <w:bCs/>
          <w:sz w:val="22"/>
          <w:szCs w:val="22"/>
          <w:lang w:val="en-IE" w:eastAsia="en-US"/>
        </w:rPr>
        <w:t>1</w:t>
      </w:r>
      <w:r w:rsidR="00AE1F3D" w:rsidRPr="00A8638B">
        <w:rPr>
          <w:rFonts w:ascii="Calibri" w:eastAsia="Times New Roman" w:hAnsi="Calibri" w:cs="Calibri"/>
          <w:b/>
          <w:bCs/>
          <w:sz w:val="22"/>
          <w:szCs w:val="22"/>
          <w:lang w:val="en-IE" w:eastAsia="en-US"/>
        </w:rPr>
        <w:t>.</w:t>
      </w:r>
      <w:r w:rsidR="007F263C" w:rsidRPr="00A8638B">
        <w:rPr>
          <w:rFonts w:ascii="Calibri" w:eastAsia="Times New Roman" w:hAnsi="Calibri" w:cs="Calibri"/>
          <w:b/>
          <w:bCs/>
          <w:sz w:val="22"/>
          <w:szCs w:val="22"/>
          <w:lang w:val="en-IE" w:eastAsia="en-US"/>
        </w:rPr>
        <w:t>9</w:t>
      </w:r>
      <w:r w:rsidRPr="00A8638B">
        <w:rPr>
          <w:rFonts w:ascii="Calibri" w:eastAsia="Times New Roman" w:hAnsi="Calibri" w:cs="Calibri"/>
          <w:b/>
          <w:bCs/>
          <w:sz w:val="22"/>
          <w:szCs w:val="22"/>
          <w:lang w:val="en-IE" w:eastAsia="en-US"/>
        </w:rPr>
        <w:t>BN</w:t>
      </w:r>
      <w:r w:rsidRPr="00A8638B">
        <w:rPr>
          <w:rFonts w:ascii="Calibri" w:eastAsia="Times New Roman" w:hAnsi="Calibri" w:cs="Calibri"/>
          <w:b/>
          <w:sz w:val="22"/>
          <w:szCs w:val="22"/>
          <w:lang w:val="en-IE" w:eastAsia="en-US"/>
        </w:rPr>
        <w:t xml:space="preserve"> to €</w:t>
      </w:r>
      <w:r w:rsidR="00A8638B" w:rsidRPr="00A8638B">
        <w:rPr>
          <w:rFonts w:ascii="Calibri" w:eastAsia="Times New Roman" w:hAnsi="Calibri" w:cs="Calibri"/>
          <w:b/>
          <w:bCs/>
          <w:sz w:val="22"/>
          <w:szCs w:val="22"/>
          <w:lang w:val="en-IE" w:eastAsia="en-US"/>
        </w:rPr>
        <w:t>9</w:t>
      </w:r>
      <w:r w:rsidR="001505E7" w:rsidRPr="00A8638B">
        <w:rPr>
          <w:rFonts w:ascii="Calibri" w:eastAsia="Times New Roman" w:hAnsi="Calibri" w:cs="Calibri"/>
          <w:b/>
          <w:bCs/>
          <w:sz w:val="22"/>
          <w:szCs w:val="22"/>
          <w:lang w:val="en-IE" w:eastAsia="en-US"/>
        </w:rPr>
        <w:t>.</w:t>
      </w:r>
      <w:r w:rsidR="00A8638B" w:rsidRPr="00A8638B">
        <w:rPr>
          <w:rFonts w:ascii="Calibri" w:eastAsia="Times New Roman" w:hAnsi="Calibri" w:cs="Calibri"/>
          <w:b/>
          <w:bCs/>
          <w:sz w:val="22"/>
          <w:szCs w:val="22"/>
          <w:lang w:val="en-IE" w:eastAsia="en-US"/>
        </w:rPr>
        <w:t>0</w:t>
      </w:r>
      <w:r w:rsidRPr="00A8638B">
        <w:rPr>
          <w:rFonts w:ascii="Calibri" w:eastAsia="Times New Roman" w:hAnsi="Calibri" w:cs="Calibri"/>
          <w:b/>
          <w:bCs/>
          <w:sz w:val="22"/>
          <w:szCs w:val="22"/>
          <w:lang w:val="en-IE" w:eastAsia="en-US"/>
        </w:rPr>
        <w:t>BN</w:t>
      </w:r>
      <w:r w:rsidRPr="00A8638B">
        <w:rPr>
          <w:rFonts w:ascii="Calibri" w:eastAsia="Times New Roman" w:hAnsi="Calibri" w:cs="Calibri"/>
          <w:sz w:val="22"/>
          <w:szCs w:val="22"/>
          <w:lang w:val="en-IE" w:eastAsia="en-US"/>
        </w:rPr>
        <w:t xml:space="preserve"> in the</w:t>
      </w:r>
      <w:r w:rsidRPr="008B5220">
        <w:rPr>
          <w:rFonts w:ascii="Calibri" w:eastAsia="Times New Roman" w:hAnsi="Calibri" w:cs="Calibri"/>
          <w:sz w:val="22"/>
          <w:szCs w:val="22"/>
          <w:lang w:val="en-IE" w:eastAsia="en-US"/>
        </w:rPr>
        <w:t xml:space="preserve"> </w:t>
      </w:r>
      <w:r w:rsidR="000A2B23">
        <w:rPr>
          <w:rFonts w:ascii="Calibri" w:eastAsia="Times New Roman" w:hAnsi="Calibri" w:cs="Calibri"/>
          <w:sz w:val="22"/>
          <w:szCs w:val="22"/>
          <w:lang w:val="en-IE" w:eastAsia="en-US"/>
        </w:rPr>
        <w:t>period</w:t>
      </w:r>
      <w:r w:rsidRPr="008B5220">
        <w:rPr>
          <w:rFonts w:ascii="Calibri" w:eastAsia="Times New Roman" w:hAnsi="Calibri" w:cs="Calibri"/>
          <w:sz w:val="22"/>
          <w:szCs w:val="22"/>
          <w:lang w:val="en-IE" w:eastAsia="en-US"/>
        </w:rPr>
        <w:t xml:space="preserve"> due to a </w:t>
      </w:r>
      <w:r w:rsidR="00B11722" w:rsidRPr="008B5220">
        <w:rPr>
          <w:rFonts w:ascii="Calibri" w:eastAsia="Times New Roman" w:hAnsi="Calibri" w:cs="Calibri"/>
          <w:sz w:val="22"/>
          <w:szCs w:val="22"/>
          <w:lang w:val="en-IE" w:eastAsia="en-US"/>
        </w:rPr>
        <w:t>net profit</w:t>
      </w:r>
      <w:r w:rsidRPr="008B5220">
        <w:rPr>
          <w:rFonts w:ascii="Calibri" w:eastAsia="Times New Roman" w:hAnsi="Calibri" w:cs="Calibri"/>
          <w:sz w:val="22"/>
          <w:szCs w:val="22"/>
          <w:lang w:val="en-IE" w:eastAsia="en-US"/>
        </w:rPr>
        <w:t xml:space="preserve"> of</w:t>
      </w:r>
      <w:r w:rsidR="00611BD3">
        <w:rPr>
          <w:rFonts w:ascii="Calibri" w:eastAsia="Times New Roman" w:hAnsi="Calibri" w:cs="Calibri"/>
          <w:sz w:val="22"/>
          <w:szCs w:val="22"/>
          <w:lang w:val="en-IE" w:eastAsia="en-US"/>
        </w:rPr>
        <w:t xml:space="preserve"> over</w:t>
      </w:r>
      <w:r w:rsidRPr="008B5220">
        <w:rPr>
          <w:rFonts w:ascii="Calibri" w:eastAsia="Times New Roman" w:hAnsi="Calibri" w:cs="Calibri"/>
          <w:sz w:val="22"/>
          <w:szCs w:val="22"/>
          <w:lang w:val="en-IE" w:eastAsia="en-US"/>
        </w:rPr>
        <w:t xml:space="preserve"> </w:t>
      </w:r>
      <w:r w:rsidRPr="00EE1169">
        <w:rPr>
          <w:rFonts w:ascii="Calibri" w:eastAsia="Times New Roman" w:hAnsi="Calibri" w:cs="Calibri"/>
          <w:b/>
          <w:bCs/>
          <w:sz w:val="22"/>
          <w:szCs w:val="22"/>
          <w:lang w:val="en-IE" w:eastAsia="en-US"/>
        </w:rPr>
        <w:t>€</w:t>
      </w:r>
      <w:r w:rsidR="00A8638B" w:rsidRPr="00EE1169">
        <w:rPr>
          <w:rFonts w:ascii="Calibri" w:eastAsia="Times New Roman" w:hAnsi="Calibri" w:cs="Calibri"/>
          <w:b/>
          <w:bCs/>
          <w:sz w:val="22"/>
          <w:szCs w:val="22"/>
          <w:lang w:val="en-IE" w:eastAsia="en-US"/>
        </w:rPr>
        <w:t>2</w:t>
      </w:r>
      <w:r w:rsidR="00B11722" w:rsidRPr="00EE1169">
        <w:rPr>
          <w:rFonts w:ascii="Calibri" w:eastAsia="Times New Roman" w:hAnsi="Calibri" w:cs="Calibri"/>
          <w:b/>
          <w:bCs/>
          <w:sz w:val="22"/>
          <w:szCs w:val="22"/>
          <w:lang w:val="en-IE" w:eastAsia="en-US"/>
        </w:rPr>
        <w:t>.</w:t>
      </w:r>
      <w:r w:rsidR="00A8638B" w:rsidRPr="00EE1169">
        <w:rPr>
          <w:rFonts w:ascii="Calibri" w:eastAsia="Times New Roman" w:hAnsi="Calibri" w:cs="Calibri"/>
          <w:b/>
          <w:bCs/>
          <w:sz w:val="22"/>
          <w:szCs w:val="22"/>
          <w:lang w:val="en-IE" w:eastAsia="en-US"/>
        </w:rPr>
        <w:t>5</w:t>
      </w:r>
      <w:r w:rsidRPr="00EE1169">
        <w:rPr>
          <w:rFonts w:ascii="Calibri" w:eastAsia="Times New Roman" w:hAnsi="Calibri" w:cs="Calibri"/>
          <w:b/>
          <w:bCs/>
          <w:sz w:val="22"/>
          <w:szCs w:val="22"/>
          <w:lang w:val="en-IE" w:eastAsia="en-US"/>
        </w:rPr>
        <w:t>BN</w:t>
      </w:r>
      <w:r w:rsidRPr="00EE1169">
        <w:rPr>
          <w:rFonts w:ascii="Calibri" w:eastAsia="Times New Roman" w:hAnsi="Calibri" w:cs="Calibri"/>
          <w:sz w:val="22"/>
          <w:szCs w:val="22"/>
          <w:lang w:val="en-IE" w:eastAsia="en-US"/>
        </w:rPr>
        <w:t xml:space="preserve"> </w:t>
      </w:r>
      <w:r w:rsidR="00C9616A" w:rsidRPr="008B5220">
        <w:rPr>
          <w:rFonts w:ascii="Calibri" w:eastAsia="Times New Roman" w:hAnsi="Calibri" w:cs="Calibri"/>
          <w:sz w:val="22"/>
          <w:szCs w:val="22"/>
          <w:lang w:val="en-IE" w:eastAsia="en-US"/>
        </w:rPr>
        <w:t>partly offset b</w:t>
      </w:r>
      <w:r w:rsidR="00211ACF" w:rsidRPr="008B5220">
        <w:rPr>
          <w:rFonts w:ascii="Calibri" w:eastAsia="Times New Roman" w:hAnsi="Calibri" w:cs="Calibri"/>
          <w:sz w:val="22"/>
          <w:szCs w:val="22"/>
          <w:lang w:val="en-IE" w:eastAsia="en-US"/>
        </w:rPr>
        <w:t>y</w:t>
      </w:r>
      <w:r w:rsidRPr="008B5220">
        <w:rPr>
          <w:rFonts w:ascii="Calibri" w:eastAsia="Times New Roman" w:hAnsi="Calibri" w:cs="Calibri"/>
          <w:sz w:val="22"/>
          <w:szCs w:val="22"/>
          <w:lang w:val="en-IE" w:eastAsia="en-US"/>
        </w:rPr>
        <w:t xml:space="preserve"> a</w:t>
      </w:r>
      <w:r w:rsidR="00E20C73">
        <w:rPr>
          <w:rFonts w:ascii="Calibri" w:eastAsia="Times New Roman" w:hAnsi="Calibri" w:cs="Calibri"/>
          <w:sz w:val="22"/>
          <w:szCs w:val="22"/>
          <w:lang w:val="en-IE" w:eastAsia="en-US"/>
        </w:rPr>
        <w:t xml:space="preserve"> </w:t>
      </w:r>
      <w:r w:rsidR="00FF422D" w:rsidRPr="00E20C73">
        <w:rPr>
          <w:rFonts w:ascii="Calibri" w:eastAsia="Times New Roman" w:hAnsi="Calibri" w:cs="Calibri"/>
          <w:b/>
          <w:bCs/>
          <w:sz w:val="22"/>
          <w:szCs w:val="22"/>
          <w:lang w:val="en-IE" w:eastAsia="en-US"/>
        </w:rPr>
        <w:t>€0.2BN</w:t>
      </w:r>
      <w:r w:rsidR="00FF422D">
        <w:rPr>
          <w:rFonts w:ascii="Calibri" w:eastAsia="Times New Roman" w:hAnsi="Calibri" w:cs="Calibri"/>
          <w:sz w:val="22"/>
          <w:szCs w:val="22"/>
          <w:lang w:val="en-IE" w:eastAsia="en-US"/>
        </w:rPr>
        <w:t xml:space="preserve"> repurchase of shares, </w:t>
      </w:r>
      <w:r w:rsidR="006E5D8F" w:rsidRPr="00E20C73">
        <w:rPr>
          <w:rFonts w:ascii="Calibri" w:eastAsia="Times New Roman" w:hAnsi="Calibri" w:cs="Calibri"/>
          <w:b/>
          <w:bCs/>
          <w:sz w:val="22"/>
          <w:szCs w:val="22"/>
          <w:lang w:val="en-IE" w:eastAsia="en-US"/>
        </w:rPr>
        <w:t>€0.2BN</w:t>
      </w:r>
      <w:r w:rsidR="006E5D8F">
        <w:rPr>
          <w:rFonts w:ascii="Calibri" w:eastAsia="Times New Roman" w:hAnsi="Calibri" w:cs="Calibri"/>
          <w:sz w:val="22"/>
          <w:szCs w:val="22"/>
          <w:lang w:val="en-IE" w:eastAsia="en-US"/>
        </w:rPr>
        <w:t xml:space="preserve"> </w:t>
      </w:r>
      <w:r w:rsidR="00FF422D">
        <w:rPr>
          <w:rFonts w:ascii="Calibri" w:eastAsia="Times New Roman" w:hAnsi="Calibri" w:cs="Calibri"/>
          <w:sz w:val="22"/>
          <w:szCs w:val="22"/>
          <w:lang w:val="en-IE" w:eastAsia="en-US"/>
        </w:rPr>
        <w:t>dividend</w:t>
      </w:r>
      <w:r w:rsidR="00E20C73">
        <w:rPr>
          <w:rFonts w:ascii="Calibri" w:eastAsia="Times New Roman" w:hAnsi="Calibri" w:cs="Calibri"/>
          <w:sz w:val="22"/>
          <w:szCs w:val="22"/>
          <w:lang w:val="en-IE" w:eastAsia="en-US"/>
        </w:rPr>
        <w:t>s</w:t>
      </w:r>
      <w:r w:rsidR="00FF422D">
        <w:rPr>
          <w:rFonts w:ascii="Calibri" w:eastAsia="Times New Roman" w:hAnsi="Calibri" w:cs="Calibri"/>
          <w:sz w:val="22"/>
          <w:szCs w:val="22"/>
          <w:lang w:val="en-IE" w:eastAsia="en-US"/>
        </w:rPr>
        <w:t xml:space="preserve"> pa</w:t>
      </w:r>
      <w:r w:rsidR="00E20C73">
        <w:rPr>
          <w:rFonts w:ascii="Calibri" w:eastAsia="Times New Roman" w:hAnsi="Calibri" w:cs="Calibri"/>
          <w:sz w:val="22"/>
          <w:szCs w:val="22"/>
          <w:lang w:val="en-IE" w:eastAsia="en-US"/>
        </w:rPr>
        <w:t>i</w:t>
      </w:r>
      <w:r w:rsidR="00FF422D">
        <w:rPr>
          <w:rFonts w:ascii="Calibri" w:eastAsia="Times New Roman" w:hAnsi="Calibri" w:cs="Calibri"/>
          <w:sz w:val="22"/>
          <w:szCs w:val="22"/>
          <w:lang w:val="en-IE" w:eastAsia="en-US"/>
        </w:rPr>
        <w:t xml:space="preserve">d </w:t>
      </w:r>
      <w:r w:rsidR="00E20C73">
        <w:rPr>
          <w:rFonts w:ascii="Calibri" w:eastAsia="Times New Roman" w:hAnsi="Calibri" w:cs="Calibri"/>
          <w:sz w:val="22"/>
          <w:szCs w:val="22"/>
          <w:lang w:val="en-IE" w:eastAsia="en-US"/>
        </w:rPr>
        <w:t>and an</w:t>
      </w:r>
      <w:r w:rsidRPr="008B5220">
        <w:rPr>
          <w:rFonts w:ascii="Calibri" w:eastAsia="Times New Roman" w:hAnsi="Calibri" w:cs="Calibri"/>
          <w:sz w:val="22"/>
          <w:szCs w:val="22"/>
          <w:lang w:val="en-IE" w:eastAsia="en-US"/>
        </w:rPr>
        <w:t xml:space="preserve"> IFRS hedge accounting decrease in derivatives of </w:t>
      </w:r>
      <w:r w:rsidRPr="00E20C73">
        <w:rPr>
          <w:rFonts w:ascii="Calibri" w:eastAsia="Times New Roman" w:hAnsi="Calibri" w:cs="Calibri"/>
          <w:b/>
          <w:sz w:val="22"/>
          <w:szCs w:val="22"/>
          <w:lang w:val="en-IE" w:eastAsia="en-US"/>
        </w:rPr>
        <w:t>€</w:t>
      </w:r>
      <w:r w:rsidR="00322496" w:rsidRPr="00E20C73">
        <w:rPr>
          <w:rFonts w:ascii="Calibri" w:eastAsia="Times New Roman" w:hAnsi="Calibri" w:cs="Calibri"/>
          <w:b/>
          <w:bCs/>
          <w:sz w:val="22"/>
          <w:szCs w:val="22"/>
          <w:lang w:val="en-IE" w:eastAsia="en-US"/>
        </w:rPr>
        <w:t>0.</w:t>
      </w:r>
      <w:r w:rsidR="00A8638B" w:rsidRPr="00E20C73">
        <w:rPr>
          <w:rFonts w:ascii="Calibri" w:eastAsia="Times New Roman" w:hAnsi="Calibri" w:cs="Calibri"/>
          <w:b/>
          <w:bCs/>
          <w:sz w:val="22"/>
          <w:szCs w:val="22"/>
          <w:lang w:val="en-IE" w:eastAsia="en-US"/>
        </w:rPr>
        <w:t>2</w:t>
      </w:r>
      <w:r w:rsidRPr="00E20C73">
        <w:rPr>
          <w:rFonts w:ascii="Calibri" w:eastAsia="Times New Roman" w:hAnsi="Calibri" w:cs="Calibri"/>
          <w:b/>
          <w:bCs/>
          <w:sz w:val="22"/>
          <w:szCs w:val="22"/>
          <w:lang w:val="en-IE" w:eastAsia="en-US"/>
        </w:rPr>
        <w:t>BN</w:t>
      </w:r>
      <w:r w:rsidR="00E92BFA" w:rsidRPr="00E20C73">
        <w:rPr>
          <w:rFonts w:ascii="Calibri" w:eastAsia="Times New Roman" w:hAnsi="Calibri" w:cs="Calibri"/>
          <w:sz w:val="22"/>
          <w:szCs w:val="22"/>
          <w:lang w:val="en-IE" w:eastAsia="en-US"/>
        </w:rPr>
        <w:t>.</w:t>
      </w:r>
    </w:p>
    <w:p w14:paraId="53FED47A" w14:textId="77777777" w:rsidR="000E5963" w:rsidRPr="000E5963" w:rsidRDefault="000E5963" w:rsidP="000E5963">
      <w:pPr>
        <w:spacing w:after="0" w:line="240" w:lineRule="auto"/>
        <w:ind w:right="283"/>
        <w:jc w:val="center"/>
        <w:rPr>
          <w:rFonts w:ascii="Calibri" w:eastAsia="Times New Roman" w:hAnsi="Calibri" w:cs="Calibri"/>
          <w:b/>
          <w:lang w:val="en-IE" w:eastAsia="en-US"/>
        </w:rPr>
      </w:pPr>
      <w:r w:rsidRPr="000E5963">
        <w:rPr>
          <w:rFonts w:ascii="Calibri" w:eastAsia="Times New Roman" w:hAnsi="Calibri" w:cs="Calibri"/>
          <w:b/>
          <w:lang w:val="en-IE" w:eastAsia="en-US"/>
        </w:rPr>
        <w:br w:type="page"/>
      </w:r>
      <w:bookmarkStart w:id="9" w:name="_Hlk527706211"/>
      <w:bookmarkEnd w:id="3"/>
      <w:bookmarkEnd w:id="4"/>
      <w:bookmarkEnd w:id="5"/>
      <w:bookmarkEnd w:id="6"/>
    </w:p>
    <w:p w14:paraId="6D6ABFCC" w14:textId="3DCCAAC5" w:rsidR="00644587" w:rsidRPr="000E5963" w:rsidRDefault="00644587" w:rsidP="00644587">
      <w:pPr>
        <w:spacing w:after="0" w:line="240" w:lineRule="auto"/>
        <w:jc w:val="both"/>
        <w:rPr>
          <w:rFonts w:ascii="Calibri" w:eastAsia="Times New Roman" w:hAnsi="Calibri" w:cs="Calibri"/>
          <w:b/>
          <w:lang w:val="en-IE" w:eastAsia="en-US"/>
        </w:rPr>
      </w:pPr>
      <w:r w:rsidRPr="000E5963">
        <w:rPr>
          <w:rFonts w:ascii="Calibri" w:eastAsia="Times New Roman" w:hAnsi="Calibri" w:cs="Calibri"/>
          <w:b/>
          <w:lang w:val="en-IE" w:eastAsia="en-US"/>
        </w:rPr>
        <w:lastRenderedPageBreak/>
        <w:t xml:space="preserve">MD&amp;A Quarter Ended </w:t>
      </w:r>
      <w:r w:rsidR="000A2B23">
        <w:rPr>
          <w:rFonts w:ascii="Calibri" w:eastAsia="Times New Roman" w:hAnsi="Calibri" w:cs="Calibri"/>
          <w:b/>
          <w:lang w:val="en-IE" w:eastAsia="en-US"/>
        </w:rPr>
        <w:t>September</w:t>
      </w:r>
      <w:r w:rsidRPr="000E5963">
        <w:rPr>
          <w:rFonts w:ascii="Calibri" w:eastAsia="Times New Roman" w:hAnsi="Calibri" w:cs="Calibri"/>
          <w:b/>
          <w:lang w:val="en-IE" w:eastAsia="en-US"/>
        </w:rPr>
        <w:t xml:space="preserve"> 30, 2025 (“Q</w:t>
      </w:r>
      <w:r w:rsidR="000A2B23">
        <w:rPr>
          <w:rFonts w:ascii="Calibri" w:eastAsia="Times New Roman" w:hAnsi="Calibri" w:cs="Calibri"/>
          <w:b/>
          <w:lang w:val="en-IE" w:eastAsia="en-US"/>
        </w:rPr>
        <w:t>2</w:t>
      </w:r>
      <w:r w:rsidRPr="000E5963">
        <w:rPr>
          <w:rFonts w:ascii="Calibri" w:eastAsia="Times New Roman" w:hAnsi="Calibri" w:cs="Calibri"/>
          <w:b/>
          <w:lang w:val="en-IE" w:eastAsia="en-US"/>
        </w:rPr>
        <w:t xml:space="preserve"> FY26”)</w:t>
      </w:r>
    </w:p>
    <w:p w14:paraId="334CE73A" w14:textId="77777777" w:rsidR="00644587" w:rsidRPr="000E5963" w:rsidRDefault="00644587" w:rsidP="00644587">
      <w:pPr>
        <w:spacing w:after="0" w:line="240" w:lineRule="auto"/>
        <w:ind w:right="283"/>
        <w:jc w:val="both"/>
        <w:rPr>
          <w:rFonts w:ascii="Calibri" w:eastAsia="Times New Roman" w:hAnsi="Calibri" w:cs="Calibri"/>
          <w:b/>
          <w:lang w:val="en-IE" w:eastAsia="en-US"/>
        </w:rPr>
      </w:pPr>
    </w:p>
    <w:p w14:paraId="284F6820" w14:textId="77777777" w:rsidR="00644587" w:rsidRPr="000E5963" w:rsidRDefault="00644587" w:rsidP="00644587">
      <w:pPr>
        <w:tabs>
          <w:tab w:val="left" w:pos="1630"/>
        </w:tabs>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Introduction</w:t>
      </w:r>
      <w:r w:rsidRPr="000E5963">
        <w:rPr>
          <w:rFonts w:ascii="Calibri" w:eastAsia="Times New Roman" w:hAnsi="Calibri" w:cs="Calibri"/>
          <w:b/>
          <w:sz w:val="22"/>
          <w:szCs w:val="22"/>
          <w:lang w:val="en-IE" w:eastAsia="en-US"/>
        </w:rPr>
        <w:tab/>
      </w:r>
    </w:p>
    <w:p w14:paraId="095A551E" w14:textId="20771C9E" w:rsidR="00644587" w:rsidRPr="000E5963" w:rsidRDefault="00644587" w:rsidP="00644587">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For the purposes of the Management Discussion and Analysis (“MD&amp;A”) (with the exception of the balance sheet commentary) all figures and comments are by reference to the quarter ended </w:t>
      </w:r>
      <w:r w:rsidR="00CB0FFA">
        <w:rPr>
          <w:rFonts w:ascii="Calibri" w:eastAsia="Times New Roman" w:hAnsi="Calibri" w:cs="Calibri"/>
          <w:sz w:val="22"/>
          <w:szCs w:val="22"/>
          <w:lang w:val="en-IE" w:eastAsia="en-US"/>
        </w:rPr>
        <w:t>September</w:t>
      </w:r>
      <w:r w:rsidRPr="000E5963">
        <w:rPr>
          <w:rFonts w:ascii="Calibri" w:eastAsia="Times New Roman" w:hAnsi="Calibri" w:cs="Calibri"/>
          <w:sz w:val="22"/>
          <w:szCs w:val="22"/>
          <w:lang w:val="en-IE" w:eastAsia="en-US"/>
        </w:rPr>
        <w:t xml:space="preserve"> 30, 2025 results.</w:t>
      </w:r>
    </w:p>
    <w:p w14:paraId="698009EE" w14:textId="77777777" w:rsidR="00644587" w:rsidRPr="000E5963" w:rsidRDefault="00644587" w:rsidP="00644587">
      <w:pPr>
        <w:spacing w:after="0" w:line="240" w:lineRule="auto"/>
        <w:ind w:right="283"/>
        <w:jc w:val="both"/>
        <w:rPr>
          <w:rFonts w:ascii="Calibri" w:eastAsia="Times New Roman" w:hAnsi="Calibri" w:cs="Calibri"/>
          <w:sz w:val="22"/>
          <w:szCs w:val="22"/>
          <w:lang w:val="en-IE" w:eastAsia="en-US"/>
        </w:rPr>
      </w:pPr>
    </w:p>
    <w:p w14:paraId="3E881983" w14:textId="77777777" w:rsidR="00511FA6" w:rsidRPr="000E5963" w:rsidRDefault="00511FA6" w:rsidP="00511FA6">
      <w:pPr>
        <w:spacing w:after="0" w:line="240" w:lineRule="auto"/>
        <w:ind w:right="283"/>
        <w:jc w:val="both"/>
        <w:rPr>
          <w:rFonts w:ascii="Calibri" w:eastAsia="Times New Roman" w:hAnsi="Calibri" w:cs="Calibri"/>
          <w:b/>
          <w:sz w:val="22"/>
          <w:szCs w:val="22"/>
          <w:u w:val="single"/>
          <w:lang w:val="en-IE" w:eastAsia="en-US"/>
        </w:rPr>
      </w:pPr>
      <w:r w:rsidRPr="000E5963">
        <w:rPr>
          <w:rFonts w:ascii="Calibri" w:eastAsia="Times New Roman" w:hAnsi="Calibri" w:cs="Calibri"/>
          <w:b/>
          <w:sz w:val="22"/>
          <w:szCs w:val="22"/>
          <w:u w:val="single"/>
          <w:lang w:val="en-IE" w:eastAsia="en-US"/>
        </w:rPr>
        <w:t>Income Statement</w:t>
      </w:r>
    </w:p>
    <w:p w14:paraId="06479ED2" w14:textId="77777777" w:rsidR="00511FA6" w:rsidRPr="000E5963" w:rsidRDefault="00511FA6" w:rsidP="00511FA6">
      <w:pPr>
        <w:spacing w:after="0" w:line="240" w:lineRule="auto"/>
        <w:ind w:right="283"/>
        <w:jc w:val="both"/>
        <w:rPr>
          <w:rFonts w:ascii="Calibri" w:eastAsia="Times New Roman" w:hAnsi="Calibri" w:cs="Calibri"/>
          <w:b/>
          <w:sz w:val="22"/>
          <w:szCs w:val="22"/>
          <w:lang w:val="en-IE" w:eastAsia="en-US"/>
        </w:rPr>
      </w:pPr>
    </w:p>
    <w:p w14:paraId="04A484CE" w14:textId="77777777" w:rsidR="00511FA6" w:rsidRPr="007804E1" w:rsidRDefault="00511FA6" w:rsidP="00511FA6">
      <w:pPr>
        <w:keepNext/>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Scheduled revenues:</w:t>
      </w:r>
    </w:p>
    <w:p w14:paraId="36879440" w14:textId="36FDE35B" w:rsidR="00511FA6" w:rsidRPr="00595C9E" w:rsidRDefault="00511FA6" w:rsidP="00511FA6">
      <w:pPr>
        <w:spacing w:after="0" w:line="240" w:lineRule="auto"/>
        <w:ind w:right="283"/>
        <w:jc w:val="both"/>
        <w:rPr>
          <w:rFonts w:ascii="Calibri" w:eastAsia="Times New Roman" w:hAnsi="Calibri" w:cs="Calibri"/>
          <w:sz w:val="22"/>
          <w:szCs w:val="22"/>
          <w:lang w:val="en-IE" w:eastAsia="en-US"/>
        </w:rPr>
      </w:pPr>
      <w:r w:rsidRPr="00595C9E">
        <w:rPr>
          <w:rFonts w:ascii="Calibri" w:eastAsia="Times New Roman" w:hAnsi="Calibri" w:cs="Calibri"/>
          <w:sz w:val="22"/>
          <w:szCs w:val="22"/>
          <w:lang w:val="en-IE" w:eastAsia="en-US"/>
        </w:rPr>
        <w:t xml:space="preserve">Scheduled revenues increased </w:t>
      </w:r>
      <w:r w:rsidR="00244471" w:rsidRPr="00595C9E">
        <w:rPr>
          <w:rFonts w:ascii="Calibri" w:eastAsia="Times New Roman" w:hAnsi="Calibri" w:cs="Calibri"/>
          <w:b/>
          <w:bCs/>
          <w:sz w:val="22"/>
          <w:szCs w:val="22"/>
          <w:lang w:val="en-IE" w:eastAsia="en-US"/>
        </w:rPr>
        <w:t>9</w:t>
      </w:r>
      <w:r w:rsidRPr="00595C9E">
        <w:rPr>
          <w:rFonts w:ascii="Calibri" w:eastAsia="Times New Roman" w:hAnsi="Calibri" w:cs="Calibri"/>
          <w:b/>
          <w:bCs/>
          <w:sz w:val="22"/>
          <w:szCs w:val="22"/>
          <w:lang w:val="en-IE" w:eastAsia="en-US"/>
        </w:rPr>
        <w:t>% to €</w:t>
      </w:r>
      <w:r w:rsidR="00244471" w:rsidRPr="00595C9E">
        <w:rPr>
          <w:rFonts w:ascii="Calibri" w:eastAsia="Times New Roman" w:hAnsi="Calibri" w:cs="Calibri"/>
          <w:b/>
          <w:bCs/>
          <w:sz w:val="22"/>
          <w:szCs w:val="22"/>
          <w:lang w:val="en-IE" w:eastAsia="en-US"/>
        </w:rPr>
        <w:t>3</w:t>
      </w:r>
      <w:r w:rsidRPr="00595C9E">
        <w:rPr>
          <w:rFonts w:ascii="Calibri" w:eastAsia="Times New Roman" w:hAnsi="Calibri" w:cs="Calibri"/>
          <w:b/>
          <w:bCs/>
          <w:sz w:val="22"/>
          <w:szCs w:val="22"/>
          <w:lang w:val="en-IE" w:eastAsia="en-US"/>
        </w:rPr>
        <w:t>.9</w:t>
      </w:r>
      <w:r w:rsidR="00244471" w:rsidRPr="00595C9E">
        <w:rPr>
          <w:rFonts w:ascii="Calibri" w:eastAsia="Times New Roman" w:hAnsi="Calibri" w:cs="Calibri"/>
          <w:b/>
          <w:bCs/>
          <w:sz w:val="22"/>
          <w:szCs w:val="22"/>
          <w:lang w:val="en-IE" w:eastAsia="en-US"/>
        </w:rPr>
        <w:t>6</w:t>
      </w:r>
      <w:r w:rsidRPr="00595C9E">
        <w:rPr>
          <w:rFonts w:ascii="Calibri" w:eastAsia="Times New Roman" w:hAnsi="Calibri" w:cs="Calibri"/>
          <w:b/>
          <w:bCs/>
          <w:sz w:val="22"/>
          <w:szCs w:val="22"/>
          <w:lang w:val="en-IE" w:eastAsia="en-US"/>
        </w:rPr>
        <w:t>BN</w:t>
      </w:r>
      <w:r w:rsidRPr="00595C9E">
        <w:rPr>
          <w:rFonts w:ascii="Calibri" w:eastAsia="Times New Roman" w:hAnsi="Calibri" w:cs="Calibri"/>
          <w:sz w:val="22"/>
          <w:szCs w:val="22"/>
          <w:lang w:val="en-IE" w:eastAsia="en-US"/>
        </w:rPr>
        <w:t xml:space="preserve"> </w:t>
      </w:r>
      <w:r w:rsidR="00BE7989">
        <w:rPr>
          <w:rFonts w:ascii="Calibri" w:eastAsia="Times New Roman" w:hAnsi="Calibri" w:cs="Calibri"/>
          <w:sz w:val="22"/>
          <w:szCs w:val="22"/>
          <w:lang w:val="en-IE" w:eastAsia="en-US"/>
        </w:rPr>
        <w:t>as</w:t>
      </w:r>
      <w:r w:rsidR="00436C76">
        <w:rPr>
          <w:rFonts w:ascii="Calibri" w:eastAsia="Times New Roman" w:hAnsi="Calibri" w:cs="Calibri"/>
          <w:sz w:val="22"/>
          <w:szCs w:val="22"/>
          <w:lang w:val="en-IE" w:eastAsia="en-US"/>
        </w:rPr>
        <w:t xml:space="preserve"> </w:t>
      </w:r>
      <w:r w:rsidRPr="00595C9E">
        <w:rPr>
          <w:rFonts w:ascii="Calibri" w:eastAsia="Times New Roman" w:hAnsi="Calibri" w:cs="Calibri"/>
          <w:sz w:val="22"/>
          <w:szCs w:val="22"/>
          <w:lang w:val="en-IE" w:eastAsia="en-US"/>
        </w:rPr>
        <w:t xml:space="preserve">traffic </w:t>
      </w:r>
      <w:r w:rsidR="00436C76">
        <w:rPr>
          <w:rFonts w:ascii="Calibri" w:eastAsia="Times New Roman" w:hAnsi="Calibri" w:cs="Calibri"/>
          <w:sz w:val="22"/>
          <w:szCs w:val="22"/>
          <w:lang w:val="en-IE" w:eastAsia="en-US"/>
        </w:rPr>
        <w:t xml:space="preserve">grew 2% </w:t>
      </w:r>
      <w:r w:rsidRPr="00595C9E">
        <w:rPr>
          <w:rFonts w:ascii="Calibri" w:eastAsia="Times New Roman" w:hAnsi="Calibri" w:cs="Calibri"/>
          <w:sz w:val="22"/>
          <w:szCs w:val="22"/>
          <w:lang w:val="en-IE" w:eastAsia="en-US"/>
        </w:rPr>
        <w:t>(</w:t>
      </w:r>
      <w:r w:rsidR="00B34E8D" w:rsidRPr="00595C9E">
        <w:rPr>
          <w:rFonts w:ascii="Calibri" w:eastAsia="Times New Roman" w:hAnsi="Calibri" w:cs="Calibri"/>
          <w:sz w:val="22"/>
          <w:szCs w:val="22"/>
          <w:lang w:val="en-IE" w:eastAsia="en-US"/>
        </w:rPr>
        <w:t>to</w:t>
      </w:r>
      <w:r w:rsidRPr="00595C9E">
        <w:rPr>
          <w:rFonts w:ascii="Calibri" w:eastAsia="Times New Roman" w:hAnsi="Calibri" w:cs="Calibri"/>
          <w:sz w:val="22"/>
          <w:szCs w:val="22"/>
          <w:lang w:val="en-IE" w:eastAsia="en-US"/>
        </w:rPr>
        <w:t xml:space="preserve"> </w:t>
      </w:r>
      <w:r w:rsidR="00253F9B" w:rsidRPr="00595C9E">
        <w:rPr>
          <w:rFonts w:ascii="Calibri" w:eastAsia="Times New Roman" w:hAnsi="Calibri" w:cs="Calibri"/>
          <w:sz w:val="22"/>
          <w:szCs w:val="22"/>
          <w:lang w:val="en-IE" w:eastAsia="en-US"/>
        </w:rPr>
        <w:t>61</w:t>
      </w:r>
      <w:r w:rsidRPr="00595C9E">
        <w:rPr>
          <w:rFonts w:ascii="Calibri" w:eastAsia="Times New Roman" w:hAnsi="Calibri" w:cs="Calibri"/>
          <w:sz w:val="22"/>
          <w:szCs w:val="22"/>
          <w:lang w:val="en-IE" w:eastAsia="en-US"/>
        </w:rPr>
        <w:t>.</w:t>
      </w:r>
      <w:r w:rsidR="00253F9B" w:rsidRPr="00595C9E">
        <w:rPr>
          <w:rFonts w:ascii="Calibri" w:eastAsia="Times New Roman" w:hAnsi="Calibri" w:cs="Calibri"/>
          <w:sz w:val="22"/>
          <w:szCs w:val="22"/>
          <w:lang w:val="en-IE" w:eastAsia="en-US"/>
        </w:rPr>
        <w:t>2</w:t>
      </w:r>
      <w:r w:rsidRPr="00595C9E">
        <w:rPr>
          <w:rFonts w:ascii="Calibri" w:eastAsia="Times New Roman" w:hAnsi="Calibri" w:cs="Calibri"/>
          <w:sz w:val="22"/>
          <w:szCs w:val="22"/>
          <w:lang w:val="en-IE" w:eastAsia="en-US"/>
        </w:rPr>
        <w:t xml:space="preserve">M passengers) </w:t>
      </w:r>
      <w:r w:rsidR="00FA3406">
        <w:rPr>
          <w:rFonts w:ascii="Calibri" w:eastAsia="Times New Roman" w:hAnsi="Calibri" w:cs="Calibri"/>
          <w:sz w:val="22"/>
          <w:szCs w:val="22"/>
          <w:lang w:val="en-IE" w:eastAsia="en-US"/>
        </w:rPr>
        <w:t>at</w:t>
      </w:r>
      <w:r w:rsidR="008769BA">
        <w:rPr>
          <w:rFonts w:ascii="Calibri" w:eastAsia="Times New Roman" w:hAnsi="Calibri" w:cs="Calibri"/>
          <w:sz w:val="22"/>
          <w:szCs w:val="22"/>
          <w:lang w:val="en-IE" w:eastAsia="en-US"/>
        </w:rPr>
        <w:t xml:space="preserve"> </w:t>
      </w:r>
      <w:r w:rsidR="00A659E1">
        <w:rPr>
          <w:rFonts w:ascii="Calibri" w:eastAsia="Times New Roman" w:hAnsi="Calibri" w:cs="Calibri"/>
          <w:sz w:val="22"/>
          <w:szCs w:val="22"/>
          <w:lang w:val="en-IE" w:eastAsia="en-US"/>
        </w:rPr>
        <w:t>7%</w:t>
      </w:r>
      <w:r w:rsidR="00ED2033" w:rsidRPr="00595C9E">
        <w:rPr>
          <w:rFonts w:ascii="Calibri" w:eastAsia="Times New Roman" w:hAnsi="Calibri" w:cs="Calibri"/>
          <w:sz w:val="22"/>
          <w:szCs w:val="22"/>
          <w:lang w:val="en-IE" w:eastAsia="en-US"/>
        </w:rPr>
        <w:t xml:space="preserve"> </w:t>
      </w:r>
      <w:r w:rsidR="00AE2F4F">
        <w:rPr>
          <w:rFonts w:ascii="Calibri" w:eastAsia="Times New Roman" w:hAnsi="Calibri" w:cs="Calibri"/>
          <w:sz w:val="22"/>
          <w:szCs w:val="22"/>
          <w:lang w:val="en-IE" w:eastAsia="en-US"/>
        </w:rPr>
        <w:t>higher</w:t>
      </w:r>
      <w:r w:rsidRPr="00595C9E">
        <w:rPr>
          <w:rFonts w:ascii="Calibri" w:eastAsia="Times New Roman" w:hAnsi="Calibri" w:cs="Calibri"/>
          <w:sz w:val="22"/>
          <w:szCs w:val="22"/>
          <w:lang w:val="en-IE" w:eastAsia="en-US"/>
        </w:rPr>
        <w:t xml:space="preserve"> fares (</w:t>
      </w:r>
      <w:r w:rsidR="00DB69BA">
        <w:rPr>
          <w:rFonts w:ascii="Calibri" w:eastAsia="Times New Roman" w:hAnsi="Calibri" w:cs="Calibri"/>
          <w:sz w:val="22"/>
          <w:szCs w:val="22"/>
          <w:lang w:val="en-IE" w:eastAsia="en-US"/>
        </w:rPr>
        <w:t>to c.</w:t>
      </w:r>
      <w:r w:rsidRPr="00595C9E">
        <w:rPr>
          <w:rFonts w:ascii="Calibri" w:eastAsia="Times New Roman" w:hAnsi="Calibri" w:cs="Calibri"/>
          <w:sz w:val="22"/>
          <w:szCs w:val="22"/>
          <w:lang w:val="en-IE" w:eastAsia="en-US"/>
        </w:rPr>
        <w:t>€</w:t>
      </w:r>
      <w:r w:rsidR="00D2288E" w:rsidRPr="00595C9E">
        <w:rPr>
          <w:rFonts w:ascii="Calibri" w:eastAsia="Times New Roman" w:hAnsi="Calibri" w:cs="Calibri"/>
          <w:sz w:val="22"/>
          <w:szCs w:val="22"/>
          <w:lang w:val="en-IE" w:eastAsia="en-US"/>
        </w:rPr>
        <w:t>65</w:t>
      </w:r>
      <w:r w:rsidRPr="00595C9E">
        <w:rPr>
          <w:rFonts w:ascii="Calibri" w:eastAsia="Times New Roman" w:hAnsi="Calibri" w:cs="Calibri"/>
          <w:sz w:val="22"/>
          <w:szCs w:val="22"/>
          <w:lang w:val="en-IE" w:eastAsia="en-US"/>
        </w:rPr>
        <w:t>)</w:t>
      </w:r>
      <w:r w:rsidR="000122CE" w:rsidRPr="00595C9E">
        <w:rPr>
          <w:rFonts w:ascii="Calibri" w:eastAsia="Times New Roman" w:hAnsi="Calibri" w:cs="Calibri"/>
          <w:sz w:val="22"/>
          <w:szCs w:val="22"/>
          <w:lang w:val="en-IE" w:eastAsia="en-US"/>
        </w:rPr>
        <w:t>.</w:t>
      </w:r>
    </w:p>
    <w:p w14:paraId="0A4F24AF" w14:textId="77777777"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p>
    <w:p w14:paraId="193F015A"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 xml:space="preserve">Ancillary revenues: </w:t>
      </w:r>
    </w:p>
    <w:p w14:paraId="2422514E" w14:textId="3EC9C693" w:rsidR="00F01738" w:rsidRPr="00F01738" w:rsidRDefault="00511FA6" w:rsidP="00F01738">
      <w:pPr>
        <w:spacing w:after="0" w:line="240" w:lineRule="auto"/>
        <w:ind w:right="283"/>
        <w:contextualSpacing/>
        <w:jc w:val="both"/>
        <w:rPr>
          <w:rFonts w:ascii="Calibri" w:eastAsia="Times New Roman" w:hAnsi="Calibri" w:cs="Calibri"/>
          <w:bCs/>
          <w:sz w:val="22"/>
          <w:szCs w:val="22"/>
          <w:highlight w:val="yellow"/>
          <w:lang w:val="en-IE" w:eastAsia="en-US"/>
        </w:rPr>
      </w:pPr>
      <w:r w:rsidRPr="00244471">
        <w:rPr>
          <w:rFonts w:ascii="Calibri" w:eastAsia="Times New Roman" w:hAnsi="Calibri" w:cs="Calibri"/>
          <w:sz w:val="22"/>
          <w:szCs w:val="22"/>
          <w:lang w:val="en-IE" w:eastAsia="en-US"/>
        </w:rPr>
        <w:t xml:space="preserve">Ancillary </w:t>
      </w:r>
      <w:r w:rsidRPr="00D1699E">
        <w:rPr>
          <w:rFonts w:ascii="Calibri" w:eastAsia="Times New Roman" w:hAnsi="Calibri" w:cs="Calibri"/>
          <w:sz w:val="22"/>
          <w:szCs w:val="22"/>
          <w:lang w:val="en-IE" w:eastAsia="en-US"/>
        </w:rPr>
        <w:t>revenue</w:t>
      </w:r>
      <w:r w:rsidR="00C11EC2">
        <w:rPr>
          <w:rFonts w:ascii="Calibri" w:eastAsia="Times New Roman" w:hAnsi="Calibri" w:cs="Calibri"/>
          <w:sz w:val="22"/>
          <w:szCs w:val="22"/>
          <w:lang w:val="en-IE" w:eastAsia="en-US"/>
        </w:rPr>
        <w:t xml:space="preserve"> was</w:t>
      </w:r>
      <w:r w:rsidRPr="003F062E">
        <w:rPr>
          <w:rFonts w:ascii="Calibri" w:eastAsia="Times New Roman" w:hAnsi="Calibri" w:cs="Calibri"/>
          <w:sz w:val="22"/>
          <w:szCs w:val="22"/>
          <w:lang w:val="en-IE" w:eastAsia="en-US"/>
        </w:rPr>
        <w:t xml:space="preserve"> solid</w:t>
      </w:r>
      <w:r w:rsidR="00EE50E4">
        <w:rPr>
          <w:rFonts w:ascii="Calibri" w:eastAsia="Times New Roman" w:hAnsi="Calibri" w:cs="Calibri"/>
          <w:sz w:val="22"/>
          <w:szCs w:val="22"/>
          <w:lang w:val="en-IE" w:eastAsia="en-US"/>
        </w:rPr>
        <w:t>,</w:t>
      </w:r>
      <w:r w:rsidRPr="003F062E">
        <w:rPr>
          <w:rFonts w:ascii="Calibri" w:eastAsia="Times New Roman" w:hAnsi="Calibri" w:cs="Calibri"/>
          <w:sz w:val="22"/>
          <w:szCs w:val="22"/>
          <w:lang w:val="en-IE" w:eastAsia="en-US"/>
        </w:rPr>
        <w:t xml:space="preserve"> rising </w:t>
      </w:r>
      <w:r w:rsidR="00244471" w:rsidRPr="003F062E">
        <w:rPr>
          <w:rFonts w:ascii="Calibri" w:eastAsia="Times New Roman" w:hAnsi="Calibri" w:cs="Calibri"/>
          <w:b/>
          <w:bCs/>
          <w:sz w:val="22"/>
          <w:szCs w:val="22"/>
          <w:lang w:val="en-IE" w:eastAsia="en-US"/>
        </w:rPr>
        <w:t>5</w:t>
      </w:r>
      <w:r w:rsidRPr="003F062E">
        <w:rPr>
          <w:rFonts w:ascii="Calibri" w:eastAsia="Times New Roman" w:hAnsi="Calibri" w:cs="Calibri"/>
          <w:b/>
          <w:bCs/>
          <w:sz w:val="22"/>
          <w:szCs w:val="22"/>
          <w:lang w:val="en-IE" w:eastAsia="en-US"/>
        </w:rPr>
        <w:t>%</w:t>
      </w:r>
      <w:r w:rsidRPr="003F062E">
        <w:rPr>
          <w:rFonts w:ascii="Calibri" w:eastAsia="Times New Roman" w:hAnsi="Calibri" w:cs="Calibri"/>
          <w:sz w:val="22"/>
          <w:szCs w:val="22"/>
          <w:lang w:val="en-IE" w:eastAsia="en-US"/>
        </w:rPr>
        <w:t xml:space="preserve"> </w:t>
      </w:r>
      <w:r w:rsidRPr="003F062E">
        <w:rPr>
          <w:rFonts w:ascii="Calibri" w:eastAsia="Times New Roman" w:hAnsi="Calibri" w:cs="Calibri"/>
          <w:b/>
          <w:sz w:val="22"/>
          <w:szCs w:val="22"/>
          <w:lang w:val="en-IE" w:eastAsia="en-US"/>
        </w:rPr>
        <w:t>to €1.</w:t>
      </w:r>
      <w:r w:rsidR="00244471" w:rsidRPr="003F062E">
        <w:rPr>
          <w:rFonts w:ascii="Calibri" w:eastAsia="Times New Roman" w:hAnsi="Calibri" w:cs="Calibri"/>
          <w:b/>
          <w:sz w:val="22"/>
          <w:szCs w:val="22"/>
          <w:lang w:val="en-IE" w:eastAsia="en-US"/>
        </w:rPr>
        <w:t>5</w:t>
      </w:r>
      <w:r w:rsidR="00C26913">
        <w:rPr>
          <w:rFonts w:ascii="Calibri" w:eastAsia="Times New Roman" w:hAnsi="Calibri" w:cs="Calibri"/>
          <w:b/>
          <w:sz w:val="22"/>
          <w:szCs w:val="22"/>
          <w:lang w:val="en-IE" w:eastAsia="en-US"/>
        </w:rPr>
        <w:t>2</w:t>
      </w:r>
      <w:r w:rsidRPr="003F062E">
        <w:rPr>
          <w:rFonts w:ascii="Calibri" w:eastAsia="Times New Roman" w:hAnsi="Calibri" w:cs="Calibri"/>
          <w:b/>
          <w:sz w:val="22"/>
          <w:szCs w:val="22"/>
          <w:lang w:val="en-IE" w:eastAsia="en-US"/>
        </w:rPr>
        <w:t xml:space="preserve">BN </w:t>
      </w:r>
      <w:r w:rsidRPr="003F062E">
        <w:rPr>
          <w:rFonts w:ascii="Calibri" w:eastAsia="Times New Roman" w:hAnsi="Calibri" w:cs="Calibri"/>
          <w:bCs/>
          <w:sz w:val="22"/>
          <w:szCs w:val="22"/>
          <w:lang w:val="en-IE" w:eastAsia="en-US"/>
        </w:rPr>
        <w:t>as traffic</w:t>
      </w:r>
      <w:r w:rsidR="00CE503F">
        <w:rPr>
          <w:rFonts w:ascii="Calibri" w:eastAsia="Times New Roman" w:hAnsi="Calibri" w:cs="Calibri"/>
          <w:bCs/>
          <w:sz w:val="22"/>
          <w:szCs w:val="22"/>
          <w:lang w:val="en-IE" w:eastAsia="en-US"/>
        </w:rPr>
        <w:t xml:space="preserve"> grew 2%</w:t>
      </w:r>
      <w:r w:rsidRPr="003F062E">
        <w:rPr>
          <w:rFonts w:ascii="Calibri" w:eastAsia="Times New Roman" w:hAnsi="Calibri" w:cs="Calibri"/>
          <w:bCs/>
          <w:sz w:val="22"/>
          <w:szCs w:val="22"/>
          <w:lang w:val="en-IE" w:eastAsia="en-US"/>
        </w:rPr>
        <w:t xml:space="preserve"> </w:t>
      </w:r>
      <w:r w:rsidR="00F01738" w:rsidRPr="003F062E">
        <w:rPr>
          <w:rFonts w:ascii="Calibri" w:eastAsia="Times New Roman" w:hAnsi="Calibri" w:cs="Calibri"/>
          <w:bCs/>
          <w:sz w:val="22"/>
          <w:szCs w:val="22"/>
          <w:lang w:val="en-IE" w:eastAsia="en-US"/>
        </w:rPr>
        <w:t xml:space="preserve">and </w:t>
      </w:r>
      <w:r w:rsidR="00177C12">
        <w:rPr>
          <w:rFonts w:ascii="Calibri" w:eastAsia="Times New Roman" w:hAnsi="Calibri" w:cs="Calibri"/>
          <w:bCs/>
          <w:sz w:val="22"/>
          <w:szCs w:val="22"/>
          <w:lang w:val="en-IE" w:eastAsia="en-US"/>
        </w:rPr>
        <w:t xml:space="preserve">spend </w:t>
      </w:r>
      <w:r w:rsidR="003972F3">
        <w:rPr>
          <w:rFonts w:ascii="Calibri" w:eastAsia="Times New Roman" w:hAnsi="Calibri" w:cs="Calibri"/>
          <w:bCs/>
          <w:sz w:val="22"/>
          <w:szCs w:val="22"/>
          <w:lang w:val="en-IE" w:eastAsia="en-US"/>
        </w:rPr>
        <w:t>per passenger</w:t>
      </w:r>
      <w:r w:rsidR="00C50326">
        <w:rPr>
          <w:rFonts w:ascii="Calibri" w:eastAsia="Times New Roman" w:hAnsi="Calibri" w:cs="Calibri"/>
          <w:bCs/>
          <w:sz w:val="22"/>
          <w:szCs w:val="22"/>
          <w:lang w:val="en-IE" w:eastAsia="en-US"/>
        </w:rPr>
        <w:t xml:space="preserve"> </w:t>
      </w:r>
      <w:r w:rsidR="00F43B4F" w:rsidRPr="003F062E">
        <w:rPr>
          <w:rFonts w:ascii="Calibri" w:eastAsia="Times New Roman" w:hAnsi="Calibri" w:cs="Calibri"/>
          <w:bCs/>
          <w:sz w:val="22"/>
          <w:szCs w:val="22"/>
          <w:lang w:val="en-IE" w:eastAsia="en-US"/>
        </w:rPr>
        <w:t>rose</w:t>
      </w:r>
      <w:r w:rsidR="00F01738" w:rsidRPr="003F062E">
        <w:rPr>
          <w:rFonts w:ascii="Calibri" w:eastAsia="Times New Roman" w:hAnsi="Calibri" w:cs="Calibri"/>
          <w:bCs/>
          <w:sz w:val="22"/>
          <w:szCs w:val="22"/>
          <w:lang w:val="en-IE" w:eastAsia="en-US"/>
        </w:rPr>
        <w:t xml:space="preserve"> </w:t>
      </w:r>
      <w:r w:rsidR="00CE503F">
        <w:rPr>
          <w:rFonts w:ascii="Calibri" w:eastAsia="Times New Roman" w:hAnsi="Calibri" w:cs="Calibri"/>
          <w:bCs/>
          <w:sz w:val="22"/>
          <w:szCs w:val="22"/>
          <w:lang w:val="en-IE" w:eastAsia="en-US"/>
        </w:rPr>
        <w:t>3</w:t>
      </w:r>
      <w:r w:rsidR="00F01738" w:rsidRPr="003F062E">
        <w:rPr>
          <w:rFonts w:ascii="Calibri" w:eastAsia="Times New Roman" w:hAnsi="Calibri" w:cs="Calibri"/>
          <w:bCs/>
          <w:sz w:val="22"/>
          <w:szCs w:val="22"/>
          <w:lang w:val="en-IE" w:eastAsia="en-US"/>
        </w:rPr>
        <w:t>%</w:t>
      </w:r>
      <w:r w:rsidR="00A60E50">
        <w:rPr>
          <w:rFonts w:ascii="Calibri" w:eastAsia="Times New Roman" w:hAnsi="Calibri" w:cs="Calibri"/>
          <w:bCs/>
          <w:sz w:val="22"/>
          <w:szCs w:val="22"/>
          <w:lang w:val="en-IE" w:eastAsia="en-US"/>
        </w:rPr>
        <w:t>.</w:t>
      </w:r>
    </w:p>
    <w:p w14:paraId="6EDFA0A4" w14:textId="5395EEB5" w:rsidR="00511FA6" w:rsidRPr="007804E1" w:rsidRDefault="00511FA6" w:rsidP="00511FA6">
      <w:pPr>
        <w:spacing w:after="0" w:line="240" w:lineRule="auto"/>
        <w:ind w:right="283"/>
        <w:contextualSpacing/>
        <w:jc w:val="both"/>
        <w:rPr>
          <w:rFonts w:ascii="Calibri" w:eastAsia="Times New Roman" w:hAnsi="Calibri" w:cs="Calibri"/>
          <w:sz w:val="22"/>
          <w:szCs w:val="22"/>
          <w:highlight w:val="yellow"/>
          <w:lang w:val="en-IE" w:eastAsia="en-US"/>
        </w:rPr>
      </w:pPr>
    </w:p>
    <w:p w14:paraId="1422A9AB" w14:textId="77777777" w:rsidR="00511FA6" w:rsidRPr="007804E1" w:rsidRDefault="00511FA6" w:rsidP="00511FA6">
      <w:pPr>
        <w:spacing w:after="0" w:line="240" w:lineRule="auto"/>
        <w:ind w:right="283"/>
        <w:contextualSpacing/>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Total revenue:</w:t>
      </w:r>
    </w:p>
    <w:p w14:paraId="10D3C2CA" w14:textId="5F4953B1" w:rsidR="00511FA6" w:rsidRPr="00640D42" w:rsidRDefault="00511FA6" w:rsidP="00511FA6">
      <w:pPr>
        <w:spacing w:after="0" w:line="240" w:lineRule="auto"/>
        <w:ind w:right="283"/>
        <w:contextualSpacing/>
        <w:jc w:val="both"/>
        <w:rPr>
          <w:rFonts w:ascii="Calibri" w:eastAsia="Times New Roman" w:hAnsi="Calibri" w:cs="Calibri"/>
          <w:b/>
          <w:sz w:val="22"/>
          <w:szCs w:val="22"/>
          <w:lang w:val="en-IE" w:eastAsia="en-US"/>
        </w:rPr>
      </w:pPr>
      <w:r w:rsidRPr="00640D42">
        <w:rPr>
          <w:rFonts w:ascii="Calibri" w:eastAsia="Times New Roman" w:hAnsi="Calibri" w:cs="Calibri"/>
          <w:sz w:val="22"/>
          <w:szCs w:val="22"/>
          <w:lang w:val="en-IE" w:eastAsia="en-US"/>
        </w:rPr>
        <w:t xml:space="preserve">As a result of the above, total revenue rose </w:t>
      </w:r>
      <w:r w:rsidR="00244471" w:rsidRPr="00640D42">
        <w:rPr>
          <w:rFonts w:ascii="Calibri" w:eastAsia="Times New Roman" w:hAnsi="Calibri" w:cs="Calibri"/>
          <w:b/>
          <w:sz w:val="22"/>
          <w:szCs w:val="22"/>
          <w:lang w:val="en-IE" w:eastAsia="en-US"/>
        </w:rPr>
        <w:t>8</w:t>
      </w:r>
      <w:r w:rsidRPr="00640D42">
        <w:rPr>
          <w:rFonts w:ascii="Calibri" w:eastAsia="Times New Roman" w:hAnsi="Calibri" w:cs="Calibri"/>
          <w:b/>
          <w:sz w:val="22"/>
          <w:szCs w:val="22"/>
          <w:lang w:val="en-IE" w:eastAsia="en-US"/>
        </w:rPr>
        <w:t>% to €</w:t>
      </w:r>
      <w:r w:rsidR="00640D42" w:rsidRPr="00640D42">
        <w:rPr>
          <w:rFonts w:ascii="Calibri" w:eastAsia="Times New Roman" w:hAnsi="Calibri" w:cs="Calibri"/>
          <w:b/>
          <w:sz w:val="22"/>
          <w:szCs w:val="22"/>
          <w:lang w:val="en-IE" w:eastAsia="en-US"/>
        </w:rPr>
        <w:t>5</w:t>
      </w:r>
      <w:r w:rsidRPr="00640D42">
        <w:rPr>
          <w:rFonts w:ascii="Calibri" w:eastAsia="Times New Roman" w:hAnsi="Calibri" w:cs="Calibri"/>
          <w:b/>
          <w:sz w:val="22"/>
          <w:szCs w:val="22"/>
          <w:lang w:val="en-IE" w:eastAsia="en-US"/>
        </w:rPr>
        <w:t>.4</w:t>
      </w:r>
      <w:r w:rsidR="00640D42" w:rsidRPr="00640D42">
        <w:rPr>
          <w:rFonts w:ascii="Calibri" w:eastAsia="Times New Roman" w:hAnsi="Calibri" w:cs="Calibri"/>
          <w:b/>
          <w:sz w:val="22"/>
          <w:szCs w:val="22"/>
          <w:lang w:val="en-IE" w:eastAsia="en-US"/>
        </w:rPr>
        <w:t>8</w:t>
      </w:r>
      <w:r w:rsidRPr="00640D42">
        <w:rPr>
          <w:rFonts w:ascii="Calibri" w:eastAsia="Times New Roman" w:hAnsi="Calibri" w:cs="Calibri"/>
          <w:b/>
          <w:sz w:val="22"/>
          <w:szCs w:val="22"/>
          <w:lang w:val="en-IE" w:eastAsia="en-US"/>
        </w:rPr>
        <w:t>BN.</w:t>
      </w:r>
    </w:p>
    <w:p w14:paraId="26E485AB" w14:textId="77777777" w:rsidR="00511FA6" w:rsidRPr="007804E1" w:rsidRDefault="00511FA6" w:rsidP="00511FA6">
      <w:pPr>
        <w:spacing w:after="0" w:line="240" w:lineRule="auto"/>
        <w:ind w:right="283"/>
        <w:contextualSpacing/>
        <w:jc w:val="both"/>
        <w:rPr>
          <w:rFonts w:ascii="Calibri" w:eastAsia="Times New Roman" w:hAnsi="Calibri" w:cs="Calibri"/>
          <w:b/>
          <w:sz w:val="22"/>
          <w:szCs w:val="22"/>
          <w:highlight w:val="yellow"/>
          <w:lang w:val="en-IE" w:eastAsia="en-US"/>
        </w:rPr>
      </w:pPr>
    </w:p>
    <w:p w14:paraId="27E8B322"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Operating Expenses:</w:t>
      </w:r>
    </w:p>
    <w:p w14:paraId="252CFA2B" w14:textId="77777777" w:rsidR="00511FA6" w:rsidRPr="007804E1" w:rsidRDefault="00511FA6" w:rsidP="00511FA6">
      <w:pPr>
        <w:spacing w:after="0" w:line="240" w:lineRule="auto"/>
        <w:ind w:right="283"/>
        <w:jc w:val="both"/>
        <w:rPr>
          <w:rFonts w:ascii="Calibri" w:eastAsia="Times New Roman" w:hAnsi="Calibri" w:cs="Calibri"/>
          <w:b/>
          <w:sz w:val="22"/>
          <w:szCs w:val="22"/>
          <w:highlight w:val="yellow"/>
          <w:lang w:val="en-IE" w:eastAsia="en-US"/>
        </w:rPr>
      </w:pPr>
    </w:p>
    <w:p w14:paraId="4985FCCB"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Fuel and oil:</w:t>
      </w:r>
    </w:p>
    <w:p w14:paraId="343FC1ED" w14:textId="28485559" w:rsidR="00511FA6" w:rsidRPr="00FB6FDB" w:rsidRDefault="00511FA6" w:rsidP="00511FA6">
      <w:pPr>
        <w:spacing w:after="0" w:line="240" w:lineRule="auto"/>
        <w:ind w:right="283"/>
        <w:jc w:val="both"/>
        <w:rPr>
          <w:rFonts w:ascii="Calibri" w:eastAsia="Times New Roman" w:hAnsi="Calibri" w:cs="Calibri"/>
          <w:sz w:val="22"/>
          <w:szCs w:val="22"/>
          <w:lang w:val="en-IE" w:eastAsia="en-US"/>
        </w:rPr>
      </w:pPr>
      <w:r w:rsidRPr="00FB6FDB">
        <w:rPr>
          <w:rFonts w:ascii="Calibri" w:eastAsia="Times New Roman" w:hAnsi="Calibri" w:cs="Calibri"/>
          <w:sz w:val="22"/>
          <w:szCs w:val="22"/>
          <w:lang w:val="en-IE" w:eastAsia="en-US"/>
        </w:rPr>
        <w:t xml:space="preserve">Fuel and oil increased </w:t>
      </w:r>
      <w:r w:rsidRPr="00FB6FDB">
        <w:rPr>
          <w:rFonts w:ascii="Calibri" w:eastAsia="Times New Roman" w:hAnsi="Calibri" w:cs="Calibri"/>
          <w:b/>
          <w:sz w:val="22"/>
          <w:szCs w:val="22"/>
          <w:lang w:val="en-IE" w:eastAsia="en-US"/>
        </w:rPr>
        <w:t>2% to €1.</w:t>
      </w:r>
      <w:r w:rsidR="00640D42" w:rsidRPr="00FB6FDB">
        <w:rPr>
          <w:rFonts w:ascii="Calibri" w:eastAsia="Times New Roman" w:hAnsi="Calibri" w:cs="Calibri"/>
          <w:b/>
          <w:sz w:val="22"/>
          <w:szCs w:val="22"/>
          <w:lang w:val="en-IE" w:eastAsia="en-US"/>
        </w:rPr>
        <w:t>51</w:t>
      </w:r>
      <w:r w:rsidRPr="00FB6FDB">
        <w:rPr>
          <w:rFonts w:ascii="Calibri" w:eastAsia="Times New Roman" w:hAnsi="Calibri" w:cs="Calibri"/>
          <w:b/>
          <w:sz w:val="22"/>
          <w:szCs w:val="22"/>
          <w:lang w:val="en-IE" w:eastAsia="en-US"/>
        </w:rPr>
        <w:t>BN</w:t>
      </w:r>
      <w:r w:rsidRPr="00FB6FDB">
        <w:rPr>
          <w:rFonts w:ascii="Calibri" w:eastAsia="Times New Roman" w:hAnsi="Calibri" w:cs="Calibri"/>
          <w:sz w:val="22"/>
          <w:szCs w:val="22"/>
          <w:lang w:val="en-IE" w:eastAsia="en-US"/>
        </w:rPr>
        <w:t xml:space="preserve"> as </w:t>
      </w:r>
      <w:r w:rsidR="00177C12">
        <w:rPr>
          <w:rFonts w:ascii="Calibri" w:eastAsia="Times New Roman" w:hAnsi="Calibri" w:cs="Calibri"/>
          <w:sz w:val="22"/>
          <w:szCs w:val="22"/>
          <w:lang w:val="en-IE" w:eastAsia="en-US"/>
        </w:rPr>
        <w:t>the Group’s</w:t>
      </w:r>
      <w:r w:rsidRPr="00FB6FDB">
        <w:rPr>
          <w:rFonts w:ascii="Calibri" w:eastAsia="Times New Roman" w:hAnsi="Calibri" w:cs="Calibri"/>
          <w:sz w:val="22"/>
          <w:szCs w:val="22"/>
          <w:lang w:val="en-IE" w:eastAsia="en-US"/>
        </w:rPr>
        <w:t xml:space="preserve"> jet fuel hedging and lower fuel burn (</w:t>
      </w:r>
      <w:r w:rsidR="00912562">
        <w:rPr>
          <w:rFonts w:ascii="Calibri" w:eastAsia="Times New Roman" w:hAnsi="Calibri" w:cs="Calibri"/>
          <w:sz w:val="22"/>
          <w:szCs w:val="22"/>
          <w:lang w:val="en-IE" w:eastAsia="en-US"/>
        </w:rPr>
        <w:t xml:space="preserve">more </w:t>
      </w:r>
      <w:r w:rsidRPr="00FB6FDB">
        <w:rPr>
          <w:rFonts w:ascii="Calibri" w:eastAsia="Times New Roman" w:hAnsi="Calibri" w:cs="Calibri"/>
          <w:sz w:val="22"/>
          <w:szCs w:val="22"/>
          <w:lang w:val="en-IE" w:eastAsia="en-US"/>
        </w:rPr>
        <w:t xml:space="preserve">B737-8200 “Gamechanger” aircraft and retrofit scimitar winglets on our B737-800NG fleet) helped offset </w:t>
      </w:r>
      <w:r w:rsidR="00804676">
        <w:rPr>
          <w:rFonts w:ascii="Calibri" w:eastAsia="Times New Roman" w:hAnsi="Calibri" w:cs="Calibri"/>
          <w:sz w:val="22"/>
          <w:szCs w:val="22"/>
          <w:lang w:val="en-IE" w:eastAsia="en-US"/>
        </w:rPr>
        <w:t xml:space="preserve">a 3% increase in flight hours and </w:t>
      </w:r>
      <w:r w:rsidRPr="00FB6FDB">
        <w:rPr>
          <w:rFonts w:ascii="Calibri" w:eastAsia="Times New Roman" w:hAnsi="Calibri" w:cs="Calibri"/>
          <w:sz w:val="22"/>
          <w:szCs w:val="22"/>
          <w:lang w:val="en-IE" w:eastAsia="en-US"/>
        </w:rPr>
        <w:t>higher environmental costs (ETS allowance unwind and SAF blend mandates from Jan. 2025)</w:t>
      </w:r>
      <w:r w:rsidR="00476AF9">
        <w:rPr>
          <w:rFonts w:ascii="Calibri" w:eastAsia="Times New Roman" w:hAnsi="Calibri" w:cs="Calibri"/>
          <w:sz w:val="22"/>
          <w:szCs w:val="22"/>
          <w:lang w:val="en-IE" w:eastAsia="en-US"/>
        </w:rPr>
        <w:t>.</w:t>
      </w:r>
    </w:p>
    <w:p w14:paraId="0CFF7432" w14:textId="77777777" w:rsidR="00511FA6" w:rsidRPr="007804E1" w:rsidRDefault="00511FA6" w:rsidP="00511FA6">
      <w:pPr>
        <w:spacing w:after="0" w:line="240" w:lineRule="auto"/>
        <w:ind w:right="283"/>
        <w:jc w:val="both"/>
        <w:rPr>
          <w:rFonts w:ascii="Calibri" w:eastAsia="Times New Roman" w:hAnsi="Calibri" w:cs="Calibri"/>
          <w:b/>
          <w:sz w:val="22"/>
          <w:szCs w:val="22"/>
          <w:highlight w:val="yellow"/>
          <w:lang w:val="en-IE" w:eastAsia="en-US"/>
        </w:rPr>
      </w:pPr>
    </w:p>
    <w:p w14:paraId="3F196680"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Airport and handling charges:</w:t>
      </w:r>
    </w:p>
    <w:p w14:paraId="4C7E0927" w14:textId="32903F3E"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r w:rsidRPr="00640D42">
        <w:rPr>
          <w:rFonts w:ascii="Calibri" w:eastAsia="Times New Roman" w:hAnsi="Calibri" w:cs="Calibri"/>
          <w:sz w:val="22"/>
          <w:szCs w:val="22"/>
          <w:lang w:val="en-IE" w:eastAsia="en-US"/>
        </w:rPr>
        <w:t xml:space="preserve">Airport </w:t>
      </w:r>
      <w:r w:rsidRPr="00300BDC">
        <w:rPr>
          <w:rFonts w:ascii="Calibri" w:eastAsia="Times New Roman" w:hAnsi="Calibri" w:cs="Calibri"/>
          <w:sz w:val="22"/>
          <w:szCs w:val="22"/>
          <w:lang w:val="en-IE" w:eastAsia="en-US"/>
        </w:rPr>
        <w:t xml:space="preserve">and handling charges rose </w:t>
      </w:r>
      <w:r w:rsidR="00640D42" w:rsidRPr="00300BDC">
        <w:rPr>
          <w:rFonts w:ascii="Calibri" w:eastAsia="Times New Roman" w:hAnsi="Calibri" w:cs="Calibri"/>
          <w:b/>
          <w:bCs/>
          <w:sz w:val="22"/>
          <w:szCs w:val="22"/>
          <w:lang w:val="en-IE" w:eastAsia="en-US"/>
        </w:rPr>
        <w:t>3</w:t>
      </w:r>
      <w:r w:rsidRPr="00300BDC">
        <w:rPr>
          <w:rFonts w:ascii="Calibri" w:eastAsia="Times New Roman" w:hAnsi="Calibri" w:cs="Calibri"/>
          <w:b/>
          <w:bCs/>
          <w:sz w:val="22"/>
          <w:szCs w:val="22"/>
          <w:lang w:val="en-IE" w:eastAsia="en-US"/>
        </w:rPr>
        <w:t>% to €</w:t>
      </w:r>
      <w:r w:rsidR="00640D42" w:rsidRPr="00300BDC">
        <w:rPr>
          <w:rFonts w:ascii="Calibri" w:eastAsia="Times New Roman" w:hAnsi="Calibri" w:cs="Calibri"/>
          <w:b/>
          <w:bCs/>
          <w:sz w:val="22"/>
          <w:szCs w:val="22"/>
          <w:lang w:val="en-IE" w:eastAsia="en-US"/>
        </w:rPr>
        <w:t>511</w:t>
      </w:r>
      <w:r w:rsidRPr="00300BDC">
        <w:rPr>
          <w:rFonts w:ascii="Calibri" w:eastAsia="Times New Roman" w:hAnsi="Calibri" w:cs="Calibri"/>
          <w:b/>
          <w:bCs/>
          <w:sz w:val="22"/>
          <w:szCs w:val="22"/>
          <w:lang w:val="en-IE" w:eastAsia="en-US"/>
        </w:rPr>
        <w:t>M</w:t>
      </w:r>
      <w:r w:rsidRPr="00300BDC">
        <w:rPr>
          <w:rFonts w:ascii="Calibri" w:eastAsia="Times New Roman" w:hAnsi="Calibri" w:cs="Calibri"/>
          <w:sz w:val="22"/>
          <w:szCs w:val="22"/>
          <w:lang w:val="en-IE" w:eastAsia="en-US"/>
        </w:rPr>
        <w:t>, due to</w:t>
      </w:r>
      <w:r w:rsidR="00B71D5B">
        <w:rPr>
          <w:rFonts w:ascii="Calibri" w:eastAsia="Times New Roman" w:hAnsi="Calibri" w:cs="Calibri"/>
          <w:sz w:val="22"/>
          <w:szCs w:val="22"/>
          <w:lang w:val="en-IE" w:eastAsia="en-US"/>
        </w:rPr>
        <w:t xml:space="preserve"> </w:t>
      </w:r>
      <w:r w:rsidR="005D77DC" w:rsidRPr="00300BDC">
        <w:rPr>
          <w:rFonts w:ascii="Calibri" w:eastAsia="Times New Roman" w:hAnsi="Calibri" w:cs="Calibri"/>
          <w:sz w:val="22"/>
          <w:szCs w:val="22"/>
          <w:lang w:val="en-IE" w:eastAsia="en-US"/>
        </w:rPr>
        <w:t>2</w:t>
      </w:r>
      <w:r w:rsidRPr="00300BDC">
        <w:rPr>
          <w:rFonts w:ascii="Calibri" w:eastAsia="Times New Roman" w:hAnsi="Calibri" w:cs="Calibri"/>
          <w:sz w:val="22"/>
          <w:szCs w:val="22"/>
          <w:lang w:val="en-IE" w:eastAsia="en-US"/>
        </w:rPr>
        <w:t>% traffic growth, ground ATC rate hikes and higher handling labour costs.</w:t>
      </w:r>
    </w:p>
    <w:p w14:paraId="1A31F00B" w14:textId="77777777" w:rsidR="00511FA6" w:rsidRPr="007804E1" w:rsidRDefault="00511FA6" w:rsidP="00511FA6">
      <w:pPr>
        <w:spacing w:after="0" w:line="240" w:lineRule="auto"/>
        <w:ind w:right="283"/>
        <w:jc w:val="both"/>
        <w:rPr>
          <w:rFonts w:ascii="Calibri" w:eastAsia="Times New Roman" w:hAnsi="Calibri" w:cs="Calibri"/>
          <w:b/>
          <w:sz w:val="22"/>
          <w:szCs w:val="22"/>
          <w:highlight w:val="yellow"/>
          <w:lang w:val="en-IE" w:eastAsia="en-US"/>
        </w:rPr>
      </w:pPr>
    </w:p>
    <w:p w14:paraId="08D2856E"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Staff costs:</w:t>
      </w:r>
    </w:p>
    <w:p w14:paraId="0F557F9E" w14:textId="64E98E57"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r w:rsidRPr="00DA4BD6">
        <w:rPr>
          <w:rFonts w:ascii="Calibri" w:eastAsia="Times New Roman" w:hAnsi="Calibri" w:cs="Calibri"/>
          <w:sz w:val="22"/>
          <w:szCs w:val="22"/>
          <w:lang w:val="en-IE" w:eastAsia="en-US"/>
        </w:rPr>
        <w:t>Staff costs increased</w:t>
      </w:r>
      <w:r w:rsidRPr="00DA4BD6">
        <w:rPr>
          <w:rFonts w:ascii="Calibri" w:eastAsia="Times New Roman" w:hAnsi="Calibri" w:cs="Calibri"/>
          <w:b/>
          <w:bCs/>
          <w:sz w:val="22"/>
          <w:szCs w:val="22"/>
          <w:lang w:val="en-IE" w:eastAsia="en-US"/>
        </w:rPr>
        <w:t xml:space="preserve"> 3% to €46</w:t>
      </w:r>
      <w:r w:rsidR="00DA4BD6" w:rsidRPr="00DA4BD6">
        <w:rPr>
          <w:rFonts w:ascii="Calibri" w:eastAsia="Times New Roman" w:hAnsi="Calibri" w:cs="Calibri"/>
          <w:b/>
          <w:bCs/>
          <w:sz w:val="22"/>
          <w:szCs w:val="22"/>
          <w:lang w:val="en-IE" w:eastAsia="en-US"/>
        </w:rPr>
        <w:t>4</w:t>
      </w:r>
      <w:r w:rsidRPr="00DA4BD6">
        <w:rPr>
          <w:rFonts w:ascii="Calibri" w:eastAsia="Times New Roman" w:hAnsi="Calibri" w:cs="Calibri"/>
          <w:b/>
          <w:bCs/>
          <w:sz w:val="22"/>
          <w:szCs w:val="22"/>
          <w:lang w:val="en-IE" w:eastAsia="en-US"/>
        </w:rPr>
        <w:t>M</w:t>
      </w:r>
      <w:r w:rsidRPr="00844D49">
        <w:rPr>
          <w:rFonts w:ascii="Calibri" w:eastAsia="Times New Roman" w:hAnsi="Calibri" w:cs="Calibri"/>
          <w:sz w:val="22"/>
          <w:szCs w:val="22"/>
          <w:lang w:val="en-IE" w:eastAsia="en-US"/>
        </w:rPr>
        <w:t>,</w:t>
      </w:r>
      <w:r w:rsidRPr="00DA4BD6">
        <w:rPr>
          <w:rFonts w:ascii="Calibri" w:eastAsia="Times New Roman" w:hAnsi="Calibri" w:cs="Calibri"/>
          <w:sz w:val="22"/>
          <w:szCs w:val="22"/>
          <w:lang w:val="en-IE" w:eastAsia="en-US"/>
        </w:rPr>
        <w:t xml:space="preserve"> </w:t>
      </w:r>
      <w:r w:rsidRPr="0087007C">
        <w:rPr>
          <w:rFonts w:ascii="Calibri" w:eastAsia="Times New Roman" w:hAnsi="Calibri" w:cs="Calibri"/>
          <w:sz w:val="22"/>
          <w:szCs w:val="22"/>
          <w:lang w:val="en-IE" w:eastAsia="en-US"/>
        </w:rPr>
        <w:t xml:space="preserve">as </w:t>
      </w:r>
      <w:r w:rsidR="0087007C" w:rsidRPr="0087007C">
        <w:rPr>
          <w:rFonts w:ascii="Calibri" w:eastAsia="Times New Roman" w:hAnsi="Calibri" w:cs="Calibri"/>
          <w:sz w:val="22"/>
          <w:szCs w:val="22"/>
          <w:lang w:val="en-IE" w:eastAsia="en-US"/>
        </w:rPr>
        <w:t>2</w:t>
      </w:r>
      <w:r w:rsidRPr="0087007C">
        <w:rPr>
          <w:rFonts w:ascii="Calibri" w:eastAsia="Times New Roman" w:hAnsi="Calibri" w:cs="Calibri"/>
          <w:sz w:val="22"/>
          <w:szCs w:val="22"/>
          <w:lang w:val="en-IE" w:eastAsia="en-US"/>
        </w:rPr>
        <w:t xml:space="preserve">% </w:t>
      </w:r>
      <w:r w:rsidR="00964657">
        <w:rPr>
          <w:rFonts w:ascii="Calibri" w:eastAsia="Times New Roman" w:hAnsi="Calibri" w:cs="Calibri"/>
          <w:sz w:val="22"/>
          <w:szCs w:val="22"/>
          <w:lang w:val="en-IE" w:eastAsia="en-US"/>
        </w:rPr>
        <w:t>higher</w:t>
      </w:r>
      <w:r w:rsidRPr="0087007C">
        <w:rPr>
          <w:rFonts w:ascii="Calibri" w:eastAsia="Times New Roman" w:hAnsi="Calibri" w:cs="Calibri"/>
          <w:sz w:val="22"/>
          <w:szCs w:val="22"/>
          <w:lang w:val="en-IE" w:eastAsia="en-US"/>
        </w:rPr>
        <w:t xml:space="preserve"> sectors and agreed pay increases (under CLAs) were somewhat offset by 2</w:t>
      </w:r>
      <w:r w:rsidR="0087007C" w:rsidRPr="0087007C">
        <w:rPr>
          <w:rFonts w:ascii="Calibri" w:eastAsia="Times New Roman" w:hAnsi="Calibri" w:cs="Calibri"/>
          <w:sz w:val="22"/>
          <w:szCs w:val="22"/>
          <w:lang w:val="en-IE" w:eastAsia="en-US"/>
        </w:rPr>
        <w:t>9</w:t>
      </w:r>
      <w:r w:rsidRPr="0087007C">
        <w:rPr>
          <w:rFonts w:ascii="Calibri" w:eastAsia="Times New Roman" w:hAnsi="Calibri" w:cs="Calibri"/>
          <w:sz w:val="22"/>
          <w:szCs w:val="22"/>
          <w:lang w:val="en-IE" w:eastAsia="en-US"/>
        </w:rPr>
        <w:t xml:space="preserve"> additional </w:t>
      </w:r>
      <w:r w:rsidR="00B16D48" w:rsidRPr="00FB6FDB">
        <w:rPr>
          <w:rFonts w:ascii="Calibri" w:eastAsia="Times New Roman" w:hAnsi="Calibri" w:cs="Calibri"/>
          <w:sz w:val="22"/>
          <w:szCs w:val="22"/>
          <w:lang w:val="en-IE" w:eastAsia="en-US"/>
        </w:rPr>
        <w:t>B737-8200</w:t>
      </w:r>
      <w:r w:rsidRPr="0087007C">
        <w:rPr>
          <w:rFonts w:ascii="Calibri" w:eastAsia="Times New Roman" w:hAnsi="Calibri" w:cs="Calibri"/>
          <w:sz w:val="22"/>
          <w:szCs w:val="22"/>
          <w:lang w:val="en-IE" w:eastAsia="en-US"/>
        </w:rPr>
        <w:t xml:space="preserve"> </w:t>
      </w:r>
      <w:r w:rsidR="00992661">
        <w:rPr>
          <w:rFonts w:ascii="Calibri" w:eastAsia="Times New Roman" w:hAnsi="Calibri" w:cs="Calibri"/>
          <w:sz w:val="22"/>
          <w:szCs w:val="22"/>
          <w:lang w:val="en-IE" w:eastAsia="en-US"/>
        </w:rPr>
        <w:t>“G</w:t>
      </w:r>
      <w:r w:rsidRPr="0087007C">
        <w:rPr>
          <w:rFonts w:ascii="Calibri" w:eastAsia="Times New Roman" w:hAnsi="Calibri" w:cs="Calibri"/>
          <w:sz w:val="22"/>
          <w:szCs w:val="22"/>
          <w:lang w:val="en-IE" w:eastAsia="en-US"/>
        </w:rPr>
        <w:t>amechanger</w:t>
      </w:r>
      <w:r w:rsidR="00992661">
        <w:rPr>
          <w:rFonts w:ascii="Calibri" w:eastAsia="Times New Roman" w:hAnsi="Calibri" w:cs="Calibri"/>
          <w:sz w:val="22"/>
          <w:szCs w:val="22"/>
          <w:lang w:val="en-IE" w:eastAsia="en-US"/>
        </w:rPr>
        <w:t>”</w:t>
      </w:r>
      <w:r w:rsidRPr="0087007C">
        <w:rPr>
          <w:rFonts w:ascii="Calibri" w:eastAsia="Times New Roman" w:hAnsi="Calibri" w:cs="Calibri"/>
          <w:sz w:val="22"/>
          <w:szCs w:val="22"/>
          <w:lang w:val="en-IE" w:eastAsia="en-US"/>
        </w:rPr>
        <w:t xml:space="preserve"> aircraft in the fleet (driving </w:t>
      </w:r>
      <w:r w:rsidR="00242226">
        <w:rPr>
          <w:rFonts w:ascii="Calibri" w:eastAsia="Times New Roman" w:hAnsi="Calibri" w:cs="Calibri"/>
          <w:sz w:val="22"/>
          <w:szCs w:val="22"/>
          <w:lang w:val="en-IE" w:eastAsia="en-US"/>
        </w:rPr>
        <w:t>better efficiency</w:t>
      </w:r>
      <w:r w:rsidR="0087007C" w:rsidRPr="0087007C">
        <w:rPr>
          <w:rFonts w:ascii="Calibri" w:eastAsia="Times New Roman" w:hAnsi="Calibri" w:cs="Calibri"/>
          <w:sz w:val="22"/>
          <w:szCs w:val="22"/>
          <w:lang w:val="en-IE" w:eastAsia="en-US"/>
        </w:rPr>
        <w:t>).</w:t>
      </w:r>
    </w:p>
    <w:p w14:paraId="5E0D7BC8" w14:textId="77777777"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p>
    <w:p w14:paraId="46528804"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 xml:space="preserve">Route charges: </w:t>
      </w:r>
    </w:p>
    <w:p w14:paraId="6738CB8E" w14:textId="42CCB4DD" w:rsidR="00511FA6" w:rsidRPr="00BA05C2" w:rsidRDefault="00511FA6" w:rsidP="00511FA6">
      <w:pPr>
        <w:spacing w:after="0" w:line="240" w:lineRule="auto"/>
        <w:ind w:right="283"/>
        <w:jc w:val="both"/>
        <w:rPr>
          <w:rFonts w:ascii="Calibri" w:eastAsia="Times New Roman" w:hAnsi="Calibri" w:cs="Calibri"/>
          <w:sz w:val="22"/>
          <w:szCs w:val="22"/>
          <w:lang w:val="en-IE" w:eastAsia="en-US"/>
        </w:rPr>
      </w:pPr>
      <w:r w:rsidRPr="00BA05C2">
        <w:rPr>
          <w:rFonts w:ascii="Calibri" w:eastAsia="Times New Roman" w:hAnsi="Calibri" w:cs="Calibri"/>
          <w:sz w:val="22"/>
          <w:szCs w:val="22"/>
          <w:lang w:val="en-IE" w:eastAsia="en-US"/>
        </w:rPr>
        <w:t xml:space="preserve">Route charges rose </w:t>
      </w:r>
      <w:r w:rsidRPr="00BA05C2">
        <w:rPr>
          <w:rFonts w:ascii="Calibri" w:eastAsia="Times New Roman" w:hAnsi="Calibri" w:cs="Calibri"/>
          <w:b/>
          <w:bCs/>
          <w:sz w:val="22"/>
          <w:szCs w:val="22"/>
          <w:lang w:val="en-IE" w:eastAsia="en-US"/>
        </w:rPr>
        <w:t>1</w:t>
      </w:r>
      <w:r w:rsidR="00DA4BD6" w:rsidRPr="00BA05C2">
        <w:rPr>
          <w:rFonts w:ascii="Calibri" w:eastAsia="Times New Roman" w:hAnsi="Calibri" w:cs="Calibri"/>
          <w:b/>
          <w:bCs/>
          <w:sz w:val="22"/>
          <w:szCs w:val="22"/>
          <w:lang w:val="en-IE" w:eastAsia="en-US"/>
        </w:rPr>
        <w:t>3</w:t>
      </w:r>
      <w:r w:rsidRPr="00BA05C2">
        <w:rPr>
          <w:rFonts w:ascii="Calibri" w:eastAsia="Times New Roman" w:hAnsi="Calibri" w:cs="Calibri"/>
          <w:b/>
          <w:bCs/>
          <w:sz w:val="22"/>
          <w:szCs w:val="22"/>
          <w:lang w:val="en-IE" w:eastAsia="en-US"/>
        </w:rPr>
        <w:t>% to €3</w:t>
      </w:r>
      <w:r w:rsidR="00DA4BD6" w:rsidRPr="00BA05C2">
        <w:rPr>
          <w:rFonts w:ascii="Calibri" w:eastAsia="Times New Roman" w:hAnsi="Calibri" w:cs="Calibri"/>
          <w:b/>
          <w:bCs/>
          <w:sz w:val="22"/>
          <w:szCs w:val="22"/>
          <w:lang w:val="en-IE" w:eastAsia="en-US"/>
        </w:rPr>
        <w:t>68</w:t>
      </w:r>
      <w:r w:rsidRPr="00BA05C2">
        <w:rPr>
          <w:rFonts w:ascii="Calibri" w:eastAsia="Times New Roman" w:hAnsi="Calibri" w:cs="Calibri"/>
          <w:b/>
          <w:bCs/>
          <w:sz w:val="22"/>
          <w:szCs w:val="22"/>
          <w:lang w:val="en-IE" w:eastAsia="en-US"/>
        </w:rPr>
        <w:t>M</w:t>
      </w:r>
      <w:r w:rsidRPr="00BA05C2">
        <w:rPr>
          <w:rFonts w:ascii="Calibri" w:eastAsia="Times New Roman" w:hAnsi="Calibri" w:cs="Calibri"/>
          <w:sz w:val="22"/>
          <w:szCs w:val="22"/>
          <w:lang w:val="en-IE" w:eastAsia="en-US"/>
        </w:rPr>
        <w:t xml:space="preserve">, primarily due to significantly higher Eurocontrol/ATC rates and a </w:t>
      </w:r>
      <w:r w:rsidR="0099052C" w:rsidRPr="00BA05C2">
        <w:rPr>
          <w:rFonts w:ascii="Calibri" w:eastAsia="Times New Roman" w:hAnsi="Calibri" w:cs="Calibri"/>
          <w:sz w:val="22"/>
          <w:szCs w:val="22"/>
          <w:lang w:val="en-IE" w:eastAsia="en-US"/>
        </w:rPr>
        <w:t>3</w:t>
      </w:r>
      <w:r w:rsidRPr="00BA05C2">
        <w:rPr>
          <w:rFonts w:ascii="Calibri" w:eastAsia="Times New Roman" w:hAnsi="Calibri" w:cs="Calibri"/>
          <w:sz w:val="22"/>
          <w:szCs w:val="22"/>
          <w:lang w:val="en-IE" w:eastAsia="en-US"/>
        </w:rPr>
        <w:t>% increase in flight hours.</w:t>
      </w:r>
    </w:p>
    <w:p w14:paraId="08E5F914" w14:textId="77777777"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p>
    <w:p w14:paraId="79913CB8"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Depreciation:</w:t>
      </w:r>
    </w:p>
    <w:p w14:paraId="53D3517C" w14:textId="50A9E5A4"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r w:rsidRPr="005071D8">
        <w:rPr>
          <w:rFonts w:ascii="Calibri" w:eastAsia="Times New Roman" w:hAnsi="Calibri" w:cs="Calibri"/>
          <w:sz w:val="22"/>
          <w:szCs w:val="22"/>
          <w:lang w:val="en-IE" w:eastAsia="en-US"/>
        </w:rPr>
        <w:t xml:space="preserve">Depreciation increased </w:t>
      </w:r>
      <w:r w:rsidRPr="005071D8">
        <w:rPr>
          <w:rFonts w:ascii="Calibri" w:eastAsia="Times New Roman" w:hAnsi="Calibri" w:cs="Calibri"/>
          <w:b/>
          <w:bCs/>
          <w:sz w:val="22"/>
          <w:szCs w:val="22"/>
          <w:lang w:val="en-IE" w:eastAsia="en-US"/>
        </w:rPr>
        <w:t>10% to €34</w:t>
      </w:r>
      <w:r w:rsidR="005071D8" w:rsidRPr="005071D8">
        <w:rPr>
          <w:rFonts w:ascii="Calibri" w:eastAsia="Times New Roman" w:hAnsi="Calibri" w:cs="Calibri"/>
          <w:b/>
          <w:bCs/>
          <w:sz w:val="22"/>
          <w:szCs w:val="22"/>
          <w:lang w:val="en-IE" w:eastAsia="en-US"/>
        </w:rPr>
        <w:t>4</w:t>
      </w:r>
      <w:r w:rsidRPr="005071D8">
        <w:rPr>
          <w:rFonts w:ascii="Calibri" w:eastAsia="Times New Roman" w:hAnsi="Calibri" w:cs="Calibri"/>
          <w:b/>
          <w:bCs/>
          <w:sz w:val="22"/>
          <w:szCs w:val="22"/>
          <w:lang w:val="en-IE" w:eastAsia="en-US"/>
        </w:rPr>
        <w:t>M</w:t>
      </w:r>
      <w:r w:rsidRPr="005071D8">
        <w:rPr>
          <w:rFonts w:ascii="Calibri" w:eastAsia="Times New Roman" w:hAnsi="Calibri" w:cs="Calibri"/>
          <w:sz w:val="22"/>
          <w:szCs w:val="22"/>
          <w:lang w:val="en-IE" w:eastAsia="en-US"/>
        </w:rPr>
        <w:t xml:space="preserve">, </w:t>
      </w:r>
      <w:r w:rsidRPr="004A2D94">
        <w:rPr>
          <w:rFonts w:ascii="Calibri" w:eastAsia="Times New Roman" w:hAnsi="Calibri" w:cs="Calibri"/>
          <w:sz w:val="22"/>
          <w:szCs w:val="22"/>
          <w:lang w:val="en-IE" w:eastAsia="en-US"/>
        </w:rPr>
        <w:t xml:space="preserve">primarily due to </w:t>
      </w:r>
      <w:r w:rsidRPr="00AE538E">
        <w:rPr>
          <w:rFonts w:ascii="Calibri" w:eastAsia="Times New Roman" w:hAnsi="Calibri" w:cs="Calibri"/>
          <w:sz w:val="22"/>
          <w:szCs w:val="22"/>
          <w:lang w:val="en-IE" w:eastAsia="en-US"/>
        </w:rPr>
        <w:t>2</w:t>
      </w:r>
      <w:r w:rsidR="00AE538E" w:rsidRPr="00AE538E">
        <w:rPr>
          <w:rFonts w:ascii="Calibri" w:eastAsia="Times New Roman" w:hAnsi="Calibri" w:cs="Calibri"/>
          <w:sz w:val="22"/>
          <w:szCs w:val="22"/>
          <w:lang w:val="en-IE" w:eastAsia="en-US"/>
        </w:rPr>
        <w:t>9</w:t>
      </w:r>
      <w:r w:rsidRPr="00AE538E">
        <w:rPr>
          <w:rFonts w:ascii="Calibri" w:eastAsia="Times New Roman" w:hAnsi="Calibri" w:cs="Calibri"/>
          <w:sz w:val="22"/>
          <w:szCs w:val="22"/>
          <w:lang w:val="en-IE" w:eastAsia="en-US"/>
        </w:rPr>
        <w:t xml:space="preserve"> </w:t>
      </w:r>
      <w:r w:rsidR="00B53552">
        <w:rPr>
          <w:rFonts w:ascii="Calibri" w:eastAsia="Times New Roman" w:hAnsi="Calibri" w:cs="Calibri"/>
          <w:sz w:val="22"/>
          <w:szCs w:val="22"/>
          <w:lang w:val="en-IE" w:eastAsia="en-US"/>
        </w:rPr>
        <w:t>additional</w:t>
      </w:r>
      <w:r w:rsidRPr="00AE538E">
        <w:rPr>
          <w:rFonts w:ascii="Calibri" w:eastAsia="Times New Roman" w:hAnsi="Calibri" w:cs="Calibri"/>
          <w:sz w:val="22"/>
          <w:szCs w:val="22"/>
          <w:lang w:val="en-IE" w:eastAsia="en-US"/>
        </w:rPr>
        <w:t xml:space="preserve"> </w:t>
      </w:r>
      <w:r w:rsidR="00B16D48" w:rsidRPr="00FB6FDB">
        <w:rPr>
          <w:rFonts w:ascii="Calibri" w:eastAsia="Times New Roman" w:hAnsi="Calibri" w:cs="Calibri"/>
          <w:sz w:val="22"/>
          <w:szCs w:val="22"/>
          <w:lang w:val="en-IE" w:eastAsia="en-US"/>
        </w:rPr>
        <w:t xml:space="preserve">B737-8200 </w:t>
      </w:r>
      <w:r w:rsidRPr="00AE538E">
        <w:rPr>
          <w:rFonts w:ascii="Calibri" w:eastAsia="Times New Roman" w:hAnsi="Calibri" w:cs="Calibri"/>
          <w:sz w:val="22"/>
          <w:szCs w:val="22"/>
          <w:lang w:val="en-IE" w:eastAsia="en-US"/>
        </w:rPr>
        <w:t>“Gamechanger” aircraft</w:t>
      </w:r>
      <w:r w:rsidRPr="004A2D94">
        <w:rPr>
          <w:rFonts w:ascii="Calibri" w:eastAsia="Times New Roman" w:hAnsi="Calibri" w:cs="Calibri"/>
          <w:sz w:val="22"/>
          <w:szCs w:val="22"/>
          <w:lang w:val="en-IE" w:eastAsia="en-US"/>
        </w:rPr>
        <w:t xml:space="preserve"> in the fleet, higher aircraft utilisation (sectors up </w:t>
      </w:r>
      <w:r w:rsidR="004A2D94" w:rsidRPr="004A2D94">
        <w:rPr>
          <w:rFonts w:ascii="Calibri" w:eastAsia="Times New Roman" w:hAnsi="Calibri" w:cs="Calibri"/>
          <w:sz w:val="22"/>
          <w:szCs w:val="22"/>
          <w:lang w:val="en-IE" w:eastAsia="en-US"/>
        </w:rPr>
        <w:t>2</w:t>
      </w:r>
      <w:r w:rsidRPr="004A2D94">
        <w:rPr>
          <w:rFonts w:ascii="Calibri" w:eastAsia="Times New Roman" w:hAnsi="Calibri" w:cs="Calibri"/>
          <w:sz w:val="22"/>
          <w:szCs w:val="22"/>
          <w:lang w:val="en-IE" w:eastAsia="en-US"/>
        </w:rPr>
        <w:t>%) and increased maintenance on the B737NG fleet.</w:t>
      </w:r>
    </w:p>
    <w:p w14:paraId="6CE9D896" w14:textId="77777777"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p>
    <w:p w14:paraId="6226EAD3" w14:textId="77777777" w:rsidR="00511FA6" w:rsidRPr="007804E1"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Marketing, distribution and other:</w:t>
      </w:r>
    </w:p>
    <w:p w14:paraId="0A0B9612" w14:textId="25E66C69" w:rsidR="00511FA6" w:rsidRPr="007804E1" w:rsidRDefault="00511FA6" w:rsidP="00511FA6">
      <w:pPr>
        <w:spacing w:after="0" w:line="240" w:lineRule="auto"/>
        <w:ind w:right="283"/>
        <w:jc w:val="both"/>
        <w:rPr>
          <w:rFonts w:ascii="Calibri" w:eastAsia="Times New Roman" w:hAnsi="Calibri" w:cs="Calibri"/>
          <w:sz w:val="22"/>
          <w:szCs w:val="22"/>
          <w:highlight w:val="yellow"/>
          <w:lang w:val="en-IE" w:eastAsia="en-US"/>
        </w:rPr>
      </w:pPr>
      <w:r w:rsidRPr="005071D8">
        <w:rPr>
          <w:rFonts w:ascii="Calibri" w:eastAsia="Times New Roman" w:hAnsi="Calibri" w:cs="Calibri"/>
          <w:sz w:val="22"/>
          <w:szCs w:val="22"/>
          <w:lang w:val="en-IE" w:eastAsia="en-US"/>
        </w:rPr>
        <w:t xml:space="preserve">Marketing, distribution and other </w:t>
      </w:r>
      <w:r w:rsidR="002D6030">
        <w:rPr>
          <w:rFonts w:ascii="Calibri" w:eastAsia="Times New Roman" w:hAnsi="Calibri" w:cs="Calibri"/>
          <w:sz w:val="22"/>
          <w:szCs w:val="22"/>
          <w:lang w:val="en-IE" w:eastAsia="en-US"/>
        </w:rPr>
        <w:t>decreased</w:t>
      </w:r>
      <w:r w:rsidRPr="005071D8">
        <w:rPr>
          <w:rFonts w:ascii="Calibri" w:eastAsia="Times New Roman" w:hAnsi="Calibri" w:cs="Calibri"/>
          <w:sz w:val="22"/>
          <w:szCs w:val="22"/>
          <w:lang w:val="en-IE" w:eastAsia="en-US"/>
        </w:rPr>
        <w:t xml:space="preserve"> </w:t>
      </w:r>
      <w:r w:rsidRPr="005071D8">
        <w:rPr>
          <w:rFonts w:ascii="Calibri" w:eastAsia="Times New Roman" w:hAnsi="Calibri" w:cs="Calibri"/>
          <w:b/>
          <w:bCs/>
          <w:sz w:val="22"/>
          <w:szCs w:val="22"/>
          <w:lang w:val="en-IE" w:eastAsia="en-US"/>
        </w:rPr>
        <w:t>1</w:t>
      </w:r>
      <w:r w:rsidR="005071D8" w:rsidRPr="005071D8">
        <w:rPr>
          <w:rFonts w:ascii="Calibri" w:eastAsia="Times New Roman" w:hAnsi="Calibri" w:cs="Calibri"/>
          <w:b/>
          <w:bCs/>
          <w:sz w:val="22"/>
          <w:szCs w:val="22"/>
          <w:lang w:val="en-IE" w:eastAsia="en-US"/>
        </w:rPr>
        <w:t>2</w:t>
      </w:r>
      <w:r w:rsidRPr="005071D8">
        <w:rPr>
          <w:rFonts w:ascii="Calibri" w:eastAsia="Times New Roman" w:hAnsi="Calibri" w:cs="Calibri"/>
          <w:b/>
          <w:bCs/>
          <w:sz w:val="22"/>
          <w:szCs w:val="22"/>
          <w:lang w:val="en-IE" w:eastAsia="en-US"/>
        </w:rPr>
        <w:t>% to €</w:t>
      </w:r>
      <w:r w:rsidRPr="00AE6EC9">
        <w:rPr>
          <w:rFonts w:ascii="Calibri" w:eastAsia="Times New Roman" w:hAnsi="Calibri" w:cs="Calibri"/>
          <w:b/>
          <w:bCs/>
          <w:sz w:val="22"/>
          <w:szCs w:val="22"/>
          <w:lang w:val="en-IE" w:eastAsia="en-US"/>
        </w:rPr>
        <w:t>2</w:t>
      </w:r>
      <w:r w:rsidR="005071D8" w:rsidRPr="00AE6EC9">
        <w:rPr>
          <w:rFonts w:ascii="Calibri" w:eastAsia="Times New Roman" w:hAnsi="Calibri" w:cs="Calibri"/>
          <w:b/>
          <w:bCs/>
          <w:sz w:val="22"/>
          <w:szCs w:val="22"/>
          <w:lang w:val="en-IE" w:eastAsia="en-US"/>
        </w:rPr>
        <w:t>17</w:t>
      </w:r>
      <w:r w:rsidRPr="00AE6EC9">
        <w:rPr>
          <w:rFonts w:ascii="Calibri" w:eastAsia="Times New Roman" w:hAnsi="Calibri" w:cs="Calibri"/>
          <w:b/>
          <w:bCs/>
          <w:sz w:val="22"/>
          <w:szCs w:val="22"/>
          <w:lang w:val="en-IE" w:eastAsia="en-US"/>
        </w:rPr>
        <w:t xml:space="preserve">M </w:t>
      </w:r>
      <w:r w:rsidR="00AE6EC9" w:rsidRPr="00AE6EC9">
        <w:rPr>
          <w:rFonts w:ascii="Calibri" w:eastAsia="Times New Roman" w:hAnsi="Calibri" w:cs="Calibri"/>
          <w:sz w:val="22"/>
          <w:szCs w:val="22"/>
          <w:lang w:val="en-IE" w:eastAsia="en-US"/>
        </w:rPr>
        <w:t>due to lower EU261 compensation and marketing spend</w:t>
      </w:r>
      <w:r w:rsidR="00FF3591">
        <w:rPr>
          <w:rFonts w:ascii="Calibri" w:eastAsia="Times New Roman" w:hAnsi="Calibri" w:cs="Calibri"/>
          <w:sz w:val="22"/>
          <w:szCs w:val="22"/>
          <w:lang w:val="en-IE" w:eastAsia="en-US"/>
        </w:rPr>
        <w:t xml:space="preserve"> offset by other costs driven by growth</w:t>
      </w:r>
      <w:r w:rsidR="00AE6EC9" w:rsidRPr="00AE6EC9">
        <w:rPr>
          <w:rFonts w:ascii="Calibri" w:eastAsia="Times New Roman" w:hAnsi="Calibri" w:cs="Calibri"/>
          <w:sz w:val="22"/>
          <w:szCs w:val="22"/>
          <w:lang w:val="en-IE" w:eastAsia="en-US"/>
        </w:rPr>
        <w:t>.</w:t>
      </w:r>
    </w:p>
    <w:p w14:paraId="7988D5DA" w14:textId="77777777" w:rsidR="00511FA6" w:rsidRPr="007804E1" w:rsidRDefault="00511FA6" w:rsidP="00511FA6">
      <w:pPr>
        <w:spacing w:after="0" w:line="240" w:lineRule="auto"/>
        <w:ind w:right="283"/>
        <w:jc w:val="both"/>
        <w:rPr>
          <w:rFonts w:ascii="Calibri" w:eastAsia="Times New Roman" w:hAnsi="Calibri" w:cs="Calibri"/>
          <w:b/>
          <w:sz w:val="22"/>
          <w:szCs w:val="22"/>
          <w:highlight w:val="yellow"/>
          <w:lang w:val="en-IE" w:eastAsia="en-US"/>
        </w:rPr>
      </w:pPr>
    </w:p>
    <w:p w14:paraId="1180F792" w14:textId="77777777" w:rsidR="00511FA6" w:rsidRPr="004F47C4" w:rsidRDefault="00511FA6" w:rsidP="00511FA6">
      <w:pPr>
        <w:spacing w:after="0" w:line="240" w:lineRule="auto"/>
        <w:ind w:right="283"/>
        <w:jc w:val="both"/>
        <w:rPr>
          <w:rFonts w:ascii="Calibri" w:eastAsia="Times New Roman" w:hAnsi="Calibri" w:cs="Calibri"/>
          <w:b/>
          <w:sz w:val="22"/>
          <w:szCs w:val="22"/>
          <w:lang w:val="en-IE" w:eastAsia="en-US"/>
        </w:rPr>
      </w:pPr>
      <w:r w:rsidRPr="004F47C4">
        <w:rPr>
          <w:rFonts w:ascii="Calibri" w:eastAsia="Times New Roman" w:hAnsi="Calibri" w:cs="Calibri"/>
          <w:b/>
          <w:sz w:val="22"/>
          <w:szCs w:val="22"/>
          <w:lang w:val="en-IE" w:eastAsia="en-US"/>
        </w:rPr>
        <w:t>Maintenance, materials and repairs:</w:t>
      </w:r>
    </w:p>
    <w:p w14:paraId="5A60419A" w14:textId="017DFE26" w:rsidR="003404CF" w:rsidRDefault="00511FA6" w:rsidP="00511FA6">
      <w:pPr>
        <w:spacing w:after="0" w:line="240" w:lineRule="auto"/>
        <w:ind w:right="283"/>
        <w:jc w:val="both"/>
        <w:rPr>
          <w:rFonts w:ascii="Calibri" w:eastAsia="Times New Roman" w:hAnsi="Calibri" w:cs="Calibri"/>
          <w:b/>
          <w:sz w:val="22"/>
          <w:szCs w:val="22"/>
          <w:lang w:val="en-IE" w:eastAsia="en-US"/>
        </w:rPr>
      </w:pPr>
      <w:r w:rsidRPr="00440B13">
        <w:rPr>
          <w:rFonts w:ascii="Calibri" w:eastAsia="Times New Roman" w:hAnsi="Calibri" w:cs="Calibri"/>
          <w:sz w:val="22"/>
          <w:szCs w:val="22"/>
          <w:lang w:val="en-IE" w:eastAsia="en-US"/>
        </w:rPr>
        <w:t xml:space="preserve">Maintenance, materials and repairs </w:t>
      </w:r>
      <w:r w:rsidR="001D34AE">
        <w:rPr>
          <w:rFonts w:ascii="Calibri" w:eastAsia="Times New Roman" w:hAnsi="Calibri" w:cs="Calibri"/>
          <w:sz w:val="22"/>
          <w:szCs w:val="22"/>
          <w:lang w:val="en-IE" w:eastAsia="en-US"/>
        </w:rPr>
        <w:t>rose</w:t>
      </w:r>
      <w:r w:rsidRPr="00440B13">
        <w:rPr>
          <w:rFonts w:ascii="Calibri" w:eastAsia="Times New Roman" w:hAnsi="Calibri" w:cs="Calibri"/>
          <w:sz w:val="22"/>
          <w:szCs w:val="22"/>
          <w:lang w:val="en-IE" w:eastAsia="en-US"/>
        </w:rPr>
        <w:t xml:space="preserve"> </w:t>
      </w:r>
      <w:r w:rsidR="004F47C4" w:rsidRPr="00440B13">
        <w:rPr>
          <w:rFonts w:ascii="Calibri" w:eastAsia="Times New Roman" w:hAnsi="Calibri" w:cs="Calibri"/>
          <w:b/>
          <w:sz w:val="22"/>
          <w:szCs w:val="22"/>
          <w:lang w:val="en-IE" w:eastAsia="en-US"/>
        </w:rPr>
        <w:t>14</w:t>
      </w:r>
      <w:r w:rsidRPr="00440B13">
        <w:rPr>
          <w:rFonts w:ascii="Calibri" w:eastAsia="Times New Roman" w:hAnsi="Calibri" w:cs="Calibri"/>
          <w:b/>
          <w:bCs/>
          <w:sz w:val="22"/>
          <w:szCs w:val="22"/>
          <w:lang w:val="en-IE" w:eastAsia="en-US"/>
        </w:rPr>
        <w:t>%</w:t>
      </w:r>
      <w:r w:rsidRPr="00440B13">
        <w:rPr>
          <w:rFonts w:ascii="Calibri" w:eastAsia="Times New Roman" w:hAnsi="Calibri" w:cs="Calibri"/>
          <w:b/>
          <w:sz w:val="22"/>
          <w:szCs w:val="22"/>
          <w:lang w:val="en-IE" w:eastAsia="en-US"/>
        </w:rPr>
        <w:t xml:space="preserve"> to </w:t>
      </w:r>
      <w:r w:rsidRPr="00440B13">
        <w:rPr>
          <w:rFonts w:ascii="Calibri" w:eastAsia="Times New Roman" w:hAnsi="Calibri" w:cs="Calibri"/>
          <w:b/>
          <w:bCs/>
          <w:sz w:val="22"/>
          <w:szCs w:val="22"/>
          <w:lang w:val="en-IE" w:eastAsia="en-US"/>
        </w:rPr>
        <w:t>€</w:t>
      </w:r>
      <w:r w:rsidR="004F47C4" w:rsidRPr="00440B13">
        <w:rPr>
          <w:rFonts w:ascii="Calibri" w:eastAsia="Times New Roman" w:hAnsi="Calibri" w:cs="Calibri"/>
          <w:b/>
          <w:sz w:val="22"/>
          <w:szCs w:val="22"/>
          <w:lang w:val="en-IE" w:eastAsia="en-US"/>
        </w:rPr>
        <w:t>115</w:t>
      </w:r>
      <w:r w:rsidRPr="00440B13">
        <w:rPr>
          <w:rFonts w:ascii="Calibri" w:eastAsia="Times New Roman" w:hAnsi="Calibri" w:cs="Calibri"/>
          <w:b/>
          <w:sz w:val="22"/>
          <w:szCs w:val="22"/>
          <w:lang w:val="en-IE" w:eastAsia="en-US"/>
        </w:rPr>
        <w:t xml:space="preserve">M </w:t>
      </w:r>
      <w:bookmarkStart w:id="10" w:name="_Hlk210391892"/>
      <w:r w:rsidRPr="00440B13">
        <w:rPr>
          <w:rFonts w:ascii="Calibri" w:eastAsia="Times New Roman" w:hAnsi="Calibri" w:cs="Calibri"/>
          <w:bCs/>
          <w:sz w:val="22"/>
          <w:szCs w:val="22"/>
          <w:lang w:val="en-IE" w:eastAsia="en-US"/>
        </w:rPr>
        <w:t xml:space="preserve">due to </w:t>
      </w:r>
      <w:r w:rsidR="00B16D48">
        <w:rPr>
          <w:rFonts w:ascii="Calibri" w:eastAsia="Times New Roman" w:hAnsi="Calibri" w:cs="Calibri"/>
          <w:bCs/>
          <w:sz w:val="22"/>
          <w:szCs w:val="22"/>
          <w:lang w:val="en-IE" w:eastAsia="en-US"/>
        </w:rPr>
        <w:t>2% higher sectors</w:t>
      </w:r>
      <w:r w:rsidR="0038625B">
        <w:rPr>
          <w:rFonts w:ascii="Calibri" w:eastAsia="Times New Roman" w:hAnsi="Calibri" w:cs="Calibri"/>
          <w:bCs/>
          <w:sz w:val="22"/>
          <w:szCs w:val="22"/>
          <w:lang w:val="en-IE" w:eastAsia="en-US"/>
        </w:rPr>
        <w:t>, increased line maintenance as the fleet grows</w:t>
      </w:r>
      <w:bookmarkEnd w:id="10"/>
      <w:r w:rsidR="005A0304">
        <w:rPr>
          <w:rFonts w:ascii="Calibri" w:eastAsia="Times New Roman" w:hAnsi="Calibri" w:cs="Calibri"/>
          <w:bCs/>
          <w:sz w:val="22"/>
          <w:szCs w:val="22"/>
          <w:lang w:val="en-IE" w:eastAsia="en-US"/>
        </w:rPr>
        <w:t xml:space="preserve"> and</w:t>
      </w:r>
      <w:r w:rsidR="00B16D48">
        <w:rPr>
          <w:rFonts w:ascii="Calibri" w:eastAsia="Times New Roman" w:hAnsi="Calibri" w:cs="Calibri"/>
          <w:bCs/>
          <w:sz w:val="22"/>
          <w:szCs w:val="22"/>
          <w:lang w:val="en-IE" w:eastAsia="en-US"/>
        </w:rPr>
        <w:t xml:space="preserve"> </w:t>
      </w:r>
      <w:r w:rsidR="0038625B">
        <w:rPr>
          <w:rFonts w:ascii="Calibri" w:eastAsia="Times New Roman" w:hAnsi="Calibri" w:cs="Calibri"/>
          <w:bCs/>
          <w:sz w:val="22"/>
          <w:szCs w:val="22"/>
          <w:lang w:val="en-IE" w:eastAsia="en-US"/>
        </w:rPr>
        <w:t>reduc</w:t>
      </w:r>
      <w:r w:rsidR="00D847B7">
        <w:rPr>
          <w:rFonts w:ascii="Calibri" w:eastAsia="Times New Roman" w:hAnsi="Calibri" w:cs="Calibri"/>
          <w:bCs/>
          <w:sz w:val="22"/>
          <w:szCs w:val="22"/>
          <w:lang w:val="en-IE" w:eastAsia="en-US"/>
        </w:rPr>
        <w:t>ing</w:t>
      </w:r>
      <w:r w:rsidR="0038625B">
        <w:rPr>
          <w:rFonts w:ascii="Calibri" w:eastAsia="Times New Roman" w:hAnsi="Calibri" w:cs="Calibri"/>
          <w:bCs/>
          <w:sz w:val="22"/>
          <w:szCs w:val="22"/>
          <w:lang w:val="en-IE" w:eastAsia="en-US"/>
        </w:rPr>
        <w:t xml:space="preserve"> supplier </w:t>
      </w:r>
      <w:r w:rsidR="003E2907">
        <w:rPr>
          <w:rFonts w:ascii="Calibri" w:eastAsia="Times New Roman" w:hAnsi="Calibri" w:cs="Calibri"/>
          <w:bCs/>
          <w:sz w:val="22"/>
          <w:szCs w:val="22"/>
          <w:lang w:val="en-IE" w:eastAsia="en-US"/>
        </w:rPr>
        <w:t xml:space="preserve">delay </w:t>
      </w:r>
      <w:r w:rsidR="0038625B">
        <w:rPr>
          <w:rFonts w:ascii="Calibri" w:eastAsia="Times New Roman" w:hAnsi="Calibri" w:cs="Calibri"/>
          <w:bCs/>
          <w:sz w:val="22"/>
          <w:szCs w:val="22"/>
          <w:lang w:val="en-IE" w:eastAsia="en-US"/>
        </w:rPr>
        <w:t>credits</w:t>
      </w:r>
      <w:r w:rsidR="00F638A9">
        <w:rPr>
          <w:rFonts w:ascii="Calibri" w:eastAsia="Times New Roman" w:hAnsi="Calibri" w:cs="Calibri"/>
          <w:bCs/>
          <w:sz w:val="22"/>
          <w:szCs w:val="22"/>
          <w:lang w:val="en-IE" w:eastAsia="en-US"/>
        </w:rPr>
        <w:t>.</w:t>
      </w:r>
    </w:p>
    <w:p w14:paraId="5341D147" w14:textId="77777777" w:rsidR="003404CF" w:rsidRDefault="003404CF" w:rsidP="00511FA6">
      <w:pPr>
        <w:spacing w:after="0" w:line="240" w:lineRule="auto"/>
        <w:ind w:right="283"/>
        <w:jc w:val="both"/>
        <w:rPr>
          <w:rFonts w:ascii="Calibri" w:eastAsia="Times New Roman" w:hAnsi="Calibri" w:cs="Calibri"/>
          <w:b/>
          <w:sz w:val="22"/>
          <w:szCs w:val="22"/>
          <w:lang w:val="en-IE" w:eastAsia="en-US"/>
        </w:rPr>
      </w:pPr>
    </w:p>
    <w:p w14:paraId="57F4793A" w14:textId="39C19A1B" w:rsidR="00511FA6" w:rsidRPr="003404CF" w:rsidRDefault="00511FA6" w:rsidP="00511FA6">
      <w:pPr>
        <w:spacing w:after="0" w:line="240" w:lineRule="auto"/>
        <w:ind w:right="283"/>
        <w:jc w:val="both"/>
        <w:rPr>
          <w:rFonts w:ascii="Calibri" w:eastAsia="Times New Roman" w:hAnsi="Calibri" w:cs="Calibri"/>
          <w:b/>
          <w:sz w:val="22"/>
          <w:szCs w:val="22"/>
          <w:lang w:val="en-IE" w:eastAsia="en-US"/>
        </w:rPr>
      </w:pPr>
      <w:r w:rsidRPr="007804E1">
        <w:rPr>
          <w:rFonts w:ascii="Calibri" w:eastAsia="Times New Roman" w:hAnsi="Calibri" w:cs="Calibri"/>
          <w:b/>
          <w:sz w:val="22"/>
          <w:szCs w:val="22"/>
          <w:lang w:val="en-IE" w:eastAsia="en-US"/>
        </w:rPr>
        <w:t>Other income:</w:t>
      </w:r>
    </w:p>
    <w:p w14:paraId="58DB7B1D" w14:textId="7F5D24A8" w:rsidR="00511FA6" w:rsidRPr="000E5963" w:rsidRDefault="00511FA6" w:rsidP="00511FA6">
      <w:pPr>
        <w:tabs>
          <w:tab w:val="left" w:pos="7655"/>
        </w:tabs>
        <w:spacing w:after="0" w:line="240" w:lineRule="auto"/>
        <w:ind w:right="283"/>
        <w:jc w:val="both"/>
        <w:rPr>
          <w:rFonts w:ascii="Calibri" w:eastAsia="Times New Roman" w:hAnsi="Calibri" w:cs="Calibri"/>
          <w:sz w:val="22"/>
          <w:szCs w:val="22"/>
          <w:lang w:val="en-IE" w:eastAsia="en-US"/>
        </w:rPr>
      </w:pPr>
      <w:r w:rsidRPr="006B4130">
        <w:rPr>
          <w:rFonts w:ascii="Calibri" w:eastAsia="Times New Roman" w:hAnsi="Calibri" w:cs="Calibri"/>
          <w:sz w:val="22"/>
          <w:szCs w:val="22"/>
          <w:lang w:val="en-IE" w:eastAsia="en-US"/>
        </w:rPr>
        <w:t xml:space="preserve">Net finance and other income </w:t>
      </w:r>
      <w:r w:rsidR="00AE52C4">
        <w:rPr>
          <w:rFonts w:ascii="Calibri" w:eastAsia="Times New Roman" w:hAnsi="Calibri" w:cs="Calibri"/>
          <w:sz w:val="22"/>
          <w:szCs w:val="22"/>
          <w:lang w:val="en-IE" w:eastAsia="en-US"/>
        </w:rPr>
        <w:t>declined as</w:t>
      </w:r>
      <w:r w:rsidRPr="006B4130">
        <w:rPr>
          <w:rFonts w:ascii="Calibri" w:eastAsia="Times New Roman" w:hAnsi="Calibri" w:cs="Calibri"/>
          <w:sz w:val="22"/>
          <w:szCs w:val="22"/>
          <w:lang w:val="en-IE" w:eastAsia="en-US"/>
        </w:rPr>
        <w:t xml:space="preserve"> </w:t>
      </w:r>
      <w:r w:rsidR="00297092" w:rsidRPr="00F347B5">
        <w:rPr>
          <w:rFonts w:ascii="Calibri" w:eastAsia="Times New Roman" w:hAnsi="Calibri" w:cs="Calibri"/>
          <w:sz w:val="22"/>
          <w:szCs w:val="22"/>
          <w:lang w:val="en-IE" w:eastAsia="en-US"/>
        </w:rPr>
        <w:t xml:space="preserve">lower </w:t>
      </w:r>
      <w:r w:rsidR="0040039C">
        <w:rPr>
          <w:rFonts w:ascii="Calibri" w:eastAsia="Times New Roman" w:hAnsi="Calibri" w:cs="Calibri"/>
          <w:sz w:val="22"/>
          <w:szCs w:val="22"/>
          <w:lang w:val="en-IE" w:eastAsia="en-US"/>
        </w:rPr>
        <w:t>deposit</w:t>
      </w:r>
      <w:r w:rsidR="002A3AB2">
        <w:rPr>
          <w:rFonts w:ascii="Calibri" w:eastAsia="Times New Roman" w:hAnsi="Calibri" w:cs="Calibri"/>
          <w:sz w:val="22"/>
          <w:szCs w:val="22"/>
          <w:lang w:val="en-IE" w:eastAsia="en-US"/>
        </w:rPr>
        <w:t xml:space="preserve"> </w:t>
      </w:r>
      <w:r w:rsidR="00F347B5" w:rsidRPr="00F347B5">
        <w:rPr>
          <w:rFonts w:ascii="Calibri" w:eastAsia="Times New Roman" w:hAnsi="Calibri" w:cs="Calibri"/>
          <w:sz w:val="22"/>
          <w:szCs w:val="22"/>
          <w:lang w:val="en-IE" w:eastAsia="en-US"/>
        </w:rPr>
        <w:t>interest rates</w:t>
      </w:r>
      <w:r w:rsidR="00793DF8">
        <w:rPr>
          <w:rFonts w:ascii="Calibri" w:eastAsia="Times New Roman" w:hAnsi="Calibri" w:cs="Calibri"/>
          <w:sz w:val="22"/>
          <w:szCs w:val="22"/>
          <w:lang w:val="en-IE" w:eastAsia="en-US"/>
        </w:rPr>
        <w:t xml:space="preserve"> were</w:t>
      </w:r>
      <w:r w:rsidR="00C35C02">
        <w:rPr>
          <w:rFonts w:ascii="Calibri" w:eastAsia="Times New Roman" w:hAnsi="Calibri" w:cs="Calibri"/>
          <w:sz w:val="22"/>
          <w:szCs w:val="22"/>
          <w:lang w:val="en-IE" w:eastAsia="en-US"/>
        </w:rPr>
        <w:t xml:space="preserve"> partially</w:t>
      </w:r>
      <w:r w:rsidR="00E66352">
        <w:rPr>
          <w:rFonts w:ascii="Calibri" w:eastAsia="Times New Roman" w:hAnsi="Calibri" w:cs="Calibri"/>
          <w:sz w:val="22"/>
          <w:szCs w:val="22"/>
          <w:lang w:val="en-IE" w:eastAsia="en-US"/>
        </w:rPr>
        <w:t xml:space="preserve"> offset by debt repayments</w:t>
      </w:r>
      <w:r w:rsidRPr="00F347B5">
        <w:rPr>
          <w:rFonts w:ascii="Calibri" w:eastAsia="Times New Roman" w:hAnsi="Calibri" w:cs="Calibri"/>
          <w:sz w:val="22"/>
          <w:szCs w:val="22"/>
          <w:lang w:val="en-IE" w:eastAsia="en-US"/>
        </w:rPr>
        <w:t>. Foreign exchange translation reflects the impact of primarily €/US$ exchange rate movements on quarter end balance sheet revaluations</w:t>
      </w:r>
      <w:r w:rsidRPr="001454AC">
        <w:rPr>
          <w:rFonts w:ascii="Calibri" w:eastAsia="Times New Roman" w:hAnsi="Calibri" w:cs="Calibri"/>
          <w:sz w:val="22"/>
          <w:szCs w:val="22"/>
          <w:lang w:val="en-IE" w:eastAsia="en-US"/>
        </w:rPr>
        <w:t>.</w:t>
      </w:r>
    </w:p>
    <w:p w14:paraId="7B776F80" w14:textId="6E92D107" w:rsidR="00511FA6" w:rsidRPr="000E5963" w:rsidRDefault="001B1055" w:rsidP="001B1055">
      <w:pPr>
        <w:rPr>
          <w:rFonts w:ascii="Calibri" w:eastAsia="Times New Roman" w:hAnsi="Calibri" w:cs="Calibri"/>
          <w:b/>
          <w:sz w:val="22"/>
          <w:szCs w:val="22"/>
          <w:highlight w:val="yellow"/>
          <w:lang w:val="en-IE" w:eastAsia="en-US"/>
        </w:rPr>
      </w:pPr>
      <w:r>
        <w:rPr>
          <w:rFonts w:ascii="Calibri" w:eastAsia="Times New Roman" w:hAnsi="Calibri" w:cs="Calibri"/>
          <w:b/>
          <w:sz w:val="22"/>
          <w:szCs w:val="22"/>
          <w:highlight w:val="yellow"/>
          <w:lang w:val="en-IE" w:eastAsia="en-US"/>
        </w:rPr>
        <w:br w:type="page"/>
      </w:r>
    </w:p>
    <w:p w14:paraId="722A2AA7" w14:textId="24F23EE0" w:rsidR="000E5963" w:rsidRPr="003C53EF" w:rsidRDefault="000E5963" w:rsidP="003C53EF">
      <w:pPr>
        <w:spacing w:after="0" w:line="240" w:lineRule="auto"/>
        <w:ind w:right="283"/>
        <w:jc w:val="center"/>
        <w:rPr>
          <w:rFonts w:ascii="Calibri" w:eastAsia="Times New Roman" w:hAnsi="Calibri" w:cs="Calibri"/>
          <w:b/>
          <w:lang w:val="en-IE" w:eastAsia="en-US"/>
        </w:rPr>
      </w:pPr>
      <w:r w:rsidRPr="003C53EF">
        <w:rPr>
          <w:rFonts w:ascii="Calibri" w:eastAsia="Times New Roman" w:hAnsi="Calibri" w:cs="Calibri"/>
          <w:b/>
          <w:lang w:val="en-IE" w:eastAsia="en-US"/>
        </w:rPr>
        <w:lastRenderedPageBreak/>
        <w:t>Ryanair Holdings plc and Subsidiaries</w:t>
      </w:r>
    </w:p>
    <w:p w14:paraId="56B33CCE" w14:textId="77777777" w:rsidR="000E5963" w:rsidRPr="003C53EF" w:rsidRDefault="000E5963" w:rsidP="003C53EF">
      <w:pPr>
        <w:spacing w:after="0" w:line="240" w:lineRule="auto"/>
        <w:ind w:right="283"/>
        <w:jc w:val="center"/>
        <w:rPr>
          <w:rFonts w:ascii="Calibri" w:eastAsia="Times New Roman" w:hAnsi="Calibri" w:cs="Calibri"/>
          <w:b/>
          <w:lang w:val="en-IE" w:eastAsia="en-US"/>
        </w:rPr>
      </w:pPr>
      <w:r w:rsidRPr="003C53EF">
        <w:rPr>
          <w:rFonts w:ascii="Calibri" w:eastAsia="Times New Roman" w:hAnsi="Calibri" w:cs="Calibri"/>
          <w:b/>
          <w:lang w:val="en-IE" w:eastAsia="en-US"/>
        </w:rPr>
        <w:t>Interim Management Report</w:t>
      </w:r>
    </w:p>
    <w:p w14:paraId="353099A8" w14:textId="77777777" w:rsidR="000E5963" w:rsidRPr="000E5963" w:rsidRDefault="000E5963" w:rsidP="000E5963">
      <w:pPr>
        <w:spacing w:after="0" w:line="240" w:lineRule="auto"/>
        <w:jc w:val="center"/>
        <w:rPr>
          <w:rFonts w:ascii="Calibri" w:eastAsia="Times New Roman" w:hAnsi="Calibri" w:cs="Calibri"/>
          <w:b/>
          <w:lang w:eastAsia="en-US"/>
        </w:rPr>
      </w:pPr>
    </w:p>
    <w:p w14:paraId="24838E4F" w14:textId="77777777" w:rsidR="000E5963" w:rsidRPr="000E5963" w:rsidRDefault="000E5963" w:rsidP="000E5963">
      <w:pPr>
        <w:spacing w:after="0" w:line="300" w:lineRule="exact"/>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Introduction</w:t>
      </w:r>
    </w:p>
    <w:p w14:paraId="65F74317" w14:textId="77777777" w:rsidR="000E5963" w:rsidRPr="000E5963" w:rsidRDefault="000E5963" w:rsidP="000E5963">
      <w:pPr>
        <w:spacing w:after="0" w:line="300" w:lineRule="exact"/>
        <w:jc w:val="both"/>
        <w:rPr>
          <w:rFonts w:ascii="Calibri" w:eastAsia="Times New Roman" w:hAnsi="Calibri" w:cs="Calibri"/>
          <w:b/>
          <w:sz w:val="22"/>
          <w:szCs w:val="22"/>
          <w:lang w:val="en-IE" w:eastAsia="en-US"/>
        </w:rPr>
      </w:pPr>
    </w:p>
    <w:p w14:paraId="59D5B3C1" w14:textId="237C4920"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This financial report for the </w:t>
      </w:r>
      <w:r w:rsidR="00D813F4">
        <w:rPr>
          <w:rFonts w:ascii="Calibri" w:eastAsia="Times New Roman" w:hAnsi="Calibri" w:cs="Calibri"/>
          <w:sz w:val="22"/>
          <w:szCs w:val="22"/>
          <w:lang w:eastAsia="en-US"/>
        </w:rPr>
        <w:t>half-year</w:t>
      </w:r>
      <w:r w:rsidRPr="000E5963">
        <w:rPr>
          <w:rFonts w:ascii="Calibri" w:eastAsia="Times New Roman" w:hAnsi="Calibri" w:cs="Calibri"/>
          <w:sz w:val="22"/>
          <w:szCs w:val="22"/>
          <w:lang w:eastAsia="en-US"/>
        </w:rPr>
        <w:t xml:space="preserve"> ended </w:t>
      </w:r>
      <w:r w:rsidR="00D813F4">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meets the reporting requirements pursuant to the Transparency (Directive 2004/109/EC) Regulations 2007 and Transparency Rules of the Central Bank (Investment Market Conduct) Rules 2019.</w:t>
      </w:r>
    </w:p>
    <w:p w14:paraId="765DCA40" w14:textId="77777777" w:rsidR="000E5963" w:rsidRPr="000E5963" w:rsidRDefault="000E5963" w:rsidP="000E5963">
      <w:pPr>
        <w:autoSpaceDE w:val="0"/>
        <w:autoSpaceDN w:val="0"/>
        <w:adjustRightInd w:val="0"/>
        <w:spacing w:after="0" w:line="300" w:lineRule="exact"/>
        <w:jc w:val="both"/>
        <w:rPr>
          <w:rFonts w:ascii="Calibri" w:eastAsia="Times New Roman" w:hAnsi="Calibri" w:cs="Calibri"/>
          <w:sz w:val="22"/>
          <w:szCs w:val="22"/>
          <w:lang w:val="en-IE" w:eastAsia="en-US"/>
        </w:rPr>
      </w:pPr>
    </w:p>
    <w:p w14:paraId="072502F9" w14:textId="77777777" w:rsidR="000E5963" w:rsidRPr="000E5963" w:rsidRDefault="000E5963" w:rsidP="000E5963">
      <w:pPr>
        <w:autoSpaceDE w:val="0"/>
        <w:autoSpaceDN w:val="0"/>
        <w:adjustRightInd w:val="0"/>
        <w:spacing w:after="0" w:line="300" w:lineRule="exact"/>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This interim management report includes the following: </w:t>
      </w:r>
    </w:p>
    <w:p w14:paraId="31EFB88A" w14:textId="77777777" w:rsidR="000E5963" w:rsidRPr="000E5963" w:rsidRDefault="000E5963" w:rsidP="000E5963">
      <w:pPr>
        <w:tabs>
          <w:tab w:val="num" w:pos="240"/>
        </w:tabs>
        <w:autoSpaceDE w:val="0"/>
        <w:autoSpaceDN w:val="0"/>
        <w:adjustRightInd w:val="0"/>
        <w:spacing w:after="0" w:line="240" w:lineRule="auto"/>
        <w:jc w:val="both"/>
        <w:rPr>
          <w:rFonts w:ascii="Calibri" w:eastAsia="Times New Roman" w:hAnsi="Calibri" w:cs="Calibri"/>
          <w:sz w:val="22"/>
          <w:szCs w:val="22"/>
          <w:lang w:val="en-IE" w:eastAsia="en-US"/>
        </w:rPr>
      </w:pPr>
    </w:p>
    <w:p w14:paraId="548754CE" w14:textId="7E4E47FB" w:rsidR="000E5963" w:rsidRPr="000E5963" w:rsidRDefault="000E5963" w:rsidP="000E5963">
      <w:pPr>
        <w:numPr>
          <w:ilvl w:val="0"/>
          <w:numId w:val="13"/>
        </w:numPr>
        <w:tabs>
          <w:tab w:val="num" w:pos="240"/>
        </w:tabs>
        <w:autoSpaceDE w:val="0"/>
        <w:autoSpaceDN w:val="0"/>
        <w:adjustRightInd w:val="0"/>
        <w:spacing w:after="0" w:line="240" w:lineRule="auto"/>
        <w:ind w:left="426" w:hanging="339"/>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Principal risks and uncertainties relating to the remaining </w:t>
      </w:r>
      <w:r w:rsidR="00F74BC6">
        <w:rPr>
          <w:rFonts w:ascii="Calibri" w:eastAsia="Times New Roman" w:hAnsi="Calibri" w:cs="Calibri"/>
          <w:sz w:val="22"/>
          <w:szCs w:val="22"/>
          <w:lang w:val="en-IE" w:eastAsia="en-US"/>
        </w:rPr>
        <w:t>six</w:t>
      </w:r>
      <w:r w:rsidRPr="000E5963">
        <w:rPr>
          <w:rFonts w:ascii="Calibri" w:eastAsia="Times New Roman" w:hAnsi="Calibri" w:cs="Calibri"/>
          <w:sz w:val="22"/>
          <w:szCs w:val="22"/>
          <w:lang w:val="en-IE" w:eastAsia="en-US"/>
        </w:rPr>
        <w:t xml:space="preserve"> months of the year;</w:t>
      </w:r>
    </w:p>
    <w:p w14:paraId="66CD5865" w14:textId="77777777" w:rsidR="000E5963" w:rsidRPr="000E5963" w:rsidRDefault="000E5963" w:rsidP="000E5963">
      <w:pPr>
        <w:numPr>
          <w:ilvl w:val="0"/>
          <w:numId w:val="13"/>
        </w:numPr>
        <w:tabs>
          <w:tab w:val="num" w:pos="240"/>
        </w:tabs>
        <w:autoSpaceDE w:val="0"/>
        <w:autoSpaceDN w:val="0"/>
        <w:adjustRightInd w:val="0"/>
        <w:spacing w:after="0" w:line="240" w:lineRule="auto"/>
        <w:ind w:left="426" w:hanging="339"/>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Related party transactions; and</w:t>
      </w:r>
    </w:p>
    <w:p w14:paraId="6EC51AAB" w14:textId="77777777" w:rsidR="000E5963" w:rsidRPr="000E5963" w:rsidRDefault="000E5963" w:rsidP="000E5963">
      <w:pPr>
        <w:numPr>
          <w:ilvl w:val="0"/>
          <w:numId w:val="13"/>
        </w:numPr>
        <w:tabs>
          <w:tab w:val="num" w:pos="240"/>
        </w:tabs>
        <w:autoSpaceDE w:val="0"/>
        <w:autoSpaceDN w:val="0"/>
        <w:adjustRightInd w:val="0"/>
        <w:spacing w:after="0" w:line="240" w:lineRule="auto"/>
        <w:ind w:left="426" w:hanging="339"/>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Post balance sheet events. </w:t>
      </w:r>
    </w:p>
    <w:p w14:paraId="1A9CF541" w14:textId="77777777" w:rsidR="000E5963" w:rsidRPr="000E5963" w:rsidRDefault="000E5963" w:rsidP="000E5963">
      <w:pPr>
        <w:autoSpaceDE w:val="0"/>
        <w:autoSpaceDN w:val="0"/>
        <w:adjustRightInd w:val="0"/>
        <w:spacing w:after="0" w:line="276" w:lineRule="auto"/>
        <w:jc w:val="both"/>
        <w:rPr>
          <w:rFonts w:ascii="Calibri" w:eastAsia="Times New Roman" w:hAnsi="Calibri" w:cs="Calibri"/>
          <w:sz w:val="22"/>
          <w:szCs w:val="22"/>
          <w:lang w:val="en-IE" w:eastAsia="en-US"/>
        </w:rPr>
      </w:pPr>
    </w:p>
    <w:p w14:paraId="12797E15" w14:textId="36826C9B"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Results of operations for the </w:t>
      </w:r>
      <w:r w:rsidR="003F26CA">
        <w:rPr>
          <w:rFonts w:ascii="Calibri" w:eastAsia="Times New Roman" w:hAnsi="Calibri" w:cs="Calibri"/>
          <w:sz w:val="22"/>
          <w:szCs w:val="22"/>
          <w:lang w:eastAsia="en-US"/>
        </w:rPr>
        <w:t>six-month period</w:t>
      </w:r>
      <w:r w:rsidRPr="000E5963">
        <w:rPr>
          <w:rFonts w:ascii="Calibri" w:eastAsia="Times New Roman" w:hAnsi="Calibri" w:cs="Calibri"/>
          <w:sz w:val="22"/>
          <w:szCs w:val="22"/>
          <w:lang w:eastAsia="en-US"/>
        </w:rPr>
        <w:t xml:space="preserve"> ended </w:t>
      </w:r>
      <w:r w:rsidR="003F26CA">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compared to the </w:t>
      </w:r>
      <w:r w:rsidR="003F26CA">
        <w:rPr>
          <w:rFonts w:ascii="Calibri" w:eastAsia="Times New Roman" w:hAnsi="Calibri" w:cs="Calibri"/>
          <w:sz w:val="22"/>
          <w:szCs w:val="22"/>
          <w:lang w:eastAsia="en-US"/>
        </w:rPr>
        <w:t>si</w:t>
      </w:r>
      <w:r w:rsidR="000D6B94">
        <w:rPr>
          <w:rFonts w:ascii="Calibri" w:eastAsia="Times New Roman" w:hAnsi="Calibri" w:cs="Calibri"/>
          <w:sz w:val="22"/>
          <w:szCs w:val="22"/>
          <w:lang w:eastAsia="en-US"/>
        </w:rPr>
        <w:t>x</w:t>
      </w:r>
      <w:r w:rsidR="003F26CA">
        <w:rPr>
          <w:rFonts w:ascii="Calibri" w:eastAsia="Times New Roman" w:hAnsi="Calibri" w:cs="Calibri"/>
          <w:sz w:val="22"/>
          <w:szCs w:val="22"/>
          <w:lang w:eastAsia="en-US"/>
        </w:rPr>
        <w:t xml:space="preserve">-month period </w:t>
      </w:r>
      <w:r w:rsidRPr="000E5963">
        <w:rPr>
          <w:rFonts w:ascii="Calibri" w:eastAsia="Times New Roman" w:hAnsi="Calibri" w:cs="Calibri"/>
          <w:sz w:val="22"/>
          <w:szCs w:val="22"/>
          <w:lang w:eastAsia="en-US"/>
        </w:rPr>
        <w:t xml:space="preserve">ended </w:t>
      </w:r>
      <w:r w:rsidR="003F26CA">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2024, including important events that occurred during the quarter, are set forth above in the MD&amp;A.</w:t>
      </w:r>
    </w:p>
    <w:p w14:paraId="59E69955" w14:textId="77777777" w:rsidR="000E5963" w:rsidRPr="000E5963" w:rsidRDefault="000E5963" w:rsidP="000E5963">
      <w:pPr>
        <w:spacing w:after="0" w:line="300" w:lineRule="exact"/>
        <w:ind w:firstLine="431"/>
        <w:jc w:val="both"/>
        <w:rPr>
          <w:rFonts w:ascii="Calibri" w:eastAsia="Times New Roman" w:hAnsi="Calibri" w:cs="Calibri"/>
          <w:sz w:val="22"/>
          <w:szCs w:val="22"/>
          <w:lang w:eastAsia="en-US"/>
        </w:rPr>
      </w:pPr>
    </w:p>
    <w:p w14:paraId="7E954A6F" w14:textId="77777777" w:rsidR="000E5963" w:rsidRPr="000E5963" w:rsidRDefault="000E5963" w:rsidP="000E5963">
      <w:pPr>
        <w:spacing w:after="0" w:line="300" w:lineRule="exact"/>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Principal risks and uncertainties for the remainder of the year</w:t>
      </w:r>
    </w:p>
    <w:p w14:paraId="40558E7E" w14:textId="77777777" w:rsidR="000E5963" w:rsidRPr="000E5963" w:rsidRDefault="000E5963" w:rsidP="000E5963">
      <w:pPr>
        <w:spacing w:after="0" w:line="300" w:lineRule="exact"/>
        <w:jc w:val="both"/>
        <w:rPr>
          <w:rFonts w:ascii="Calibri" w:eastAsia="Times New Roman" w:hAnsi="Calibri" w:cs="Calibri"/>
          <w:b/>
          <w:sz w:val="22"/>
          <w:szCs w:val="22"/>
          <w:highlight w:val="yellow"/>
          <w:lang w:val="en-IE" w:eastAsia="en-US"/>
        </w:rPr>
      </w:pPr>
    </w:p>
    <w:p w14:paraId="2D484F84" w14:textId="1D45D939"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Jet fuel is subject to wide price fluctuations as a result of many economic and political factors and events occurring throughout the world that Ryanair can neither control nor accurately predict, including increases in demand, sudden disruptions in supply and other concerns about global supply, as well as market speculation. Oil prices increased significantly following Russia’s invasion of Ukraine in February 2022 and remain volatile</w:t>
      </w:r>
      <w:r w:rsidR="00E50752">
        <w:rPr>
          <w:rFonts w:ascii="Calibri" w:eastAsia="Times New Roman" w:hAnsi="Calibri" w:cs="Calibri"/>
          <w:sz w:val="22"/>
          <w:szCs w:val="22"/>
          <w:lang w:eastAsia="en-US"/>
        </w:rPr>
        <w:t>.</w:t>
      </w:r>
    </w:p>
    <w:p w14:paraId="4A1F4954"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4FC57E0C" w14:textId="5DA4FC7C" w:rsidR="000E5963" w:rsidRPr="00823950" w:rsidRDefault="00FC63AA" w:rsidP="00823950">
      <w:pPr>
        <w:tabs>
          <w:tab w:val="num" w:pos="0"/>
        </w:tabs>
        <w:spacing w:after="0" w:line="240" w:lineRule="auto"/>
        <w:ind w:right="284"/>
        <w:jc w:val="both"/>
        <w:rPr>
          <w:rFonts w:ascii="Calibri" w:eastAsia="Times New Roman" w:hAnsi="Calibri" w:cs="Calibri"/>
          <w:sz w:val="22"/>
          <w:szCs w:val="22"/>
          <w:lang w:eastAsia="en-US"/>
        </w:rPr>
      </w:pPr>
      <w:r w:rsidRPr="00823950">
        <w:rPr>
          <w:rFonts w:ascii="Calibri" w:eastAsia="Times New Roman" w:hAnsi="Calibri" w:cs="Calibri"/>
          <w:sz w:val="22"/>
          <w:szCs w:val="22"/>
          <w:lang w:eastAsia="en-US"/>
        </w:rPr>
        <w:t>Among other factors that are subject to change and could significantly impact Ryanair’s expected results for the remainder of the year and the price of Ryanair securities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post-Brexit uncertainties, any change in the restrictions on the ownership of Ryanair’s ordinary shares and the voting rights of its shareholders and ADR holders, including as a result of regulatory changes or the actions of Ryanair itself, weather related disruptions, ATC strikes and staffing related disruptions, delays in the delivery of contracted aircraft, fluctuations in currency exchange rates and interest rates, airport access and charges,</w:t>
      </w:r>
      <w:r w:rsidR="004F1750">
        <w:rPr>
          <w:rFonts w:ascii="Calibri" w:eastAsia="Times New Roman" w:hAnsi="Calibri" w:cs="Calibri"/>
          <w:sz w:val="22"/>
          <w:szCs w:val="22"/>
          <w:lang w:eastAsia="en-US"/>
        </w:rPr>
        <w:t xml:space="preserve"> </w:t>
      </w:r>
      <w:proofErr w:type="spellStart"/>
      <w:r w:rsidRPr="00823950">
        <w:rPr>
          <w:rFonts w:ascii="Calibri" w:eastAsia="Times New Roman" w:hAnsi="Calibri" w:cs="Calibri"/>
          <w:sz w:val="22"/>
          <w:szCs w:val="22"/>
          <w:lang w:eastAsia="en-US"/>
        </w:rPr>
        <w:t>labour</w:t>
      </w:r>
      <w:proofErr w:type="spellEnd"/>
      <w:r w:rsidRPr="00823950">
        <w:rPr>
          <w:rFonts w:ascii="Calibri" w:eastAsia="Times New Roman" w:hAnsi="Calibri" w:cs="Calibri"/>
          <w:sz w:val="22"/>
          <w:szCs w:val="22"/>
          <w:lang w:eastAsia="en-US"/>
        </w:rPr>
        <w:t xml:space="preserve"> relations, the economic environment of the airline industry, the general economic environment in Ireland, the UK and Continental Europe, the general willingness of passengers to travel and other economic, social and political</w:t>
      </w:r>
      <w:r w:rsidR="004F1750">
        <w:rPr>
          <w:rFonts w:ascii="Calibri" w:eastAsia="Times New Roman" w:hAnsi="Calibri" w:cs="Calibri"/>
          <w:sz w:val="22"/>
          <w:szCs w:val="22"/>
          <w:lang w:eastAsia="en-US"/>
        </w:rPr>
        <w:t xml:space="preserve"> </w:t>
      </w:r>
      <w:r w:rsidRPr="00823950">
        <w:rPr>
          <w:rFonts w:ascii="Calibri" w:eastAsia="Times New Roman" w:hAnsi="Calibri" w:cs="Calibri"/>
          <w:sz w:val="22"/>
          <w:szCs w:val="22"/>
          <w:lang w:eastAsia="en-US"/>
        </w:rPr>
        <w:t xml:space="preserve">factors, global pandemics such as Covid-19, capacity growth in Europe, the availability of appropriate insurance coverage, supply chain disruptions/delays, increasing fares to cover rising business costs, cybersecurity risks and increased costs to </w:t>
      </w:r>
      <w:proofErr w:type="spellStart"/>
      <w:r w:rsidRPr="00823950">
        <w:rPr>
          <w:rFonts w:ascii="Calibri" w:eastAsia="Times New Roman" w:hAnsi="Calibri" w:cs="Calibri"/>
          <w:sz w:val="22"/>
          <w:szCs w:val="22"/>
          <w:lang w:eastAsia="en-US"/>
        </w:rPr>
        <w:t>minimise</w:t>
      </w:r>
      <w:proofErr w:type="spellEnd"/>
      <w:r w:rsidRPr="00823950">
        <w:rPr>
          <w:rFonts w:ascii="Calibri" w:eastAsia="Times New Roman" w:hAnsi="Calibri" w:cs="Calibri"/>
          <w:sz w:val="22"/>
          <w:szCs w:val="22"/>
          <w:lang w:eastAsia="en-US"/>
        </w:rPr>
        <w:t xml:space="preserve"> those risks, increasingly complex data protection laws and regulations, dependence on key personnel, the expectation that corporation tax rates will rise, the risk of a recession or significant economic</w:t>
      </w:r>
      <w:r w:rsidR="004F1750">
        <w:rPr>
          <w:rFonts w:ascii="Calibri" w:eastAsia="Times New Roman" w:hAnsi="Calibri" w:cs="Calibri"/>
          <w:sz w:val="22"/>
          <w:szCs w:val="22"/>
          <w:lang w:eastAsia="en-US"/>
        </w:rPr>
        <w:t xml:space="preserve"> </w:t>
      </w:r>
      <w:r w:rsidRPr="00823950">
        <w:rPr>
          <w:rFonts w:ascii="Calibri" w:eastAsia="Times New Roman" w:hAnsi="Calibri" w:cs="Calibri"/>
          <w:sz w:val="22"/>
          <w:szCs w:val="22"/>
          <w:lang w:eastAsia="en-US"/>
        </w:rPr>
        <w:t xml:space="preserve">slowdown, </w:t>
      </w:r>
      <w:r w:rsidR="00D1329D">
        <w:rPr>
          <w:rFonts w:ascii="Calibri" w:eastAsia="Times New Roman" w:hAnsi="Calibri" w:cs="Calibri"/>
          <w:sz w:val="22"/>
          <w:szCs w:val="22"/>
          <w:lang w:eastAsia="en-US"/>
        </w:rPr>
        <w:t xml:space="preserve">tariff wars </w:t>
      </w:r>
      <w:r w:rsidRPr="00823950">
        <w:rPr>
          <w:rFonts w:ascii="Calibri" w:eastAsia="Times New Roman" w:hAnsi="Calibri" w:cs="Calibri"/>
          <w:sz w:val="22"/>
          <w:szCs w:val="22"/>
          <w:lang w:eastAsia="en-US"/>
        </w:rPr>
        <w:t>and unforeseen security events.</w:t>
      </w:r>
    </w:p>
    <w:p w14:paraId="48EC9D1E" w14:textId="77777777" w:rsidR="00FC63AA" w:rsidRPr="000E5963" w:rsidRDefault="00FC63AA" w:rsidP="00FC63AA">
      <w:pPr>
        <w:spacing w:after="0" w:line="240" w:lineRule="auto"/>
        <w:jc w:val="both"/>
        <w:rPr>
          <w:rFonts w:ascii="Calibri" w:eastAsia="Times New Roman" w:hAnsi="Calibri" w:cs="Calibri"/>
          <w:b/>
          <w:sz w:val="22"/>
          <w:szCs w:val="22"/>
          <w:highlight w:val="yellow"/>
          <w:lang w:val="en-IE" w:eastAsia="en-US"/>
        </w:rPr>
      </w:pPr>
    </w:p>
    <w:p w14:paraId="66816C1F" w14:textId="77777777" w:rsidR="000E5963" w:rsidRPr="000E5963" w:rsidRDefault="000E5963" w:rsidP="000E5963">
      <w:pPr>
        <w:spacing w:after="0" w:line="240" w:lineRule="auto"/>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Board of Directors</w:t>
      </w:r>
    </w:p>
    <w:p w14:paraId="0E1DD255" w14:textId="77777777" w:rsidR="000E5963" w:rsidRPr="000E5963" w:rsidRDefault="000E5963" w:rsidP="000E5963">
      <w:pPr>
        <w:spacing w:after="0" w:line="240" w:lineRule="auto"/>
        <w:jc w:val="both"/>
        <w:rPr>
          <w:rFonts w:ascii="Calibri" w:eastAsia="Times New Roman" w:hAnsi="Calibri" w:cs="Calibri"/>
          <w:sz w:val="22"/>
          <w:szCs w:val="22"/>
          <w:lang w:val="en-IE" w:eastAsia="en-US"/>
        </w:rPr>
      </w:pPr>
    </w:p>
    <w:p w14:paraId="291ABE07" w14:textId="391C49D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bookmarkStart w:id="11" w:name="_Hlk139551810"/>
      <w:r w:rsidRPr="000E5963">
        <w:rPr>
          <w:rFonts w:ascii="Calibri" w:eastAsia="Times New Roman" w:hAnsi="Calibri" w:cs="Calibri"/>
          <w:sz w:val="22"/>
          <w:szCs w:val="22"/>
          <w:lang w:eastAsia="en-US"/>
        </w:rPr>
        <w:t xml:space="preserve">Details of the members of the Company’s Board of Directors are set forth on pages 218 and 219 of the Group’s 2025 Annual Report. </w:t>
      </w:r>
      <w:r w:rsidR="00140D7C" w:rsidRPr="00140D7C">
        <w:rPr>
          <w:rFonts w:ascii="Calibri" w:eastAsia="Times New Roman" w:hAnsi="Calibri" w:cs="Calibri"/>
          <w:sz w:val="22"/>
          <w:szCs w:val="22"/>
          <w:lang w:eastAsia="en-US"/>
        </w:rPr>
        <w:t xml:space="preserve">Captain Ray Conway was appointed to the Board with effect from October 1, 2025 and both Howard Millar and </w:t>
      </w:r>
      <w:r w:rsidR="00BF3B86">
        <w:rPr>
          <w:rFonts w:ascii="Calibri" w:eastAsia="Times New Roman" w:hAnsi="Calibri" w:cs="Calibri"/>
          <w:sz w:val="22"/>
          <w:szCs w:val="22"/>
          <w:lang w:eastAsia="en-US"/>
        </w:rPr>
        <w:t xml:space="preserve">Captain </w:t>
      </w:r>
      <w:r w:rsidR="00140D7C" w:rsidRPr="00140D7C">
        <w:rPr>
          <w:rFonts w:ascii="Calibri" w:eastAsia="Times New Roman" w:hAnsi="Calibri" w:cs="Calibri"/>
          <w:sz w:val="22"/>
          <w:szCs w:val="22"/>
          <w:lang w:eastAsia="en-US"/>
        </w:rPr>
        <w:t xml:space="preserve">Mike O’Brien retired from the Board </w:t>
      </w:r>
      <w:r w:rsidR="00BF3B86">
        <w:rPr>
          <w:rFonts w:ascii="Calibri" w:eastAsia="Times New Roman" w:hAnsi="Calibri" w:cs="Calibri"/>
          <w:sz w:val="22"/>
          <w:szCs w:val="22"/>
          <w:lang w:eastAsia="en-US"/>
        </w:rPr>
        <w:t>in</w:t>
      </w:r>
      <w:r w:rsidR="00140D7C" w:rsidRPr="00140D7C">
        <w:rPr>
          <w:rFonts w:ascii="Calibri" w:eastAsia="Times New Roman" w:hAnsi="Calibri" w:cs="Calibri"/>
          <w:sz w:val="22"/>
          <w:szCs w:val="22"/>
          <w:lang w:eastAsia="en-US"/>
        </w:rPr>
        <w:t xml:space="preserve"> September 2025.</w:t>
      </w:r>
    </w:p>
    <w:bookmarkEnd w:id="11"/>
    <w:p w14:paraId="01F8E066" w14:textId="77777777" w:rsidR="000E5963" w:rsidRPr="000E5963" w:rsidRDefault="000E5963" w:rsidP="000E5963">
      <w:pPr>
        <w:autoSpaceDE w:val="0"/>
        <w:autoSpaceDN w:val="0"/>
        <w:adjustRightInd w:val="0"/>
        <w:spacing w:after="0" w:line="300" w:lineRule="exact"/>
        <w:jc w:val="both"/>
        <w:rPr>
          <w:rFonts w:ascii="Calibri" w:eastAsia="Times New Roman" w:hAnsi="Calibri" w:cs="Calibri"/>
          <w:sz w:val="22"/>
          <w:szCs w:val="22"/>
          <w:highlight w:val="yellow"/>
          <w:lang w:val="en-IE" w:eastAsia="en-US"/>
        </w:rPr>
      </w:pPr>
    </w:p>
    <w:p w14:paraId="03E65152" w14:textId="180EB559" w:rsidR="000E5963" w:rsidRDefault="000E5963" w:rsidP="000E5963">
      <w:pPr>
        <w:spacing w:after="0" w:line="240" w:lineRule="auto"/>
        <w:jc w:val="both"/>
        <w:rPr>
          <w:rFonts w:ascii="Calibri" w:eastAsia="Times New Roman" w:hAnsi="Calibri" w:cs="Calibri"/>
          <w:sz w:val="22"/>
          <w:szCs w:val="22"/>
          <w:lang w:val="en-IE" w:eastAsia="en-US"/>
        </w:rPr>
      </w:pPr>
      <w:r w:rsidRPr="000E5963">
        <w:rPr>
          <w:rFonts w:ascii="Calibri" w:eastAsia="Times New Roman" w:hAnsi="Calibri" w:cs="Calibri"/>
          <w:b/>
          <w:sz w:val="22"/>
          <w:szCs w:val="22"/>
          <w:lang w:val="en-IE" w:eastAsia="en-US"/>
        </w:rPr>
        <w:t xml:space="preserve">Related party transactions </w:t>
      </w:r>
      <w:r w:rsidRPr="000E5963">
        <w:rPr>
          <w:rFonts w:ascii="Calibri" w:eastAsia="Times New Roman" w:hAnsi="Calibri" w:cs="Calibri"/>
          <w:sz w:val="22"/>
          <w:szCs w:val="22"/>
          <w:lang w:val="en-IE" w:eastAsia="en-US"/>
        </w:rPr>
        <w:t>–</w:t>
      </w:r>
      <w:r w:rsidRPr="000E5963">
        <w:rPr>
          <w:rFonts w:ascii="Calibri" w:eastAsia="Times New Roman" w:hAnsi="Calibri" w:cs="Calibri"/>
          <w:b/>
          <w:sz w:val="22"/>
          <w:szCs w:val="22"/>
          <w:lang w:val="en-IE" w:eastAsia="en-US"/>
        </w:rPr>
        <w:t xml:space="preserve"> </w:t>
      </w:r>
      <w:r w:rsidRPr="000E5963">
        <w:rPr>
          <w:rFonts w:ascii="Calibri" w:eastAsia="Times New Roman" w:hAnsi="Calibri" w:cs="Calibri"/>
          <w:sz w:val="22"/>
          <w:szCs w:val="22"/>
          <w:lang w:val="en-IE" w:eastAsia="en-US"/>
        </w:rPr>
        <w:t xml:space="preserve">Please see note </w:t>
      </w:r>
      <w:r w:rsidR="00C6048D">
        <w:rPr>
          <w:rFonts w:ascii="Calibri" w:eastAsia="Times New Roman" w:hAnsi="Calibri" w:cs="Calibri"/>
          <w:sz w:val="22"/>
          <w:szCs w:val="22"/>
          <w:lang w:val="en-IE" w:eastAsia="en-US"/>
        </w:rPr>
        <w:t>9</w:t>
      </w:r>
      <w:r w:rsidRPr="000E5963">
        <w:rPr>
          <w:rFonts w:ascii="Calibri" w:eastAsia="Times New Roman" w:hAnsi="Calibri" w:cs="Calibri"/>
          <w:sz w:val="22"/>
          <w:szCs w:val="22"/>
          <w:lang w:val="en-IE" w:eastAsia="en-US"/>
        </w:rPr>
        <w:t>.</w:t>
      </w:r>
    </w:p>
    <w:p w14:paraId="507D0901" w14:textId="77777777" w:rsidR="00C91D5B" w:rsidRDefault="00C91D5B" w:rsidP="000E5963">
      <w:pPr>
        <w:spacing w:after="0" w:line="240" w:lineRule="auto"/>
        <w:jc w:val="both"/>
        <w:rPr>
          <w:rFonts w:ascii="Calibri" w:eastAsia="Times New Roman" w:hAnsi="Calibri" w:cs="Calibri"/>
          <w:sz w:val="22"/>
          <w:szCs w:val="22"/>
          <w:lang w:val="en-IE" w:eastAsia="en-US"/>
        </w:rPr>
      </w:pPr>
    </w:p>
    <w:p w14:paraId="17C694BC" w14:textId="55AE7A69" w:rsidR="00C91D5B" w:rsidRPr="00933376" w:rsidRDefault="00C91D5B" w:rsidP="000E5963">
      <w:pPr>
        <w:spacing w:after="0" w:line="240" w:lineRule="auto"/>
        <w:jc w:val="both"/>
        <w:rPr>
          <w:rFonts w:ascii="Calibri" w:eastAsia="Times New Roman" w:hAnsi="Calibri" w:cs="Calibri"/>
          <w:sz w:val="22"/>
          <w:szCs w:val="22"/>
          <w:lang w:val="en-IE" w:eastAsia="en-US"/>
        </w:rPr>
      </w:pPr>
      <w:r w:rsidRPr="00C91D5B">
        <w:rPr>
          <w:rFonts w:ascii="Calibri" w:eastAsia="Times New Roman" w:hAnsi="Calibri" w:cs="Calibri"/>
          <w:b/>
          <w:bCs/>
          <w:sz w:val="22"/>
          <w:szCs w:val="22"/>
          <w:lang w:val="en-IE" w:eastAsia="en-US"/>
        </w:rPr>
        <w:t>Post balance sheet events</w:t>
      </w:r>
      <w:r w:rsidRPr="00C91D5B">
        <w:rPr>
          <w:rFonts w:ascii="Calibri" w:eastAsia="Times New Roman" w:hAnsi="Calibri" w:cs="Calibri"/>
          <w:sz w:val="22"/>
          <w:szCs w:val="22"/>
          <w:lang w:val="en-IE" w:eastAsia="en-US"/>
        </w:rPr>
        <w:t xml:space="preserve"> – Please see note 12.</w:t>
      </w:r>
    </w:p>
    <w:p w14:paraId="2FD495F7" w14:textId="77777777" w:rsidR="000E5963" w:rsidRPr="000E5963" w:rsidRDefault="000E5963" w:rsidP="000E5963">
      <w:pPr>
        <w:spacing w:after="0" w:line="240" w:lineRule="auto"/>
        <w:jc w:val="both"/>
        <w:rPr>
          <w:rFonts w:ascii="Calibri" w:eastAsia="Times New Roman" w:hAnsi="Calibri" w:cs="Calibri"/>
          <w:b/>
          <w:bCs/>
          <w:sz w:val="22"/>
          <w:szCs w:val="22"/>
          <w:lang w:val="en-IE" w:eastAsia="en-US"/>
        </w:rPr>
      </w:pPr>
      <w:bookmarkStart w:id="12" w:name="_Hlk527704336"/>
      <w:r w:rsidRPr="000E5963">
        <w:rPr>
          <w:rFonts w:ascii="Calibri" w:eastAsia="Times New Roman" w:hAnsi="Calibri" w:cs="Calibri"/>
          <w:sz w:val="22"/>
          <w:szCs w:val="22"/>
          <w:lang w:val="en-IE" w:eastAsia="en-US"/>
        </w:rPr>
        <w:br w:type="page"/>
      </w:r>
      <w:r w:rsidRPr="000E5963">
        <w:rPr>
          <w:rFonts w:ascii="Calibri" w:eastAsia="Times New Roman" w:hAnsi="Calibri" w:cs="Calibri"/>
          <w:b/>
          <w:bCs/>
          <w:sz w:val="22"/>
          <w:szCs w:val="22"/>
          <w:lang w:val="en-IE" w:eastAsia="en-US"/>
        </w:rPr>
        <w:lastRenderedPageBreak/>
        <w:t>Going concern</w:t>
      </w:r>
    </w:p>
    <w:p w14:paraId="0989EF23" w14:textId="77777777" w:rsidR="000E5963" w:rsidRPr="000E5963" w:rsidRDefault="000E5963" w:rsidP="000E5963">
      <w:pPr>
        <w:autoSpaceDE w:val="0"/>
        <w:autoSpaceDN w:val="0"/>
        <w:adjustRightInd w:val="0"/>
        <w:spacing w:after="0" w:line="240" w:lineRule="auto"/>
        <w:jc w:val="both"/>
        <w:rPr>
          <w:rFonts w:ascii="Calibri" w:eastAsia="Times New Roman" w:hAnsi="Calibri" w:cs="Calibri"/>
          <w:b/>
          <w:bCs/>
          <w:sz w:val="22"/>
          <w:szCs w:val="22"/>
          <w:lang w:val="en-IE" w:eastAsia="en-US"/>
        </w:rPr>
      </w:pPr>
    </w:p>
    <w:bookmarkEnd w:id="12"/>
    <w:p w14:paraId="0BA7D35B"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Directors, having made inquiries, believe that the Group has adequate resources to continue in operational existence for at least the next 12 months and that it is appropriate to adopt the going concern basis in preparing these condensed consolidated interim financial statements. The continued preparation of the Group’s condensed consolidated interim financial statements on the going concern basis is supported by the financial projections prepared by the Group. </w:t>
      </w:r>
    </w:p>
    <w:p w14:paraId="40640208"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57AEBAAE"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In arriving at this decision to adopt the going concern basis of accounting, the Board has considered, among other things:</w:t>
      </w:r>
    </w:p>
    <w:p w14:paraId="653C93E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60020371" w14:textId="6D4258F0"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net profit of </w:t>
      </w:r>
      <w:r w:rsidR="00C8448B">
        <w:rPr>
          <w:rFonts w:ascii="Calibri" w:eastAsia="Times New Roman" w:hAnsi="Calibri" w:cs="Calibri"/>
          <w:sz w:val="22"/>
          <w:szCs w:val="22"/>
          <w:lang w:eastAsia="en-US"/>
        </w:rPr>
        <w:t>over</w:t>
      </w:r>
      <w:r w:rsidRPr="000E5963">
        <w:rPr>
          <w:rFonts w:ascii="Calibri" w:eastAsia="Times New Roman" w:hAnsi="Calibri" w:cs="Calibri"/>
          <w:sz w:val="22"/>
          <w:szCs w:val="22"/>
          <w:lang w:eastAsia="en-US"/>
        </w:rPr>
        <w:t xml:space="preserve"> </w:t>
      </w:r>
      <w:r w:rsidRPr="00426DF7">
        <w:rPr>
          <w:rFonts w:ascii="Calibri" w:eastAsia="Times New Roman" w:hAnsi="Calibri" w:cs="Calibri"/>
          <w:sz w:val="22"/>
          <w:szCs w:val="22"/>
          <w:lang w:eastAsia="en-US"/>
        </w:rPr>
        <w:t>€</w:t>
      </w:r>
      <w:r w:rsidR="00D51367" w:rsidRPr="00426DF7">
        <w:rPr>
          <w:rFonts w:ascii="Calibri" w:eastAsia="Times New Roman" w:hAnsi="Calibri" w:cs="Calibri"/>
          <w:sz w:val="22"/>
          <w:szCs w:val="22"/>
          <w:lang w:eastAsia="en-US"/>
        </w:rPr>
        <w:t>2.</w:t>
      </w:r>
      <w:r w:rsidR="00426DF7" w:rsidRPr="00426DF7">
        <w:rPr>
          <w:rFonts w:ascii="Calibri" w:eastAsia="Times New Roman" w:hAnsi="Calibri" w:cs="Calibri"/>
          <w:sz w:val="22"/>
          <w:szCs w:val="22"/>
          <w:lang w:eastAsia="en-US"/>
        </w:rPr>
        <w:t>5</w:t>
      </w:r>
      <w:r w:rsidRPr="00426DF7">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in the </w:t>
      </w:r>
      <w:r w:rsidR="00EC5C49">
        <w:rPr>
          <w:rFonts w:ascii="Calibri" w:eastAsia="Times New Roman" w:hAnsi="Calibri" w:cs="Calibri"/>
          <w:sz w:val="22"/>
          <w:szCs w:val="22"/>
          <w:lang w:eastAsia="en-US"/>
        </w:rPr>
        <w:t>half-year ended September</w:t>
      </w:r>
      <w:r w:rsidRPr="000E5963">
        <w:rPr>
          <w:rFonts w:ascii="Calibri" w:eastAsia="Times New Roman" w:hAnsi="Calibri" w:cs="Calibri"/>
          <w:sz w:val="22"/>
          <w:szCs w:val="22"/>
          <w:lang w:eastAsia="en-US"/>
        </w:rPr>
        <w:t xml:space="preserve"> 30, 2025;</w:t>
      </w:r>
    </w:p>
    <w:p w14:paraId="484AE4AF" w14:textId="4EE41A90"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bookmarkStart w:id="13" w:name="_Hlk140049427"/>
      <w:bookmarkStart w:id="14" w:name="_Hlk139462441"/>
      <w:r w:rsidRPr="000E5963">
        <w:rPr>
          <w:rFonts w:ascii="Calibri" w:eastAsia="Times New Roman" w:hAnsi="Calibri" w:cs="Calibri"/>
          <w:sz w:val="22"/>
          <w:szCs w:val="22"/>
          <w:lang w:eastAsia="en-US"/>
        </w:rPr>
        <w:t xml:space="preserve">The Group’s liquidity, with </w:t>
      </w:r>
      <w:r w:rsidRPr="0099667A">
        <w:rPr>
          <w:rFonts w:ascii="Calibri" w:eastAsia="Times New Roman" w:hAnsi="Calibri" w:cs="Calibri"/>
          <w:sz w:val="22"/>
          <w:szCs w:val="22"/>
          <w:lang w:eastAsia="en-US"/>
        </w:rPr>
        <w:t>€</w:t>
      </w:r>
      <w:r w:rsidR="00D855A6">
        <w:rPr>
          <w:rFonts w:ascii="Calibri" w:eastAsia="Times New Roman" w:hAnsi="Calibri" w:cs="Calibri"/>
          <w:sz w:val="22"/>
          <w:szCs w:val="22"/>
          <w:lang w:eastAsia="en-US"/>
        </w:rPr>
        <w:t>3.0</w:t>
      </w:r>
      <w:r w:rsidRPr="0099667A">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gross cash and </w:t>
      </w:r>
      <w:r w:rsidRPr="0099667A">
        <w:rPr>
          <w:rFonts w:ascii="Calibri" w:eastAsia="Times New Roman" w:hAnsi="Calibri" w:cs="Calibri"/>
          <w:sz w:val="22"/>
          <w:szCs w:val="22"/>
          <w:lang w:eastAsia="en-US"/>
        </w:rPr>
        <w:t>€</w:t>
      </w:r>
      <w:r w:rsidR="0099667A" w:rsidRPr="0099667A">
        <w:rPr>
          <w:rFonts w:ascii="Calibri" w:eastAsia="Times New Roman" w:hAnsi="Calibri" w:cs="Calibri"/>
          <w:sz w:val="22"/>
          <w:szCs w:val="22"/>
          <w:lang w:eastAsia="en-US"/>
        </w:rPr>
        <w:t>1.5</w:t>
      </w:r>
      <w:r w:rsidRPr="0099667A">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net cash at </w:t>
      </w:r>
      <w:r w:rsidR="00DD3754">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w:t>
      </w:r>
      <w:r w:rsidR="00FE59A3">
        <w:rPr>
          <w:rFonts w:ascii="Calibri" w:eastAsia="Times New Roman" w:hAnsi="Calibri" w:cs="Calibri"/>
          <w:sz w:val="22"/>
          <w:szCs w:val="22"/>
          <w:lang w:eastAsia="en-US"/>
        </w:rPr>
        <w:t xml:space="preserve"> and </w:t>
      </w:r>
      <w:r w:rsidR="00E45737">
        <w:rPr>
          <w:rFonts w:ascii="Calibri" w:eastAsia="Times New Roman" w:hAnsi="Calibri" w:cs="Calibri"/>
          <w:sz w:val="22"/>
          <w:szCs w:val="22"/>
          <w:lang w:eastAsia="en-US"/>
        </w:rPr>
        <w:t>almost €1</w:t>
      </w:r>
      <w:r w:rsidRPr="00261A28">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undrawn funds under the Group’s </w:t>
      </w:r>
      <w:r w:rsidRPr="00261A28">
        <w:rPr>
          <w:rFonts w:ascii="Calibri" w:eastAsia="Times New Roman" w:hAnsi="Calibri" w:cs="Calibri"/>
          <w:sz w:val="22"/>
          <w:szCs w:val="22"/>
          <w:lang w:eastAsia="en-US"/>
        </w:rPr>
        <w:t>€1.1BN</w:t>
      </w:r>
      <w:r w:rsidRPr="000E5963">
        <w:rPr>
          <w:rFonts w:ascii="Calibri" w:eastAsia="Times New Roman" w:hAnsi="Calibri" w:cs="Calibri"/>
          <w:sz w:val="22"/>
          <w:szCs w:val="22"/>
          <w:lang w:eastAsia="en-US"/>
        </w:rPr>
        <w:t xml:space="preserve"> revolving credit facility;</w:t>
      </w:r>
    </w:p>
    <w:p w14:paraId="7C33F738" w14:textId="55EE748F"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Group’s focus on cost reduction and cash management;</w:t>
      </w:r>
    </w:p>
    <w:bookmarkEnd w:id="13"/>
    <w:p w14:paraId="0A16A817" w14:textId="7D4D65DD" w:rsidR="003373EF" w:rsidRDefault="003373EF" w:rsidP="000E5963">
      <w:pPr>
        <w:numPr>
          <w:ilvl w:val="0"/>
          <w:numId w:val="38"/>
        </w:numPr>
        <w:spacing w:after="0" w:line="240" w:lineRule="auto"/>
        <w:ind w:right="283"/>
        <w:jc w:val="both"/>
        <w:rPr>
          <w:rFonts w:ascii="Calibri" w:eastAsia="Times New Roman" w:hAnsi="Calibri" w:cs="Calibri"/>
          <w:sz w:val="22"/>
          <w:szCs w:val="22"/>
          <w:lang w:eastAsia="en-US"/>
        </w:rPr>
      </w:pPr>
      <w:r w:rsidRPr="003373EF">
        <w:rPr>
          <w:rFonts w:ascii="Calibri" w:eastAsia="Times New Roman" w:hAnsi="Calibri" w:cs="Calibri"/>
          <w:sz w:val="22"/>
          <w:szCs w:val="22"/>
          <w:lang w:eastAsia="en-US"/>
        </w:rPr>
        <w:t xml:space="preserve">The Group’s solid BBB+ credit ratings from </w:t>
      </w:r>
      <w:r w:rsidR="00746711">
        <w:rPr>
          <w:rFonts w:ascii="Calibri" w:eastAsia="Times New Roman" w:hAnsi="Calibri" w:cs="Calibri"/>
          <w:sz w:val="22"/>
          <w:szCs w:val="22"/>
          <w:lang w:eastAsia="en-US"/>
        </w:rPr>
        <w:t xml:space="preserve">both </w:t>
      </w:r>
      <w:r w:rsidRPr="003373EF">
        <w:rPr>
          <w:rFonts w:ascii="Calibri" w:eastAsia="Times New Roman" w:hAnsi="Calibri" w:cs="Calibri"/>
          <w:sz w:val="22"/>
          <w:szCs w:val="22"/>
          <w:lang w:eastAsia="en-US"/>
        </w:rPr>
        <w:t>S&amp;P and Fitch Ratings;</w:t>
      </w:r>
    </w:p>
    <w:p w14:paraId="4A8DC81B" w14:textId="69A866F3"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strong balance sheet with its owned B737 fleet unencumbered; </w:t>
      </w:r>
    </w:p>
    <w:p w14:paraId="3C428B66" w14:textId="77777777"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Group’s access to the debt capital markets, unsecured/secured bank debt and sale and leaseback transactions;</w:t>
      </w:r>
    </w:p>
    <w:bookmarkEnd w:id="14"/>
    <w:p w14:paraId="5FEAAEDB" w14:textId="6CF435B5"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fuel hedging position </w:t>
      </w:r>
      <w:r w:rsidRPr="00B004A0">
        <w:rPr>
          <w:rFonts w:ascii="Calibri" w:eastAsia="Times New Roman" w:hAnsi="Calibri" w:cs="Calibri"/>
          <w:sz w:val="22"/>
          <w:szCs w:val="22"/>
          <w:lang w:eastAsia="en-US"/>
        </w:rPr>
        <w:t xml:space="preserve">(approx. </w:t>
      </w:r>
      <w:r w:rsidR="002430E1" w:rsidRPr="00B004A0">
        <w:rPr>
          <w:rFonts w:ascii="Calibri" w:eastAsia="Times New Roman" w:hAnsi="Calibri" w:cs="Calibri"/>
          <w:sz w:val="22"/>
          <w:szCs w:val="22"/>
          <w:lang w:eastAsia="en-US"/>
        </w:rPr>
        <w:t>84</w:t>
      </w:r>
      <w:r w:rsidRPr="00B004A0">
        <w:rPr>
          <w:rFonts w:ascii="Calibri" w:eastAsia="Times New Roman" w:hAnsi="Calibri" w:cs="Calibri"/>
          <w:sz w:val="22"/>
          <w:szCs w:val="22"/>
          <w:lang w:eastAsia="en-US"/>
        </w:rPr>
        <w:t xml:space="preserve">% of FY26 and </w:t>
      </w:r>
      <w:r w:rsidR="00F83F8F" w:rsidRPr="00B004A0">
        <w:rPr>
          <w:rFonts w:ascii="Calibri" w:eastAsia="Times New Roman" w:hAnsi="Calibri" w:cs="Calibri"/>
          <w:sz w:val="22"/>
          <w:szCs w:val="22"/>
          <w:lang w:eastAsia="en-US"/>
        </w:rPr>
        <w:t>58</w:t>
      </w:r>
      <w:r w:rsidRPr="00B004A0">
        <w:rPr>
          <w:rFonts w:ascii="Calibri" w:eastAsia="Times New Roman" w:hAnsi="Calibri" w:cs="Calibri"/>
          <w:sz w:val="22"/>
          <w:szCs w:val="22"/>
          <w:lang w:eastAsia="en-US"/>
        </w:rPr>
        <w:t>% of FY27</w:t>
      </w:r>
      <w:r w:rsidRPr="000E5963">
        <w:rPr>
          <w:rFonts w:ascii="Calibri" w:eastAsia="Times New Roman" w:hAnsi="Calibri" w:cs="Calibri"/>
          <w:sz w:val="22"/>
          <w:szCs w:val="22"/>
          <w:lang w:eastAsia="en-US"/>
        </w:rPr>
        <w:t xml:space="preserve"> jet fuel requirements were hedged at </w:t>
      </w:r>
      <w:r w:rsidR="00DD3754">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and</w:t>
      </w:r>
    </w:p>
    <w:p w14:paraId="4942E97D" w14:textId="7E7D0C13" w:rsidR="000E5963" w:rsidRPr="000E5963" w:rsidRDefault="000E5963" w:rsidP="000E5963">
      <w:pPr>
        <w:numPr>
          <w:ilvl w:val="0"/>
          <w:numId w:val="38"/>
        </w:num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ability, as evidenced throughout downturns (such as the Covid-19 </w:t>
      </w:r>
      <w:r w:rsidR="00746711">
        <w:rPr>
          <w:rFonts w:ascii="Calibri" w:eastAsia="Times New Roman" w:hAnsi="Calibri" w:cs="Calibri"/>
          <w:sz w:val="22"/>
          <w:szCs w:val="22"/>
          <w:lang w:eastAsia="en-US"/>
        </w:rPr>
        <w:t>pandemic</w:t>
      </w:r>
      <w:r w:rsidRPr="000E5963">
        <w:rPr>
          <w:rFonts w:ascii="Calibri" w:eastAsia="Times New Roman" w:hAnsi="Calibri" w:cs="Calibri"/>
          <w:sz w:val="22"/>
          <w:szCs w:val="22"/>
          <w:lang w:eastAsia="en-US"/>
        </w:rPr>
        <w:t>), to preserve cash and reduce operational and capital expenditure.</w:t>
      </w:r>
    </w:p>
    <w:p w14:paraId="270449C3" w14:textId="77777777" w:rsidR="000E5963" w:rsidRPr="000E5963" w:rsidRDefault="000E5963" w:rsidP="000E5963">
      <w:pPr>
        <w:spacing w:after="0" w:line="240" w:lineRule="auto"/>
        <w:ind w:right="283"/>
        <w:jc w:val="center"/>
        <w:rPr>
          <w:rFonts w:ascii="Calibri" w:eastAsia="Times New Roman" w:hAnsi="Calibri" w:cs="Calibri"/>
          <w:b/>
          <w:bCs/>
          <w:sz w:val="22"/>
          <w:szCs w:val="22"/>
          <w:lang w:val="en-IE" w:eastAsia="en-US"/>
        </w:rPr>
      </w:pPr>
      <w:r w:rsidRPr="000E5963">
        <w:rPr>
          <w:rFonts w:ascii="Calibri" w:eastAsia="Times New Roman" w:hAnsi="Calibri" w:cs="Calibri"/>
          <w:b/>
          <w:lang w:val="en-IE" w:eastAsia="en-US"/>
        </w:rPr>
        <w:br w:type="page"/>
      </w:r>
      <w:r w:rsidRPr="000E5963">
        <w:rPr>
          <w:rFonts w:ascii="Calibri" w:eastAsia="Times New Roman" w:hAnsi="Calibri" w:cs="Calibri"/>
          <w:b/>
          <w:bCs/>
          <w:lang w:val="en-IE" w:eastAsia="en-US"/>
        </w:rPr>
        <w:lastRenderedPageBreak/>
        <w:t>Ryanair Holdings plc and Subsidiaries</w:t>
      </w:r>
    </w:p>
    <w:p w14:paraId="6A8E8026" w14:textId="77777777" w:rsidR="000E5963" w:rsidRPr="003B3F93" w:rsidRDefault="000E5963" w:rsidP="000E5963">
      <w:pPr>
        <w:tabs>
          <w:tab w:val="left" w:pos="-600"/>
          <w:tab w:val="left" w:pos="6120"/>
          <w:tab w:val="left" w:pos="6360"/>
          <w:tab w:val="left" w:pos="7800"/>
        </w:tabs>
        <w:spacing w:after="0" w:line="300" w:lineRule="exact"/>
        <w:ind w:right="283"/>
        <w:jc w:val="center"/>
        <w:rPr>
          <w:rFonts w:ascii="Calibri" w:hAnsi="Calibri" w:cs="Calibri"/>
          <w:b/>
          <w:lang w:val="en-IE"/>
        </w:rPr>
      </w:pPr>
      <w:r w:rsidRPr="003B3F93">
        <w:rPr>
          <w:rFonts w:ascii="Calibri" w:eastAsia="Times New Roman" w:hAnsi="Calibri" w:cs="Calibri"/>
          <w:b/>
          <w:lang w:val="en-IE" w:eastAsia="en-US"/>
        </w:rPr>
        <w:t>N</w:t>
      </w:r>
      <w:r w:rsidRPr="003B3F93">
        <w:rPr>
          <w:rFonts w:ascii="Calibri" w:hAnsi="Calibri" w:cs="Calibri"/>
          <w:b/>
          <w:lang w:val="en-IE"/>
        </w:rPr>
        <w:t>otes forming Part of the Condensed Consolidated</w:t>
      </w:r>
    </w:p>
    <w:p w14:paraId="77D7287D" w14:textId="77777777" w:rsidR="000E5963" w:rsidRPr="000E5963" w:rsidRDefault="000E5963" w:rsidP="000E5963">
      <w:pPr>
        <w:spacing w:after="0" w:line="300" w:lineRule="exact"/>
        <w:ind w:right="283"/>
        <w:jc w:val="center"/>
        <w:rPr>
          <w:rFonts w:ascii="Calibri" w:eastAsia="Times New Roman" w:hAnsi="Calibri" w:cs="Calibri"/>
          <w:b/>
          <w:lang w:val="en-IE" w:eastAsia="en-US"/>
        </w:rPr>
      </w:pPr>
      <w:r w:rsidRPr="000E5963">
        <w:rPr>
          <w:rFonts w:ascii="Calibri" w:eastAsia="Times New Roman" w:hAnsi="Calibri" w:cs="Calibri"/>
          <w:b/>
          <w:lang w:val="en-IE" w:eastAsia="en-US"/>
        </w:rPr>
        <w:t>Interim Financial Statements</w:t>
      </w:r>
    </w:p>
    <w:p w14:paraId="143938D3" w14:textId="77777777" w:rsidR="000E5963" w:rsidRPr="000E5963" w:rsidRDefault="000E5963" w:rsidP="000E5963">
      <w:pPr>
        <w:spacing w:after="0" w:line="240" w:lineRule="auto"/>
        <w:ind w:right="283"/>
        <w:rPr>
          <w:rFonts w:ascii="Calibri" w:eastAsia="Times New Roman" w:hAnsi="Calibri" w:cs="Calibri"/>
          <w:b/>
          <w:lang w:val="en-IE" w:eastAsia="en-US"/>
        </w:rPr>
      </w:pPr>
    </w:p>
    <w:p w14:paraId="7245C267" w14:textId="77777777" w:rsidR="000E5963" w:rsidRPr="000E5963" w:rsidRDefault="000E5963" w:rsidP="000E5963">
      <w:pPr>
        <w:keepNext/>
        <w:numPr>
          <w:ilvl w:val="0"/>
          <w:numId w:val="16"/>
        </w:numPr>
        <w:spacing w:after="0" w:line="240" w:lineRule="auto"/>
        <w:ind w:right="283"/>
        <w:jc w:val="both"/>
        <w:outlineLvl w:val="0"/>
        <w:rPr>
          <w:rFonts w:ascii="Calibri" w:eastAsia="Times New Roman" w:hAnsi="Calibri" w:cs="Calibri"/>
          <w:b/>
          <w:sz w:val="22"/>
          <w:szCs w:val="22"/>
          <w:lang w:eastAsia="en-US"/>
        </w:rPr>
      </w:pPr>
      <w:bookmarkStart w:id="15" w:name="_Hlk170911154"/>
      <w:bookmarkStart w:id="16" w:name="_Hlk201840744"/>
      <w:r w:rsidRPr="000E5963">
        <w:rPr>
          <w:rFonts w:ascii="Calibri" w:eastAsia="Times New Roman" w:hAnsi="Calibri" w:cs="Calibri"/>
          <w:b/>
          <w:sz w:val="22"/>
          <w:szCs w:val="22"/>
          <w:lang w:eastAsia="en-US"/>
        </w:rPr>
        <w:t>Basis of preparation and material accounting policies</w:t>
      </w:r>
    </w:p>
    <w:p w14:paraId="793FDBC1"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21DE8283" w14:textId="7A83CA39"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Ryanair Holdings plc (the “Company”) is a company domiciled in Ireland. The unaudited condensed consolidated interim financial statements for the </w:t>
      </w:r>
      <w:r w:rsidR="00DD3754">
        <w:rPr>
          <w:rFonts w:ascii="Calibri" w:eastAsia="Times New Roman" w:hAnsi="Calibri" w:cs="Calibri"/>
          <w:sz w:val="22"/>
          <w:szCs w:val="22"/>
          <w:lang w:eastAsia="en-US"/>
        </w:rPr>
        <w:t>half-year ended</w:t>
      </w:r>
      <w:r w:rsidRPr="000E5963">
        <w:rPr>
          <w:rFonts w:ascii="Calibri" w:eastAsia="Times New Roman" w:hAnsi="Calibri" w:cs="Calibri"/>
          <w:sz w:val="22"/>
          <w:szCs w:val="22"/>
          <w:lang w:eastAsia="en-US"/>
        </w:rPr>
        <w:t xml:space="preserve"> </w:t>
      </w:r>
      <w:r w:rsidR="00D663CC">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w:t>
      </w:r>
      <w:r w:rsidR="005E18F5">
        <w:rPr>
          <w:rFonts w:ascii="Calibri" w:eastAsia="Times New Roman" w:hAnsi="Calibri" w:cs="Calibri"/>
          <w:sz w:val="22"/>
          <w:szCs w:val="22"/>
          <w:lang w:eastAsia="en-US"/>
        </w:rPr>
        <w:t>H</w:t>
      </w:r>
      <w:r w:rsidRPr="000E5963">
        <w:rPr>
          <w:rFonts w:ascii="Calibri" w:eastAsia="Times New Roman" w:hAnsi="Calibri" w:cs="Calibri"/>
          <w:sz w:val="22"/>
          <w:szCs w:val="22"/>
          <w:lang w:eastAsia="en-US"/>
        </w:rPr>
        <w:t xml:space="preserve">1 FY26”) comprise the results of the Company and its subsidiaries (together referred to as the “Group”). </w:t>
      </w:r>
    </w:p>
    <w:p w14:paraId="704197C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1F67C1D9"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These unaudited condensed consolidated interim financial statements (“the interim financial statements”), which should be read in conjunction with our 2025 Annual Report for the year ended March 31, 2025, have been prepared in accordance with IAS 34 Interim Financial Reporting as adopted by the EU (“IAS 34”). They do not include all of the information required for full annual financial statements and should be read in conjunction with the most recent published consolidated financial statements of the Group. The consolidated financial statements of the Group as at and for the year ended March 31, 2025, are available at http://investor.ryanair.com/. </w:t>
      </w:r>
    </w:p>
    <w:p w14:paraId="6A8469B0"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74D7663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In adopting the going concern basis in preparing the interim financial statements, the Directors have considered Ryanair’s available sources of finance including access to the capital markets, sale and leaseback transactions, secured and unsecured debt structures, undrawn funds under the Group’s revolving credit facility, the Group’s cash on-hand and cash generation and preservation projections, together with factors likely to affect its future performance, as well as the Group’s principal risks and uncertainties. </w:t>
      </w:r>
    </w:p>
    <w:p w14:paraId="06785D2A"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529AD55F" w14:textId="2CF83CE3"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w:t>
      </w:r>
      <w:r w:rsidR="00F4467F">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figures and the </w:t>
      </w:r>
      <w:r w:rsidR="00F4467F">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2024 comparative figures do not include all of the information required for full annual financial statements and therefore do not constitute statutory financial statements of the Group within the meaning of the Companies Act, 2014. The consolidated financial statements of the Group for the year ended March 31, 2025, together with the independent auditor’s report thereon, are available on the Company’s Website and will be filed with the Irish Registrar of Companies. The accounting policies, presentation and methods of computation followed in the interim financial statements are consistent with those applied in the Company’s latest Annual Report.</w:t>
      </w:r>
    </w:p>
    <w:p w14:paraId="18F8716F"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0E247396" w14:textId="26B889A6"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Audit Committee, upon delegation of authority by the Board of Directors, approved the interim financial statements for the </w:t>
      </w:r>
      <w:r w:rsidR="00E25E3B">
        <w:rPr>
          <w:rFonts w:ascii="Calibri" w:eastAsia="Times New Roman" w:hAnsi="Calibri" w:cs="Calibri"/>
          <w:sz w:val="22"/>
          <w:szCs w:val="22"/>
          <w:lang w:eastAsia="en-US"/>
        </w:rPr>
        <w:t xml:space="preserve">half-year </w:t>
      </w:r>
      <w:r w:rsidRPr="000E5963">
        <w:rPr>
          <w:rFonts w:ascii="Calibri" w:eastAsia="Times New Roman" w:hAnsi="Calibri" w:cs="Calibri"/>
          <w:sz w:val="22"/>
          <w:szCs w:val="22"/>
          <w:lang w:eastAsia="en-US"/>
        </w:rPr>
        <w:t xml:space="preserve">ended </w:t>
      </w:r>
      <w:r w:rsidR="00E25E3B">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w:t>
      </w:r>
      <w:r w:rsidRPr="00F81E0E">
        <w:rPr>
          <w:rFonts w:ascii="Calibri" w:eastAsia="Times New Roman" w:hAnsi="Calibri" w:cs="Calibri"/>
          <w:sz w:val="22"/>
          <w:szCs w:val="22"/>
          <w:lang w:eastAsia="en-US"/>
        </w:rPr>
        <w:t xml:space="preserve">on </w:t>
      </w:r>
      <w:r w:rsidR="00311BAD" w:rsidRPr="00F81E0E">
        <w:rPr>
          <w:rFonts w:ascii="Calibri" w:eastAsia="Times New Roman" w:hAnsi="Calibri" w:cs="Calibri"/>
          <w:sz w:val="22"/>
          <w:szCs w:val="22"/>
          <w:lang w:eastAsia="en-US"/>
        </w:rPr>
        <w:t>October</w:t>
      </w:r>
      <w:r w:rsidRPr="00F81E0E">
        <w:rPr>
          <w:rFonts w:ascii="Calibri" w:eastAsia="Times New Roman" w:hAnsi="Calibri" w:cs="Calibri"/>
          <w:sz w:val="22"/>
          <w:szCs w:val="22"/>
          <w:lang w:eastAsia="en-US"/>
        </w:rPr>
        <w:t xml:space="preserve"> </w:t>
      </w:r>
      <w:r w:rsidR="00311BAD" w:rsidRPr="00F81E0E">
        <w:rPr>
          <w:rFonts w:ascii="Calibri" w:eastAsia="Times New Roman" w:hAnsi="Calibri" w:cs="Calibri"/>
          <w:sz w:val="22"/>
          <w:szCs w:val="22"/>
          <w:lang w:eastAsia="en-US"/>
        </w:rPr>
        <w:t>31</w:t>
      </w:r>
      <w:r w:rsidRPr="00F81E0E">
        <w:rPr>
          <w:rFonts w:ascii="Calibri" w:eastAsia="Times New Roman" w:hAnsi="Calibri" w:cs="Calibri"/>
          <w:sz w:val="22"/>
          <w:szCs w:val="22"/>
          <w:lang w:eastAsia="en-US"/>
        </w:rPr>
        <w:t>, 2025.</w:t>
      </w:r>
    </w:p>
    <w:p w14:paraId="2773072D"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68D80195" w14:textId="77777777" w:rsidR="00930C52" w:rsidRPr="000E5963" w:rsidRDefault="00930C52" w:rsidP="00930C52">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Except as stated otherwise below, the interim financial statements for the </w:t>
      </w:r>
      <w:r>
        <w:rPr>
          <w:rFonts w:ascii="Calibri" w:eastAsia="Times New Roman" w:hAnsi="Calibri" w:cs="Calibri"/>
          <w:sz w:val="22"/>
          <w:szCs w:val="22"/>
          <w:lang w:eastAsia="en-US"/>
        </w:rPr>
        <w:t>half-year</w:t>
      </w:r>
      <w:r w:rsidRPr="000E5963">
        <w:rPr>
          <w:rFonts w:ascii="Calibri" w:eastAsia="Times New Roman" w:hAnsi="Calibri" w:cs="Calibri"/>
          <w:sz w:val="22"/>
          <w:szCs w:val="22"/>
          <w:lang w:eastAsia="en-US"/>
        </w:rPr>
        <w:t xml:space="preserve"> ended </w:t>
      </w:r>
      <w:r>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have been prepared in accordance with the accounting policies set out in the Group’s most recent published consolidated financial statements, which were </w:t>
      </w:r>
      <w:r>
        <w:rPr>
          <w:rFonts w:ascii="Calibri" w:eastAsia="Times New Roman" w:hAnsi="Calibri" w:cs="Calibri"/>
          <w:sz w:val="22"/>
          <w:szCs w:val="22"/>
          <w:lang w:eastAsia="en-US"/>
        </w:rPr>
        <w:t xml:space="preserve">prepared in accordance with </w:t>
      </w:r>
      <w:r w:rsidRPr="008D1E9D">
        <w:rPr>
          <w:rFonts w:ascii="Calibri" w:eastAsia="Times New Roman" w:hAnsi="Calibri" w:cs="Calibri"/>
          <w:sz w:val="22"/>
          <w:szCs w:val="22"/>
          <w:lang w:eastAsia="en-US"/>
        </w:rPr>
        <w:t>International Financial Reporting Standards (IFRSs) as adopted by the European Union and IFRS Accounting standards as issued by the International Accounting Standards Board.</w:t>
      </w:r>
    </w:p>
    <w:p w14:paraId="77D07F05" w14:textId="178C6A8E" w:rsidR="000E5963" w:rsidRPr="000E5963" w:rsidRDefault="000E5963" w:rsidP="000E5963">
      <w:pPr>
        <w:autoSpaceDE w:val="0"/>
        <w:autoSpaceDN w:val="0"/>
        <w:adjustRightInd w:val="0"/>
        <w:spacing w:after="0" w:line="240" w:lineRule="auto"/>
        <w:ind w:right="-143"/>
        <w:jc w:val="both"/>
        <w:rPr>
          <w:rFonts w:ascii="Calibri" w:eastAsia="Times New Roman" w:hAnsi="Calibri" w:cs="Calibri"/>
          <w:sz w:val="22"/>
          <w:szCs w:val="22"/>
          <w:lang w:eastAsia="en-US"/>
        </w:rPr>
      </w:pPr>
    </w:p>
    <w:bookmarkEnd w:id="15"/>
    <w:p w14:paraId="3AF4B467" w14:textId="494B7682" w:rsidR="000E5963" w:rsidRPr="000E5963" w:rsidRDefault="000E5963" w:rsidP="000E5963">
      <w:pPr>
        <w:autoSpaceDE w:val="0"/>
        <w:autoSpaceDN w:val="0"/>
        <w:adjustRightInd w:val="0"/>
        <w:spacing w:after="0" w:line="240" w:lineRule="auto"/>
        <w:ind w:right="-143"/>
        <w:jc w:val="both"/>
        <w:rPr>
          <w:rFonts w:ascii="Calibri" w:eastAsia="Times New Roman" w:hAnsi="Calibri" w:cs="Calibri"/>
          <w:i/>
          <w:iCs/>
          <w:sz w:val="22"/>
          <w:szCs w:val="22"/>
          <w:lang w:eastAsia="en-US"/>
        </w:rPr>
      </w:pPr>
      <w:r w:rsidRPr="000E5963">
        <w:rPr>
          <w:rFonts w:ascii="Calibri" w:eastAsia="Times New Roman" w:hAnsi="Calibri" w:cs="Calibri"/>
          <w:i/>
          <w:iCs/>
          <w:sz w:val="22"/>
          <w:szCs w:val="22"/>
          <w:lang w:eastAsia="en-US"/>
        </w:rPr>
        <w:t>New IFRS standards</w:t>
      </w:r>
      <w:r w:rsidR="0008276F">
        <w:rPr>
          <w:rFonts w:ascii="Calibri" w:eastAsia="Times New Roman" w:hAnsi="Calibri" w:cs="Calibri"/>
          <w:i/>
          <w:iCs/>
          <w:sz w:val="22"/>
          <w:szCs w:val="22"/>
          <w:lang w:eastAsia="en-US"/>
        </w:rPr>
        <w:t xml:space="preserve"> and amendments</w:t>
      </w:r>
      <w:r w:rsidRPr="000E5963">
        <w:rPr>
          <w:rFonts w:ascii="Calibri" w:eastAsia="Times New Roman" w:hAnsi="Calibri" w:cs="Calibri"/>
          <w:i/>
          <w:iCs/>
          <w:sz w:val="22"/>
          <w:szCs w:val="22"/>
          <w:lang w:eastAsia="en-US"/>
        </w:rPr>
        <w:t xml:space="preserve"> adopted during the period </w:t>
      </w:r>
    </w:p>
    <w:bookmarkEnd w:id="16"/>
    <w:p w14:paraId="7B42B4DA" w14:textId="77777777" w:rsidR="00DA3E79" w:rsidRPr="00DA3E79" w:rsidRDefault="00DA3E79" w:rsidP="00DA3E79">
      <w:pPr>
        <w:tabs>
          <w:tab w:val="num" w:pos="0"/>
        </w:tabs>
        <w:spacing w:after="0" w:line="240" w:lineRule="auto"/>
        <w:ind w:right="283"/>
        <w:jc w:val="both"/>
        <w:rPr>
          <w:rFonts w:ascii="Calibri" w:eastAsia="Times New Roman" w:hAnsi="Calibri" w:cs="Calibri"/>
          <w:sz w:val="22"/>
          <w:szCs w:val="22"/>
        </w:rPr>
      </w:pPr>
      <w:r w:rsidRPr="00DA3E79">
        <w:rPr>
          <w:rFonts w:ascii="Calibri" w:eastAsia="Times New Roman" w:hAnsi="Calibri" w:cs="Calibri"/>
          <w:sz w:val="22"/>
          <w:szCs w:val="22"/>
        </w:rPr>
        <w:t>The following new and amended IFRS standards, amendments and IFRIC interpretations, have been issued by the IASB, and have also been endorsed by the EU unless stated otherwise. These standards are effective for the first time for the Group’s financial year beginning on April 1, 2025 and therefore have been applied by the Group in these condensed consolidated interim financial statements:</w:t>
      </w:r>
    </w:p>
    <w:p w14:paraId="49210F9F" w14:textId="77777777" w:rsidR="00DA3E79" w:rsidRPr="00DA3E79" w:rsidRDefault="00DA3E79" w:rsidP="00DA3E79">
      <w:pPr>
        <w:autoSpaceDE w:val="0"/>
        <w:autoSpaceDN w:val="0"/>
        <w:adjustRightInd w:val="0"/>
        <w:spacing w:after="0" w:line="240" w:lineRule="auto"/>
        <w:ind w:right="-143"/>
        <w:jc w:val="both"/>
        <w:rPr>
          <w:rFonts w:ascii="Calibri" w:eastAsia="Times New Roman" w:hAnsi="Calibri" w:cs="Calibri"/>
          <w:sz w:val="22"/>
          <w:szCs w:val="22"/>
        </w:rPr>
      </w:pPr>
    </w:p>
    <w:p w14:paraId="14612D7E" w14:textId="77777777" w:rsidR="00DA3E79" w:rsidRPr="00DA3E79" w:rsidRDefault="00DA3E79" w:rsidP="00DA3E7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lang w:val="en-IE"/>
        </w:rPr>
      </w:pPr>
      <w:r w:rsidRPr="00DA3E79">
        <w:rPr>
          <w:rFonts w:ascii="Calibri" w:eastAsia="Times New Roman" w:hAnsi="Calibri" w:cs="Calibri"/>
          <w:sz w:val="22"/>
          <w:szCs w:val="22"/>
          <w:lang w:val="en-IE"/>
        </w:rPr>
        <w:t>Amendments to IAS 21 The Effects of Changes in Foreign Exchange Rates: Lack of Exchangeability (effective on or after January 1, 2025).</w:t>
      </w:r>
    </w:p>
    <w:p w14:paraId="6F1AEF5F" w14:textId="77777777" w:rsidR="00DA3E79" w:rsidRPr="00DA3E79" w:rsidRDefault="00DA3E79" w:rsidP="00DA3E79">
      <w:pPr>
        <w:autoSpaceDE w:val="0"/>
        <w:autoSpaceDN w:val="0"/>
        <w:adjustRightInd w:val="0"/>
        <w:spacing w:after="0" w:line="240" w:lineRule="auto"/>
        <w:ind w:right="283"/>
        <w:jc w:val="both"/>
        <w:rPr>
          <w:rFonts w:ascii="Calibri" w:eastAsia="Times New Roman" w:hAnsi="Calibri" w:cs="Calibri"/>
          <w:sz w:val="22"/>
          <w:szCs w:val="22"/>
          <w:lang w:val="en-IE"/>
        </w:rPr>
      </w:pPr>
    </w:p>
    <w:p w14:paraId="775DFCFB" w14:textId="77777777" w:rsidR="00DA3E79" w:rsidRPr="00DA3E79" w:rsidRDefault="00DA3E79" w:rsidP="00DA3E79">
      <w:pPr>
        <w:autoSpaceDE w:val="0"/>
        <w:autoSpaceDN w:val="0"/>
        <w:adjustRightInd w:val="0"/>
        <w:spacing w:after="0" w:line="240" w:lineRule="auto"/>
        <w:ind w:right="283"/>
        <w:jc w:val="both"/>
        <w:rPr>
          <w:rFonts w:ascii="Calibri" w:eastAsia="Times New Roman" w:hAnsi="Calibri" w:cs="Calibri"/>
          <w:sz w:val="22"/>
          <w:szCs w:val="22"/>
          <w:lang w:val="en-IE"/>
        </w:rPr>
      </w:pPr>
      <w:r w:rsidRPr="00DA3E79">
        <w:rPr>
          <w:rFonts w:ascii="Calibri" w:eastAsia="Times New Roman" w:hAnsi="Calibri" w:cs="Calibri"/>
          <w:sz w:val="22"/>
          <w:szCs w:val="22"/>
          <w:lang w:val="en-IE"/>
        </w:rPr>
        <w:t>The adoption of these new or amended standards did not have a material impact on the Group’s financial position or results in the half-year ended September 30, 2025, and are not expected to have a material impact on financial periods thereafter.</w:t>
      </w:r>
    </w:p>
    <w:p w14:paraId="6BBF118E" w14:textId="77777777" w:rsidR="00DA3E79" w:rsidRPr="00DA3E79" w:rsidRDefault="00DA3E79" w:rsidP="00DA3E79">
      <w:pPr>
        <w:autoSpaceDE w:val="0"/>
        <w:autoSpaceDN w:val="0"/>
        <w:adjustRightInd w:val="0"/>
        <w:spacing w:after="0" w:line="240" w:lineRule="auto"/>
        <w:ind w:right="283"/>
        <w:jc w:val="both"/>
        <w:rPr>
          <w:rFonts w:ascii="Calibri" w:eastAsia="Times New Roman" w:hAnsi="Calibri" w:cs="Calibri"/>
          <w:sz w:val="22"/>
          <w:szCs w:val="22"/>
          <w:lang w:val="en-IE"/>
        </w:rPr>
      </w:pPr>
    </w:p>
    <w:p w14:paraId="1C1175D7" w14:textId="77777777" w:rsidR="00DA3E79" w:rsidRPr="00DA3E79" w:rsidRDefault="00DA3E79" w:rsidP="00DA3E79">
      <w:pPr>
        <w:autoSpaceDE w:val="0"/>
        <w:autoSpaceDN w:val="0"/>
        <w:adjustRightInd w:val="0"/>
        <w:spacing w:after="0" w:line="240" w:lineRule="auto"/>
        <w:ind w:right="283"/>
        <w:jc w:val="both"/>
        <w:rPr>
          <w:rFonts w:ascii="Calibri" w:eastAsia="Times New Roman" w:hAnsi="Calibri" w:cs="Calibri"/>
          <w:sz w:val="22"/>
          <w:szCs w:val="22"/>
        </w:rPr>
      </w:pPr>
      <w:r w:rsidRPr="00DA3E79">
        <w:rPr>
          <w:rFonts w:ascii="Calibri" w:eastAsia="MS Mincho" w:hAnsi="Calibri" w:cs="Calibri"/>
          <w:i/>
          <w:iCs/>
          <w:sz w:val="22"/>
          <w:szCs w:val="22"/>
          <w:lang w:val="en-IE"/>
        </w:rPr>
        <w:t>Prospective IFRS accounting changes</w:t>
      </w:r>
      <w:r w:rsidRPr="00DA3E79">
        <w:rPr>
          <w:rFonts w:ascii="Calibri" w:eastAsia="MS Mincho" w:hAnsi="Calibri" w:cs="Calibri"/>
          <w:i/>
          <w:sz w:val="22"/>
          <w:szCs w:val="22"/>
          <w:lang w:val="en-IE"/>
        </w:rPr>
        <w:t xml:space="preserve">, new standards and interpretations not yet effective </w:t>
      </w:r>
    </w:p>
    <w:p w14:paraId="64E27951" w14:textId="77777777" w:rsidR="00DA3E79" w:rsidRPr="00DA3E79" w:rsidRDefault="00DA3E79" w:rsidP="00DA3E79">
      <w:pPr>
        <w:tabs>
          <w:tab w:val="num" w:pos="0"/>
        </w:tabs>
        <w:spacing w:after="0" w:line="240" w:lineRule="auto"/>
        <w:ind w:right="283"/>
        <w:jc w:val="both"/>
        <w:rPr>
          <w:rFonts w:ascii="Calibri" w:eastAsia="Times New Roman" w:hAnsi="Calibri" w:cs="Calibri"/>
          <w:sz w:val="22"/>
          <w:szCs w:val="22"/>
        </w:rPr>
      </w:pPr>
      <w:r w:rsidRPr="00DA3E79">
        <w:rPr>
          <w:rFonts w:ascii="Calibri" w:eastAsia="Times New Roman" w:hAnsi="Calibri" w:cs="Calibri"/>
          <w:sz w:val="22"/>
          <w:szCs w:val="22"/>
        </w:rPr>
        <w:t xml:space="preserve">The following new or revised IFRS standards and IFRIC interpretations will be adopted for the purposes of the preparation of future financial statements, where applicable. Those that are not, as of yet, EU endorsed are flagged. </w:t>
      </w:r>
      <w:r w:rsidRPr="00DA3E79">
        <w:rPr>
          <w:rFonts w:ascii="Calibri" w:eastAsia="Times New Roman" w:hAnsi="Calibri" w:cs="Calibri"/>
          <w:sz w:val="22"/>
          <w:szCs w:val="22"/>
        </w:rPr>
        <w:lastRenderedPageBreak/>
        <w:t>While under review, we do not anticipate that the adoption of the other new or revised standards and interpretations will have a material impact on our financial position or results from operations:</w:t>
      </w:r>
    </w:p>
    <w:p w14:paraId="5F550BD0" w14:textId="77777777" w:rsidR="00DA3E79" w:rsidRPr="00DA3E79" w:rsidRDefault="00DA3E79" w:rsidP="00DA3E79">
      <w:pPr>
        <w:autoSpaceDE w:val="0"/>
        <w:autoSpaceDN w:val="0"/>
        <w:adjustRightInd w:val="0"/>
        <w:spacing w:after="0" w:line="240" w:lineRule="auto"/>
        <w:ind w:right="-143"/>
        <w:jc w:val="both"/>
        <w:rPr>
          <w:rFonts w:ascii="Calibri" w:eastAsia="Times New Roman" w:hAnsi="Calibri" w:cs="Calibri"/>
          <w:sz w:val="22"/>
          <w:szCs w:val="22"/>
        </w:rPr>
      </w:pPr>
    </w:p>
    <w:p w14:paraId="5CB32046" w14:textId="77777777" w:rsidR="00DA3E79" w:rsidRPr="00DA3E79" w:rsidRDefault="00DA3E79" w:rsidP="00DA3E7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rPr>
      </w:pPr>
      <w:r w:rsidRPr="00DA3E79">
        <w:rPr>
          <w:rFonts w:ascii="Calibri" w:eastAsia="Times New Roman" w:hAnsi="Calibri" w:cs="Calibri"/>
          <w:sz w:val="22"/>
          <w:szCs w:val="22"/>
        </w:rPr>
        <w:t>IFRS 19 Subsidiaries without Public Accountability: Disclosures (effective on or after January 1, 2027).*</w:t>
      </w:r>
    </w:p>
    <w:p w14:paraId="5EEA04FB" w14:textId="77777777" w:rsidR="00DA3E79" w:rsidRPr="00DA3E79" w:rsidRDefault="00DA3E79" w:rsidP="00DA3E7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rPr>
      </w:pPr>
      <w:r w:rsidRPr="00DA3E79">
        <w:rPr>
          <w:rFonts w:ascii="Calibri" w:eastAsia="Times New Roman" w:hAnsi="Calibri" w:cs="Calibri"/>
          <w:sz w:val="22"/>
          <w:szCs w:val="22"/>
        </w:rPr>
        <w:t>IFRS 18 Presentation and Disclosure in Financial Statements (effective on or after January 1, 2027).*</w:t>
      </w:r>
    </w:p>
    <w:p w14:paraId="52CDEC12" w14:textId="77777777" w:rsidR="00DA3E79" w:rsidRPr="00DA3E79" w:rsidRDefault="00DA3E79" w:rsidP="00DA3E7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rPr>
      </w:pPr>
      <w:r w:rsidRPr="00DA3E79">
        <w:rPr>
          <w:rFonts w:ascii="Calibri" w:eastAsia="Times New Roman" w:hAnsi="Calibri" w:cs="Calibri"/>
          <w:sz w:val="22"/>
          <w:szCs w:val="22"/>
        </w:rPr>
        <w:t>Amendments to IFRS 19 Subsidiaries without Public Accountability: Disclosures (effective on or after January 1, 2027).*</w:t>
      </w:r>
    </w:p>
    <w:p w14:paraId="40E6550B" w14:textId="77777777" w:rsidR="00DA3E79" w:rsidRPr="00DA3E79" w:rsidRDefault="00DA3E79" w:rsidP="00DA3E7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rPr>
      </w:pPr>
      <w:r w:rsidRPr="00DA3E79">
        <w:rPr>
          <w:rFonts w:ascii="Calibri" w:eastAsia="Times New Roman" w:hAnsi="Calibri" w:cs="Calibri"/>
          <w:sz w:val="22"/>
          <w:szCs w:val="22"/>
        </w:rPr>
        <w:t>Annual Improvements Volume 11 (effective on or after January 1, 2026).</w:t>
      </w:r>
    </w:p>
    <w:p w14:paraId="5F594D0D" w14:textId="77777777" w:rsidR="00DA3E79" w:rsidRPr="00DA3E79" w:rsidRDefault="00DA3E79" w:rsidP="00DA3E7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lang w:val="en-IE"/>
        </w:rPr>
      </w:pPr>
      <w:r w:rsidRPr="00DA3E79">
        <w:rPr>
          <w:rFonts w:ascii="Calibri" w:eastAsia="Times New Roman" w:hAnsi="Calibri" w:cs="Calibri"/>
          <w:sz w:val="22"/>
          <w:szCs w:val="22"/>
          <w:lang w:val="en-IE"/>
        </w:rPr>
        <w:t>Contracts Referencing Nature-dependent Electricity – Amendments to IFRS 9 and IFRS 7 (effective on or after January 1, 2026).</w:t>
      </w:r>
    </w:p>
    <w:p w14:paraId="7FEDE58D" w14:textId="77777777" w:rsidR="00DA3E79" w:rsidRPr="00DA3E79" w:rsidRDefault="00DA3E79" w:rsidP="00DA3E79">
      <w:pPr>
        <w:numPr>
          <w:ilvl w:val="0"/>
          <w:numId w:val="41"/>
        </w:numPr>
        <w:autoSpaceDE w:val="0"/>
        <w:autoSpaceDN w:val="0"/>
        <w:adjustRightInd w:val="0"/>
        <w:spacing w:after="0" w:line="240" w:lineRule="auto"/>
        <w:ind w:left="709" w:right="283"/>
        <w:jc w:val="both"/>
        <w:rPr>
          <w:rFonts w:ascii="Calibri" w:eastAsia="Times New Roman" w:hAnsi="Calibri" w:cs="Calibri"/>
          <w:sz w:val="22"/>
          <w:szCs w:val="22"/>
          <w:lang w:val="en-IE"/>
        </w:rPr>
      </w:pPr>
      <w:r w:rsidRPr="00DA3E79">
        <w:rPr>
          <w:rFonts w:ascii="Calibri" w:eastAsia="Times New Roman" w:hAnsi="Calibri" w:cs="Calibri"/>
          <w:sz w:val="22"/>
          <w:szCs w:val="22"/>
          <w:lang w:val="en-IE"/>
        </w:rPr>
        <w:t>Amendments to the Classification and Measurement of Financial Instruments (Amendments to IFRS 9 and IFRS 7) (effective on or after January 1, 2026).</w:t>
      </w:r>
    </w:p>
    <w:p w14:paraId="648C5FC3" w14:textId="77777777" w:rsidR="00DA3E79" w:rsidRPr="004F69D7" w:rsidRDefault="00DA3E79" w:rsidP="00DA3E79">
      <w:pPr>
        <w:autoSpaceDE w:val="0"/>
        <w:autoSpaceDN w:val="0"/>
        <w:adjustRightInd w:val="0"/>
        <w:spacing w:after="0" w:line="240" w:lineRule="auto"/>
        <w:ind w:right="-143"/>
        <w:jc w:val="both"/>
        <w:rPr>
          <w:rFonts w:ascii="Calibri" w:eastAsia="Times New Roman" w:hAnsi="Calibri" w:cs="Calibri"/>
          <w:sz w:val="20"/>
          <w:szCs w:val="20"/>
        </w:rPr>
      </w:pPr>
      <w:r w:rsidRPr="004F69D7">
        <w:rPr>
          <w:rFonts w:ascii="Calibri" w:eastAsia="Times New Roman" w:hAnsi="Calibri" w:cs="Calibri"/>
          <w:sz w:val="20"/>
          <w:szCs w:val="20"/>
        </w:rPr>
        <w:t>*These standards or amendments to standards are not as of yet EU endorsed.</w:t>
      </w:r>
    </w:p>
    <w:p w14:paraId="4F5E5E13" w14:textId="77777777" w:rsidR="000E5963" w:rsidRPr="000E5963" w:rsidRDefault="000E5963" w:rsidP="000E5963">
      <w:pPr>
        <w:spacing w:after="0" w:line="240" w:lineRule="auto"/>
        <w:rPr>
          <w:rFonts w:ascii="Times New Roman" w:eastAsia="Times New Roman" w:hAnsi="Times New Roman" w:cs="Times New Roman"/>
          <w:lang w:eastAsia="en-US"/>
        </w:rPr>
      </w:pPr>
    </w:p>
    <w:p w14:paraId="724BE6E6" w14:textId="77777777" w:rsidR="000E5963" w:rsidRPr="000E5963" w:rsidRDefault="000E5963" w:rsidP="000E5963">
      <w:pPr>
        <w:keepNext/>
        <w:numPr>
          <w:ilvl w:val="0"/>
          <w:numId w:val="16"/>
        </w:numPr>
        <w:spacing w:after="0" w:line="240" w:lineRule="auto"/>
        <w:ind w:right="283"/>
        <w:jc w:val="both"/>
        <w:outlineLvl w:val="0"/>
        <w:rPr>
          <w:rFonts w:ascii="Calibri" w:eastAsia="Times New Roman" w:hAnsi="Calibri" w:cs="Calibri"/>
          <w:b/>
          <w:sz w:val="22"/>
          <w:szCs w:val="22"/>
          <w:lang w:eastAsia="en-US"/>
        </w:rPr>
      </w:pPr>
      <w:r w:rsidRPr="000E5963">
        <w:rPr>
          <w:rFonts w:ascii="Calibri" w:eastAsia="Times New Roman" w:hAnsi="Calibri" w:cs="Calibri"/>
          <w:b/>
          <w:sz w:val="22"/>
          <w:szCs w:val="22"/>
          <w:lang w:eastAsia="en-US"/>
        </w:rPr>
        <w:t>Judgements and estimates</w:t>
      </w:r>
    </w:p>
    <w:p w14:paraId="64E60A40"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68242D76" w14:textId="332A92A9"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preparation of financial statements in conformity with IFRS Accounting Standards requires management to make estimates, judgements and assumptions that affect the application of policies and reported amounts of assets and liabilities, income and expenses. These estimates and associated assumptions are based on historical experience and various other factors believed to be reasonable under the circumstances and the results of such estimates form the basis of carrying values of assets and liabilities that are not readily apparent from other sources. Actual results could differ materially from these estimates. These underlying assumptions are reviewed on an ongoing basis. A revision to an accounting estimate is </w:t>
      </w:r>
      <w:proofErr w:type="spellStart"/>
      <w:r w:rsidRPr="000E5963">
        <w:rPr>
          <w:rFonts w:ascii="Calibri" w:eastAsia="Times New Roman" w:hAnsi="Calibri" w:cs="Calibri"/>
          <w:sz w:val="22"/>
          <w:szCs w:val="22"/>
          <w:lang w:eastAsia="en-US"/>
        </w:rPr>
        <w:t>recognised</w:t>
      </w:r>
      <w:proofErr w:type="spellEnd"/>
      <w:r w:rsidRPr="000E5963">
        <w:rPr>
          <w:rFonts w:ascii="Calibri" w:eastAsia="Times New Roman" w:hAnsi="Calibri" w:cs="Calibri"/>
          <w:sz w:val="22"/>
          <w:szCs w:val="22"/>
          <w:lang w:eastAsia="en-US"/>
        </w:rPr>
        <w:t xml:space="preserve"> in the period in which the estimate is revised if the revision affects only that period or in the period of the revision and future periods if these are also affected. Principal sources of estimation uncertainty have been set forth below. Actual results may differ from estimates. </w:t>
      </w:r>
    </w:p>
    <w:p w14:paraId="4EF0FD8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0E3A1E73" w14:textId="77777777" w:rsidR="000E5963" w:rsidRPr="000E5963" w:rsidRDefault="000E5963" w:rsidP="000E5963">
      <w:pPr>
        <w:tabs>
          <w:tab w:val="num" w:pos="0"/>
        </w:tabs>
        <w:spacing w:after="0" w:line="240" w:lineRule="auto"/>
        <w:ind w:right="283"/>
        <w:jc w:val="both"/>
        <w:rPr>
          <w:rFonts w:ascii="Calibri" w:eastAsia="Times New Roman" w:hAnsi="Calibri" w:cs="Calibri"/>
          <w:b/>
          <w:bCs/>
          <w:sz w:val="22"/>
          <w:szCs w:val="22"/>
          <w:lang w:eastAsia="en-US"/>
        </w:rPr>
      </w:pPr>
      <w:bookmarkStart w:id="17" w:name="_Hlk194667324"/>
      <w:r w:rsidRPr="000E5963">
        <w:rPr>
          <w:rFonts w:ascii="Calibri" w:eastAsia="Times New Roman" w:hAnsi="Calibri" w:cs="Calibri"/>
          <w:b/>
          <w:bCs/>
          <w:sz w:val="22"/>
          <w:szCs w:val="22"/>
          <w:lang w:eastAsia="en-US"/>
        </w:rPr>
        <w:t>Critical estimates</w:t>
      </w:r>
    </w:p>
    <w:p w14:paraId="66AEDA6C" w14:textId="77777777" w:rsidR="000E5963" w:rsidRPr="000E5963" w:rsidRDefault="000E5963" w:rsidP="000E5963">
      <w:pPr>
        <w:tabs>
          <w:tab w:val="num" w:pos="0"/>
        </w:tabs>
        <w:spacing w:after="0" w:line="240" w:lineRule="auto"/>
        <w:ind w:right="283"/>
        <w:jc w:val="both"/>
        <w:rPr>
          <w:rFonts w:ascii="Calibri" w:eastAsia="Times New Roman" w:hAnsi="Calibri" w:cs="Calibri"/>
          <w:b/>
          <w:bCs/>
          <w:sz w:val="22"/>
          <w:szCs w:val="22"/>
          <w:lang w:eastAsia="en-US"/>
        </w:rPr>
      </w:pPr>
    </w:p>
    <w:p w14:paraId="5CFE475C"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b/>
          <w:bCs/>
          <w:sz w:val="22"/>
          <w:szCs w:val="22"/>
          <w:lang w:eastAsia="en-US"/>
        </w:rPr>
        <w:t>Long-lived assets</w:t>
      </w:r>
      <w:r w:rsidRPr="000E5963">
        <w:rPr>
          <w:rFonts w:ascii="Calibri" w:eastAsia="Times New Roman" w:hAnsi="Calibri" w:cs="Calibri"/>
          <w:sz w:val="22"/>
          <w:szCs w:val="22"/>
          <w:lang w:eastAsia="en-US"/>
        </w:rPr>
        <w:t xml:space="preserve"> </w:t>
      </w:r>
    </w:p>
    <w:p w14:paraId="2204845E"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2256CBDD" w14:textId="724ACDEA"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bookmarkStart w:id="18" w:name="_Hlk155345298"/>
      <w:r w:rsidRPr="000E5963">
        <w:rPr>
          <w:rFonts w:ascii="Calibri" w:eastAsia="Times New Roman" w:hAnsi="Calibri" w:cs="Calibri"/>
          <w:sz w:val="22"/>
          <w:szCs w:val="22"/>
          <w:lang w:eastAsia="en-US"/>
        </w:rPr>
        <w:t xml:space="preserve">At </w:t>
      </w:r>
      <w:r w:rsidR="00161B35">
        <w:rPr>
          <w:rFonts w:ascii="Calibri" w:eastAsia="Times New Roman" w:hAnsi="Calibri" w:cs="Calibri"/>
          <w:sz w:val="22"/>
          <w:szCs w:val="22"/>
          <w:lang w:eastAsia="en-US"/>
        </w:rPr>
        <w:t>September</w:t>
      </w:r>
      <w:r w:rsidRPr="000E5963">
        <w:rPr>
          <w:rFonts w:ascii="Calibri" w:eastAsia="Times New Roman" w:hAnsi="Calibri" w:cs="Calibri"/>
          <w:sz w:val="22"/>
          <w:szCs w:val="22"/>
          <w:lang w:eastAsia="en-US"/>
        </w:rPr>
        <w:t xml:space="preserve"> 30, 2025, the </w:t>
      </w:r>
      <w:r w:rsidRPr="00B67DF0">
        <w:rPr>
          <w:rFonts w:ascii="Calibri" w:eastAsia="Times New Roman" w:hAnsi="Calibri" w:cs="Calibri"/>
          <w:sz w:val="22"/>
          <w:szCs w:val="22"/>
          <w:lang w:eastAsia="en-US"/>
        </w:rPr>
        <w:t>Group had €1</w:t>
      </w:r>
      <w:r w:rsidR="00B67DF0" w:rsidRPr="00B67DF0">
        <w:rPr>
          <w:rFonts w:ascii="Calibri" w:eastAsia="Times New Roman" w:hAnsi="Calibri" w:cs="Calibri"/>
          <w:sz w:val="22"/>
          <w:szCs w:val="22"/>
          <w:lang w:eastAsia="en-US"/>
        </w:rPr>
        <w:t>1.1</w:t>
      </w:r>
      <w:r w:rsidRPr="00B67DF0">
        <w:rPr>
          <w:rFonts w:ascii="Calibri" w:eastAsia="Times New Roman" w:hAnsi="Calibri" w:cs="Calibri"/>
          <w:sz w:val="22"/>
          <w:szCs w:val="22"/>
          <w:lang w:eastAsia="en-US"/>
        </w:rPr>
        <w:t>BN of property</w:t>
      </w:r>
      <w:r w:rsidRPr="000E5963">
        <w:rPr>
          <w:rFonts w:ascii="Calibri" w:eastAsia="Times New Roman" w:hAnsi="Calibri" w:cs="Calibri"/>
          <w:sz w:val="22"/>
          <w:szCs w:val="22"/>
          <w:lang w:eastAsia="en-US"/>
        </w:rPr>
        <w:t xml:space="preserve">, plant and equipment long-lived assets, of </w:t>
      </w:r>
      <w:r w:rsidRPr="0024345F">
        <w:rPr>
          <w:rFonts w:ascii="Calibri" w:eastAsia="Times New Roman" w:hAnsi="Calibri" w:cs="Calibri"/>
          <w:sz w:val="22"/>
          <w:szCs w:val="22"/>
          <w:lang w:eastAsia="en-US"/>
        </w:rPr>
        <w:t>which €10.</w:t>
      </w:r>
      <w:r w:rsidR="0024345F" w:rsidRPr="0024345F">
        <w:rPr>
          <w:rFonts w:ascii="Calibri" w:eastAsia="Times New Roman" w:hAnsi="Calibri" w:cs="Calibri"/>
          <w:sz w:val="22"/>
          <w:szCs w:val="22"/>
          <w:lang w:eastAsia="en-US"/>
        </w:rPr>
        <w:t>8</w:t>
      </w:r>
      <w:r w:rsidRPr="0024345F">
        <w:rPr>
          <w:rFonts w:ascii="Calibri" w:eastAsia="Times New Roman" w:hAnsi="Calibri" w:cs="Calibri"/>
          <w:sz w:val="22"/>
          <w:szCs w:val="22"/>
          <w:lang w:eastAsia="en-US"/>
        </w:rPr>
        <w:t>BN</w:t>
      </w:r>
      <w:r w:rsidRPr="000E5963">
        <w:rPr>
          <w:rFonts w:ascii="Calibri" w:eastAsia="Times New Roman" w:hAnsi="Calibri" w:cs="Calibri"/>
          <w:sz w:val="22"/>
          <w:szCs w:val="22"/>
          <w:lang w:eastAsia="en-US"/>
        </w:rPr>
        <w:t xml:space="preserve"> were aircraft related. </w:t>
      </w:r>
      <w:bookmarkEnd w:id="18"/>
      <w:r w:rsidRPr="000E5963">
        <w:rPr>
          <w:rFonts w:ascii="Calibri" w:eastAsia="Times New Roman" w:hAnsi="Calibri" w:cs="Calibri"/>
          <w:sz w:val="22"/>
          <w:szCs w:val="22"/>
          <w:lang w:eastAsia="en-US"/>
        </w:rPr>
        <w:t xml:space="preserve">In accounting for long-lived assets, the Group must make estimates about the expected useful lives of the assets and the expected residual values of the assets. </w:t>
      </w:r>
    </w:p>
    <w:bookmarkEnd w:id="17"/>
    <w:p w14:paraId="76D79C39"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489126BA"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In estimating the useful lives and expected residual values of the aircraft component, the Group considered a number of factors, including its own historic experience and past practices of aircraft disposals, renewal </w:t>
      </w:r>
      <w:proofErr w:type="spellStart"/>
      <w:r w:rsidRPr="000E5963">
        <w:rPr>
          <w:rFonts w:ascii="Calibri" w:eastAsia="Times New Roman" w:hAnsi="Calibri" w:cs="Calibri"/>
          <w:sz w:val="22"/>
          <w:szCs w:val="22"/>
          <w:lang w:eastAsia="en-US"/>
        </w:rPr>
        <w:t>programmes</w:t>
      </w:r>
      <w:proofErr w:type="spellEnd"/>
      <w:r w:rsidRPr="000E5963">
        <w:rPr>
          <w:rFonts w:ascii="Calibri" w:eastAsia="Times New Roman" w:hAnsi="Calibri" w:cs="Calibri"/>
          <w:sz w:val="22"/>
          <w:szCs w:val="22"/>
          <w:lang w:eastAsia="en-US"/>
        </w:rPr>
        <w:t>, forecasted growth plans, external valuations from independent appraisers, recommendations from the aircraft supplier and manufacturer and other industry-available information.</w:t>
      </w:r>
    </w:p>
    <w:p w14:paraId="03877654"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7ED3364D"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The Group's estimate of each aircraft’s residual value is 15% of market value on delivery, based on independent valuations and actual aircraft disposals during prior periods, and each aircraft’s useful life is determined to be 23 years. </w:t>
      </w:r>
    </w:p>
    <w:p w14:paraId="07D7143F"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61307A7E"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Revisions to these estimates could be caused by changes to maintenance </w:t>
      </w:r>
      <w:proofErr w:type="spellStart"/>
      <w:r w:rsidRPr="000E5963">
        <w:rPr>
          <w:rFonts w:ascii="Calibri" w:eastAsia="Times New Roman" w:hAnsi="Calibri" w:cs="Calibri"/>
          <w:sz w:val="22"/>
          <w:szCs w:val="22"/>
          <w:lang w:eastAsia="en-US"/>
        </w:rPr>
        <w:t>programmes</w:t>
      </w:r>
      <w:proofErr w:type="spellEnd"/>
      <w:r w:rsidRPr="000E5963">
        <w:rPr>
          <w:rFonts w:ascii="Calibri" w:eastAsia="Times New Roman" w:hAnsi="Calibri" w:cs="Calibri"/>
          <w:sz w:val="22"/>
          <w:szCs w:val="22"/>
          <w:lang w:eastAsia="en-US"/>
        </w:rPr>
        <w:t xml:space="preserve">, changes in </w:t>
      </w:r>
      <w:proofErr w:type="spellStart"/>
      <w:r w:rsidRPr="000E5963">
        <w:rPr>
          <w:rFonts w:ascii="Calibri" w:eastAsia="Times New Roman" w:hAnsi="Calibri" w:cs="Calibri"/>
          <w:sz w:val="22"/>
          <w:szCs w:val="22"/>
          <w:lang w:eastAsia="en-US"/>
        </w:rPr>
        <w:t>utilisation</w:t>
      </w:r>
      <w:proofErr w:type="spellEnd"/>
      <w:r w:rsidRPr="000E5963">
        <w:rPr>
          <w:rFonts w:ascii="Calibri" w:eastAsia="Times New Roman" w:hAnsi="Calibri" w:cs="Calibri"/>
          <w:sz w:val="22"/>
          <w:szCs w:val="22"/>
          <w:lang w:eastAsia="en-US"/>
        </w:rPr>
        <w:t xml:space="preserve"> of the aircraft, governmental regulations on ageing aircraft, changes in new aircraft technology, changes in governmental and environmental taxes, geopolitical uncertainties, changes in new aircraft fuel efficiency, changing market prices for new and used aircraft of the same or similar types, tariffs and </w:t>
      </w:r>
      <w:proofErr w:type="spellStart"/>
      <w:r w:rsidRPr="000E5963">
        <w:rPr>
          <w:rFonts w:ascii="Calibri" w:eastAsia="Times New Roman" w:hAnsi="Calibri" w:cs="Calibri"/>
          <w:sz w:val="22"/>
          <w:szCs w:val="22"/>
          <w:lang w:eastAsia="en-US"/>
        </w:rPr>
        <w:t>macro economic</w:t>
      </w:r>
      <w:proofErr w:type="spellEnd"/>
      <w:r w:rsidRPr="000E5963">
        <w:rPr>
          <w:rFonts w:ascii="Calibri" w:eastAsia="Times New Roman" w:hAnsi="Calibri" w:cs="Calibri"/>
          <w:sz w:val="22"/>
          <w:szCs w:val="22"/>
          <w:lang w:eastAsia="en-US"/>
        </w:rPr>
        <w:t xml:space="preserve"> shocks. The Group therefore evaluates its estimates and assumptions in each reporting period, and, when warranted, adjusts these assumptions. Any adjustments are accounted for on a prospective basis through depreciation expense.</w:t>
      </w:r>
    </w:p>
    <w:p w14:paraId="1BD82A2A" w14:textId="77777777" w:rsidR="000E5963" w:rsidRPr="000E5963" w:rsidRDefault="000E5963" w:rsidP="000E5963">
      <w:pPr>
        <w:tabs>
          <w:tab w:val="num" w:pos="0"/>
        </w:tabs>
        <w:spacing w:after="0" w:line="240" w:lineRule="auto"/>
        <w:ind w:right="283"/>
        <w:jc w:val="both"/>
        <w:rPr>
          <w:rFonts w:ascii="Calibri" w:eastAsia="Times New Roman" w:hAnsi="Calibri" w:cs="Calibri"/>
          <w:b/>
          <w:bCs/>
          <w:sz w:val="22"/>
          <w:szCs w:val="22"/>
          <w:lang w:eastAsia="en-US"/>
        </w:rPr>
      </w:pPr>
    </w:p>
    <w:p w14:paraId="4ED6406F"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b/>
          <w:bCs/>
          <w:sz w:val="22"/>
          <w:szCs w:val="22"/>
          <w:lang w:eastAsia="en-US"/>
        </w:rPr>
        <w:t>Critical judgements</w:t>
      </w:r>
    </w:p>
    <w:p w14:paraId="0C72BE7D"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p>
    <w:p w14:paraId="290284EC"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In the opinion of the Directors, the following significant judgements were exercised in the preparation of the financial statements:</w:t>
      </w:r>
    </w:p>
    <w:p w14:paraId="4B6EE76D" w14:textId="6CBA2EC1" w:rsidR="000E5963" w:rsidRPr="000E5963" w:rsidRDefault="0089002E" w:rsidP="00672E40">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r w:rsidR="000E5963" w:rsidRPr="000E5963">
        <w:rPr>
          <w:rFonts w:ascii="Calibri" w:eastAsia="Times New Roman" w:hAnsi="Calibri" w:cs="Calibri"/>
          <w:b/>
          <w:bCs/>
          <w:sz w:val="22"/>
          <w:szCs w:val="22"/>
          <w:lang w:eastAsia="en-US"/>
        </w:rPr>
        <w:lastRenderedPageBreak/>
        <w:t>Long-lived assets</w:t>
      </w:r>
    </w:p>
    <w:p w14:paraId="78B119FC"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 xml:space="preserve">On acquisition a judgement is made to allocate an element of the cost of an acquired aircraft to the cost of major airframe and engine overhauls, reflecting its service potential and the maintenance condition of its engines and airframe. This cost, which can equate to a substantial element of the total aircraft cost, is </w:t>
      </w:r>
      <w:proofErr w:type="spellStart"/>
      <w:r w:rsidRPr="000E5963">
        <w:rPr>
          <w:rFonts w:ascii="Calibri" w:eastAsia="Times New Roman" w:hAnsi="Calibri" w:cs="Calibri"/>
          <w:sz w:val="22"/>
          <w:szCs w:val="22"/>
          <w:lang w:eastAsia="en-US"/>
        </w:rPr>
        <w:t>amortised</w:t>
      </w:r>
      <w:proofErr w:type="spellEnd"/>
      <w:r w:rsidRPr="000E5963">
        <w:rPr>
          <w:rFonts w:ascii="Calibri" w:eastAsia="Times New Roman" w:hAnsi="Calibri" w:cs="Calibri"/>
          <w:sz w:val="22"/>
          <w:szCs w:val="22"/>
          <w:lang w:eastAsia="en-US"/>
        </w:rPr>
        <w:t xml:space="preserve"> over the shorter of the period to the next maintenance check (usually between 8 and 12 years) or the remaining useful life of the aircraft.</w:t>
      </w:r>
    </w:p>
    <w:p w14:paraId="3D3ECD23"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2D508378"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r w:rsidRPr="000E5963">
        <w:rPr>
          <w:rFonts w:ascii="Calibri" w:eastAsia="Times New Roman" w:hAnsi="Calibri" w:cs="Calibri"/>
          <w:b/>
          <w:bCs/>
          <w:sz w:val="22"/>
          <w:szCs w:val="22"/>
          <w:lang w:eastAsia="en-US"/>
        </w:rPr>
        <w:t>Seasonality of operations</w:t>
      </w:r>
    </w:p>
    <w:p w14:paraId="04D05E93" w14:textId="77777777"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p>
    <w:p w14:paraId="48C8E7EC"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typically results in higher revenues and results.</w:t>
      </w:r>
    </w:p>
    <w:p w14:paraId="5E761D41" w14:textId="77777777" w:rsidR="000E5963" w:rsidRPr="000E5963" w:rsidRDefault="000E5963" w:rsidP="000E5963">
      <w:pPr>
        <w:spacing w:after="0" w:line="240" w:lineRule="auto"/>
        <w:ind w:right="283"/>
        <w:jc w:val="both"/>
        <w:rPr>
          <w:rFonts w:ascii="Times New Roman" w:eastAsia="Times New Roman" w:hAnsi="Times New Roman" w:cs="Times New Roman"/>
          <w:sz w:val="22"/>
          <w:szCs w:val="22"/>
          <w:lang w:eastAsia="en-US"/>
        </w:rPr>
      </w:pPr>
    </w:p>
    <w:p w14:paraId="744D1C41"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bookmarkStart w:id="19" w:name="_Hlk526950167"/>
      <w:bookmarkStart w:id="20" w:name="_Hlk155345385"/>
      <w:r w:rsidRPr="000E5963">
        <w:rPr>
          <w:rFonts w:ascii="Calibri" w:eastAsia="Times New Roman" w:hAnsi="Calibri" w:cs="Calibri"/>
          <w:b/>
          <w:bCs/>
          <w:sz w:val="22"/>
          <w:szCs w:val="22"/>
          <w:lang w:eastAsia="en-US"/>
        </w:rPr>
        <w:t>Income tax expense</w:t>
      </w:r>
      <w:bookmarkStart w:id="21" w:name="_Hlk85444753"/>
      <w:r w:rsidRPr="000E5963">
        <w:rPr>
          <w:rFonts w:ascii="Calibri" w:eastAsia="Times New Roman" w:hAnsi="Calibri" w:cs="Calibri"/>
          <w:b/>
          <w:bCs/>
          <w:sz w:val="22"/>
          <w:szCs w:val="22"/>
          <w:lang w:eastAsia="en-US"/>
        </w:rPr>
        <w:t xml:space="preserve"> </w:t>
      </w:r>
    </w:p>
    <w:p w14:paraId="4D41DB0E" w14:textId="77777777"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p>
    <w:p w14:paraId="727D8239" w14:textId="109AF4C6"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bookmarkStart w:id="22" w:name="_Hlk163224767"/>
      <w:r w:rsidRPr="000E5963">
        <w:rPr>
          <w:rFonts w:ascii="Calibri" w:eastAsia="Times New Roman" w:hAnsi="Calibri" w:cs="Calibri"/>
          <w:sz w:val="22"/>
          <w:szCs w:val="22"/>
          <w:lang w:val="en-IE" w:eastAsia="en-US"/>
        </w:rPr>
        <w:t xml:space="preserve">The Group’s </w:t>
      </w:r>
      <w:r w:rsidRPr="00674ED0">
        <w:rPr>
          <w:rFonts w:ascii="Calibri" w:eastAsia="Times New Roman" w:hAnsi="Calibri" w:cs="Calibri"/>
          <w:sz w:val="22"/>
          <w:szCs w:val="22"/>
          <w:lang w:val="en-IE" w:eastAsia="en-US"/>
        </w:rPr>
        <w:t xml:space="preserve">consolidated tax expense for </w:t>
      </w:r>
      <w:r w:rsidR="003F3F1B">
        <w:rPr>
          <w:rFonts w:ascii="Calibri" w:eastAsia="Times New Roman" w:hAnsi="Calibri" w:cs="Calibri"/>
          <w:sz w:val="22"/>
          <w:szCs w:val="22"/>
          <w:lang w:val="en-IE" w:eastAsia="en-US"/>
        </w:rPr>
        <w:t>the half-year</w:t>
      </w:r>
      <w:r w:rsidRPr="00674ED0">
        <w:rPr>
          <w:rFonts w:ascii="Calibri" w:eastAsia="Times New Roman" w:hAnsi="Calibri" w:cs="Calibri"/>
          <w:sz w:val="22"/>
          <w:szCs w:val="22"/>
          <w:lang w:val="en-IE" w:eastAsia="en-US"/>
        </w:rPr>
        <w:t xml:space="preserve"> ended </w:t>
      </w:r>
      <w:r w:rsidR="003F3F1B">
        <w:rPr>
          <w:rFonts w:ascii="Calibri" w:eastAsia="Times New Roman" w:hAnsi="Calibri" w:cs="Calibri"/>
          <w:sz w:val="22"/>
          <w:szCs w:val="22"/>
          <w:lang w:val="en-IE" w:eastAsia="en-US"/>
        </w:rPr>
        <w:t>September</w:t>
      </w:r>
      <w:r w:rsidRPr="00674ED0">
        <w:rPr>
          <w:rFonts w:ascii="Calibri" w:eastAsia="Times New Roman" w:hAnsi="Calibri" w:cs="Calibri"/>
          <w:sz w:val="22"/>
          <w:szCs w:val="22"/>
          <w:lang w:val="en-IE" w:eastAsia="en-US"/>
        </w:rPr>
        <w:t xml:space="preserve"> 30, 2025 of </w:t>
      </w:r>
      <w:r w:rsidRPr="00B34636">
        <w:rPr>
          <w:rFonts w:ascii="Calibri" w:eastAsia="Times New Roman" w:hAnsi="Calibri" w:cs="Calibri"/>
          <w:sz w:val="22"/>
          <w:szCs w:val="22"/>
          <w:lang w:val="en-IE" w:eastAsia="en-US"/>
        </w:rPr>
        <w:t>€</w:t>
      </w:r>
      <w:r w:rsidR="00B34636" w:rsidRPr="00B34636">
        <w:rPr>
          <w:rFonts w:ascii="Calibri" w:eastAsia="Times New Roman" w:hAnsi="Calibri" w:cs="Calibri"/>
          <w:sz w:val="22"/>
          <w:szCs w:val="22"/>
          <w:lang w:val="en-IE" w:eastAsia="en-US"/>
        </w:rPr>
        <w:t>353</w:t>
      </w:r>
      <w:r w:rsidRPr="00B34636">
        <w:rPr>
          <w:rFonts w:ascii="Calibri" w:eastAsia="Times New Roman" w:hAnsi="Calibri" w:cs="Calibri"/>
          <w:sz w:val="22"/>
          <w:szCs w:val="22"/>
          <w:lang w:val="en-IE" w:eastAsia="en-US"/>
        </w:rPr>
        <w:t>M (</w:t>
      </w:r>
      <w:r w:rsidR="00B41D0D" w:rsidRPr="00B34636">
        <w:rPr>
          <w:rFonts w:ascii="Calibri" w:eastAsia="Times New Roman" w:hAnsi="Calibri" w:cs="Calibri"/>
          <w:sz w:val="22"/>
          <w:szCs w:val="22"/>
          <w:lang w:val="en-IE" w:eastAsia="en-US"/>
        </w:rPr>
        <w:t>September</w:t>
      </w:r>
      <w:r w:rsidRPr="00674ED0">
        <w:rPr>
          <w:rFonts w:ascii="Calibri" w:eastAsia="Times New Roman" w:hAnsi="Calibri" w:cs="Calibri"/>
          <w:sz w:val="22"/>
          <w:szCs w:val="22"/>
          <w:lang w:val="en-IE" w:eastAsia="en-US"/>
        </w:rPr>
        <w:t xml:space="preserve"> 30, 2024: €</w:t>
      </w:r>
      <w:r w:rsidR="00B41D0D">
        <w:rPr>
          <w:rFonts w:ascii="Calibri" w:eastAsia="Times New Roman" w:hAnsi="Calibri" w:cs="Calibri"/>
          <w:sz w:val="22"/>
          <w:szCs w:val="22"/>
          <w:lang w:val="en-IE" w:eastAsia="en-US"/>
        </w:rPr>
        <w:t>276</w:t>
      </w:r>
      <w:r w:rsidRPr="00674ED0">
        <w:rPr>
          <w:rFonts w:ascii="Calibri" w:eastAsia="Times New Roman" w:hAnsi="Calibri" w:cs="Calibri"/>
          <w:sz w:val="22"/>
          <w:szCs w:val="22"/>
          <w:lang w:val="en-IE" w:eastAsia="en-US"/>
        </w:rPr>
        <w:t xml:space="preserve">M) comprises a current tax charge of </w:t>
      </w:r>
      <w:r w:rsidR="00EF55BD">
        <w:rPr>
          <w:rFonts w:ascii="Calibri" w:eastAsia="Times New Roman" w:hAnsi="Calibri" w:cs="Calibri"/>
          <w:sz w:val="22"/>
          <w:szCs w:val="22"/>
          <w:lang w:val="en-IE" w:eastAsia="en-US"/>
        </w:rPr>
        <w:t>€352M</w:t>
      </w:r>
      <w:r w:rsidRPr="00674ED0">
        <w:rPr>
          <w:rFonts w:ascii="Calibri" w:eastAsia="Times New Roman" w:hAnsi="Calibri" w:cs="Calibri"/>
          <w:sz w:val="22"/>
          <w:szCs w:val="22"/>
          <w:lang w:val="en-IE" w:eastAsia="en-US"/>
        </w:rPr>
        <w:t xml:space="preserve"> and a</w:t>
      </w:r>
      <w:r w:rsidRPr="000E5963">
        <w:rPr>
          <w:rFonts w:ascii="Calibri" w:eastAsia="Times New Roman" w:hAnsi="Calibri" w:cs="Calibri"/>
          <w:sz w:val="22"/>
          <w:szCs w:val="22"/>
          <w:lang w:val="en-IE" w:eastAsia="en-US"/>
        </w:rPr>
        <w:t xml:space="preserve"> </w:t>
      </w:r>
      <w:r w:rsidRPr="00EF55BD">
        <w:rPr>
          <w:rFonts w:ascii="Calibri" w:eastAsia="Times New Roman" w:hAnsi="Calibri" w:cs="Calibri"/>
          <w:sz w:val="22"/>
          <w:szCs w:val="22"/>
          <w:lang w:val="en-IE" w:eastAsia="en-US"/>
        </w:rPr>
        <w:t>€</w:t>
      </w:r>
      <w:r w:rsidR="00EF55BD" w:rsidRPr="00EF55BD">
        <w:rPr>
          <w:rFonts w:ascii="Calibri" w:eastAsia="Times New Roman" w:hAnsi="Calibri" w:cs="Calibri"/>
          <w:sz w:val="22"/>
          <w:szCs w:val="22"/>
          <w:lang w:val="en-IE" w:eastAsia="en-US"/>
        </w:rPr>
        <w:t>1</w:t>
      </w:r>
      <w:r w:rsidRPr="00EF55BD">
        <w:rPr>
          <w:rFonts w:ascii="Calibri" w:eastAsia="Times New Roman" w:hAnsi="Calibri" w:cs="Calibri"/>
          <w:sz w:val="22"/>
          <w:szCs w:val="22"/>
          <w:lang w:val="en-IE" w:eastAsia="en-US"/>
        </w:rPr>
        <w:t>M</w:t>
      </w:r>
      <w:r w:rsidR="00792B54">
        <w:rPr>
          <w:rFonts w:ascii="Calibri" w:eastAsia="Times New Roman" w:hAnsi="Calibri" w:cs="Calibri"/>
          <w:sz w:val="22"/>
          <w:szCs w:val="22"/>
          <w:lang w:val="en-IE" w:eastAsia="en-US"/>
        </w:rPr>
        <w:t xml:space="preserve"> </w:t>
      </w:r>
      <w:r w:rsidRPr="000E5963">
        <w:rPr>
          <w:rFonts w:ascii="Calibri" w:eastAsia="Times New Roman" w:hAnsi="Calibri" w:cs="Calibri"/>
          <w:sz w:val="22"/>
          <w:szCs w:val="22"/>
          <w:lang w:val="en-IE" w:eastAsia="en-US"/>
        </w:rPr>
        <w:t xml:space="preserve">deferred tax charge relating to the temporary differences for property, plant and equipment. No significant or unusual tax charges or credits arose during the </w:t>
      </w:r>
      <w:r w:rsidR="00151016">
        <w:rPr>
          <w:rFonts w:ascii="Calibri" w:eastAsia="Times New Roman" w:hAnsi="Calibri" w:cs="Calibri"/>
          <w:sz w:val="22"/>
          <w:szCs w:val="22"/>
          <w:lang w:val="en-IE" w:eastAsia="en-US"/>
        </w:rPr>
        <w:t>period</w:t>
      </w:r>
      <w:r w:rsidRPr="000E5963">
        <w:rPr>
          <w:rFonts w:ascii="Calibri" w:eastAsia="Times New Roman" w:hAnsi="Calibri" w:cs="Calibri"/>
          <w:sz w:val="22"/>
          <w:szCs w:val="22"/>
          <w:lang w:val="en-IE" w:eastAsia="en-US"/>
        </w:rPr>
        <w:t>. </w:t>
      </w:r>
      <w:bookmarkEnd w:id="19"/>
      <w:r w:rsidRPr="000E5963">
        <w:rPr>
          <w:rFonts w:ascii="Calibri" w:eastAsia="Times New Roman" w:hAnsi="Calibri" w:cs="Calibri"/>
          <w:sz w:val="22"/>
          <w:szCs w:val="22"/>
          <w:lang w:val="en-IE" w:eastAsia="en-US"/>
        </w:rPr>
        <w:t>The effective ta</w:t>
      </w:r>
      <w:r w:rsidRPr="00D93D18">
        <w:rPr>
          <w:rFonts w:ascii="Calibri" w:eastAsia="Times New Roman" w:hAnsi="Calibri" w:cs="Calibri"/>
          <w:sz w:val="22"/>
          <w:szCs w:val="22"/>
          <w:lang w:val="en-IE" w:eastAsia="en-US"/>
        </w:rPr>
        <w:t xml:space="preserve">x rate of </w:t>
      </w:r>
      <w:r w:rsidR="00073E4D" w:rsidRPr="00D93D18">
        <w:rPr>
          <w:rFonts w:ascii="Calibri" w:eastAsia="Times New Roman" w:hAnsi="Calibri" w:cs="Calibri"/>
          <w:sz w:val="22"/>
          <w:szCs w:val="22"/>
          <w:lang w:val="en-IE" w:eastAsia="en-US"/>
        </w:rPr>
        <w:t xml:space="preserve">just </w:t>
      </w:r>
      <w:r w:rsidR="00D93D18" w:rsidRPr="00D93D18">
        <w:rPr>
          <w:rFonts w:ascii="Calibri" w:eastAsia="Times New Roman" w:hAnsi="Calibri" w:cs="Calibri"/>
          <w:sz w:val="22"/>
          <w:szCs w:val="22"/>
          <w:lang w:val="en-IE" w:eastAsia="en-US"/>
        </w:rPr>
        <w:t>over</w:t>
      </w:r>
      <w:r w:rsidRPr="00D93D18">
        <w:rPr>
          <w:rFonts w:ascii="Calibri" w:eastAsia="Times New Roman" w:hAnsi="Calibri" w:cs="Calibri"/>
          <w:sz w:val="22"/>
          <w:szCs w:val="22"/>
          <w:lang w:val="en-IE" w:eastAsia="en-US"/>
        </w:rPr>
        <w:t xml:space="preserve"> 1</w:t>
      </w:r>
      <w:r w:rsidR="003E4056" w:rsidRPr="00D93D18">
        <w:rPr>
          <w:rFonts w:ascii="Calibri" w:eastAsia="Times New Roman" w:hAnsi="Calibri" w:cs="Calibri"/>
          <w:sz w:val="22"/>
          <w:szCs w:val="22"/>
          <w:lang w:val="en-IE" w:eastAsia="en-US"/>
        </w:rPr>
        <w:t>2</w:t>
      </w:r>
      <w:r w:rsidRPr="00D93D18">
        <w:rPr>
          <w:rFonts w:ascii="Calibri" w:eastAsia="Times New Roman" w:hAnsi="Calibri" w:cs="Calibri"/>
          <w:sz w:val="22"/>
          <w:szCs w:val="22"/>
          <w:lang w:val="en-IE" w:eastAsia="en-US"/>
        </w:rPr>
        <w:t xml:space="preserve">% for the </w:t>
      </w:r>
      <w:r w:rsidR="004C0C06" w:rsidRPr="00D93D18">
        <w:rPr>
          <w:rFonts w:ascii="Calibri" w:eastAsia="Times New Roman" w:hAnsi="Calibri" w:cs="Calibri"/>
          <w:sz w:val="22"/>
          <w:szCs w:val="22"/>
          <w:lang w:val="en-IE" w:eastAsia="en-US"/>
        </w:rPr>
        <w:t xml:space="preserve">half-year </w:t>
      </w:r>
      <w:r w:rsidRPr="00D93D18">
        <w:rPr>
          <w:rFonts w:ascii="Calibri" w:eastAsia="Times New Roman" w:hAnsi="Calibri" w:cs="Calibri"/>
          <w:sz w:val="22"/>
          <w:szCs w:val="22"/>
          <w:lang w:val="en-IE" w:eastAsia="en-US"/>
        </w:rPr>
        <w:t xml:space="preserve">ended </w:t>
      </w:r>
      <w:r w:rsidR="006E51E6" w:rsidRPr="00D93D18">
        <w:rPr>
          <w:rFonts w:ascii="Calibri" w:eastAsia="Times New Roman" w:hAnsi="Calibri" w:cs="Calibri"/>
          <w:sz w:val="22"/>
          <w:szCs w:val="22"/>
          <w:lang w:val="en-IE" w:eastAsia="en-US"/>
        </w:rPr>
        <w:t>September</w:t>
      </w:r>
      <w:r w:rsidRPr="00D93D18">
        <w:rPr>
          <w:rFonts w:ascii="Calibri" w:eastAsia="Times New Roman" w:hAnsi="Calibri" w:cs="Calibri"/>
          <w:sz w:val="22"/>
          <w:szCs w:val="22"/>
          <w:lang w:val="en-IE" w:eastAsia="en-US"/>
        </w:rPr>
        <w:t xml:space="preserve"> 30, 2025 (</w:t>
      </w:r>
      <w:r w:rsidR="006E51E6" w:rsidRPr="00D93D18">
        <w:rPr>
          <w:rFonts w:ascii="Calibri" w:eastAsia="Times New Roman" w:hAnsi="Calibri" w:cs="Calibri"/>
          <w:sz w:val="22"/>
          <w:szCs w:val="22"/>
          <w:lang w:val="en-IE" w:eastAsia="en-US"/>
        </w:rPr>
        <w:t>September</w:t>
      </w:r>
      <w:r w:rsidRPr="00D93D18">
        <w:rPr>
          <w:rFonts w:ascii="Calibri" w:eastAsia="Times New Roman" w:hAnsi="Calibri" w:cs="Calibri"/>
          <w:sz w:val="22"/>
          <w:szCs w:val="22"/>
          <w:lang w:val="en-IE" w:eastAsia="en-US"/>
        </w:rPr>
        <w:t xml:space="preserve"> 30, 2024: </w:t>
      </w:r>
      <w:r w:rsidR="00D46C92" w:rsidRPr="00D93D18">
        <w:rPr>
          <w:rFonts w:ascii="Calibri" w:eastAsia="Times New Roman" w:hAnsi="Calibri" w:cs="Calibri"/>
          <w:sz w:val="22"/>
          <w:szCs w:val="22"/>
          <w:lang w:val="en-IE" w:eastAsia="en-US"/>
        </w:rPr>
        <w:t>approx.</w:t>
      </w:r>
      <w:r w:rsidR="00BF600C" w:rsidRPr="00D93D18">
        <w:rPr>
          <w:rFonts w:ascii="Calibri" w:eastAsia="Times New Roman" w:hAnsi="Calibri" w:cs="Calibri"/>
          <w:sz w:val="22"/>
          <w:szCs w:val="22"/>
          <w:lang w:val="en-IE" w:eastAsia="en-US"/>
        </w:rPr>
        <w:t xml:space="preserve"> </w:t>
      </w:r>
      <w:r w:rsidRPr="00D93D18">
        <w:rPr>
          <w:rFonts w:ascii="Calibri" w:eastAsia="Times New Roman" w:hAnsi="Calibri" w:cs="Calibri"/>
          <w:sz w:val="22"/>
          <w:szCs w:val="22"/>
          <w:lang w:val="en-IE" w:eastAsia="en-US"/>
        </w:rPr>
        <w:t>1</w:t>
      </w:r>
      <w:r w:rsidR="00FA4608" w:rsidRPr="00D93D18">
        <w:rPr>
          <w:rFonts w:ascii="Calibri" w:eastAsia="Times New Roman" w:hAnsi="Calibri" w:cs="Calibri"/>
          <w:sz w:val="22"/>
          <w:szCs w:val="22"/>
          <w:lang w:val="en-IE" w:eastAsia="en-US"/>
        </w:rPr>
        <w:t>3</w:t>
      </w:r>
      <w:r w:rsidRPr="00D93D18">
        <w:rPr>
          <w:rFonts w:ascii="Calibri" w:eastAsia="Times New Roman" w:hAnsi="Calibri" w:cs="Calibri"/>
          <w:sz w:val="22"/>
          <w:szCs w:val="22"/>
          <w:lang w:val="en-IE" w:eastAsia="en-US"/>
        </w:rPr>
        <w:t>%) is the result of the</w:t>
      </w:r>
      <w:r w:rsidRPr="000E5963">
        <w:rPr>
          <w:rFonts w:ascii="Calibri" w:eastAsia="Times New Roman" w:hAnsi="Calibri" w:cs="Calibri"/>
          <w:sz w:val="22"/>
          <w:szCs w:val="22"/>
          <w:lang w:val="en-IE" w:eastAsia="en-US"/>
        </w:rPr>
        <w:t xml:space="preserve"> mix of profits and losses incurred by Ryanair’s operating subsidiaries primarily in Ireland, Malta, Poland and the UK.</w:t>
      </w:r>
      <w:bookmarkEnd w:id="21"/>
    </w:p>
    <w:bookmarkEnd w:id="20"/>
    <w:bookmarkEnd w:id="22"/>
    <w:p w14:paraId="53F9B240" w14:textId="77777777" w:rsidR="000E5963" w:rsidRPr="000E5963" w:rsidRDefault="000E5963" w:rsidP="000E5963">
      <w:pPr>
        <w:keepNext/>
        <w:tabs>
          <w:tab w:val="num" w:pos="0"/>
        </w:tabs>
        <w:spacing w:after="0" w:line="240" w:lineRule="auto"/>
        <w:ind w:right="283"/>
        <w:jc w:val="both"/>
        <w:rPr>
          <w:rFonts w:ascii="Calibri" w:eastAsia="Times New Roman" w:hAnsi="Calibri" w:cs="Calibri"/>
          <w:sz w:val="22"/>
          <w:szCs w:val="22"/>
          <w:lang w:val="en-IE" w:eastAsia="en-US"/>
        </w:rPr>
      </w:pPr>
    </w:p>
    <w:p w14:paraId="2D3830AB"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r w:rsidRPr="000E5963">
        <w:rPr>
          <w:rFonts w:ascii="Calibri" w:eastAsia="Times New Roman" w:hAnsi="Calibri" w:cs="Calibri"/>
          <w:b/>
          <w:bCs/>
          <w:sz w:val="22"/>
          <w:szCs w:val="22"/>
          <w:lang w:eastAsia="en-US"/>
        </w:rPr>
        <w:t>Contingencies</w:t>
      </w:r>
    </w:p>
    <w:p w14:paraId="5FAFEDC8"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7B41ED71"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materially adversely affect the Group’s results of operations or financial position.</w:t>
      </w:r>
    </w:p>
    <w:p w14:paraId="2B3EF573"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295AF7BF" w14:textId="77777777" w:rsidR="000E5963" w:rsidRPr="000E5963" w:rsidRDefault="000E5963" w:rsidP="000E5963">
      <w:pPr>
        <w:keepNext/>
        <w:numPr>
          <w:ilvl w:val="0"/>
          <w:numId w:val="16"/>
        </w:numPr>
        <w:tabs>
          <w:tab w:val="num" w:pos="1855"/>
        </w:tabs>
        <w:spacing w:after="0" w:line="240" w:lineRule="auto"/>
        <w:ind w:right="283"/>
        <w:jc w:val="both"/>
        <w:outlineLvl w:val="0"/>
        <w:rPr>
          <w:rFonts w:ascii="Calibri" w:eastAsia="Times New Roman" w:hAnsi="Calibri" w:cs="Calibri"/>
          <w:b/>
          <w:bCs/>
          <w:sz w:val="22"/>
          <w:szCs w:val="22"/>
          <w:lang w:eastAsia="en-US"/>
        </w:rPr>
      </w:pPr>
      <w:r w:rsidRPr="000E5963">
        <w:rPr>
          <w:rFonts w:ascii="Calibri" w:eastAsia="Times New Roman" w:hAnsi="Calibri" w:cs="Calibri"/>
          <w:b/>
          <w:bCs/>
          <w:sz w:val="22"/>
          <w:szCs w:val="22"/>
          <w:lang w:eastAsia="en-US"/>
        </w:rPr>
        <w:t>Capital commitments</w:t>
      </w:r>
    </w:p>
    <w:p w14:paraId="21DF325B"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0A9B89FB" w14:textId="45BDAFCE"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At </w:t>
      </w:r>
      <w:r w:rsidR="00FA4608">
        <w:rPr>
          <w:rFonts w:ascii="Calibri" w:eastAsia="Times New Roman" w:hAnsi="Calibri" w:cs="Calibri"/>
          <w:sz w:val="22"/>
          <w:szCs w:val="22"/>
          <w:lang w:val="en-IE" w:eastAsia="en-US"/>
        </w:rPr>
        <w:t>September</w:t>
      </w:r>
      <w:r w:rsidRPr="000E5963">
        <w:rPr>
          <w:rFonts w:ascii="Calibri" w:eastAsia="Times New Roman" w:hAnsi="Calibri" w:cs="Calibri"/>
          <w:sz w:val="22"/>
          <w:szCs w:val="22"/>
          <w:lang w:val="en-IE" w:eastAsia="en-US"/>
        </w:rPr>
        <w:t xml:space="preserve"> 30, 2025 the Group had an operating fleet of </w:t>
      </w:r>
      <w:r w:rsidR="00FE220A">
        <w:rPr>
          <w:rFonts w:ascii="Calibri" w:eastAsia="Times New Roman" w:hAnsi="Calibri" w:cs="Calibri"/>
          <w:sz w:val="22"/>
          <w:szCs w:val="22"/>
          <w:lang w:val="en-IE" w:eastAsia="en-US"/>
        </w:rPr>
        <w:t>6</w:t>
      </w:r>
      <w:r w:rsidR="004C1535">
        <w:rPr>
          <w:rFonts w:ascii="Calibri" w:eastAsia="Times New Roman" w:hAnsi="Calibri" w:cs="Calibri"/>
          <w:sz w:val="22"/>
          <w:szCs w:val="22"/>
          <w:lang w:val="en-IE" w:eastAsia="en-US"/>
        </w:rPr>
        <w:t>10</w:t>
      </w:r>
      <w:r w:rsidRPr="000E5963">
        <w:rPr>
          <w:rFonts w:ascii="Calibri" w:eastAsia="Times New Roman" w:hAnsi="Calibri" w:cs="Calibri"/>
          <w:sz w:val="22"/>
          <w:szCs w:val="22"/>
          <w:lang w:val="en-IE" w:eastAsia="en-US"/>
        </w:rPr>
        <w:t xml:space="preserve"> (2024: 5</w:t>
      </w:r>
      <w:r w:rsidR="00FA4608">
        <w:rPr>
          <w:rFonts w:ascii="Calibri" w:eastAsia="Times New Roman" w:hAnsi="Calibri" w:cs="Calibri"/>
          <w:sz w:val="22"/>
          <w:szCs w:val="22"/>
          <w:lang w:val="en-IE" w:eastAsia="en-US"/>
        </w:rPr>
        <w:t>81</w:t>
      </w:r>
      <w:r w:rsidRPr="000E5963">
        <w:rPr>
          <w:rFonts w:ascii="Calibri" w:eastAsia="Times New Roman" w:hAnsi="Calibri" w:cs="Calibri"/>
          <w:sz w:val="22"/>
          <w:szCs w:val="22"/>
          <w:lang w:val="en-IE" w:eastAsia="en-US"/>
        </w:rPr>
        <w:t xml:space="preserve">) Boeing 737 and </w:t>
      </w:r>
      <w:r w:rsidRPr="008266D4">
        <w:rPr>
          <w:rFonts w:ascii="Calibri" w:eastAsia="Times New Roman" w:hAnsi="Calibri" w:cs="Calibri"/>
          <w:sz w:val="22"/>
          <w:szCs w:val="22"/>
          <w:lang w:val="en-IE" w:eastAsia="en-US"/>
        </w:rPr>
        <w:t>26</w:t>
      </w:r>
      <w:r w:rsidRPr="000E5963">
        <w:rPr>
          <w:rFonts w:ascii="Calibri" w:eastAsia="Times New Roman" w:hAnsi="Calibri" w:cs="Calibri"/>
          <w:sz w:val="22"/>
          <w:szCs w:val="22"/>
          <w:lang w:val="en-IE" w:eastAsia="en-US"/>
        </w:rPr>
        <w:t xml:space="preserve"> (2024: 27) Airbus A320 aircraft. In September 2014, the Group agreed to purchase up to 200 (100 firm and 100 options) Boeing 737-8200 aircraft which was subsequently increased to 210 firm orders in December 2020. At </w:t>
      </w:r>
      <w:r w:rsidR="009D0360">
        <w:rPr>
          <w:rFonts w:ascii="Calibri" w:eastAsia="Times New Roman" w:hAnsi="Calibri" w:cs="Calibri"/>
          <w:sz w:val="22"/>
          <w:szCs w:val="22"/>
          <w:lang w:val="en-IE" w:eastAsia="en-US"/>
        </w:rPr>
        <w:t>September</w:t>
      </w:r>
      <w:r w:rsidRPr="000E5963">
        <w:rPr>
          <w:rFonts w:ascii="Calibri" w:eastAsia="Times New Roman" w:hAnsi="Calibri" w:cs="Calibri"/>
          <w:sz w:val="22"/>
          <w:szCs w:val="22"/>
          <w:lang w:val="en-IE" w:eastAsia="en-US"/>
        </w:rPr>
        <w:t xml:space="preserve"> 30, 2025, the Group had taken delivery of </w:t>
      </w:r>
      <w:r w:rsidRPr="002C74FF">
        <w:rPr>
          <w:rFonts w:ascii="Calibri" w:eastAsia="Times New Roman" w:hAnsi="Calibri" w:cs="Calibri"/>
          <w:sz w:val="22"/>
          <w:szCs w:val="22"/>
          <w:lang w:val="en-IE" w:eastAsia="en-US"/>
        </w:rPr>
        <w:t>1</w:t>
      </w:r>
      <w:r w:rsidR="002C74FF" w:rsidRPr="002C74FF">
        <w:rPr>
          <w:rFonts w:ascii="Calibri" w:eastAsia="Times New Roman" w:hAnsi="Calibri" w:cs="Calibri"/>
          <w:sz w:val="22"/>
          <w:szCs w:val="22"/>
          <w:lang w:val="en-IE" w:eastAsia="en-US"/>
        </w:rPr>
        <w:t>99</w:t>
      </w:r>
      <w:r w:rsidRPr="000E5963">
        <w:rPr>
          <w:rFonts w:ascii="Calibri" w:eastAsia="Times New Roman" w:hAnsi="Calibri" w:cs="Calibri"/>
          <w:sz w:val="22"/>
          <w:szCs w:val="22"/>
          <w:lang w:val="en-IE" w:eastAsia="en-US"/>
        </w:rPr>
        <w:t xml:space="preserve"> of these aircraft. The remaining aircraft are expected to deliver </w:t>
      </w:r>
      <w:r w:rsidRPr="00367A6A">
        <w:rPr>
          <w:rFonts w:ascii="Calibri" w:eastAsia="Times New Roman" w:hAnsi="Calibri" w:cs="Calibri"/>
          <w:sz w:val="22"/>
          <w:szCs w:val="22"/>
          <w:lang w:val="en-IE" w:eastAsia="en-US"/>
        </w:rPr>
        <w:t xml:space="preserve">before </w:t>
      </w:r>
      <w:r w:rsidR="00CE5C4E">
        <w:rPr>
          <w:rFonts w:ascii="Calibri" w:eastAsia="Times New Roman" w:hAnsi="Calibri" w:cs="Calibri"/>
          <w:sz w:val="22"/>
          <w:szCs w:val="22"/>
          <w:lang w:val="en-IE" w:eastAsia="en-US"/>
        </w:rPr>
        <w:t>S</w:t>
      </w:r>
      <w:r w:rsidR="001C4F39">
        <w:rPr>
          <w:rFonts w:ascii="Calibri" w:eastAsia="Times New Roman" w:hAnsi="Calibri" w:cs="Calibri"/>
          <w:sz w:val="22"/>
          <w:szCs w:val="22"/>
          <w:lang w:val="en-IE" w:eastAsia="en-US"/>
        </w:rPr>
        <w:t>ummer</w:t>
      </w:r>
      <w:r w:rsidRPr="00367A6A">
        <w:rPr>
          <w:rFonts w:ascii="Calibri" w:eastAsia="Times New Roman" w:hAnsi="Calibri" w:cs="Calibri"/>
          <w:sz w:val="22"/>
          <w:szCs w:val="22"/>
          <w:lang w:val="en-IE" w:eastAsia="en-US"/>
        </w:rPr>
        <w:t xml:space="preserve"> 2026</w:t>
      </w:r>
      <w:r w:rsidRPr="000E5963">
        <w:rPr>
          <w:rFonts w:ascii="Calibri" w:eastAsia="Times New Roman" w:hAnsi="Calibri" w:cs="Calibri"/>
          <w:sz w:val="22"/>
          <w:szCs w:val="22"/>
          <w:lang w:val="en-IE" w:eastAsia="en-US"/>
        </w:rPr>
        <w:t>. In May 2023, the Group ordered up to 300 (150 firm and 150 options) new Boeing 737-MAX-10 aircraft for delivery between 2027 to 203</w:t>
      </w:r>
      <w:r w:rsidR="007B7F79">
        <w:rPr>
          <w:rFonts w:ascii="Calibri" w:eastAsia="Times New Roman" w:hAnsi="Calibri" w:cs="Calibri"/>
          <w:sz w:val="22"/>
          <w:szCs w:val="22"/>
          <w:lang w:val="en-IE" w:eastAsia="en-US"/>
        </w:rPr>
        <w:t>4</w:t>
      </w:r>
      <w:r w:rsidRPr="000E5963">
        <w:rPr>
          <w:rFonts w:ascii="Calibri" w:eastAsia="Times New Roman" w:hAnsi="Calibri" w:cs="Calibri"/>
          <w:sz w:val="22"/>
          <w:szCs w:val="22"/>
          <w:lang w:val="en-IE" w:eastAsia="en-US"/>
        </w:rPr>
        <w:t>. This transaction was approved at the Company’s AGM in September 2023.</w:t>
      </w:r>
    </w:p>
    <w:p w14:paraId="0C090926" w14:textId="77777777" w:rsidR="000E5963" w:rsidRPr="000E5963" w:rsidRDefault="000E5963" w:rsidP="000E5963">
      <w:pPr>
        <w:tabs>
          <w:tab w:val="num" w:pos="0"/>
        </w:tabs>
        <w:spacing w:after="0" w:line="240" w:lineRule="auto"/>
        <w:ind w:right="283"/>
        <w:jc w:val="both"/>
        <w:rPr>
          <w:rFonts w:ascii="Calibri" w:eastAsia="Times New Roman" w:hAnsi="Calibri" w:cs="Calibri"/>
          <w:sz w:val="22"/>
          <w:szCs w:val="22"/>
          <w:lang w:val="en-IE" w:eastAsia="en-US"/>
        </w:rPr>
      </w:pPr>
    </w:p>
    <w:p w14:paraId="51B0BBAA" w14:textId="77777777" w:rsidR="000E5963" w:rsidRPr="000E5963" w:rsidRDefault="000E5963" w:rsidP="000E5963">
      <w:pPr>
        <w:keepNext/>
        <w:numPr>
          <w:ilvl w:val="0"/>
          <w:numId w:val="16"/>
        </w:numPr>
        <w:tabs>
          <w:tab w:val="num" w:pos="0"/>
        </w:tabs>
        <w:spacing w:after="0" w:line="240" w:lineRule="auto"/>
        <w:ind w:right="283"/>
        <w:jc w:val="both"/>
        <w:outlineLvl w:val="0"/>
        <w:rPr>
          <w:rFonts w:ascii="Calibri" w:eastAsia="Times New Roman" w:hAnsi="Calibri" w:cs="Calibri"/>
          <w:b/>
          <w:sz w:val="22"/>
          <w:szCs w:val="22"/>
          <w:lang w:eastAsia="en-US"/>
        </w:rPr>
      </w:pPr>
      <w:r w:rsidRPr="000E5963">
        <w:rPr>
          <w:rFonts w:ascii="Calibri" w:eastAsia="Times New Roman" w:hAnsi="Calibri" w:cs="Calibri"/>
          <w:b/>
          <w:sz w:val="22"/>
          <w:szCs w:val="22"/>
          <w:lang w:eastAsia="en-US"/>
        </w:rPr>
        <w:t>Analysis of operating revenues and segmental analysis</w:t>
      </w:r>
    </w:p>
    <w:p w14:paraId="041C3FD4" w14:textId="77777777" w:rsidR="000E5963" w:rsidRPr="000E5963" w:rsidRDefault="000E5963" w:rsidP="000E5963">
      <w:pPr>
        <w:keepNext/>
        <w:tabs>
          <w:tab w:val="num" w:pos="0"/>
        </w:tabs>
        <w:spacing w:after="0" w:line="240" w:lineRule="auto"/>
        <w:ind w:right="283"/>
        <w:jc w:val="both"/>
        <w:outlineLvl w:val="0"/>
        <w:rPr>
          <w:rFonts w:ascii="Calibri" w:eastAsia="Times New Roman" w:hAnsi="Calibri" w:cs="Calibri"/>
          <w:sz w:val="22"/>
          <w:szCs w:val="22"/>
          <w:lang w:eastAsia="en-US"/>
        </w:rPr>
      </w:pPr>
    </w:p>
    <w:p w14:paraId="4AC95E0A" w14:textId="77777777" w:rsidR="000E5963" w:rsidRPr="000E5963" w:rsidRDefault="000E5963" w:rsidP="000E5963">
      <w:p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Group determines and presents operating segments based on the information that internally is provided to the Group CEO, who is the Company’s Chief Operating Decision Maker (CODM).</w:t>
      </w:r>
    </w:p>
    <w:p w14:paraId="1A5F342A" w14:textId="77777777" w:rsidR="00C71024" w:rsidRDefault="00C71024" w:rsidP="000E5963">
      <w:pPr>
        <w:spacing w:after="0" w:line="240" w:lineRule="auto"/>
        <w:ind w:right="283"/>
        <w:jc w:val="both"/>
        <w:rPr>
          <w:rFonts w:ascii="Calibri" w:eastAsia="Times New Roman" w:hAnsi="Calibri" w:cs="Calibri"/>
          <w:sz w:val="22"/>
          <w:szCs w:val="22"/>
          <w:lang w:eastAsia="en-US"/>
        </w:rPr>
      </w:pPr>
    </w:p>
    <w:p w14:paraId="2A297E0D" w14:textId="17F48356" w:rsidR="000E5963" w:rsidRPr="000E5963" w:rsidRDefault="000E5963" w:rsidP="000E5963">
      <w:p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Group comprises five separate airlines, Buzz, Lauda Europe (“Lauda”), Malta Air, Ryanair DAC and Ryanair UK. Buzz, Malta Air and Lauda do not individually exceed the quantitative thresholds and accordingly are presented on an aggregate basis as they exhibit similar economic characteristics and their services, activities and operations are sufficiently similar in nature. The results of these operations are included as ‘Other Airlines.’ The Ryanair DAC segment incorporates all of the Group's operations, except for those included within ‘Other Airlines’, and is reported as a separate segment as it exceeds the applicable quantitative thresholds for reporting purposes.</w:t>
      </w:r>
    </w:p>
    <w:p w14:paraId="5C931BF4" w14:textId="3C25B31F" w:rsidR="000E5963" w:rsidRDefault="00C67866" w:rsidP="003C1577">
      <w:pPr>
        <w:jc w:val="both"/>
        <w:rPr>
          <w:rFonts w:ascii="Calibri" w:eastAsia="Times New Roman" w:hAnsi="Calibri" w:cs="Calibri"/>
          <w:sz w:val="22"/>
          <w:szCs w:val="22"/>
          <w:lang w:eastAsia="en-US"/>
        </w:rPr>
      </w:pPr>
      <w:r>
        <w:rPr>
          <w:rFonts w:ascii="Calibri" w:eastAsia="Times New Roman" w:hAnsi="Calibri" w:cs="Calibri"/>
          <w:sz w:val="22"/>
          <w:szCs w:val="22"/>
          <w:lang w:eastAsia="en-US"/>
        </w:rPr>
        <w:br w:type="page"/>
      </w:r>
      <w:r w:rsidR="000E5963" w:rsidRPr="000E5963">
        <w:rPr>
          <w:rFonts w:ascii="Calibri" w:eastAsia="Times New Roman" w:hAnsi="Calibri" w:cs="Calibri"/>
          <w:sz w:val="22"/>
          <w:szCs w:val="22"/>
          <w:lang w:eastAsia="en-US"/>
        </w:rPr>
        <w:lastRenderedPageBreak/>
        <w:t xml:space="preserve">The CODM assesses the performance of the business based on the profit or loss after tax of each airline for the reporting period. Resource allocation decisions for all airlines are based on airline performance for the relevant period, with the objective in making these resource allocation decisions being to </w:t>
      </w:r>
      <w:proofErr w:type="spellStart"/>
      <w:r w:rsidR="000E5963" w:rsidRPr="000E5963">
        <w:rPr>
          <w:rFonts w:ascii="Calibri" w:eastAsia="Times New Roman" w:hAnsi="Calibri" w:cs="Calibri"/>
          <w:sz w:val="22"/>
          <w:szCs w:val="22"/>
          <w:lang w:eastAsia="en-US"/>
        </w:rPr>
        <w:t>optimise</w:t>
      </w:r>
      <w:proofErr w:type="spellEnd"/>
      <w:r w:rsidR="000E5963" w:rsidRPr="000E5963">
        <w:rPr>
          <w:rFonts w:ascii="Calibri" w:eastAsia="Times New Roman" w:hAnsi="Calibri" w:cs="Calibri"/>
          <w:sz w:val="22"/>
          <w:szCs w:val="22"/>
          <w:lang w:eastAsia="en-US"/>
        </w:rPr>
        <w:t xml:space="preserve"> consolidated financial results. Reportable segment information is presented as follows:</w:t>
      </w:r>
    </w:p>
    <w:tbl>
      <w:tblPr>
        <w:tblW w:w="10774" w:type="dxa"/>
        <w:tblInd w:w="-34" w:type="dxa"/>
        <w:tblLayout w:type="fixed"/>
        <w:tblLook w:val="04A0" w:firstRow="1" w:lastRow="0" w:firstColumn="1" w:lastColumn="0" w:noHBand="0" w:noVBand="1"/>
      </w:tblPr>
      <w:tblGrid>
        <w:gridCol w:w="4962"/>
        <w:gridCol w:w="1559"/>
        <w:gridCol w:w="1559"/>
        <w:gridCol w:w="1419"/>
        <w:gridCol w:w="1275"/>
      </w:tblGrid>
      <w:tr w:rsidR="00660965" w:rsidRPr="00660965" w14:paraId="725B26E9" w14:textId="77777777" w:rsidTr="00EB7986">
        <w:trPr>
          <w:trHeight w:val="283"/>
        </w:trPr>
        <w:tc>
          <w:tcPr>
            <w:tcW w:w="4962" w:type="dxa"/>
            <w:shd w:val="clear" w:color="auto" w:fill="FFFFFF"/>
            <w:hideMark/>
          </w:tcPr>
          <w:p w14:paraId="22E00F32" w14:textId="77777777" w:rsidR="00660965" w:rsidRPr="00660965" w:rsidRDefault="00660965" w:rsidP="00660965">
            <w:pPr>
              <w:spacing w:after="0" w:line="240" w:lineRule="auto"/>
              <w:ind w:left="30"/>
              <w:rPr>
                <w:rFonts w:ascii="Calibri" w:eastAsia="Times New Roman" w:hAnsi="Calibri" w:cs="Calibri"/>
                <w:color w:val="000000"/>
                <w:sz w:val="21"/>
                <w:szCs w:val="21"/>
                <w:lang w:val="en-IE" w:eastAsia="en-IE"/>
              </w:rPr>
            </w:pPr>
            <w:r w:rsidRPr="00660965">
              <w:rPr>
                <w:rFonts w:ascii="Calibri" w:eastAsia="Times New Roman" w:hAnsi="Calibri" w:cs="Calibri"/>
                <w:b/>
                <w:bCs/>
                <w:color w:val="000000"/>
                <w:sz w:val="21"/>
                <w:szCs w:val="21"/>
                <w:lang w:val="en-IE" w:eastAsia="en-IE"/>
              </w:rPr>
              <w:t>Half-Year Ended</w:t>
            </w:r>
          </w:p>
        </w:tc>
        <w:tc>
          <w:tcPr>
            <w:tcW w:w="1559" w:type="dxa"/>
            <w:shd w:val="clear" w:color="auto" w:fill="FFFF00"/>
            <w:vAlign w:val="bottom"/>
            <w:hideMark/>
          </w:tcPr>
          <w:p w14:paraId="08B3C024" w14:textId="77777777" w:rsidR="00660965" w:rsidRPr="00660965" w:rsidRDefault="00660965" w:rsidP="00660965">
            <w:pPr>
              <w:spacing w:after="0" w:line="240" w:lineRule="auto"/>
              <w:ind w:left="-115"/>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Ryanair DAC</w:t>
            </w:r>
          </w:p>
          <w:p w14:paraId="72DEE9C9" w14:textId="77777777" w:rsidR="00660965" w:rsidRPr="00660965" w:rsidRDefault="00660965" w:rsidP="00660965">
            <w:pPr>
              <w:spacing w:after="0" w:line="240" w:lineRule="auto"/>
              <w:ind w:left="-115"/>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Sep 30,</w:t>
            </w:r>
          </w:p>
          <w:p w14:paraId="6CBBB383" w14:textId="5534E640" w:rsidR="00660965" w:rsidRPr="00660965" w:rsidRDefault="00660965" w:rsidP="00660965">
            <w:pPr>
              <w:spacing w:after="0" w:line="240" w:lineRule="auto"/>
              <w:ind w:left="-115"/>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202</w:t>
            </w:r>
            <w:r w:rsidR="004177D9">
              <w:rPr>
                <w:rFonts w:ascii="Calibri" w:eastAsia="Times New Roman" w:hAnsi="Calibri" w:cs="Calibri"/>
                <w:b/>
                <w:bCs/>
                <w:color w:val="000000"/>
                <w:sz w:val="21"/>
                <w:szCs w:val="21"/>
                <w:lang w:val="en-IE" w:eastAsia="en-IE"/>
              </w:rPr>
              <w:t>5</w:t>
            </w:r>
          </w:p>
          <w:p w14:paraId="77E28D37" w14:textId="77777777" w:rsidR="00660965" w:rsidRPr="00660965" w:rsidRDefault="00660965" w:rsidP="00660965">
            <w:pPr>
              <w:spacing w:after="0" w:line="240" w:lineRule="auto"/>
              <w:ind w:left="-115"/>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€M</w:t>
            </w:r>
          </w:p>
        </w:tc>
        <w:tc>
          <w:tcPr>
            <w:tcW w:w="1559" w:type="dxa"/>
            <w:shd w:val="clear" w:color="auto" w:fill="FFFF00"/>
            <w:vAlign w:val="bottom"/>
          </w:tcPr>
          <w:p w14:paraId="49507516" w14:textId="77777777" w:rsidR="00660965" w:rsidRPr="00660965" w:rsidRDefault="00660965" w:rsidP="00660965">
            <w:pPr>
              <w:spacing w:after="0" w:line="240" w:lineRule="auto"/>
              <w:ind w:left="-115" w:right="40"/>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Other Airlines</w:t>
            </w:r>
          </w:p>
          <w:p w14:paraId="2EA89B72" w14:textId="77777777" w:rsidR="00660965" w:rsidRPr="00660965" w:rsidRDefault="00660965" w:rsidP="00660965">
            <w:pPr>
              <w:spacing w:after="0" w:line="240" w:lineRule="auto"/>
              <w:ind w:left="-115" w:right="40"/>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Sep 30,</w:t>
            </w:r>
          </w:p>
          <w:p w14:paraId="15601EB6" w14:textId="58FFDCBD" w:rsidR="00660965" w:rsidRPr="00660965" w:rsidRDefault="00660965" w:rsidP="00660965">
            <w:pPr>
              <w:spacing w:after="0" w:line="240" w:lineRule="auto"/>
              <w:ind w:left="-115" w:right="40"/>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202</w:t>
            </w:r>
            <w:r w:rsidR="004177D9">
              <w:rPr>
                <w:rFonts w:ascii="Calibri" w:eastAsia="Times New Roman" w:hAnsi="Calibri" w:cs="Calibri"/>
                <w:b/>
                <w:bCs/>
                <w:color w:val="000000"/>
                <w:sz w:val="21"/>
                <w:szCs w:val="21"/>
                <w:lang w:val="en-IE" w:eastAsia="en-IE"/>
              </w:rPr>
              <w:t>5</w:t>
            </w:r>
          </w:p>
          <w:p w14:paraId="2386EBBC" w14:textId="77777777" w:rsidR="00660965" w:rsidRPr="00660965" w:rsidRDefault="00660965" w:rsidP="00660965">
            <w:pPr>
              <w:spacing w:after="0" w:line="240" w:lineRule="auto"/>
              <w:ind w:left="-115" w:right="40"/>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€M</w:t>
            </w:r>
          </w:p>
        </w:tc>
        <w:tc>
          <w:tcPr>
            <w:tcW w:w="1419" w:type="dxa"/>
            <w:shd w:val="clear" w:color="auto" w:fill="FFFF00"/>
            <w:vAlign w:val="bottom"/>
          </w:tcPr>
          <w:p w14:paraId="0A0E46F2" w14:textId="77777777" w:rsidR="00660965" w:rsidRPr="00660965" w:rsidRDefault="00660965" w:rsidP="00660965">
            <w:pPr>
              <w:spacing w:after="0" w:line="240" w:lineRule="auto"/>
              <w:ind w:left="-115" w:right="29"/>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Elimination</w:t>
            </w:r>
          </w:p>
          <w:p w14:paraId="60C45581" w14:textId="77777777" w:rsidR="00660965" w:rsidRPr="00660965" w:rsidRDefault="00660965" w:rsidP="00660965">
            <w:pPr>
              <w:spacing w:after="0" w:line="240" w:lineRule="auto"/>
              <w:ind w:left="-115" w:right="29"/>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Sep 30,</w:t>
            </w:r>
          </w:p>
          <w:p w14:paraId="67111A6A" w14:textId="7F20A15A" w:rsidR="00660965" w:rsidRPr="00660965" w:rsidRDefault="00660965" w:rsidP="00660965">
            <w:pPr>
              <w:spacing w:after="0" w:line="240" w:lineRule="auto"/>
              <w:ind w:left="-115" w:right="29"/>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202</w:t>
            </w:r>
            <w:r w:rsidR="004177D9">
              <w:rPr>
                <w:rFonts w:ascii="Calibri" w:eastAsia="Times New Roman" w:hAnsi="Calibri" w:cs="Calibri"/>
                <w:b/>
                <w:bCs/>
                <w:color w:val="000000"/>
                <w:sz w:val="21"/>
                <w:szCs w:val="21"/>
                <w:lang w:val="en-IE" w:eastAsia="en-IE"/>
              </w:rPr>
              <w:t>5</w:t>
            </w:r>
          </w:p>
          <w:p w14:paraId="162F4B92" w14:textId="77777777" w:rsidR="00660965" w:rsidRPr="00660965" w:rsidRDefault="00660965" w:rsidP="00660965">
            <w:pPr>
              <w:spacing w:after="0" w:line="240" w:lineRule="auto"/>
              <w:ind w:left="-115" w:right="29"/>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€M</w:t>
            </w:r>
          </w:p>
        </w:tc>
        <w:tc>
          <w:tcPr>
            <w:tcW w:w="1275" w:type="dxa"/>
            <w:shd w:val="clear" w:color="auto" w:fill="FFFF00"/>
            <w:vAlign w:val="bottom"/>
            <w:hideMark/>
          </w:tcPr>
          <w:p w14:paraId="2F72EB91" w14:textId="77777777" w:rsidR="00660965" w:rsidRPr="00660965" w:rsidRDefault="00660965" w:rsidP="00660965">
            <w:pPr>
              <w:spacing w:after="0" w:line="240" w:lineRule="auto"/>
              <w:ind w:left="-115" w:right="43"/>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Total</w:t>
            </w:r>
          </w:p>
          <w:p w14:paraId="66C3F71C" w14:textId="77777777" w:rsidR="00660965" w:rsidRPr="00660965" w:rsidRDefault="00660965" w:rsidP="00660965">
            <w:pPr>
              <w:spacing w:after="0" w:line="240" w:lineRule="auto"/>
              <w:ind w:left="-115" w:right="43"/>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Sep 30,</w:t>
            </w:r>
          </w:p>
          <w:p w14:paraId="06EBDA6C" w14:textId="667B77DA" w:rsidR="00660965" w:rsidRPr="00660965" w:rsidRDefault="00660965" w:rsidP="00660965">
            <w:pPr>
              <w:spacing w:after="0" w:line="240" w:lineRule="auto"/>
              <w:ind w:left="-115" w:right="43"/>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202</w:t>
            </w:r>
            <w:r w:rsidR="004177D9">
              <w:rPr>
                <w:rFonts w:ascii="Calibri" w:eastAsia="Times New Roman" w:hAnsi="Calibri" w:cs="Calibri"/>
                <w:b/>
                <w:bCs/>
                <w:color w:val="000000"/>
                <w:sz w:val="21"/>
                <w:szCs w:val="21"/>
                <w:lang w:val="en-IE" w:eastAsia="en-IE"/>
              </w:rPr>
              <w:t>5</w:t>
            </w:r>
          </w:p>
          <w:p w14:paraId="21270E45" w14:textId="77777777" w:rsidR="00660965" w:rsidRPr="00660965" w:rsidRDefault="00660965" w:rsidP="00660965">
            <w:pPr>
              <w:spacing w:after="0" w:line="240" w:lineRule="auto"/>
              <w:ind w:left="-115" w:right="43"/>
              <w:jc w:val="right"/>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IE"/>
              </w:rPr>
              <w:t>€M</w:t>
            </w:r>
          </w:p>
        </w:tc>
      </w:tr>
      <w:tr w:rsidR="00CE1283" w:rsidRPr="00660965" w14:paraId="7558429D" w14:textId="77777777" w:rsidTr="00EB7986">
        <w:trPr>
          <w:trHeight w:val="319"/>
        </w:trPr>
        <w:tc>
          <w:tcPr>
            <w:tcW w:w="4962" w:type="dxa"/>
            <w:shd w:val="clear" w:color="auto" w:fill="FFFFFF"/>
            <w:vAlign w:val="bottom"/>
          </w:tcPr>
          <w:p w14:paraId="2DF09B2D" w14:textId="5888FF2E"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Scheduled revenues</w:t>
            </w:r>
          </w:p>
        </w:tc>
        <w:tc>
          <w:tcPr>
            <w:tcW w:w="1559" w:type="dxa"/>
            <w:shd w:val="clear" w:color="auto" w:fill="FFFF00"/>
            <w:noWrap/>
            <w:vAlign w:val="bottom"/>
          </w:tcPr>
          <w:p w14:paraId="027DE1CC" w14:textId="12CBE3C4" w:rsidR="00CE1283" w:rsidRPr="00660965" w:rsidRDefault="007E5A8B"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6,796.0</w:t>
            </w:r>
          </w:p>
        </w:tc>
        <w:tc>
          <w:tcPr>
            <w:tcW w:w="1559" w:type="dxa"/>
            <w:shd w:val="clear" w:color="auto" w:fill="FFFF00"/>
            <w:vAlign w:val="bottom"/>
          </w:tcPr>
          <w:p w14:paraId="324BF76C" w14:textId="77AA8B30" w:rsidR="00CE1283" w:rsidRPr="00660965" w:rsidRDefault="007E5A8B" w:rsidP="00CE128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112.6</w:t>
            </w:r>
          </w:p>
        </w:tc>
        <w:tc>
          <w:tcPr>
            <w:tcW w:w="1419" w:type="dxa"/>
            <w:shd w:val="clear" w:color="auto" w:fill="FFFF00"/>
            <w:vAlign w:val="bottom"/>
          </w:tcPr>
          <w:p w14:paraId="275FB970" w14:textId="70DEA564" w:rsidR="00CE1283" w:rsidRPr="00660965" w:rsidRDefault="007E5A8B" w:rsidP="00CE128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275" w:type="dxa"/>
            <w:shd w:val="clear" w:color="auto" w:fill="FFFF00"/>
            <w:noWrap/>
            <w:vAlign w:val="bottom"/>
          </w:tcPr>
          <w:p w14:paraId="1E59C7F2" w14:textId="6BEC77D0" w:rsidR="00CE1283" w:rsidRPr="00660965" w:rsidRDefault="00AB0C49" w:rsidP="00CE1283">
            <w:pPr>
              <w:spacing w:after="0" w:line="240" w:lineRule="auto"/>
              <w:ind w:left="-115" w:right="43"/>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6,908.6</w:t>
            </w:r>
          </w:p>
        </w:tc>
      </w:tr>
      <w:tr w:rsidR="00CE1283" w:rsidRPr="00660965" w14:paraId="7D35DBD7" w14:textId="77777777" w:rsidTr="00EB7986">
        <w:trPr>
          <w:trHeight w:val="319"/>
        </w:trPr>
        <w:tc>
          <w:tcPr>
            <w:tcW w:w="4962" w:type="dxa"/>
            <w:shd w:val="clear" w:color="auto" w:fill="FFFFFF"/>
            <w:vAlign w:val="bottom"/>
          </w:tcPr>
          <w:p w14:paraId="5600679C" w14:textId="49C51F57"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Ancillary revenues</w:t>
            </w:r>
          </w:p>
        </w:tc>
        <w:tc>
          <w:tcPr>
            <w:tcW w:w="1559" w:type="dxa"/>
            <w:shd w:val="clear" w:color="auto" w:fill="FFFF00"/>
            <w:noWrap/>
            <w:vAlign w:val="bottom"/>
          </w:tcPr>
          <w:p w14:paraId="6893BF22" w14:textId="6E20477A" w:rsidR="00CE1283" w:rsidRPr="00660965" w:rsidRDefault="007E5A8B"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2,90</w:t>
            </w:r>
            <w:r w:rsidR="00CF3889">
              <w:rPr>
                <w:rFonts w:ascii="Calibri" w:eastAsia="Times New Roman" w:hAnsi="Calibri" w:cs="Calibri"/>
                <w:b/>
                <w:bCs/>
                <w:color w:val="000000"/>
                <w:sz w:val="21"/>
                <w:szCs w:val="21"/>
                <w:lang w:val="en-IE" w:eastAsia="en-IE"/>
              </w:rPr>
              <w:t>8</w:t>
            </w:r>
            <w:r w:rsidR="00632664">
              <w:rPr>
                <w:rFonts w:ascii="Calibri" w:eastAsia="Times New Roman" w:hAnsi="Calibri" w:cs="Calibri"/>
                <w:b/>
                <w:bCs/>
                <w:color w:val="000000"/>
                <w:sz w:val="21"/>
                <w:szCs w:val="21"/>
                <w:lang w:val="en-IE" w:eastAsia="en-IE"/>
              </w:rPr>
              <w:t>.9</w:t>
            </w:r>
          </w:p>
        </w:tc>
        <w:tc>
          <w:tcPr>
            <w:tcW w:w="1559" w:type="dxa"/>
            <w:shd w:val="clear" w:color="auto" w:fill="FFFF00"/>
            <w:vAlign w:val="bottom"/>
          </w:tcPr>
          <w:p w14:paraId="07187809" w14:textId="64AA9ECE" w:rsidR="00CE1283" w:rsidRPr="00660965" w:rsidRDefault="007E5A8B" w:rsidP="00CE128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419" w:type="dxa"/>
            <w:shd w:val="clear" w:color="auto" w:fill="FFFF00"/>
            <w:vAlign w:val="bottom"/>
          </w:tcPr>
          <w:p w14:paraId="50C1AE56" w14:textId="287BDED9" w:rsidR="00CE1283" w:rsidRPr="00660965" w:rsidRDefault="007E5A8B" w:rsidP="00CE128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275" w:type="dxa"/>
            <w:shd w:val="clear" w:color="auto" w:fill="FFFF00"/>
            <w:noWrap/>
            <w:vAlign w:val="bottom"/>
          </w:tcPr>
          <w:p w14:paraId="3149F482" w14:textId="05E6FFEC" w:rsidR="00CE1283" w:rsidRPr="00660965" w:rsidRDefault="00AB0C49" w:rsidP="00CE1283">
            <w:pPr>
              <w:spacing w:after="0" w:line="240" w:lineRule="auto"/>
              <w:ind w:left="-115" w:right="43"/>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2,90</w:t>
            </w:r>
            <w:r w:rsidR="00CF3889">
              <w:rPr>
                <w:rFonts w:ascii="Calibri" w:eastAsia="Times New Roman" w:hAnsi="Calibri" w:cs="Calibri"/>
                <w:b/>
                <w:bCs/>
                <w:color w:val="000000"/>
                <w:sz w:val="21"/>
                <w:szCs w:val="21"/>
                <w:lang w:val="en-IE" w:eastAsia="en-IE"/>
              </w:rPr>
              <w:t>8</w:t>
            </w:r>
            <w:r w:rsidR="008C4E8A">
              <w:rPr>
                <w:rFonts w:ascii="Calibri" w:eastAsia="Times New Roman" w:hAnsi="Calibri" w:cs="Calibri"/>
                <w:b/>
                <w:bCs/>
                <w:color w:val="000000"/>
                <w:sz w:val="21"/>
                <w:szCs w:val="21"/>
                <w:lang w:val="en-IE" w:eastAsia="en-IE"/>
              </w:rPr>
              <w:t>.</w:t>
            </w:r>
            <w:r w:rsidR="00CF3889">
              <w:rPr>
                <w:rFonts w:ascii="Calibri" w:eastAsia="Times New Roman" w:hAnsi="Calibri" w:cs="Calibri"/>
                <w:b/>
                <w:bCs/>
                <w:color w:val="000000"/>
                <w:sz w:val="21"/>
                <w:szCs w:val="21"/>
                <w:lang w:val="en-IE" w:eastAsia="en-IE"/>
              </w:rPr>
              <w:t>9</w:t>
            </w:r>
          </w:p>
        </w:tc>
      </w:tr>
      <w:tr w:rsidR="00CE1283" w:rsidRPr="00660965" w14:paraId="30AE7A22" w14:textId="77777777" w:rsidTr="00EB7986">
        <w:trPr>
          <w:trHeight w:val="319"/>
        </w:trPr>
        <w:tc>
          <w:tcPr>
            <w:tcW w:w="4962" w:type="dxa"/>
            <w:shd w:val="clear" w:color="auto" w:fill="FFFFFF"/>
            <w:vAlign w:val="bottom"/>
            <w:hideMark/>
          </w:tcPr>
          <w:p w14:paraId="163FC54A" w14:textId="613E654E"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Inter-segment revenues</w:t>
            </w:r>
          </w:p>
        </w:tc>
        <w:tc>
          <w:tcPr>
            <w:tcW w:w="1559" w:type="dxa"/>
            <w:tcBorders>
              <w:left w:val="nil"/>
              <w:bottom w:val="single" w:sz="4" w:space="0" w:color="auto"/>
              <w:right w:val="nil"/>
            </w:tcBorders>
            <w:shd w:val="clear" w:color="000000" w:fill="FFFF00"/>
            <w:noWrap/>
            <w:vAlign w:val="bottom"/>
          </w:tcPr>
          <w:p w14:paraId="278056DD" w14:textId="4AC2C55B" w:rsidR="00CE1283" w:rsidRPr="00660965" w:rsidRDefault="007E5A8B"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404.8</w:t>
            </w:r>
          </w:p>
        </w:tc>
        <w:tc>
          <w:tcPr>
            <w:tcW w:w="1559" w:type="dxa"/>
            <w:tcBorders>
              <w:left w:val="nil"/>
              <w:bottom w:val="single" w:sz="4" w:space="0" w:color="auto"/>
              <w:right w:val="nil"/>
            </w:tcBorders>
            <w:shd w:val="clear" w:color="000000" w:fill="FFFF00"/>
            <w:vAlign w:val="bottom"/>
          </w:tcPr>
          <w:p w14:paraId="019131DB" w14:textId="50056517" w:rsidR="00CE1283" w:rsidRPr="00660965" w:rsidRDefault="007E5A8B" w:rsidP="00CE128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79</w:t>
            </w:r>
            <w:r w:rsidR="004A5AD6">
              <w:rPr>
                <w:rFonts w:ascii="Calibri" w:eastAsia="Times New Roman" w:hAnsi="Calibri" w:cs="Calibri"/>
                <w:b/>
                <w:bCs/>
                <w:color w:val="000000"/>
                <w:sz w:val="21"/>
                <w:szCs w:val="21"/>
                <w:lang w:val="en-IE" w:eastAsia="en-US"/>
              </w:rPr>
              <w:t>3.1</w:t>
            </w:r>
          </w:p>
        </w:tc>
        <w:tc>
          <w:tcPr>
            <w:tcW w:w="1419" w:type="dxa"/>
            <w:tcBorders>
              <w:left w:val="nil"/>
              <w:bottom w:val="single" w:sz="4" w:space="0" w:color="auto"/>
              <w:right w:val="nil"/>
            </w:tcBorders>
            <w:shd w:val="clear" w:color="000000" w:fill="FFFF00"/>
            <w:vAlign w:val="bottom"/>
          </w:tcPr>
          <w:p w14:paraId="3A3262AB" w14:textId="56DD8822" w:rsidR="00CE1283" w:rsidRPr="00660965" w:rsidRDefault="00AB0C49" w:rsidP="00CE1283">
            <w:pPr>
              <w:spacing w:after="0" w:line="240" w:lineRule="auto"/>
              <w:ind w:left="-115" w:right="29"/>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(1,197.</w:t>
            </w:r>
            <w:r w:rsidR="00DE51A9">
              <w:rPr>
                <w:rFonts w:ascii="Calibri" w:eastAsia="Times New Roman" w:hAnsi="Calibri" w:cs="Calibri"/>
                <w:b/>
                <w:bCs/>
                <w:color w:val="000000"/>
                <w:sz w:val="21"/>
                <w:szCs w:val="21"/>
                <w:lang w:val="en-IE" w:eastAsia="en-US"/>
              </w:rPr>
              <w:t>9</w:t>
            </w:r>
            <w:r>
              <w:rPr>
                <w:rFonts w:ascii="Calibri" w:eastAsia="Times New Roman" w:hAnsi="Calibri" w:cs="Calibri"/>
                <w:b/>
                <w:bCs/>
                <w:color w:val="000000"/>
                <w:sz w:val="21"/>
                <w:szCs w:val="21"/>
                <w:lang w:val="en-IE" w:eastAsia="en-US"/>
              </w:rPr>
              <w:t>)</w:t>
            </w:r>
          </w:p>
        </w:tc>
        <w:tc>
          <w:tcPr>
            <w:tcW w:w="1275" w:type="dxa"/>
            <w:tcBorders>
              <w:left w:val="nil"/>
              <w:bottom w:val="single" w:sz="4" w:space="0" w:color="auto"/>
              <w:right w:val="nil"/>
            </w:tcBorders>
            <w:shd w:val="clear" w:color="000000" w:fill="FFFF00"/>
            <w:noWrap/>
            <w:vAlign w:val="bottom"/>
          </w:tcPr>
          <w:p w14:paraId="3A00183C" w14:textId="431C05AD" w:rsidR="00CE1283" w:rsidRPr="00660965" w:rsidRDefault="00AB0C49" w:rsidP="00CE1283">
            <w:pPr>
              <w:spacing w:after="0" w:line="240" w:lineRule="auto"/>
              <w:ind w:left="-115" w:right="43"/>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p>
        </w:tc>
      </w:tr>
      <w:tr w:rsidR="00CE1283" w:rsidRPr="00660965" w14:paraId="48FF12D6" w14:textId="77777777" w:rsidTr="00EB7986">
        <w:trPr>
          <w:trHeight w:val="319"/>
        </w:trPr>
        <w:tc>
          <w:tcPr>
            <w:tcW w:w="4962" w:type="dxa"/>
            <w:shd w:val="clear" w:color="auto" w:fill="FFFFFF"/>
            <w:vAlign w:val="bottom"/>
            <w:hideMark/>
          </w:tcPr>
          <w:p w14:paraId="30903701" w14:textId="621B4490"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IE"/>
              </w:rPr>
              <w:t>Segment revenues</w:t>
            </w:r>
          </w:p>
        </w:tc>
        <w:tc>
          <w:tcPr>
            <w:tcW w:w="1559" w:type="dxa"/>
            <w:tcBorders>
              <w:top w:val="single" w:sz="4" w:space="0" w:color="auto"/>
              <w:bottom w:val="single" w:sz="12" w:space="0" w:color="auto"/>
            </w:tcBorders>
            <w:shd w:val="clear" w:color="auto" w:fill="FFFF00"/>
            <w:noWrap/>
            <w:vAlign w:val="bottom"/>
          </w:tcPr>
          <w:p w14:paraId="279AF43C" w14:textId="4003F0C2" w:rsidR="00CE1283" w:rsidRPr="00660965" w:rsidRDefault="007E5A8B"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10,109.</w:t>
            </w:r>
            <w:r w:rsidR="00522B3F">
              <w:rPr>
                <w:rFonts w:ascii="Calibri" w:eastAsia="Times New Roman" w:hAnsi="Calibri" w:cs="Calibri"/>
                <w:b/>
                <w:bCs/>
                <w:color w:val="000000"/>
                <w:sz w:val="21"/>
                <w:szCs w:val="21"/>
                <w:lang w:val="en-IE" w:eastAsia="en-IE"/>
              </w:rPr>
              <w:t>7</w:t>
            </w:r>
          </w:p>
        </w:tc>
        <w:tc>
          <w:tcPr>
            <w:tcW w:w="1559" w:type="dxa"/>
            <w:tcBorders>
              <w:top w:val="single" w:sz="4" w:space="0" w:color="auto"/>
              <w:bottom w:val="single" w:sz="12" w:space="0" w:color="auto"/>
            </w:tcBorders>
            <w:shd w:val="clear" w:color="auto" w:fill="FFFF00"/>
            <w:vAlign w:val="bottom"/>
          </w:tcPr>
          <w:p w14:paraId="7E987796" w14:textId="79EB0C5A" w:rsidR="00CE1283" w:rsidRPr="00660965" w:rsidRDefault="007E5A8B" w:rsidP="00CE1283">
            <w:pPr>
              <w:spacing w:after="0" w:line="240" w:lineRule="auto"/>
              <w:ind w:left="-115" w:right="40"/>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905.</w:t>
            </w:r>
            <w:r w:rsidR="004A5AD6">
              <w:rPr>
                <w:rFonts w:ascii="Calibri" w:eastAsia="Calibri" w:hAnsi="Calibri" w:cs="Calibri"/>
                <w:b/>
                <w:bCs/>
                <w:sz w:val="21"/>
                <w:szCs w:val="21"/>
                <w:lang w:val="en-IE" w:eastAsia="en-IE"/>
              </w:rPr>
              <w:t>7</w:t>
            </w:r>
          </w:p>
        </w:tc>
        <w:tc>
          <w:tcPr>
            <w:tcW w:w="1419" w:type="dxa"/>
            <w:tcBorders>
              <w:top w:val="single" w:sz="4" w:space="0" w:color="auto"/>
              <w:bottom w:val="single" w:sz="12" w:space="0" w:color="auto"/>
            </w:tcBorders>
            <w:shd w:val="clear" w:color="auto" w:fill="FFFF00"/>
            <w:vAlign w:val="bottom"/>
          </w:tcPr>
          <w:p w14:paraId="3A30B4DF" w14:textId="51E7A27D" w:rsidR="00CE1283" w:rsidRPr="00660965" w:rsidRDefault="00AB0C49" w:rsidP="00CE128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(1,197.</w:t>
            </w:r>
            <w:r w:rsidR="00DE51A9">
              <w:rPr>
                <w:rFonts w:ascii="Calibri" w:eastAsia="Times New Roman" w:hAnsi="Calibri" w:cs="Calibri"/>
                <w:b/>
                <w:bCs/>
                <w:color w:val="000000"/>
                <w:sz w:val="21"/>
                <w:szCs w:val="21"/>
                <w:lang w:val="en-IE" w:eastAsia="en-IE"/>
              </w:rPr>
              <w:t>9</w:t>
            </w:r>
            <w:r>
              <w:rPr>
                <w:rFonts w:ascii="Calibri" w:eastAsia="Times New Roman" w:hAnsi="Calibri" w:cs="Calibri"/>
                <w:b/>
                <w:bCs/>
                <w:color w:val="000000"/>
                <w:sz w:val="21"/>
                <w:szCs w:val="21"/>
                <w:lang w:val="en-IE" w:eastAsia="en-IE"/>
              </w:rPr>
              <w:t>)</w:t>
            </w:r>
          </w:p>
        </w:tc>
        <w:tc>
          <w:tcPr>
            <w:tcW w:w="1275" w:type="dxa"/>
            <w:tcBorders>
              <w:top w:val="single" w:sz="4" w:space="0" w:color="auto"/>
              <w:bottom w:val="single" w:sz="12" w:space="0" w:color="auto"/>
            </w:tcBorders>
            <w:shd w:val="clear" w:color="auto" w:fill="FFFF00"/>
            <w:noWrap/>
            <w:vAlign w:val="bottom"/>
          </w:tcPr>
          <w:p w14:paraId="7997A0C1" w14:textId="78B614EB" w:rsidR="00CE1283" w:rsidRPr="00660965" w:rsidRDefault="00AB0C49" w:rsidP="00CE1283">
            <w:pPr>
              <w:spacing w:after="0" w:line="240" w:lineRule="auto"/>
              <w:ind w:left="-115" w:right="43"/>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9,817.</w:t>
            </w:r>
            <w:r w:rsidR="00522B3F">
              <w:rPr>
                <w:rFonts w:ascii="Calibri" w:eastAsia="Times New Roman" w:hAnsi="Calibri" w:cs="Calibri"/>
                <w:b/>
                <w:bCs/>
                <w:color w:val="000000"/>
                <w:sz w:val="21"/>
                <w:szCs w:val="21"/>
                <w:lang w:val="en-IE" w:eastAsia="en-IE"/>
              </w:rPr>
              <w:t>5</w:t>
            </w:r>
          </w:p>
        </w:tc>
      </w:tr>
      <w:tr w:rsidR="00CE1283" w:rsidRPr="00660965" w14:paraId="644A3F8D" w14:textId="77777777" w:rsidTr="00EB7986">
        <w:trPr>
          <w:trHeight w:val="57"/>
        </w:trPr>
        <w:tc>
          <w:tcPr>
            <w:tcW w:w="4962" w:type="dxa"/>
            <w:shd w:val="clear" w:color="auto" w:fill="FFFFFF"/>
            <w:vAlign w:val="bottom"/>
          </w:tcPr>
          <w:p w14:paraId="7C8265FE" w14:textId="77777777" w:rsidR="00CE1283" w:rsidRPr="00660965" w:rsidRDefault="00CE1283" w:rsidP="00CE1283">
            <w:pPr>
              <w:spacing w:after="0" w:line="240" w:lineRule="auto"/>
              <w:ind w:left="30"/>
              <w:jc w:val="both"/>
              <w:rPr>
                <w:rFonts w:ascii="Calibri" w:eastAsia="Times New Roman" w:hAnsi="Calibri" w:cs="Calibri"/>
                <w:b/>
                <w:bCs/>
                <w:color w:val="000000"/>
                <w:sz w:val="21"/>
                <w:szCs w:val="21"/>
                <w:lang w:val="en-IE" w:eastAsia="en-IE"/>
              </w:rPr>
            </w:pPr>
          </w:p>
        </w:tc>
        <w:tc>
          <w:tcPr>
            <w:tcW w:w="1559" w:type="dxa"/>
            <w:tcBorders>
              <w:top w:val="single" w:sz="12" w:space="0" w:color="auto"/>
              <w:left w:val="nil"/>
              <w:right w:val="nil"/>
            </w:tcBorders>
            <w:shd w:val="clear" w:color="000000" w:fill="FFFF00"/>
            <w:noWrap/>
            <w:vAlign w:val="bottom"/>
          </w:tcPr>
          <w:p w14:paraId="318FC1B4" w14:textId="77777777" w:rsidR="00CE1283" w:rsidRPr="00660965" w:rsidRDefault="00CE1283" w:rsidP="00CE128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tcBorders>
              <w:top w:val="single" w:sz="12" w:space="0" w:color="auto"/>
              <w:left w:val="nil"/>
              <w:right w:val="nil"/>
            </w:tcBorders>
            <w:shd w:val="clear" w:color="000000" w:fill="FFFF00"/>
            <w:vAlign w:val="bottom"/>
          </w:tcPr>
          <w:p w14:paraId="7306D6C0" w14:textId="77777777" w:rsidR="00CE1283" w:rsidRPr="00660965" w:rsidRDefault="00CE1283" w:rsidP="00CE1283">
            <w:pPr>
              <w:spacing w:after="0" w:line="240" w:lineRule="auto"/>
              <w:ind w:left="-115" w:right="40"/>
              <w:jc w:val="right"/>
              <w:rPr>
                <w:rFonts w:ascii="Calibri" w:eastAsia="Times New Roman" w:hAnsi="Calibri" w:cs="Calibri"/>
                <w:b/>
                <w:bCs/>
                <w:color w:val="000000"/>
                <w:sz w:val="21"/>
                <w:szCs w:val="21"/>
                <w:lang w:val="en-IE" w:eastAsia="en-US"/>
              </w:rPr>
            </w:pPr>
          </w:p>
        </w:tc>
        <w:tc>
          <w:tcPr>
            <w:tcW w:w="1419" w:type="dxa"/>
            <w:tcBorders>
              <w:top w:val="single" w:sz="12" w:space="0" w:color="auto"/>
              <w:left w:val="nil"/>
              <w:right w:val="nil"/>
            </w:tcBorders>
            <w:shd w:val="clear" w:color="000000" w:fill="FFFF00"/>
            <w:vAlign w:val="bottom"/>
          </w:tcPr>
          <w:p w14:paraId="68698513" w14:textId="77777777" w:rsidR="00CE1283" w:rsidRPr="00660965" w:rsidRDefault="00CE1283" w:rsidP="00CE1283">
            <w:pPr>
              <w:spacing w:after="0" w:line="240" w:lineRule="auto"/>
              <w:ind w:left="-115" w:right="29"/>
              <w:jc w:val="right"/>
              <w:rPr>
                <w:rFonts w:ascii="Calibri" w:eastAsia="Times New Roman" w:hAnsi="Calibri" w:cs="Calibri"/>
                <w:b/>
                <w:bCs/>
                <w:sz w:val="21"/>
                <w:szCs w:val="21"/>
                <w:lang w:val="en-IE" w:eastAsia="en-US"/>
              </w:rPr>
            </w:pPr>
          </w:p>
        </w:tc>
        <w:tc>
          <w:tcPr>
            <w:tcW w:w="1275" w:type="dxa"/>
            <w:tcBorders>
              <w:top w:val="single" w:sz="12" w:space="0" w:color="auto"/>
              <w:left w:val="nil"/>
              <w:right w:val="nil"/>
            </w:tcBorders>
            <w:shd w:val="clear" w:color="000000" w:fill="FFFF00"/>
            <w:noWrap/>
            <w:vAlign w:val="bottom"/>
          </w:tcPr>
          <w:p w14:paraId="33231786" w14:textId="77777777" w:rsidR="00CE1283" w:rsidRPr="00660965" w:rsidRDefault="00CE1283" w:rsidP="00CE1283">
            <w:pPr>
              <w:spacing w:after="0" w:line="240" w:lineRule="auto"/>
              <w:ind w:left="-115" w:right="43"/>
              <w:jc w:val="right"/>
              <w:rPr>
                <w:rFonts w:ascii="Calibri" w:eastAsia="Times New Roman" w:hAnsi="Calibri" w:cs="Calibri"/>
                <w:b/>
                <w:bCs/>
                <w:color w:val="000000"/>
                <w:sz w:val="21"/>
                <w:szCs w:val="21"/>
                <w:lang w:val="en-IE" w:eastAsia="en-US"/>
              </w:rPr>
            </w:pPr>
          </w:p>
        </w:tc>
      </w:tr>
      <w:tr w:rsidR="00CE1283" w:rsidRPr="00660965" w14:paraId="0F273170" w14:textId="77777777" w:rsidTr="00EB7986">
        <w:trPr>
          <w:trHeight w:val="319"/>
        </w:trPr>
        <w:tc>
          <w:tcPr>
            <w:tcW w:w="4962" w:type="dxa"/>
            <w:shd w:val="clear" w:color="auto" w:fill="FFFFFF"/>
            <w:vAlign w:val="bottom"/>
            <w:hideMark/>
          </w:tcPr>
          <w:p w14:paraId="0F74F631" w14:textId="7A032720" w:rsidR="00CE1283" w:rsidRPr="00660965" w:rsidRDefault="00CE1283" w:rsidP="00CE1283">
            <w:pPr>
              <w:spacing w:after="0" w:line="240" w:lineRule="auto"/>
              <w:ind w:left="30"/>
              <w:jc w:val="both"/>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Reportable segment profit after income tax</w:t>
            </w:r>
          </w:p>
        </w:tc>
        <w:tc>
          <w:tcPr>
            <w:tcW w:w="1559" w:type="dxa"/>
            <w:tcBorders>
              <w:top w:val="nil"/>
              <w:left w:val="nil"/>
              <w:bottom w:val="single" w:sz="12" w:space="0" w:color="auto"/>
              <w:right w:val="nil"/>
            </w:tcBorders>
            <w:shd w:val="clear" w:color="000000" w:fill="FFFF00"/>
            <w:noWrap/>
            <w:vAlign w:val="bottom"/>
          </w:tcPr>
          <w:p w14:paraId="151573D8" w14:textId="22041484" w:rsidR="00CE1283" w:rsidRPr="00660965" w:rsidRDefault="00B34480"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2,4</w:t>
            </w:r>
            <w:r w:rsidR="00803625">
              <w:rPr>
                <w:rFonts w:ascii="Calibri" w:eastAsia="Times New Roman" w:hAnsi="Calibri" w:cs="Calibri"/>
                <w:b/>
                <w:bCs/>
                <w:color w:val="000000"/>
                <w:sz w:val="21"/>
                <w:szCs w:val="21"/>
                <w:lang w:val="en-IE" w:eastAsia="en-IE"/>
              </w:rPr>
              <w:t>87</w:t>
            </w:r>
            <w:r w:rsidR="00CA387E">
              <w:rPr>
                <w:rFonts w:ascii="Calibri" w:eastAsia="Times New Roman" w:hAnsi="Calibri" w:cs="Calibri"/>
                <w:b/>
                <w:bCs/>
                <w:color w:val="000000"/>
                <w:sz w:val="21"/>
                <w:szCs w:val="21"/>
                <w:lang w:val="en-IE" w:eastAsia="en-IE"/>
              </w:rPr>
              <w:t>.0</w:t>
            </w:r>
          </w:p>
        </w:tc>
        <w:tc>
          <w:tcPr>
            <w:tcW w:w="1559" w:type="dxa"/>
            <w:tcBorders>
              <w:top w:val="nil"/>
              <w:left w:val="nil"/>
              <w:bottom w:val="single" w:sz="12" w:space="0" w:color="auto"/>
              <w:right w:val="nil"/>
            </w:tcBorders>
            <w:shd w:val="clear" w:color="000000" w:fill="FFFF00"/>
            <w:vAlign w:val="bottom"/>
          </w:tcPr>
          <w:p w14:paraId="7309E83A" w14:textId="6B171731" w:rsidR="00CE1283" w:rsidRPr="00660965" w:rsidRDefault="00803625" w:rsidP="00CE128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51.8</w:t>
            </w:r>
          </w:p>
        </w:tc>
        <w:tc>
          <w:tcPr>
            <w:tcW w:w="1419" w:type="dxa"/>
            <w:tcBorders>
              <w:top w:val="nil"/>
              <w:left w:val="nil"/>
              <w:bottom w:val="single" w:sz="12" w:space="0" w:color="auto"/>
              <w:right w:val="nil"/>
            </w:tcBorders>
            <w:shd w:val="clear" w:color="000000" w:fill="FFFF00"/>
            <w:vAlign w:val="bottom"/>
          </w:tcPr>
          <w:p w14:paraId="5E1EF334" w14:textId="0B7C9D32" w:rsidR="00CE1283" w:rsidRPr="00660965" w:rsidRDefault="001F780E" w:rsidP="00CE1283">
            <w:pPr>
              <w:spacing w:after="0" w:line="240" w:lineRule="auto"/>
              <w:ind w:left="-115"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w:t>
            </w:r>
          </w:p>
        </w:tc>
        <w:tc>
          <w:tcPr>
            <w:tcW w:w="1275" w:type="dxa"/>
            <w:tcBorders>
              <w:top w:val="nil"/>
              <w:left w:val="nil"/>
              <w:bottom w:val="single" w:sz="12" w:space="0" w:color="auto"/>
              <w:right w:val="nil"/>
            </w:tcBorders>
            <w:shd w:val="clear" w:color="000000" w:fill="FFFF00"/>
            <w:noWrap/>
            <w:vAlign w:val="bottom"/>
          </w:tcPr>
          <w:p w14:paraId="6464EEBA" w14:textId="22AB6F03" w:rsidR="00CE1283" w:rsidRPr="00660965" w:rsidRDefault="00B34480" w:rsidP="00CE1283">
            <w:pPr>
              <w:spacing w:after="0" w:line="240" w:lineRule="auto"/>
              <w:ind w:left="-115" w:right="43"/>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2,5</w:t>
            </w:r>
            <w:r w:rsidR="001F780E">
              <w:rPr>
                <w:rFonts w:ascii="Calibri" w:eastAsia="Times New Roman" w:hAnsi="Calibri" w:cs="Calibri"/>
                <w:b/>
                <w:bCs/>
                <w:color w:val="000000"/>
                <w:sz w:val="21"/>
                <w:szCs w:val="21"/>
                <w:lang w:val="en-IE" w:eastAsia="en-US"/>
              </w:rPr>
              <w:t>38.8</w:t>
            </w:r>
          </w:p>
        </w:tc>
      </w:tr>
      <w:tr w:rsidR="00CE1283" w:rsidRPr="00660965" w14:paraId="45E93DBF" w14:textId="77777777" w:rsidTr="00EB7986">
        <w:trPr>
          <w:trHeight w:val="319"/>
        </w:trPr>
        <w:tc>
          <w:tcPr>
            <w:tcW w:w="4962" w:type="dxa"/>
            <w:shd w:val="clear" w:color="auto" w:fill="FFFFFF"/>
            <w:vAlign w:val="bottom"/>
          </w:tcPr>
          <w:p w14:paraId="6DA03D52" w14:textId="77777777" w:rsidR="00CE1283" w:rsidRPr="00660965" w:rsidRDefault="00CE1283" w:rsidP="00CE1283">
            <w:pPr>
              <w:spacing w:after="0" w:line="240" w:lineRule="auto"/>
              <w:ind w:left="30"/>
              <w:jc w:val="both"/>
              <w:rPr>
                <w:rFonts w:ascii="Calibri" w:eastAsia="Times New Roman" w:hAnsi="Calibri" w:cs="Calibri"/>
                <w:b/>
                <w:bCs/>
                <w:color w:val="000000"/>
                <w:sz w:val="21"/>
                <w:szCs w:val="21"/>
                <w:lang w:val="en-IE" w:eastAsia="en-IE"/>
              </w:rPr>
            </w:pPr>
          </w:p>
        </w:tc>
        <w:tc>
          <w:tcPr>
            <w:tcW w:w="1559" w:type="dxa"/>
            <w:tcBorders>
              <w:top w:val="nil"/>
              <w:left w:val="nil"/>
              <w:right w:val="nil"/>
            </w:tcBorders>
            <w:shd w:val="clear" w:color="000000" w:fill="FFFF00"/>
            <w:noWrap/>
            <w:vAlign w:val="bottom"/>
          </w:tcPr>
          <w:p w14:paraId="375D765D" w14:textId="77777777" w:rsidR="00CE1283" w:rsidRPr="00660965" w:rsidRDefault="00CE1283" w:rsidP="00CE128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tcBorders>
              <w:top w:val="nil"/>
              <w:left w:val="nil"/>
              <w:right w:val="nil"/>
            </w:tcBorders>
            <w:shd w:val="clear" w:color="000000" w:fill="FFFF00"/>
            <w:vAlign w:val="bottom"/>
          </w:tcPr>
          <w:p w14:paraId="1792A621" w14:textId="77777777" w:rsidR="00CE1283" w:rsidRPr="00660965" w:rsidRDefault="00CE1283" w:rsidP="00CE1283">
            <w:pPr>
              <w:spacing w:after="0" w:line="240" w:lineRule="auto"/>
              <w:ind w:left="-115" w:right="40"/>
              <w:jc w:val="right"/>
              <w:rPr>
                <w:rFonts w:ascii="Calibri" w:eastAsia="Times New Roman" w:hAnsi="Calibri" w:cs="Calibri"/>
                <w:b/>
                <w:bCs/>
                <w:color w:val="000000"/>
                <w:sz w:val="21"/>
                <w:szCs w:val="21"/>
                <w:lang w:val="en-IE" w:eastAsia="en-US"/>
              </w:rPr>
            </w:pPr>
          </w:p>
        </w:tc>
        <w:tc>
          <w:tcPr>
            <w:tcW w:w="1419" w:type="dxa"/>
            <w:tcBorders>
              <w:top w:val="nil"/>
              <w:left w:val="nil"/>
              <w:right w:val="nil"/>
            </w:tcBorders>
            <w:shd w:val="clear" w:color="000000" w:fill="FFFF00"/>
            <w:vAlign w:val="bottom"/>
          </w:tcPr>
          <w:p w14:paraId="6FFBF961" w14:textId="77777777" w:rsidR="00CE1283" w:rsidRPr="00660965" w:rsidRDefault="00CE1283" w:rsidP="00CE1283">
            <w:pPr>
              <w:spacing w:after="0" w:line="240" w:lineRule="auto"/>
              <w:ind w:left="-115" w:right="29"/>
              <w:jc w:val="right"/>
              <w:rPr>
                <w:rFonts w:ascii="Calibri" w:eastAsia="Times New Roman" w:hAnsi="Calibri" w:cs="Calibri"/>
                <w:b/>
                <w:bCs/>
                <w:sz w:val="21"/>
                <w:szCs w:val="21"/>
                <w:lang w:val="en-IE" w:eastAsia="en-US"/>
              </w:rPr>
            </w:pPr>
          </w:p>
        </w:tc>
        <w:tc>
          <w:tcPr>
            <w:tcW w:w="1275" w:type="dxa"/>
            <w:tcBorders>
              <w:top w:val="nil"/>
              <w:left w:val="nil"/>
              <w:right w:val="nil"/>
            </w:tcBorders>
            <w:shd w:val="clear" w:color="000000" w:fill="FFFF00"/>
            <w:noWrap/>
            <w:vAlign w:val="bottom"/>
          </w:tcPr>
          <w:p w14:paraId="309B03B0" w14:textId="77777777" w:rsidR="00CE1283" w:rsidRPr="00660965" w:rsidRDefault="00CE1283" w:rsidP="00CE1283">
            <w:pPr>
              <w:spacing w:after="0" w:line="240" w:lineRule="auto"/>
              <w:ind w:left="-115" w:right="43"/>
              <w:jc w:val="right"/>
              <w:rPr>
                <w:rFonts w:ascii="Calibri" w:eastAsia="Times New Roman" w:hAnsi="Calibri" w:cs="Calibri"/>
                <w:b/>
                <w:bCs/>
                <w:color w:val="000000"/>
                <w:sz w:val="21"/>
                <w:szCs w:val="21"/>
                <w:lang w:val="en-IE" w:eastAsia="en-US"/>
              </w:rPr>
            </w:pPr>
          </w:p>
        </w:tc>
      </w:tr>
      <w:tr w:rsidR="00CE1283" w:rsidRPr="00660965" w14:paraId="7E09F472" w14:textId="77777777" w:rsidTr="00EB7986">
        <w:trPr>
          <w:trHeight w:val="319"/>
        </w:trPr>
        <w:tc>
          <w:tcPr>
            <w:tcW w:w="4962" w:type="dxa"/>
            <w:shd w:val="clear" w:color="auto" w:fill="FFFFFF"/>
            <w:vAlign w:val="bottom"/>
            <w:hideMark/>
          </w:tcPr>
          <w:p w14:paraId="1FF294D1" w14:textId="4ED8EB73" w:rsidR="00CE1283" w:rsidRPr="00660965" w:rsidRDefault="00CE1283" w:rsidP="00CE1283">
            <w:pPr>
              <w:spacing w:after="0" w:line="240" w:lineRule="auto"/>
              <w:ind w:left="30"/>
              <w:jc w:val="both"/>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Other segment information: </w:t>
            </w:r>
          </w:p>
        </w:tc>
        <w:tc>
          <w:tcPr>
            <w:tcW w:w="1559" w:type="dxa"/>
            <w:shd w:val="clear" w:color="auto" w:fill="FFFF00"/>
            <w:noWrap/>
            <w:vAlign w:val="bottom"/>
          </w:tcPr>
          <w:p w14:paraId="3843D3E4" w14:textId="77777777" w:rsidR="00CE1283" w:rsidRPr="00660965" w:rsidRDefault="00CE1283" w:rsidP="00CE128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shd w:val="clear" w:color="auto" w:fill="FFFF00"/>
            <w:vAlign w:val="bottom"/>
          </w:tcPr>
          <w:p w14:paraId="1D24B3FD" w14:textId="77777777" w:rsidR="00CE1283" w:rsidRPr="00660965" w:rsidRDefault="00CE1283" w:rsidP="00CE1283">
            <w:pPr>
              <w:spacing w:after="0" w:line="240" w:lineRule="auto"/>
              <w:ind w:left="-115" w:right="40"/>
              <w:jc w:val="right"/>
              <w:rPr>
                <w:rFonts w:ascii="Calibri" w:eastAsia="Calibri" w:hAnsi="Calibri" w:cs="Calibri"/>
                <w:b/>
                <w:bCs/>
                <w:sz w:val="21"/>
                <w:szCs w:val="21"/>
                <w:lang w:val="en-IE" w:eastAsia="en-IE"/>
              </w:rPr>
            </w:pPr>
          </w:p>
        </w:tc>
        <w:tc>
          <w:tcPr>
            <w:tcW w:w="1419" w:type="dxa"/>
            <w:shd w:val="clear" w:color="auto" w:fill="FFFF00"/>
            <w:vAlign w:val="bottom"/>
          </w:tcPr>
          <w:p w14:paraId="2419A271" w14:textId="77777777" w:rsidR="00CE1283" w:rsidRPr="00660965" w:rsidRDefault="00CE1283" w:rsidP="00CE1283">
            <w:pPr>
              <w:spacing w:after="0" w:line="240" w:lineRule="auto"/>
              <w:ind w:left="-115" w:right="29"/>
              <w:jc w:val="right"/>
              <w:rPr>
                <w:rFonts w:ascii="Calibri" w:eastAsia="Calibri" w:hAnsi="Calibri" w:cs="Calibri"/>
                <w:b/>
                <w:bCs/>
                <w:sz w:val="21"/>
                <w:szCs w:val="21"/>
                <w:lang w:val="en-IE" w:eastAsia="en-IE"/>
              </w:rPr>
            </w:pPr>
          </w:p>
        </w:tc>
        <w:tc>
          <w:tcPr>
            <w:tcW w:w="1275" w:type="dxa"/>
            <w:shd w:val="clear" w:color="auto" w:fill="FFFF00"/>
            <w:noWrap/>
            <w:vAlign w:val="bottom"/>
          </w:tcPr>
          <w:p w14:paraId="06797F01" w14:textId="77777777" w:rsidR="00CE1283" w:rsidRPr="00660965" w:rsidRDefault="00CE1283" w:rsidP="00CE1283">
            <w:pPr>
              <w:spacing w:after="0" w:line="240" w:lineRule="auto"/>
              <w:ind w:left="-115" w:right="43"/>
              <w:jc w:val="right"/>
              <w:rPr>
                <w:rFonts w:ascii="Calibri" w:eastAsia="Calibri" w:hAnsi="Calibri" w:cs="Calibri"/>
                <w:b/>
                <w:bCs/>
                <w:sz w:val="21"/>
                <w:szCs w:val="21"/>
                <w:lang w:val="en-IE" w:eastAsia="en-IE"/>
              </w:rPr>
            </w:pPr>
          </w:p>
        </w:tc>
      </w:tr>
      <w:tr w:rsidR="00CE1283" w:rsidRPr="00660965" w14:paraId="7C1C06AD" w14:textId="77777777" w:rsidTr="00EB7986">
        <w:trPr>
          <w:trHeight w:val="319"/>
        </w:trPr>
        <w:tc>
          <w:tcPr>
            <w:tcW w:w="4962" w:type="dxa"/>
            <w:shd w:val="clear" w:color="auto" w:fill="FFFFFF"/>
            <w:vAlign w:val="bottom"/>
            <w:hideMark/>
          </w:tcPr>
          <w:p w14:paraId="5EF3A443" w14:textId="5180A63B"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Depreciation</w:t>
            </w:r>
          </w:p>
        </w:tc>
        <w:tc>
          <w:tcPr>
            <w:tcW w:w="1559" w:type="dxa"/>
            <w:tcBorders>
              <w:top w:val="nil"/>
              <w:left w:val="nil"/>
              <w:right w:val="nil"/>
            </w:tcBorders>
            <w:shd w:val="clear" w:color="000000" w:fill="FFFF00"/>
            <w:noWrap/>
            <w:vAlign w:val="bottom"/>
          </w:tcPr>
          <w:p w14:paraId="43F17914" w14:textId="7F4DE7FF" w:rsidR="00CE1283" w:rsidRPr="00660965" w:rsidRDefault="001D24E4"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(668.</w:t>
            </w:r>
            <w:r w:rsidR="001F780E">
              <w:rPr>
                <w:rFonts w:ascii="Calibri" w:eastAsia="Times New Roman" w:hAnsi="Calibri" w:cs="Calibri"/>
                <w:b/>
                <w:bCs/>
                <w:color w:val="000000"/>
                <w:sz w:val="21"/>
                <w:szCs w:val="21"/>
                <w:lang w:val="en-IE" w:eastAsia="en-IE"/>
              </w:rPr>
              <w:t>3</w:t>
            </w:r>
            <w:r>
              <w:rPr>
                <w:rFonts w:ascii="Calibri" w:eastAsia="Times New Roman" w:hAnsi="Calibri" w:cs="Calibri"/>
                <w:b/>
                <w:bCs/>
                <w:color w:val="000000"/>
                <w:sz w:val="21"/>
                <w:szCs w:val="21"/>
                <w:lang w:val="en-IE" w:eastAsia="en-IE"/>
              </w:rPr>
              <w:t>)</w:t>
            </w:r>
          </w:p>
        </w:tc>
        <w:tc>
          <w:tcPr>
            <w:tcW w:w="1559" w:type="dxa"/>
            <w:tcBorders>
              <w:top w:val="nil"/>
              <w:left w:val="nil"/>
              <w:right w:val="nil"/>
            </w:tcBorders>
            <w:shd w:val="clear" w:color="000000" w:fill="FFFF00"/>
            <w:vAlign w:val="bottom"/>
          </w:tcPr>
          <w:p w14:paraId="21BECCD5" w14:textId="1B13992F" w:rsidR="00CE1283" w:rsidRPr="00660965" w:rsidRDefault="001D24E4" w:rsidP="00CE128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(19.2)</w:t>
            </w:r>
          </w:p>
        </w:tc>
        <w:tc>
          <w:tcPr>
            <w:tcW w:w="1419" w:type="dxa"/>
            <w:tcBorders>
              <w:top w:val="nil"/>
              <w:left w:val="nil"/>
              <w:right w:val="nil"/>
            </w:tcBorders>
            <w:shd w:val="clear" w:color="000000" w:fill="FFFF00"/>
            <w:vAlign w:val="bottom"/>
          </w:tcPr>
          <w:p w14:paraId="2FC4D5AE" w14:textId="59E84E9A" w:rsidR="00CE1283" w:rsidRPr="00660965" w:rsidRDefault="001D24E4" w:rsidP="00CE1283">
            <w:pPr>
              <w:spacing w:after="0" w:line="240" w:lineRule="auto"/>
              <w:ind w:left="-115" w:right="29"/>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p>
        </w:tc>
        <w:tc>
          <w:tcPr>
            <w:tcW w:w="1275" w:type="dxa"/>
            <w:tcBorders>
              <w:top w:val="nil"/>
              <w:left w:val="nil"/>
              <w:right w:val="nil"/>
            </w:tcBorders>
            <w:shd w:val="clear" w:color="000000" w:fill="FFFF00"/>
            <w:noWrap/>
            <w:vAlign w:val="bottom"/>
          </w:tcPr>
          <w:p w14:paraId="2D4646EF" w14:textId="671F4B3F" w:rsidR="00CE1283" w:rsidRPr="00660965" w:rsidRDefault="001D24E4" w:rsidP="00CE1283">
            <w:pPr>
              <w:spacing w:after="0" w:line="240" w:lineRule="auto"/>
              <w:ind w:left="-115" w:right="43"/>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(687.</w:t>
            </w:r>
            <w:r w:rsidR="001F780E">
              <w:rPr>
                <w:rFonts w:ascii="Calibri" w:eastAsia="Times New Roman" w:hAnsi="Calibri" w:cs="Calibri"/>
                <w:b/>
                <w:bCs/>
                <w:color w:val="000000"/>
                <w:sz w:val="21"/>
                <w:szCs w:val="21"/>
                <w:lang w:val="en-IE" w:eastAsia="en-US"/>
              </w:rPr>
              <w:t>5</w:t>
            </w:r>
            <w:r>
              <w:rPr>
                <w:rFonts w:ascii="Calibri" w:eastAsia="Times New Roman" w:hAnsi="Calibri" w:cs="Calibri"/>
                <w:b/>
                <w:bCs/>
                <w:color w:val="000000"/>
                <w:sz w:val="21"/>
                <w:szCs w:val="21"/>
                <w:lang w:val="en-IE" w:eastAsia="en-US"/>
              </w:rPr>
              <w:t>)</w:t>
            </w:r>
          </w:p>
        </w:tc>
      </w:tr>
      <w:tr w:rsidR="00CE1283" w:rsidRPr="00660965" w14:paraId="10BB1A85" w14:textId="77777777" w:rsidTr="00EB7986">
        <w:trPr>
          <w:trHeight w:val="319"/>
        </w:trPr>
        <w:tc>
          <w:tcPr>
            <w:tcW w:w="4962" w:type="dxa"/>
            <w:shd w:val="clear" w:color="auto" w:fill="FFFFFF"/>
            <w:vAlign w:val="bottom"/>
          </w:tcPr>
          <w:p w14:paraId="5A392277" w14:textId="7D02AFC5"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Net finance and other income</w:t>
            </w:r>
          </w:p>
        </w:tc>
        <w:tc>
          <w:tcPr>
            <w:tcW w:w="1559" w:type="dxa"/>
            <w:tcBorders>
              <w:top w:val="nil"/>
              <w:left w:val="nil"/>
              <w:right w:val="nil"/>
            </w:tcBorders>
            <w:shd w:val="clear" w:color="000000" w:fill="FFFF00"/>
            <w:noWrap/>
            <w:vAlign w:val="bottom"/>
          </w:tcPr>
          <w:p w14:paraId="5CEC26BD" w14:textId="4B746A78" w:rsidR="00CE1283" w:rsidRPr="00660965" w:rsidRDefault="001D24E4"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6</w:t>
            </w:r>
            <w:r w:rsidR="00B24F6E">
              <w:rPr>
                <w:rFonts w:ascii="Calibri" w:eastAsia="Times New Roman" w:hAnsi="Calibri" w:cs="Calibri"/>
                <w:b/>
                <w:bCs/>
                <w:color w:val="000000"/>
                <w:sz w:val="21"/>
                <w:szCs w:val="21"/>
                <w:lang w:val="en-IE" w:eastAsia="en-IE"/>
              </w:rPr>
              <w:t>4.0</w:t>
            </w:r>
          </w:p>
        </w:tc>
        <w:tc>
          <w:tcPr>
            <w:tcW w:w="1559" w:type="dxa"/>
            <w:tcBorders>
              <w:top w:val="nil"/>
              <w:left w:val="nil"/>
              <w:right w:val="nil"/>
            </w:tcBorders>
            <w:shd w:val="clear" w:color="000000" w:fill="FFFF00"/>
            <w:vAlign w:val="bottom"/>
          </w:tcPr>
          <w:p w14:paraId="6A9715FF" w14:textId="28C258C4" w:rsidR="00CE1283" w:rsidRPr="00660965" w:rsidRDefault="00C06667" w:rsidP="00CE1283">
            <w:pPr>
              <w:spacing w:after="0" w:line="240" w:lineRule="auto"/>
              <w:ind w:left="-115" w:right="40"/>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w:t>
            </w:r>
            <w:r w:rsidR="0067690D">
              <w:rPr>
                <w:rFonts w:ascii="Calibri" w:eastAsia="Times New Roman" w:hAnsi="Calibri" w:cs="Calibri"/>
                <w:b/>
                <w:bCs/>
                <w:sz w:val="21"/>
                <w:szCs w:val="21"/>
                <w:lang w:val="en-IE" w:eastAsia="en-US"/>
              </w:rPr>
              <w:t>3.2</w:t>
            </w:r>
            <w:r>
              <w:rPr>
                <w:rFonts w:ascii="Calibri" w:eastAsia="Times New Roman" w:hAnsi="Calibri" w:cs="Calibri"/>
                <w:b/>
                <w:bCs/>
                <w:sz w:val="21"/>
                <w:szCs w:val="21"/>
                <w:lang w:val="en-IE" w:eastAsia="en-US"/>
              </w:rPr>
              <w:t>)</w:t>
            </w:r>
          </w:p>
        </w:tc>
        <w:tc>
          <w:tcPr>
            <w:tcW w:w="1419" w:type="dxa"/>
            <w:tcBorders>
              <w:top w:val="nil"/>
              <w:left w:val="nil"/>
              <w:right w:val="nil"/>
            </w:tcBorders>
            <w:shd w:val="clear" w:color="000000" w:fill="FFFF00"/>
            <w:vAlign w:val="bottom"/>
          </w:tcPr>
          <w:p w14:paraId="4133C2B6" w14:textId="6F889D65" w:rsidR="00CE1283" w:rsidRPr="00660965" w:rsidRDefault="0067690D" w:rsidP="00CE1283">
            <w:pPr>
              <w:spacing w:after="0" w:line="240" w:lineRule="auto"/>
              <w:ind w:left="-115" w:right="29"/>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w:t>
            </w:r>
          </w:p>
        </w:tc>
        <w:tc>
          <w:tcPr>
            <w:tcW w:w="1275" w:type="dxa"/>
            <w:tcBorders>
              <w:top w:val="nil"/>
              <w:left w:val="nil"/>
              <w:right w:val="nil"/>
            </w:tcBorders>
            <w:shd w:val="clear" w:color="000000" w:fill="FFFF00"/>
            <w:noWrap/>
            <w:vAlign w:val="bottom"/>
          </w:tcPr>
          <w:p w14:paraId="79C1893E" w14:textId="6FDD32FD" w:rsidR="00CE1283" w:rsidRPr="00660965" w:rsidRDefault="00B24F6E" w:rsidP="00CE1283">
            <w:pPr>
              <w:spacing w:after="0" w:line="240" w:lineRule="auto"/>
              <w:ind w:left="-115" w:right="43"/>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60.8</w:t>
            </w:r>
          </w:p>
        </w:tc>
      </w:tr>
      <w:tr w:rsidR="00CE1283" w:rsidRPr="00660965" w14:paraId="277214DB" w14:textId="77777777" w:rsidTr="00EB7986">
        <w:trPr>
          <w:trHeight w:val="319"/>
        </w:trPr>
        <w:tc>
          <w:tcPr>
            <w:tcW w:w="4962" w:type="dxa"/>
            <w:shd w:val="clear" w:color="auto" w:fill="FFFFFF"/>
            <w:vAlign w:val="bottom"/>
            <w:hideMark/>
          </w:tcPr>
          <w:p w14:paraId="74F511B1" w14:textId="7CF98BB0"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Capital expenditure</w:t>
            </w:r>
          </w:p>
        </w:tc>
        <w:tc>
          <w:tcPr>
            <w:tcW w:w="1559" w:type="dxa"/>
            <w:tcBorders>
              <w:left w:val="nil"/>
              <w:right w:val="nil"/>
            </w:tcBorders>
            <w:shd w:val="clear" w:color="000000" w:fill="FFFF00"/>
            <w:noWrap/>
            <w:vAlign w:val="bottom"/>
          </w:tcPr>
          <w:p w14:paraId="78B4A809" w14:textId="3D82AF16" w:rsidR="00CE1283" w:rsidRPr="00660965" w:rsidRDefault="009F3C69"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(840.6)</w:t>
            </w:r>
          </w:p>
        </w:tc>
        <w:tc>
          <w:tcPr>
            <w:tcW w:w="1559" w:type="dxa"/>
            <w:tcBorders>
              <w:left w:val="nil"/>
              <w:right w:val="nil"/>
            </w:tcBorders>
            <w:shd w:val="clear" w:color="000000" w:fill="FFFF00"/>
            <w:vAlign w:val="bottom"/>
          </w:tcPr>
          <w:p w14:paraId="459F6179" w14:textId="7176B5B5" w:rsidR="00CE1283" w:rsidRPr="00660965" w:rsidRDefault="009F3C69" w:rsidP="00CE1283">
            <w:pPr>
              <w:spacing w:after="0" w:line="240" w:lineRule="auto"/>
              <w:ind w:left="-115" w:right="40"/>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(22.5)</w:t>
            </w:r>
          </w:p>
        </w:tc>
        <w:tc>
          <w:tcPr>
            <w:tcW w:w="1419" w:type="dxa"/>
            <w:tcBorders>
              <w:left w:val="nil"/>
              <w:right w:val="nil"/>
            </w:tcBorders>
            <w:shd w:val="clear" w:color="000000" w:fill="FFFF00"/>
            <w:vAlign w:val="bottom"/>
          </w:tcPr>
          <w:p w14:paraId="0E6B30B5" w14:textId="7225D6FD" w:rsidR="00CE1283" w:rsidRPr="00660965" w:rsidRDefault="009F3C69" w:rsidP="00CE1283">
            <w:pPr>
              <w:spacing w:after="0" w:line="240" w:lineRule="auto"/>
              <w:ind w:left="-115" w:right="29"/>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w:t>
            </w:r>
          </w:p>
        </w:tc>
        <w:tc>
          <w:tcPr>
            <w:tcW w:w="1275" w:type="dxa"/>
            <w:tcBorders>
              <w:left w:val="nil"/>
              <w:right w:val="nil"/>
            </w:tcBorders>
            <w:shd w:val="clear" w:color="000000" w:fill="FFFF00"/>
            <w:noWrap/>
            <w:vAlign w:val="bottom"/>
          </w:tcPr>
          <w:p w14:paraId="413849C0" w14:textId="5E6228F2" w:rsidR="00CE1283" w:rsidRPr="00660965" w:rsidRDefault="009F3C69" w:rsidP="00CE1283">
            <w:pPr>
              <w:spacing w:after="0" w:line="240" w:lineRule="auto"/>
              <w:ind w:left="-115" w:right="43"/>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(863.1)</w:t>
            </w:r>
          </w:p>
        </w:tc>
      </w:tr>
      <w:tr w:rsidR="00CE1283" w:rsidRPr="00660965" w14:paraId="2320AA8F" w14:textId="77777777" w:rsidTr="00EB7986">
        <w:trPr>
          <w:trHeight w:val="319"/>
        </w:trPr>
        <w:tc>
          <w:tcPr>
            <w:tcW w:w="4962" w:type="dxa"/>
            <w:shd w:val="clear" w:color="auto" w:fill="FFFFFF"/>
            <w:vAlign w:val="bottom"/>
          </w:tcPr>
          <w:p w14:paraId="5E96E1AF" w14:textId="0C70E570"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Staff costs</w:t>
            </w:r>
          </w:p>
        </w:tc>
        <w:tc>
          <w:tcPr>
            <w:tcW w:w="1559" w:type="dxa"/>
            <w:tcBorders>
              <w:left w:val="nil"/>
              <w:right w:val="nil"/>
            </w:tcBorders>
            <w:shd w:val="clear" w:color="000000" w:fill="FFFF00"/>
            <w:noWrap/>
            <w:vAlign w:val="bottom"/>
          </w:tcPr>
          <w:p w14:paraId="5D5CE564" w14:textId="4CEB7FAB" w:rsidR="00CE1283" w:rsidRPr="0067690D" w:rsidRDefault="001F780E" w:rsidP="00CE1283">
            <w:pPr>
              <w:spacing w:after="0" w:line="240" w:lineRule="auto"/>
              <w:ind w:left="-115"/>
              <w:jc w:val="right"/>
              <w:rPr>
                <w:rFonts w:ascii="Calibri" w:eastAsia="Times New Roman" w:hAnsi="Calibri" w:cs="Calibri"/>
                <w:b/>
                <w:color w:val="000000"/>
                <w:sz w:val="21"/>
                <w:szCs w:val="21"/>
                <w:lang w:val="en-IE" w:eastAsia="en-IE"/>
              </w:rPr>
            </w:pPr>
            <w:r>
              <w:rPr>
                <w:rFonts w:ascii="Calibri" w:eastAsia="Times New Roman" w:hAnsi="Calibri" w:cs="Calibri"/>
                <w:b/>
                <w:bCs/>
                <w:color w:val="000000"/>
                <w:sz w:val="21"/>
                <w:szCs w:val="21"/>
                <w:lang w:val="en-IE" w:eastAsia="en-IE"/>
              </w:rPr>
              <w:t>(</w:t>
            </w:r>
            <w:r w:rsidR="0067690D" w:rsidRPr="0067690D">
              <w:rPr>
                <w:rFonts w:ascii="Calibri" w:eastAsia="Times New Roman" w:hAnsi="Calibri" w:cs="Calibri"/>
                <w:b/>
                <w:bCs/>
                <w:color w:val="000000"/>
                <w:sz w:val="21"/>
                <w:szCs w:val="21"/>
                <w:lang w:val="en-IE" w:eastAsia="en-IE"/>
              </w:rPr>
              <w:t>581.7</w:t>
            </w:r>
            <w:r>
              <w:rPr>
                <w:rFonts w:ascii="Calibri" w:eastAsia="Times New Roman" w:hAnsi="Calibri" w:cs="Calibri"/>
                <w:b/>
                <w:bCs/>
                <w:color w:val="000000"/>
                <w:sz w:val="21"/>
                <w:szCs w:val="21"/>
                <w:lang w:val="en-IE" w:eastAsia="en-IE"/>
              </w:rPr>
              <w:t>)</w:t>
            </w:r>
          </w:p>
        </w:tc>
        <w:tc>
          <w:tcPr>
            <w:tcW w:w="1559" w:type="dxa"/>
            <w:tcBorders>
              <w:left w:val="nil"/>
              <w:right w:val="nil"/>
            </w:tcBorders>
            <w:shd w:val="clear" w:color="000000" w:fill="FFFF00"/>
            <w:vAlign w:val="bottom"/>
          </w:tcPr>
          <w:p w14:paraId="4FD91FF8" w14:textId="59C2F638" w:rsidR="00CE1283" w:rsidRPr="0067690D" w:rsidRDefault="001F780E" w:rsidP="00CE1283">
            <w:pPr>
              <w:spacing w:after="0" w:line="240" w:lineRule="auto"/>
              <w:ind w:left="-115" w:right="40"/>
              <w:jc w:val="right"/>
              <w:rPr>
                <w:rFonts w:ascii="Calibri" w:eastAsia="Times New Roman" w:hAnsi="Calibri" w:cs="Calibri"/>
                <w:b/>
                <w:color w:val="000000"/>
                <w:sz w:val="21"/>
                <w:szCs w:val="21"/>
                <w:lang w:val="en-IE" w:eastAsia="en-IE"/>
              </w:rPr>
            </w:pPr>
            <w:r>
              <w:rPr>
                <w:rFonts w:ascii="Calibri" w:eastAsia="Times New Roman" w:hAnsi="Calibri" w:cs="Calibri"/>
                <w:b/>
                <w:bCs/>
                <w:color w:val="000000"/>
                <w:sz w:val="21"/>
                <w:szCs w:val="21"/>
                <w:lang w:val="en-IE" w:eastAsia="en-IE"/>
              </w:rPr>
              <w:t>(</w:t>
            </w:r>
            <w:r w:rsidR="0067690D" w:rsidRPr="0067690D">
              <w:rPr>
                <w:rFonts w:ascii="Calibri" w:eastAsia="Times New Roman" w:hAnsi="Calibri" w:cs="Calibri"/>
                <w:b/>
                <w:bCs/>
                <w:color w:val="000000"/>
                <w:sz w:val="21"/>
                <w:szCs w:val="21"/>
                <w:lang w:val="en-IE" w:eastAsia="en-IE"/>
              </w:rPr>
              <w:t>3</w:t>
            </w:r>
            <w:r w:rsidR="00E565F1">
              <w:rPr>
                <w:rFonts w:ascii="Calibri" w:eastAsia="Times New Roman" w:hAnsi="Calibri" w:cs="Calibri"/>
                <w:b/>
                <w:bCs/>
                <w:color w:val="000000"/>
                <w:sz w:val="21"/>
                <w:szCs w:val="21"/>
                <w:lang w:val="en-IE" w:eastAsia="en-IE"/>
              </w:rPr>
              <w:t>43</w:t>
            </w:r>
            <w:r w:rsidR="0067690D" w:rsidRPr="0067690D">
              <w:rPr>
                <w:rFonts w:ascii="Calibri" w:eastAsia="Times New Roman" w:hAnsi="Calibri" w:cs="Calibri"/>
                <w:b/>
                <w:bCs/>
                <w:color w:val="000000"/>
                <w:sz w:val="21"/>
                <w:szCs w:val="21"/>
                <w:lang w:val="en-IE" w:eastAsia="en-IE"/>
              </w:rPr>
              <w:t>.</w:t>
            </w:r>
            <w:r w:rsidR="00EB46A9">
              <w:rPr>
                <w:rFonts w:ascii="Calibri" w:eastAsia="Times New Roman" w:hAnsi="Calibri" w:cs="Calibri"/>
                <w:b/>
                <w:bCs/>
                <w:color w:val="000000"/>
                <w:sz w:val="21"/>
                <w:szCs w:val="21"/>
                <w:lang w:val="en-IE" w:eastAsia="en-IE"/>
              </w:rPr>
              <w:t>9</w:t>
            </w:r>
            <w:r>
              <w:rPr>
                <w:rFonts w:ascii="Calibri" w:eastAsia="Times New Roman" w:hAnsi="Calibri" w:cs="Calibri"/>
                <w:b/>
                <w:bCs/>
                <w:color w:val="000000"/>
                <w:sz w:val="21"/>
                <w:szCs w:val="21"/>
                <w:lang w:val="en-IE" w:eastAsia="en-IE"/>
              </w:rPr>
              <w:t>)</w:t>
            </w:r>
          </w:p>
        </w:tc>
        <w:tc>
          <w:tcPr>
            <w:tcW w:w="1419" w:type="dxa"/>
            <w:tcBorders>
              <w:left w:val="nil"/>
              <w:right w:val="nil"/>
            </w:tcBorders>
            <w:shd w:val="clear" w:color="000000" w:fill="FFFF00"/>
            <w:vAlign w:val="bottom"/>
          </w:tcPr>
          <w:p w14:paraId="57AC437C" w14:textId="12BE6189" w:rsidR="00CE1283" w:rsidRPr="0067690D" w:rsidRDefault="0067690D" w:rsidP="00CE1283">
            <w:pPr>
              <w:spacing w:after="0" w:line="240" w:lineRule="auto"/>
              <w:ind w:left="-115" w:right="29"/>
              <w:jc w:val="right"/>
              <w:rPr>
                <w:rFonts w:ascii="Calibri" w:eastAsia="Times New Roman" w:hAnsi="Calibri" w:cs="Calibri"/>
                <w:b/>
                <w:color w:val="000000"/>
                <w:sz w:val="21"/>
                <w:szCs w:val="21"/>
                <w:lang w:val="en-IE" w:eastAsia="en-IE"/>
              </w:rPr>
            </w:pPr>
            <w:r w:rsidRPr="0067690D">
              <w:rPr>
                <w:rFonts w:ascii="Calibri" w:eastAsia="Times New Roman" w:hAnsi="Calibri" w:cs="Calibri"/>
                <w:b/>
                <w:bCs/>
                <w:color w:val="000000"/>
                <w:sz w:val="21"/>
                <w:szCs w:val="21"/>
                <w:lang w:val="en-IE" w:eastAsia="en-IE"/>
              </w:rPr>
              <w:t>-</w:t>
            </w:r>
          </w:p>
        </w:tc>
        <w:tc>
          <w:tcPr>
            <w:tcW w:w="1275" w:type="dxa"/>
            <w:tcBorders>
              <w:left w:val="nil"/>
              <w:right w:val="nil"/>
            </w:tcBorders>
            <w:shd w:val="clear" w:color="000000" w:fill="FFFF00"/>
            <w:noWrap/>
            <w:vAlign w:val="bottom"/>
          </w:tcPr>
          <w:p w14:paraId="06A5D673" w14:textId="3A743AA8" w:rsidR="00CE1283" w:rsidRPr="0067690D" w:rsidRDefault="001F780E" w:rsidP="00CE1283">
            <w:pPr>
              <w:spacing w:after="0" w:line="240" w:lineRule="auto"/>
              <w:ind w:left="-115" w:right="43"/>
              <w:jc w:val="right"/>
              <w:rPr>
                <w:rFonts w:ascii="Calibri" w:eastAsia="Times New Roman" w:hAnsi="Calibri" w:cs="Calibri"/>
                <w:b/>
                <w:color w:val="000000"/>
                <w:sz w:val="21"/>
                <w:szCs w:val="21"/>
                <w:lang w:val="en-IE" w:eastAsia="en-IE"/>
              </w:rPr>
            </w:pPr>
            <w:r>
              <w:rPr>
                <w:rFonts w:ascii="Calibri" w:eastAsia="Times New Roman" w:hAnsi="Calibri" w:cs="Calibri"/>
                <w:b/>
                <w:bCs/>
                <w:color w:val="000000"/>
                <w:sz w:val="21"/>
                <w:szCs w:val="21"/>
                <w:lang w:val="en-IE" w:eastAsia="en-IE"/>
              </w:rPr>
              <w:t>(</w:t>
            </w:r>
            <w:r w:rsidR="0067690D" w:rsidRPr="0067690D">
              <w:rPr>
                <w:rFonts w:ascii="Calibri" w:eastAsia="Times New Roman" w:hAnsi="Calibri" w:cs="Calibri"/>
                <w:b/>
                <w:bCs/>
                <w:color w:val="000000"/>
                <w:sz w:val="21"/>
                <w:szCs w:val="21"/>
                <w:lang w:val="en-IE" w:eastAsia="en-IE"/>
              </w:rPr>
              <w:t>925.</w:t>
            </w:r>
            <w:r w:rsidR="00A97EE0">
              <w:rPr>
                <w:rFonts w:ascii="Calibri" w:eastAsia="Times New Roman" w:hAnsi="Calibri" w:cs="Calibri"/>
                <w:b/>
                <w:bCs/>
                <w:color w:val="000000"/>
                <w:sz w:val="21"/>
                <w:szCs w:val="21"/>
                <w:lang w:val="en-IE" w:eastAsia="en-IE"/>
              </w:rPr>
              <w:t>6</w:t>
            </w:r>
            <w:r>
              <w:rPr>
                <w:rFonts w:ascii="Calibri" w:eastAsia="Times New Roman" w:hAnsi="Calibri" w:cs="Calibri"/>
                <w:b/>
                <w:bCs/>
                <w:color w:val="000000"/>
                <w:sz w:val="21"/>
                <w:szCs w:val="21"/>
                <w:lang w:val="en-IE" w:eastAsia="en-IE"/>
              </w:rPr>
              <w:t>)</w:t>
            </w:r>
          </w:p>
        </w:tc>
      </w:tr>
      <w:tr w:rsidR="00CE1283" w:rsidRPr="00660965" w14:paraId="26A59DE8" w14:textId="77777777" w:rsidTr="00EB7986">
        <w:trPr>
          <w:trHeight w:val="319"/>
        </w:trPr>
        <w:tc>
          <w:tcPr>
            <w:tcW w:w="4962" w:type="dxa"/>
            <w:shd w:val="clear" w:color="auto" w:fill="FFFFFF"/>
            <w:vAlign w:val="bottom"/>
            <w:hideMark/>
          </w:tcPr>
          <w:p w14:paraId="373BECF1" w14:textId="621EAEF6"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p>
        </w:tc>
        <w:tc>
          <w:tcPr>
            <w:tcW w:w="1559" w:type="dxa"/>
            <w:tcBorders>
              <w:top w:val="nil"/>
              <w:left w:val="nil"/>
              <w:bottom w:val="nil"/>
              <w:right w:val="nil"/>
            </w:tcBorders>
            <w:shd w:val="clear" w:color="000000" w:fill="FFFF00"/>
            <w:noWrap/>
            <w:vAlign w:val="bottom"/>
          </w:tcPr>
          <w:p w14:paraId="10FDADD9" w14:textId="38ED47C2" w:rsidR="00CE1283" w:rsidRPr="00660965" w:rsidRDefault="00CE1283" w:rsidP="00CE128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tcBorders>
              <w:top w:val="nil"/>
              <w:left w:val="nil"/>
              <w:bottom w:val="nil"/>
              <w:right w:val="nil"/>
            </w:tcBorders>
            <w:shd w:val="clear" w:color="000000" w:fill="FFFF00"/>
            <w:vAlign w:val="bottom"/>
          </w:tcPr>
          <w:p w14:paraId="6F031E91" w14:textId="36A6D2AF" w:rsidR="00CE1283" w:rsidRPr="00660965" w:rsidRDefault="00CE1283" w:rsidP="00CE1283">
            <w:pPr>
              <w:spacing w:after="0" w:line="240" w:lineRule="auto"/>
              <w:ind w:left="-115" w:right="40"/>
              <w:jc w:val="right"/>
              <w:rPr>
                <w:rFonts w:ascii="Calibri" w:eastAsia="Times New Roman" w:hAnsi="Calibri" w:cs="Calibri"/>
                <w:b/>
                <w:bCs/>
                <w:color w:val="000000"/>
                <w:sz w:val="21"/>
                <w:szCs w:val="21"/>
                <w:lang w:val="en-IE" w:eastAsia="en-US"/>
              </w:rPr>
            </w:pPr>
          </w:p>
        </w:tc>
        <w:tc>
          <w:tcPr>
            <w:tcW w:w="1419" w:type="dxa"/>
            <w:tcBorders>
              <w:top w:val="nil"/>
              <w:left w:val="nil"/>
              <w:bottom w:val="nil"/>
              <w:right w:val="nil"/>
            </w:tcBorders>
            <w:shd w:val="clear" w:color="000000" w:fill="FFFF00"/>
            <w:vAlign w:val="bottom"/>
          </w:tcPr>
          <w:p w14:paraId="65B89E7A" w14:textId="5A8836B0" w:rsidR="00CE1283" w:rsidRPr="00660965" w:rsidRDefault="00CE1283" w:rsidP="00CE1283">
            <w:pPr>
              <w:spacing w:after="0" w:line="240" w:lineRule="auto"/>
              <w:ind w:left="-115" w:right="29"/>
              <w:jc w:val="right"/>
              <w:rPr>
                <w:rFonts w:ascii="Calibri" w:eastAsia="Calibri" w:hAnsi="Calibri" w:cs="Calibri"/>
                <w:b/>
                <w:bCs/>
                <w:sz w:val="21"/>
                <w:szCs w:val="21"/>
                <w:lang w:val="en-IE" w:eastAsia="en-IE"/>
              </w:rPr>
            </w:pPr>
          </w:p>
        </w:tc>
        <w:tc>
          <w:tcPr>
            <w:tcW w:w="1275" w:type="dxa"/>
            <w:tcBorders>
              <w:top w:val="nil"/>
              <w:left w:val="nil"/>
              <w:bottom w:val="nil"/>
              <w:right w:val="nil"/>
            </w:tcBorders>
            <w:shd w:val="clear" w:color="000000" w:fill="FFFF00"/>
            <w:noWrap/>
            <w:vAlign w:val="bottom"/>
          </w:tcPr>
          <w:p w14:paraId="76A4AD9F" w14:textId="57A7C6F3" w:rsidR="00CE1283" w:rsidRPr="00660965" w:rsidRDefault="00CE1283" w:rsidP="00CE1283">
            <w:pPr>
              <w:spacing w:after="0" w:line="240" w:lineRule="auto"/>
              <w:ind w:left="-115" w:right="43"/>
              <w:jc w:val="right"/>
              <w:rPr>
                <w:rFonts w:ascii="Calibri" w:eastAsia="Calibri" w:hAnsi="Calibri" w:cs="Calibri"/>
                <w:b/>
                <w:bCs/>
                <w:sz w:val="21"/>
                <w:szCs w:val="21"/>
                <w:highlight w:val="green"/>
                <w:lang w:val="en-IE" w:eastAsia="en-IE"/>
              </w:rPr>
            </w:pPr>
          </w:p>
        </w:tc>
      </w:tr>
      <w:tr w:rsidR="00CE1283" w:rsidRPr="00660965" w14:paraId="2C5E4336" w14:textId="77777777" w:rsidTr="00EB7986">
        <w:trPr>
          <w:trHeight w:val="319"/>
        </w:trPr>
        <w:tc>
          <w:tcPr>
            <w:tcW w:w="4962" w:type="dxa"/>
            <w:shd w:val="clear" w:color="auto" w:fill="FFFFFF"/>
            <w:vAlign w:val="bottom"/>
            <w:hideMark/>
          </w:tcPr>
          <w:p w14:paraId="3AA78B8C" w14:textId="60B2723A" w:rsidR="00CE1283" w:rsidRPr="00660965"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assets</w:t>
            </w:r>
          </w:p>
        </w:tc>
        <w:tc>
          <w:tcPr>
            <w:tcW w:w="1559" w:type="dxa"/>
            <w:tcBorders>
              <w:top w:val="nil"/>
              <w:left w:val="nil"/>
              <w:bottom w:val="nil"/>
              <w:right w:val="nil"/>
            </w:tcBorders>
            <w:shd w:val="clear" w:color="000000" w:fill="FFFF00"/>
            <w:noWrap/>
            <w:vAlign w:val="bottom"/>
          </w:tcPr>
          <w:p w14:paraId="48A15186" w14:textId="0DE551AF" w:rsidR="00CE1283" w:rsidRPr="00660965" w:rsidRDefault="0067690D"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w:t>
            </w:r>
            <w:r w:rsidR="00085442">
              <w:rPr>
                <w:rFonts w:ascii="Calibri" w:eastAsia="Times New Roman" w:hAnsi="Calibri" w:cs="Calibri"/>
                <w:b/>
                <w:bCs/>
                <w:color w:val="000000"/>
                <w:sz w:val="21"/>
                <w:szCs w:val="21"/>
                <w:lang w:val="en-IE" w:eastAsia="en-IE"/>
              </w:rPr>
              <w:t>6,</w:t>
            </w:r>
            <w:r w:rsidR="002A1FA4">
              <w:rPr>
                <w:rFonts w:ascii="Calibri" w:eastAsia="Times New Roman" w:hAnsi="Calibri" w:cs="Calibri"/>
                <w:b/>
                <w:bCs/>
                <w:color w:val="000000"/>
                <w:sz w:val="21"/>
                <w:szCs w:val="21"/>
                <w:lang w:val="en-IE" w:eastAsia="en-IE"/>
              </w:rPr>
              <w:t>018.8</w:t>
            </w:r>
          </w:p>
        </w:tc>
        <w:tc>
          <w:tcPr>
            <w:tcW w:w="1559" w:type="dxa"/>
            <w:tcBorders>
              <w:top w:val="nil"/>
              <w:left w:val="nil"/>
              <w:bottom w:val="nil"/>
              <w:right w:val="nil"/>
            </w:tcBorders>
            <w:shd w:val="clear" w:color="000000" w:fill="FFFF00"/>
            <w:vAlign w:val="bottom"/>
          </w:tcPr>
          <w:p w14:paraId="6FC16F72" w14:textId="62298E30" w:rsidR="00CE1283" w:rsidRPr="00660965" w:rsidRDefault="0067690D" w:rsidP="00CE128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3</w:t>
            </w:r>
            <w:r w:rsidR="00A97EE0">
              <w:rPr>
                <w:rFonts w:ascii="Calibri" w:eastAsia="Times New Roman" w:hAnsi="Calibri" w:cs="Calibri"/>
                <w:b/>
                <w:bCs/>
                <w:color w:val="000000"/>
                <w:sz w:val="21"/>
                <w:szCs w:val="21"/>
                <w:lang w:val="en-IE" w:eastAsia="en-US"/>
              </w:rPr>
              <w:t>70.</w:t>
            </w:r>
            <w:r w:rsidR="002A1FA4">
              <w:rPr>
                <w:rFonts w:ascii="Calibri" w:eastAsia="Times New Roman" w:hAnsi="Calibri" w:cs="Calibri"/>
                <w:b/>
                <w:bCs/>
                <w:color w:val="000000"/>
                <w:sz w:val="21"/>
                <w:szCs w:val="21"/>
                <w:lang w:val="en-IE" w:eastAsia="en-US"/>
              </w:rPr>
              <w:t>3</w:t>
            </w:r>
          </w:p>
        </w:tc>
        <w:tc>
          <w:tcPr>
            <w:tcW w:w="1419" w:type="dxa"/>
            <w:tcBorders>
              <w:top w:val="nil"/>
              <w:left w:val="nil"/>
              <w:bottom w:val="nil"/>
              <w:right w:val="nil"/>
            </w:tcBorders>
            <w:shd w:val="clear" w:color="000000" w:fill="FFFF00"/>
            <w:vAlign w:val="bottom"/>
          </w:tcPr>
          <w:p w14:paraId="6ADD6C96" w14:textId="69804E17" w:rsidR="00CE1283" w:rsidRPr="00660965" w:rsidRDefault="0067690D" w:rsidP="00CE1283">
            <w:pPr>
              <w:spacing w:after="0" w:line="240" w:lineRule="auto"/>
              <w:ind w:left="-115" w:right="29"/>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w:t>
            </w:r>
          </w:p>
        </w:tc>
        <w:tc>
          <w:tcPr>
            <w:tcW w:w="1275" w:type="dxa"/>
            <w:tcBorders>
              <w:top w:val="nil"/>
              <w:left w:val="nil"/>
              <w:bottom w:val="nil"/>
              <w:right w:val="nil"/>
            </w:tcBorders>
            <w:shd w:val="clear" w:color="000000" w:fill="FFFF00"/>
            <w:noWrap/>
            <w:vAlign w:val="bottom"/>
          </w:tcPr>
          <w:p w14:paraId="4B9BA037" w14:textId="3B05C841" w:rsidR="00CE1283" w:rsidRPr="0067690D" w:rsidRDefault="0067690D" w:rsidP="0067690D">
            <w:pPr>
              <w:spacing w:after="0" w:line="240" w:lineRule="auto"/>
              <w:ind w:left="-115" w:right="40"/>
              <w:jc w:val="right"/>
              <w:rPr>
                <w:rFonts w:ascii="Calibri" w:eastAsia="Times New Roman" w:hAnsi="Calibri" w:cs="Calibri"/>
                <w:b/>
                <w:color w:val="000000"/>
                <w:sz w:val="21"/>
                <w:szCs w:val="21"/>
                <w:lang w:val="en-IE" w:eastAsia="en-US"/>
              </w:rPr>
            </w:pPr>
            <w:r w:rsidRPr="0067690D">
              <w:rPr>
                <w:rFonts w:ascii="Calibri" w:eastAsia="Times New Roman" w:hAnsi="Calibri" w:cs="Calibri"/>
                <w:b/>
                <w:bCs/>
                <w:color w:val="000000"/>
                <w:sz w:val="21"/>
                <w:szCs w:val="21"/>
                <w:lang w:val="en-IE" w:eastAsia="en-US"/>
              </w:rPr>
              <w:t>16,</w:t>
            </w:r>
            <w:r w:rsidR="002A1FA4" w:rsidRPr="0067690D">
              <w:rPr>
                <w:rFonts w:ascii="Calibri" w:eastAsia="Times New Roman" w:hAnsi="Calibri" w:cs="Calibri"/>
                <w:b/>
                <w:bCs/>
                <w:color w:val="000000"/>
                <w:sz w:val="21"/>
                <w:szCs w:val="21"/>
                <w:lang w:val="en-IE" w:eastAsia="en-US"/>
              </w:rPr>
              <w:t>3</w:t>
            </w:r>
            <w:r w:rsidR="002A1FA4">
              <w:rPr>
                <w:rFonts w:ascii="Calibri" w:eastAsia="Times New Roman" w:hAnsi="Calibri" w:cs="Calibri"/>
                <w:b/>
                <w:bCs/>
                <w:color w:val="000000"/>
                <w:sz w:val="21"/>
                <w:szCs w:val="21"/>
                <w:lang w:val="en-IE" w:eastAsia="en-US"/>
              </w:rPr>
              <w:t>89.1</w:t>
            </w:r>
          </w:p>
        </w:tc>
      </w:tr>
      <w:tr w:rsidR="00CE1283" w:rsidRPr="00660965" w14:paraId="6DC7BE2F" w14:textId="77777777" w:rsidTr="00EB7986">
        <w:trPr>
          <w:trHeight w:val="319"/>
        </w:trPr>
        <w:tc>
          <w:tcPr>
            <w:tcW w:w="4962" w:type="dxa"/>
            <w:shd w:val="clear" w:color="auto" w:fill="FFFFFF"/>
            <w:vAlign w:val="bottom"/>
          </w:tcPr>
          <w:p w14:paraId="17C0A6FD" w14:textId="22D815ED" w:rsidR="00CE1283" w:rsidRPr="000E5963" w:rsidRDefault="00CE1283" w:rsidP="00CE128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liabilities</w:t>
            </w:r>
          </w:p>
        </w:tc>
        <w:tc>
          <w:tcPr>
            <w:tcW w:w="1559" w:type="dxa"/>
            <w:tcBorders>
              <w:top w:val="nil"/>
              <w:left w:val="nil"/>
              <w:bottom w:val="nil"/>
              <w:right w:val="nil"/>
            </w:tcBorders>
            <w:shd w:val="clear" w:color="000000" w:fill="FFFF00"/>
            <w:noWrap/>
            <w:vAlign w:val="bottom"/>
          </w:tcPr>
          <w:p w14:paraId="54D2FD98" w14:textId="221449A0" w:rsidR="00CE1283" w:rsidRPr="00660965" w:rsidRDefault="0067690D" w:rsidP="00CE128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(6,</w:t>
            </w:r>
            <w:r w:rsidR="002A1FA4">
              <w:rPr>
                <w:rFonts w:ascii="Calibri" w:eastAsia="Times New Roman" w:hAnsi="Calibri" w:cs="Calibri"/>
                <w:b/>
                <w:bCs/>
                <w:color w:val="000000"/>
                <w:sz w:val="21"/>
                <w:szCs w:val="21"/>
                <w:lang w:val="en-IE" w:eastAsia="en-IE"/>
              </w:rPr>
              <w:t>954.2</w:t>
            </w:r>
            <w:r>
              <w:rPr>
                <w:rFonts w:ascii="Calibri" w:eastAsia="Times New Roman" w:hAnsi="Calibri" w:cs="Calibri"/>
                <w:b/>
                <w:bCs/>
                <w:color w:val="000000"/>
                <w:sz w:val="21"/>
                <w:szCs w:val="21"/>
                <w:lang w:val="en-IE" w:eastAsia="en-IE"/>
              </w:rPr>
              <w:t>)</w:t>
            </w:r>
          </w:p>
        </w:tc>
        <w:tc>
          <w:tcPr>
            <w:tcW w:w="1559" w:type="dxa"/>
            <w:tcBorders>
              <w:top w:val="nil"/>
              <w:left w:val="nil"/>
              <w:bottom w:val="nil"/>
              <w:right w:val="nil"/>
            </w:tcBorders>
            <w:shd w:val="clear" w:color="000000" w:fill="FFFF00"/>
            <w:vAlign w:val="bottom"/>
          </w:tcPr>
          <w:p w14:paraId="3D578736" w14:textId="1C250D8D" w:rsidR="00CE1283" w:rsidRPr="00660965" w:rsidRDefault="0067690D" w:rsidP="00CE128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r w:rsidR="002A1FA4">
              <w:rPr>
                <w:rFonts w:ascii="Calibri" w:eastAsia="Times New Roman" w:hAnsi="Calibri" w:cs="Calibri"/>
                <w:b/>
                <w:bCs/>
                <w:color w:val="000000"/>
                <w:sz w:val="21"/>
                <w:szCs w:val="21"/>
                <w:lang w:val="en-IE" w:eastAsia="en-US"/>
              </w:rPr>
              <w:t>465.1</w:t>
            </w:r>
            <w:r>
              <w:rPr>
                <w:rFonts w:ascii="Calibri" w:eastAsia="Times New Roman" w:hAnsi="Calibri" w:cs="Calibri"/>
                <w:b/>
                <w:bCs/>
                <w:color w:val="000000"/>
                <w:sz w:val="21"/>
                <w:szCs w:val="21"/>
                <w:lang w:val="en-IE" w:eastAsia="en-US"/>
              </w:rPr>
              <w:t>)</w:t>
            </w:r>
          </w:p>
        </w:tc>
        <w:tc>
          <w:tcPr>
            <w:tcW w:w="1419" w:type="dxa"/>
            <w:tcBorders>
              <w:top w:val="nil"/>
              <w:left w:val="nil"/>
              <w:bottom w:val="nil"/>
              <w:right w:val="nil"/>
            </w:tcBorders>
            <w:shd w:val="clear" w:color="000000" w:fill="FFFF00"/>
            <w:vAlign w:val="bottom"/>
          </w:tcPr>
          <w:p w14:paraId="61EAF809" w14:textId="7A40B885" w:rsidR="00CE1283" w:rsidRPr="00660965" w:rsidRDefault="0067690D" w:rsidP="00CE1283">
            <w:pPr>
              <w:spacing w:after="0" w:line="240" w:lineRule="auto"/>
              <w:ind w:left="-115" w:right="29"/>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w:t>
            </w:r>
          </w:p>
        </w:tc>
        <w:tc>
          <w:tcPr>
            <w:tcW w:w="1275" w:type="dxa"/>
            <w:tcBorders>
              <w:top w:val="nil"/>
              <w:left w:val="nil"/>
              <w:bottom w:val="nil"/>
              <w:right w:val="nil"/>
            </w:tcBorders>
            <w:shd w:val="clear" w:color="000000" w:fill="FFFF00"/>
            <w:noWrap/>
            <w:vAlign w:val="bottom"/>
          </w:tcPr>
          <w:p w14:paraId="0E3A4DCF" w14:textId="4FC1B47C" w:rsidR="00CE1283" w:rsidRPr="00660965" w:rsidRDefault="0067690D" w:rsidP="00CE1283">
            <w:pPr>
              <w:spacing w:after="0" w:line="240" w:lineRule="auto"/>
              <w:ind w:left="-115" w:right="43"/>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(7,</w:t>
            </w:r>
            <w:r w:rsidR="002A1FA4">
              <w:rPr>
                <w:rFonts w:ascii="Calibri" w:eastAsia="Calibri" w:hAnsi="Calibri" w:cs="Calibri"/>
                <w:b/>
                <w:bCs/>
                <w:sz w:val="21"/>
                <w:szCs w:val="21"/>
                <w:lang w:val="en-IE" w:eastAsia="en-IE"/>
              </w:rPr>
              <w:t>419.3</w:t>
            </w:r>
            <w:r>
              <w:rPr>
                <w:rFonts w:ascii="Calibri" w:eastAsia="Calibri" w:hAnsi="Calibri" w:cs="Calibri"/>
                <w:b/>
                <w:bCs/>
                <w:sz w:val="21"/>
                <w:szCs w:val="21"/>
                <w:lang w:val="en-IE" w:eastAsia="en-IE"/>
              </w:rPr>
              <w:t>)</w:t>
            </w:r>
          </w:p>
        </w:tc>
      </w:tr>
    </w:tbl>
    <w:p w14:paraId="3745314E" w14:textId="77777777" w:rsidR="00660965" w:rsidRPr="00660965" w:rsidRDefault="00660965" w:rsidP="00660965">
      <w:pPr>
        <w:widowControl w:val="0"/>
        <w:spacing w:after="240" w:line="240" w:lineRule="auto"/>
        <w:ind w:right="283"/>
        <w:jc w:val="both"/>
        <w:outlineLvl w:val="3"/>
        <w:rPr>
          <w:rFonts w:ascii="Calibri" w:eastAsia="Times New Roman" w:hAnsi="Calibri" w:cs="Calibri"/>
          <w:i/>
          <w:sz w:val="18"/>
          <w:szCs w:val="18"/>
          <w:highlight w:val="yellow"/>
          <w:lang w:eastAsia="en-US"/>
        </w:rPr>
      </w:pPr>
    </w:p>
    <w:tbl>
      <w:tblPr>
        <w:tblW w:w="10774" w:type="dxa"/>
        <w:tblInd w:w="-34" w:type="dxa"/>
        <w:tblLayout w:type="fixed"/>
        <w:tblLook w:val="04A0" w:firstRow="1" w:lastRow="0" w:firstColumn="1" w:lastColumn="0" w:noHBand="0" w:noVBand="1"/>
      </w:tblPr>
      <w:tblGrid>
        <w:gridCol w:w="4962"/>
        <w:gridCol w:w="1559"/>
        <w:gridCol w:w="1559"/>
        <w:gridCol w:w="1418"/>
        <w:gridCol w:w="1276"/>
      </w:tblGrid>
      <w:tr w:rsidR="00660965" w:rsidRPr="00660965" w14:paraId="41979B8F" w14:textId="77777777" w:rsidTr="00C9563C">
        <w:trPr>
          <w:trHeight w:val="300"/>
        </w:trPr>
        <w:tc>
          <w:tcPr>
            <w:tcW w:w="4962" w:type="dxa"/>
            <w:shd w:val="clear" w:color="auto" w:fill="FFFFFF"/>
            <w:hideMark/>
          </w:tcPr>
          <w:p w14:paraId="74814A22" w14:textId="77777777" w:rsidR="00660965" w:rsidRPr="00660965" w:rsidRDefault="00660965" w:rsidP="00660965">
            <w:pPr>
              <w:spacing w:after="0" w:line="240" w:lineRule="auto"/>
              <w:ind w:left="319" w:right="-2" w:hanging="288"/>
              <w:rPr>
                <w:rFonts w:ascii="Calibri" w:eastAsia="Times New Roman" w:hAnsi="Calibri" w:cs="Calibri"/>
                <w:b/>
                <w:bCs/>
                <w:color w:val="000000"/>
                <w:sz w:val="21"/>
                <w:szCs w:val="21"/>
                <w:lang w:val="en-IE" w:eastAsia="en-IE"/>
              </w:rPr>
            </w:pPr>
            <w:r w:rsidRPr="00660965">
              <w:rPr>
                <w:rFonts w:ascii="Calibri" w:eastAsia="Times New Roman" w:hAnsi="Calibri" w:cs="Calibri"/>
                <w:b/>
                <w:bCs/>
                <w:color w:val="000000"/>
                <w:sz w:val="21"/>
                <w:szCs w:val="21"/>
                <w:lang w:val="en-IE" w:eastAsia="en-US"/>
              </w:rPr>
              <w:t>Half-Year Ended</w:t>
            </w:r>
          </w:p>
        </w:tc>
        <w:tc>
          <w:tcPr>
            <w:tcW w:w="1559" w:type="dxa"/>
            <w:vAlign w:val="bottom"/>
          </w:tcPr>
          <w:p w14:paraId="1F060186" w14:textId="77777777" w:rsidR="00660965" w:rsidRPr="00660965" w:rsidRDefault="00660965" w:rsidP="00660965">
            <w:pPr>
              <w:spacing w:after="0" w:line="240" w:lineRule="auto"/>
              <w:ind w:left="-115"/>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Ryanair DAC</w:t>
            </w:r>
          </w:p>
          <w:p w14:paraId="44753F3B" w14:textId="77777777" w:rsidR="00660965" w:rsidRPr="00660965" w:rsidRDefault="00660965" w:rsidP="00660965">
            <w:pPr>
              <w:spacing w:after="0" w:line="240" w:lineRule="auto"/>
              <w:ind w:left="-115"/>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Sep 30,</w:t>
            </w:r>
          </w:p>
          <w:p w14:paraId="61079432" w14:textId="1A6124CF" w:rsidR="00660965" w:rsidRPr="00660965" w:rsidRDefault="00660965" w:rsidP="00660965">
            <w:pPr>
              <w:spacing w:after="0" w:line="240" w:lineRule="auto"/>
              <w:ind w:left="-115"/>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202</w:t>
            </w:r>
            <w:r w:rsidR="00AB7882">
              <w:rPr>
                <w:rFonts w:ascii="Calibri" w:eastAsia="Times New Roman" w:hAnsi="Calibri" w:cs="Calibri"/>
                <w:color w:val="000000"/>
                <w:sz w:val="21"/>
                <w:szCs w:val="21"/>
                <w:lang w:val="en-IE" w:eastAsia="en-IE"/>
              </w:rPr>
              <w:t>4</w:t>
            </w:r>
          </w:p>
          <w:p w14:paraId="7ACD333A" w14:textId="77777777" w:rsidR="00660965" w:rsidRPr="00660965" w:rsidRDefault="00660965" w:rsidP="00660965">
            <w:pPr>
              <w:spacing w:after="0" w:line="240" w:lineRule="auto"/>
              <w:ind w:right="-2"/>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€M</w:t>
            </w:r>
          </w:p>
        </w:tc>
        <w:tc>
          <w:tcPr>
            <w:tcW w:w="1559" w:type="dxa"/>
            <w:vAlign w:val="bottom"/>
            <w:hideMark/>
          </w:tcPr>
          <w:p w14:paraId="2D333BF2" w14:textId="77777777" w:rsidR="00660965" w:rsidRPr="00660965" w:rsidRDefault="00660965" w:rsidP="00660965">
            <w:pPr>
              <w:spacing w:after="0" w:line="240" w:lineRule="auto"/>
              <w:ind w:left="-115" w:right="40"/>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Other Airlines</w:t>
            </w:r>
          </w:p>
          <w:p w14:paraId="218F80C4" w14:textId="77777777" w:rsidR="00660965" w:rsidRPr="00660965" w:rsidRDefault="00660965" w:rsidP="00660965">
            <w:pPr>
              <w:spacing w:after="0" w:line="240" w:lineRule="auto"/>
              <w:ind w:left="-115" w:right="40"/>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Sep 30,</w:t>
            </w:r>
          </w:p>
          <w:p w14:paraId="194BAE7B" w14:textId="45BB2646" w:rsidR="00660965" w:rsidRPr="00660965" w:rsidRDefault="00660965" w:rsidP="00660965">
            <w:pPr>
              <w:spacing w:after="0" w:line="240" w:lineRule="auto"/>
              <w:ind w:left="-115" w:right="40"/>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202</w:t>
            </w:r>
            <w:r w:rsidR="00AB7882">
              <w:rPr>
                <w:rFonts w:ascii="Calibri" w:eastAsia="Times New Roman" w:hAnsi="Calibri" w:cs="Calibri"/>
                <w:color w:val="000000"/>
                <w:sz w:val="21"/>
                <w:szCs w:val="21"/>
                <w:lang w:val="en-IE" w:eastAsia="en-IE"/>
              </w:rPr>
              <w:t>4</w:t>
            </w:r>
          </w:p>
          <w:p w14:paraId="07715EE8" w14:textId="77777777" w:rsidR="00660965" w:rsidRPr="00660965" w:rsidRDefault="00660965" w:rsidP="00660965">
            <w:pPr>
              <w:spacing w:after="0" w:line="240" w:lineRule="auto"/>
              <w:ind w:left="-281" w:right="40"/>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€M</w:t>
            </w:r>
          </w:p>
        </w:tc>
        <w:tc>
          <w:tcPr>
            <w:tcW w:w="1418" w:type="dxa"/>
            <w:vAlign w:val="bottom"/>
          </w:tcPr>
          <w:p w14:paraId="2352A2EE" w14:textId="77777777" w:rsidR="00660965" w:rsidRPr="00660965" w:rsidRDefault="00660965" w:rsidP="00660965">
            <w:pPr>
              <w:spacing w:after="0" w:line="240" w:lineRule="auto"/>
              <w:ind w:left="-115" w:right="29"/>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Elimination</w:t>
            </w:r>
          </w:p>
          <w:p w14:paraId="3441443A" w14:textId="77777777" w:rsidR="00660965" w:rsidRPr="00660965" w:rsidRDefault="00660965" w:rsidP="00660965">
            <w:pPr>
              <w:spacing w:after="0" w:line="240" w:lineRule="auto"/>
              <w:ind w:left="-115" w:right="29"/>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Sep 30,</w:t>
            </w:r>
          </w:p>
          <w:p w14:paraId="46E32EA6" w14:textId="2C1EF4E6" w:rsidR="00660965" w:rsidRPr="00660965" w:rsidRDefault="00660965" w:rsidP="00660965">
            <w:pPr>
              <w:spacing w:after="0" w:line="240" w:lineRule="auto"/>
              <w:ind w:left="-115" w:right="29"/>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202</w:t>
            </w:r>
            <w:r w:rsidR="00AB7882">
              <w:rPr>
                <w:rFonts w:ascii="Calibri" w:eastAsia="Times New Roman" w:hAnsi="Calibri" w:cs="Calibri"/>
                <w:color w:val="000000"/>
                <w:sz w:val="21"/>
                <w:szCs w:val="21"/>
                <w:lang w:val="en-IE" w:eastAsia="en-IE"/>
              </w:rPr>
              <w:t>4</w:t>
            </w:r>
          </w:p>
          <w:p w14:paraId="14817E62" w14:textId="77777777" w:rsidR="00660965" w:rsidRPr="00660965" w:rsidRDefault="00660965" w:rsidP="00660965">
            <w:pPr>
              <w:spacing w:after="0" w:line="240" w:lineRule="auto"/>
              <w:ind w:left="-245" w:right="29"/>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€M</w:t>
            </w:r>
          </w:p>
        </w:tc>
        <w:tc>
          <w:tcPr>
            <w:tcW w:w="1276" w:type="dxa"/>
            <w:vAlign w:val="bottom"/>
            <w:hideMark/>
          </w:tcPr>
          <w:p w14:paraId="46DA348B" w14:textId="77777777" w:rsidR="00660965" w:rsidRPr="00660965" w:rsidRDefault="00660965" w:rsidP="00660965">
            <w:pPr>
              <w:spacing w:after="0" w:line="240" w:lineRule="auto"/>
              <w:ind w:left="-115" w:right="43"/>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Total</w:t>
            </w:r>
          </w:p>
          <w:p w14:paraId="3C1E8227" w14:textId="77777777" w:rsidR="00660965" w:rsidRPr="00660965" w:rsidRDefault="00660965" w:rsidP="00660965">
            <w:pPr>
              <w:spacing w:after="0" w:line="240" w:lineRule="auto"/>
              <w:ind w:left="-115" w:right="43"/>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Sep 30,</w:t>
            </w:r>
          </w:p>
          <w:p w14:paraId="7973DAD8" w14:textId="0929135F" w:rsidR="00660965" w:rsidRPr="00660965" w:rsidRDefault="00660965" w:rsidP="00660965">
            <w:pPr>
              <w:spacing w:after="0" w:line="240" w:lineRule="auto"/>
              <w:ind w:left="-115" w:right="43"/>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202</w:t>
            </w:r>
            <w:r w:rsidR="00AB7882">
              <w:rPr>
                <w:rFonts w:ascii="Calibri" w:eastAsia="Times New Roman" w:hAnsi="Calibri" w:cs="Calibri"/>
                <w:color w:val="000000"/>
                <w:sz w:val="21"/>
                <w:szCs w:val="21"/>
                <w:lang w:val="en-IE" w:eastAsia="en-IE"/>
              </w:rPr>
              <w:t>4</w:t>
            </w:r>
          </w:p>
          <w:p w14:paraId="6C9F9803" w14:textId="77777777" w:rsidR="00660965" w:rsidRPr="00660965" w:rsidRDefault="00660965" w:rsidP="00660965">
            <w:pPr>
              <w:spacing w:after="0" w:line="240" w:lineRule="auto"/>
              <w:ind w:right="43"/>
              <w:jc w:val="right"/>
              <w:rPr>
                <w:rFonts w:ascii="Calibri" w:eastAsia="Times New Roman" w:hAnsi="Calibri" w:cs="Calibri"/>
                <w:color w:val="000000"/>
                <w:sz w:val="21"/>
                <w:szCs w:val="21"/>
                <w:lang w:val="en-IE" w:eastAsia="en-IE"/>
              </w:rPr>
            </w:pPr>
            <w:r w:rsidRPr="00660965">
              <w:rPr>
                <w:rFonts w:ascii="Calibri" w:eastAsia="Times New Roman" w:hAnsi="Calibri" w:cs="Calibri"/>
                <w:color w:val="000000"/>
                <w:sz w:val="21"/>
                <w:szCs w:val="21"/>
                <w:lang w:val="en-IE" w:eastAsia="en-IE"/>
              </w:rPr>
              <w:t>€M</w:t>
            </w:r>
          </w:p>
        </w:tc>
      </w:tr>
      <w:tr w:rsidR="00CE1283" w:rsidRPr="00660965" w14:paraId="6227550A" w14:textId="77777777" w:rsidTr="00C9563C">
        <w:trPr>
          <w:trHeight w:val="300"/>
        </w:trPr>
        <w:tc>
          <w:tcPr>
            <w:tcW w:w="4962" w:type="dxa"/>
            <w:shd w:val="clear" w:color="auto" w:fill="FFFFFF"/>
            <w:vAlign w:val="bottom"/>
          </w:tcPr>
          <w:p w14:paraId="70378926" w14:textId="6702BA61"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Scheduled revenues</w:t>
            </w:r>
          </w:p>
        </w:tc>
        <w:tc>
          <w:tcPr>
            <w:tcW w:w="1559" w:type="dxa"/>
            <w:tcBorders>
              <w:top w:val="nil"/>
              <w:left w:val="nil"/>
              <w:bottom w:val="nil"/>
              <w:right w:val="nil"/>
            </w:tcBorders>
            <w:vAlign w:val="center"/>
          </w:tcPr>
          <w:p w14:paraId="1D956C98" w14:textId="2D408198" w:rsidR="00CE1283" w:rsidRPr="00660965" w:rsidRDefault="00CE1283" w:rsidP="00CE1283">
            <w:pPr>
              <w:spacing w:after="0" w:line="240" w:lineRule="auto"/>
              <w:ind w:right="-2"/>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5,</w:t>
            </w:r>
            <w:r w:rsidR="002B257C">
              <w:rPr>
                <w:rFonts w:ascii="Calibri" w:eastAsia="Times New Roman" w:hAnsi="Calibri" w:cs="Calibri"/>
                <w:color w:val="000000"/>
                <w:sz w:val="21"/>
                <w:szCs w:val="21"/>
                <w:lang w:val="en-IE" w:eastAsia="en-US"/>
              </w:rPr>
              <w:t>850.4</w:t>
            </w:r>
          </w:p>
        </w:tc>
        <w:tc>
          <w:tcPr>
            <w:tcW w:w="1559" w:type="dxa"/>
            <w:tcBorders>
              <w:top w:val="nil"/>
              <w:left w:val="nil"/>
              <w:bottom w:val="nil"/>
              <w:right w:val="nil"/>
            </w:tcBorders>
            <w:noWrap/>
            <w:vAlign w:val="center"/>
          </w:tcPr>
          <w:p w14:paraId="0873CB61" w14:textId="680F0C47" w:rsidR="00CE1283" w:rsidRPr="00660965" w:rsidRDefault="00CE1283" w:rsidP="00CE1283">
            <w:pPr>
              <w:spacing w:after="0" w:line="240" w:lineRule="auto"/>
              <w:ind w:right="40"/>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9</w:t>
            </w:r>
            <w:r w:rsidR="00FF721D">
              <w:rPr>
                <w:rFonts w:ascii="Calibri" w:eastAsia="Times New Roman" w:hAnsi="Calibri" w:cs="Calibri"/>
                <w:color w:val="000000"/>
                <w:sz w:val="21"/>
                <w:szCs w:val="21"/>
                <w:lang w:val="en-IE" w:eastAsia="en-US"/>
              </w:rPr>
              <w:t>9.5</w:t>
            </w:r>
          </w:p>
        </w:tc>
        <w:tc>
          <w:tcPr>
            <w:tcW w:w="1418" w:type="dxa"/>
            <w:tcBorders>
              <w:top w:val="nil"/>
              <w:left w:val="nil"/>
              <w:bottom w:val="nil"/>
              <w:right w:val="nil"/>
            </w:tcBorders>
            <w:vAlign w:val="center"/>
          </w:tcPr>
          <w:p w14:paraId="5D4DF8A4" w14:textId="77777777" w:rsidR="00CE1283" w:rsidRPr="00660965" w:rsidRDefault="00CE1283" w:rsidP="00CE1283">
            <w:pPr>
              <w:spacing w:after="0" w:line="240" w:lineRule="auto"/>
              <w:ind w:right="29"/>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13489275" w14:textId="72C53DC0" w:rsidR="00CE1283" w:rsidRPr="00660965" w:rsidRDefault="00C56C2B" w:rsidP="00CE1283">
            <w:pPr>
              <w:spacing w:after="0" w:line="240" w:lineRule="auto"/>
              <w:ind w:right="43"/>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5,949.9</w:t>
            </w:r>
          </w:p>
        </w:tc>
      </w:tr>
      <w:tr w:rsidR="00CE1283" w:rsidRPr="00660965" w14:paraId="2D36ACCE" w14:textId="77777777" w:rsidTr="00C9563C">
        <w:trPr>
          <w:trHeight w:val="300"/>
        </w:trPr>
        <w:tc>
          <w:tcPr>
            <w:tcW w:w="4962" w:type="dxa"/>
            <w:shd w:val="clear" w:color="auto" w:fill="FFFFFF"/>
            <w:vAlign w:val="bottom"/>
          </w:tcPr>
          <w:p w14:paraId="19F645DD" w14:textId="34803482"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Ancillary revenues</w:t>
            </w:r>
          </w:p>
        </w:tc>
        <w:tc>
          <w:tcPr>
            <w:tcW w:w="1559" w:type="dxa"/>
            <w:tcBorders>
              <w:top w:val="nil"/>
              <w:left w:val="nil"/>
              <w:bottom w:val="nil"/>
              <w:right w:val="nil"/>
            </w:tcBorders>
            <w:vAlign w:val="center"/>
          </w:tcPr>
          <w:p w14:paraId="17E2F1F9" w14:textId="433799B9" w:rsidR="00CE1283" w:rsidRPr="00660965" w:rsidRDefault="00CE1283" w:rsidP="00CE1283">
            <w:pPr>
              <w:spacing w:after="0" w:line="240" w:lineRule="auto"/>
              <w:ind w:right="-2"/>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2,</w:t>
            </w:r>
            <w:r w:rsidR="002B257C">
              <w:rPr>
                <w:rFonts w:ascii="Calibri" w:eastAsia="Times New Roman" w:hAnsi="Calibri" w:cs="Calibri"/>
                <w:color w:val="000000"/>
                <w:sz w:val="21"/>
                <w:szCs w:val="21"/>
                <w:lang w:val="en-IE" w:eastAsia="en-US"/>
              </w:rPr>
              <w:t>742.1</w:t>
            </w:r>
          </w:p>
        </w:tc>
        <w:tc>
          <w:tcPr>
            <w:tcW w:w="1559" w:type="dxa"/>
            <w:tcBorders>
              <w:top w:val="nil"/>
              <w:left w:val="nil"/>
              <w:bottom w:val="nil"/>
              <w:right w:val="nil"/>
            </w:tcBorders>
            <w:noWrap/>
            <w:vAlign w:val="center"/>
          </w:tcPr>
          <w:p w14:paraId="7869AA41" w14:textId="77777777" w:rsidR="00CE1283" w:rsidRPr="00660965" w:rsidRDefault="00CE1283" w:rsidP="00CE1283">
            <w:pPr>
              <w:spacing w:after="0" w:line="240" w:lineRule="auto"/>
              <w:ind w:right="40"/>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p>
        </w:tc>
        <w:tc>
          <w:tcPr>
            <w:tcW w:w="1418" w:type="dxa"/>
            <w:tcBorders>
              <w:top w:val="nil"/>
              <w:left w:val="nil"/>
              <w:bottom w:val="nil"/>
              <w:right w:val="nil"/>
            </w:tcBorders>
            <w:vAlign w:val="center"/>
          </w:tcPr>
          <w:p w14:paraId="08B586CA" w14:textId="77777777" w:rsidR="00CE1283" w:rsidRPr="00660965" w:rsidRDefault="00CE1283" w:rsidP="00CE1283">
            <w:pPr>
              <w:spacing w:after="0" w:line="240" w:lineRule="auto"/>
              <w:ind w:right="29"/>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37009A92" w14:textId="588BB0A6" w:rsidR="00CE1283" w:rsidRPr="00660965" w:rsidRDefault="00CE1283" w:rsidP="00CE1283">
            <w:pPr>
              <w:spacing w:after="0" w:line="240" w:lineRule="auto"/>
              <w:ind w:right="43"/>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2,</w:t>
            </w:r>
            <w:r w:rsidR="00C56C2B">
              <w:rPr>
                <w:rFonts w:ascii="Calibri" w:eastAsia="Times New Roman" w:hAnsi="Calibri" w:cs="Calibri"/>
                <w:color w:val="000000"/>
                <w:sz w:val="21"/>
                <w:szCs w:val="21"/>
                <w:lang w:val="en-IE" w:eastAsia="en-US"/>
              </w:rPr>
              <w:t>742.1</w:t>
            </w:r>
          </w:p>
        </w:tc>
      </w:tr>
      <w:tr w:rsidR="00CE1283" w:rsidRPr="00660965" w14:paraId="2476B9CF" w14:textId="77777777" w:rsidTr="00C9563C">
        <w:trPr>
          <w:trHeight w:val="300"/>
        </w:trPr>
        <w:tc>
          <w:tcPr>
            <w:tcW w:w="4962" w:type="dxa"/>
            <w:shd w:val="clear" w:color="auto" w:fill="FFFFFF"/>
            <w:vAlign w:val="bottom"/>
            <w:hideMark/>
          </w:tcPr>
          <w:p w14:paraId="2590258B" w14:textId="6D45552C"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Inter-segment revenues</w:t>
            </w:r>
          </w:p>
        </w:tc>
        <w:tc>
          <w:tcPr>
            <w:tcW w:w="1559" w:type="dxa"/>
            <w:tcBorders>
              <w:top w:val="nil"/>
              <w:left w:val="nil"/>
              <w:bottom w:val="nil"/>
              <w:right w:val="nil"/>
            </w:tcBorders>
            <w:vAlign w:val="center"/>
          </w:tcPr>
          <w:p w14:paraId="25FCFCA5" w14:textId="05CB775F" w:rsidR="00CE1283" w:rsidRPr="00660965" w:rsidRDefault="00CE1283" w:rsidP="00CE1283">
            <w:pPr>
              <w:spacing w:after="0" w:line="240" w:lineRule="auto"/>
              <w:ind w:right="-2"/>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IE"/>
              </w:rPr>
              <w:t>3</w:t>
            </w:r>
            <w:r w:rsidR="002B257C">
              <w:rPr>
                <w:rFonts w:ascii="Calibri" w:eastAsia="Times New Roman" w:hAnsi="Calibri" w:cs="Calibri"/>
                <w:color w:val="000000"/>
                <w:sz w:val="21"/>
                <w:szCs w:val="21"/>
                <w:lang w:val="en-IE" w:eastAsia="en-IE"/>
              </w:rPr>
              <w:t>85.8</w:t>
            </w:r>
          </w:p>
        </w:tc>
        <w:tc>
          <w:tcPr>
            <w:tcW w:w="1559" w:type="dxa"/>
            <w:tcBorders>
              <w:top w:val="nil"/>
              <w:left w:val="nil"/>
              <w:bottom w:val="nil"/>
              <w:right w:val="nil"/>
            </w:tcBorders>
            <w:noWrap/>
            <w:vAlign w:val="center"/>
          </w:tcPr>
          <w:p w14:paraId="757513CA" w14:textId="6BF98F90" w:rsidR="00CE1283" w:rsidRPr="00660965" w:rsidRDefault="00FF721D" w:rsidP="00CE1283">
            <w:pPr>
              <w:spacing w:after="0" w:line="240" w:lineRule="auto"/>
              <w:ind w:right="40"/>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766.4</w:t>
            </w:r>
          </w:p>
        </w:tc>
        <w:tc>
          <w:tcPr>
            <w:tcW w:w="1418" w:type="dxa"/>
            <w:tcBorders>
              <w:top w:val="nil"/>
              <w:left w:val="nil"/>
              <w:bottom w:val="nil"/>
              <w:right w:val="nil"/>
            </w:tcBorders>
            <w:vAlign w:val="center"/>
          </w:tcPr>
          <w:p w14:paraId="27852206" w14:textId="4DD37ACE" w:rsidR="00CE1283" w:rsidRPr="00660965" w:rsidRDefault="00CE1283" w:rsidP="00CE1283">
            <w:pPr>
              <w:spacing w:after="0" w:line="240" w:lineRule="auto"/>
              <w:ind w:right="29"/>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(1,</w:t>
            </w:r>
            <w:r w:rsidR="00FF721D">
              <w:rPr>
                <w:rFonts w:ascii="Calibri" w:eastAsia="Times New Roman" w:hAnsi="Calibri" w:cs="Calibri"/>
                <w:color w:val="000000"/>
                <w:sz w:val="21"/>
                <w:szCs w:val="21"/>
                <w:lang w:val="en-IE" w:eastAsia="en-US"/>
              </w:rPr>
              <w:t>152</w:t>
            </w:r>
            <w:r w:rsidR="00C56C2B">
              <w:rPr>
                <w:rFonts w:ascii="Calibri" w:eastAsia="Times New Roman" w:hAnsi="Calibri" w:cs="Calibri"/>
                <w:color w:val="000000"/>
                <w:sz w:val="21"/>
                <w:szCs w:val="21"/>
                <w:lang w:val="en-IE" w:eastAsia="en-US"/>
              </w:rPr>
              <w:t>.2</w:t>
            </w: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3976FA8D" w14:textId="77777777" w:rsidR="00CE1283" w:rsidRPr="00660965" w:rsidRDefault="00CE1283" w:rsidP="00CE1283">
            <w:pPr>
              <w:spacing w:after="0" w:line="240" w:lineRule="auto"/>
              <w:ind w:right="43"/>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p>
        </w:tc>
      </w:tr>
      <w:tr w:rsidR="00CE1283" w:rsidRPr="00660965" w14:paraId="7B85271C" w14:textId="77777777" w:rsidTr="00C9563C">
        <w:trPr>
          <w:trHeight w:val="300"/>
        </w:trPr>
        <w:tc>
          <w:tcPr>
            <w:tcW w:w="4962" w:type="dxa"/>
            <w:shd w:val="clear" w:color="auto" w:fill="FFFFFF"/>
            <w:vAlign w:val="bottom"/>
            <w:hideMark/>
          </w:tcPr>
          <w:p w14:paraId="79C2F1B8" w14:textId="3F7FFD5C"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IE"/>
              </w:rPr>
              <w:t>Segment revenues</w:t>
            </w:r>
          </w:p>
        </w:tc>
        <w:tc>
          <w:tcPr>
            <w:tcW w:w="1559" w:type="dxa"/>
            <w:tcBorders>
              <w:top w:val="single" w:sz="4" w:space="0" w:color="auto"/>
              <w:left w:val="nil"/>
              <w:bottom w:val="single" w:sz="8" w:space="0" w:color="auto"/>
              <w:right w:val="nil"/>
            </w:tcBorders>
            <w:vAlign w:val="center"/>
          </w:tcPr>
          <w:p w14:paraId="46C01089" w14:textId="4415AEE9" w:rsidR="00CE1283" w:rsidRPr="00660965" w:rsidRDefault="00CE1283" w:rsidP="00CE1283">
            <w:pPr>
              <w:spacing w:after="0" w:line="240" w:lineRule="auto"/>
              <w:ind w:right="-2"/>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8,</w:t>
            </w:r>
            <w:r w:rsidR="002B257C">
              <w:rPr>
                <w:rFonts w:ascii="Calibri" w:eastAsia="Times New Roman" w:hAnsi="Calibri" w:cs="Calibri"/>
                <w:color w:val="000000"/>
                <w:sz w:val="21"/>
                <w:szCs w:val="21"/>
                <w:lang w:val="en-IE" w:eastAsia="en-US"/>
              </w:rPr>
              <w:t>978.3</w:t>
            </w:r>
          </w:p>
        </w:tc>
        <w:tc>
          <w:tcPr>
            <w:tcW w:w="1559" w:type="dxa"/>
            <w:tcBorders>
              <w:top w:val="single" w:sz="4" w:space="0" w:color="auto"/>
              <w:left w:val="nil"/>
              <w:bottom w:val="single" w:sz="8" w:space="0" w:color="auto"/>
              <w:right w:val="nil"/>
            </w:tcBorders>
            <w:noWrap/>
            <w:vAlign w:val="center"/>
          </w:tcPr>
          <w:p w14:paraId="514738CD" w14:textId="6F844C38" w:rsidR="00CE1283" w:rsidRPr="00660965" w:rsidRDefault="00FF721D" w:rsidP="00CE1283">
            <w:pPr>
              <w:spacing w:after="0" w:line="240" w:lineRule="auto"/>
              <w:ind w:right="40"/>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865.9</w:t>
            </w:r>
          </w:p>
        </w:tc>
        <w:tc>
          <w:tcPr>
            <w:tcW w:w="1418" w:type="dxa"/>
            <w:tcBorders>
              <w:top w:val="single" w:sz="4" w:space="0" w:color="auto"/>
              <w:left w:val="nil"/>
              <w:bottom w:val="single" w:sz="8" w:space="0" w:color="auto"/>
              <w:right w:val="nil"/>
            </w:tcBorders>
            <w:vAlign w:val="center"/>
          </w:tcPr>
          <w:p w14:paraId="345AF2EE" w14:textId="3C724D58" w:rsidR="00CE1283" w:rsidRPr="00660965" w:rsidRDefault="00CE1283" w:rsidP="00CE1283">
            <w:pPr>
              <w:spacing w:after="0" w:line="240" w:lineRule="auto"/>
              <w:ind w:right="29"/>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(1,</w:t>
            </w:r>
            <w:r w:rsidR="00C56C2B">
              <w:rPr>
                <w:rFonts w:ascii="Calibri" w:eastAsia="Times New Roman" w:hAnsi="Calibri" w:cs="Calibri"/>
                <w:color w:val="000000"/>
                <w:sz w:val="21"/>
                <w:szCs w:val="21"/>
                <w:lang w:val="en-IE" w:eastAsia="en-US"/>
              </w:rPr>
              <w:t>152.2</w:t>
            </w:r>
            <w:r w:rsidRPr="00660965">
              <w:rPr>
                <w:rFonts w:ascii="Calibri" w:eastAsia="Times New Roman" w:hAnsi="Calibri" w:cs="Calibri"/>
                <w:color w:val="000000"/>
                <w:sz w:val="21"/>
                <w:szCs w:val="21"/>
                <w:lang w:val="en-IE" w:eastAsia="en-US"/>
              </w:rPr>
              <w:t>)</w:t>
            </w:r>
          </w:p>
        </w:tc>
        <w:tc>
          <w:tcPr>
            <w:tcW w:w="1276" w:type="dxa"/>
            <w:tcBorders>
              <w:top w:val="single" w:sz="4" w:space="0" w:color="auto"/>
              <w:left w:val="nil"/>
              <w:bottom w:val="single" w:sz="8" w:space="0" w:color="auto"/>
              <w:right w:val="nil"/>
            </w:tcBorders>
            <w:noWrap/>
            <w:vAlign w:val="center"/>
          </w:tcPr>
          <w:p w14:paraId="202661DD" w14:textId="0B88DAC7" w:rsidR="00CE1283" w:rsidRPr="00660965" w:rsidRDefault="00CE1283" w:rsidP="00CE1283">
            <w:pPr>
              <w:spacing w:after="0" w:line="240" w:lineRule="auto"/>
              <w:ind w:right="43"/>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8,</w:t>
            </w:r>
            <w:r w:rsidR="00631978">
              <w:rPr>
                <w:rFonts w:ascii="Calibri" w:eastAsia="Times New Roman" w:hAnsi="Calibri" w:cs="Calibri"/>
                <w:color w:val="000000"/>
                <w:sz w:val="21"/>
                <w:szCs w:val="21"/>
                <w:lang w:val="en-IE" w:eastAsia="en-US"/>
              </w:rPr>
              <w:t>692.0</w:t>
            </w:r>
          </w:p>
        </w:tc>
      </w:tr>
      <w:tr w:rsidR="00CE1283" w:rsidRPr="00660965" w14:paraId="2F17B2DC" w14:textId="77777777" w:rsidTr="00C9563C">
        <w:trPr>
          <w:trHeight w:val="300"/>
        </w:trPr>
        <w:tc>
          <w:tcPr>
            <w:tcW w:w="4962" w:type="dxa"/>
            <w:shd w:val="clear" w:color="auto" w:fill="FFFFFF"/>
            <w:vAlign w:val="bottom"/>
          </w:tcPr>
          <w:p w14:paraId="3E3A567B" w14:textId="2C2777CF" w:rsidR="00CE1283" w:rsidRPr="00660965" w:rsidRDefault="00CE1283" w:rsidP="00CE1283">
            <w:pPr>
              <w:spacing w:after="0" w:line="240" w:lineRule="auto"/>
              <w:ind w:right="-2" w:firstLine="31"/>
              <w:rPr>
                <w:rFonts w:ascii="Calibri" w:eastAsia="Times New Roman" w:hAnsi="Calibri" w:cs="Calibri"/>
                <w:b/>
                <w:bCs/>
                <w:color w:val="000000"/>
                <w:sz w:val="21"/>
                <w:szCs w:val="21"/>
                <w:lang w:val="en-IE" w:eastAsia="en-IE"/>
              </w:rPr>
            </w:pPr>
          </w:p>
        </w:tc>
        <w:tc>
          <w:tcPr>
            <w:tcW w:w="1559" w:type="dxa"/>
            <w:tcBorders>
              <w:top w:val="nil"/>
              <w:left w:val="nil"/>
              <w:bottom w:val="nil"/>
              <w:right w:val="nil"/>
            </w:tcBorders>
            <w:vAlign w:val="center"/>
          </w:tcPr>
          <w:p w14:paraId="5F148985" w14:textId="77777777" w:rsidR="00CE1283" w:rsidRPr="00660965" w:rsidRDefault="00CE1283" w:rsidP="00CE1283">
            <w:pPr>
              <w:spacing w:after="0" w:line="240" w:lineRule="auto"/>
              <w:ind w:right="-2"/>
              <w:jc w:val="right"/>
              <w:rPr>
                <w:rFonts w:ascii="Calibri" w:eastAsia="Times New Roman" w:hAnsi="Calibri" w:cs="Calibri"/>
                <w:color w:val="000000"/>
                <w:sz w:val="21"/>
                <w:szCs w:val="21"/>
                <w:lang w:val="en-IE" w:eastAsia="en-US"/>
              </w:rPr>
            </w:pPr>
          </w:p>
        </w:tc>
        <w:tc>
          <w:tcPr>
            <w:tcW w:w="1559" w:type="dxa"/>
            <w:tcBorders>
              <w:top w:val="nil"/>
              <w:left w:val="nil"/>
              <w:bottom w:val="nil"/>
              <w:right w:val="nil"/>
            </w:tcBorders>
            <w:noWrap/>
            <w:vAlign w:val="center"/>
          </w:tcPr>
          <w:p w14:paraId="31EC8F2E" w14:textId="77777777" w:rsidR="00CE1283" w:rsidRPr="00660965" w:rsidRDefault="00CE1283" w:rsidP="00CE1283">
            <w:pPr>
              <w:spacing w:after="0" w:line="240" w:lineRule="auto"/>
              <w:ind w:right="40"/>
              <w:jc w:val="right"/>
              <w:rPr>
                <w:rFonts w:ascii="Calibri" w:eastAsia="Times New Roman" w:hAnsi="Calibri" w:cs="Calibri"/>
                <w:color w:val="000000"/>
                <w:sz w:val="21"/>
                <w:szCs w:val="21"/>
                <w:lang w:val="en-IE" w:eastAsia="en-US"/>
              </w:rPr>
            </w:pPr>
          </w:p>
        </w:tc>
        <w:tc>
          <w:tcPr>
            <w:tcW w:w="1418" w:type="dxa"/>
            <w:tcBorders>
              <w:top w:val="nil"/>
              <w:left w:val="nil"/>
              <w:bottom w:val="nil"/>
              <w:right w:val="nil"/>
            </w:tcBorders>
            <w:vAlign w:val="center"/>
          </w:tcPr>
          <w:p w14:paraId="5B3DA5B6" w14:textId="77777777" w:rsidR="00CE1283" w:rsidRPr="00660965" w:rsidRDefault="00CE1283" w:rsidP="00CE1283">
            <w:pPr>
              <w:spacing w:after="0" w:line="240" w:lineRule="auto"/>
              <w:ind w:right="29"/>
              <w:jc w:val="right"/>
              <w:rPr>
                <w:rFonts w:ascii="Calibri" w:eastAsia="Times New Roman" w:hAnsi="Calibri" w:cs="Calibri"/>
                <w:sz w:val="21"/>
                <w:szCs w:val="21"/>
                <w:lang w:val="en-IE" w:eastAsia="en-US"/>
              </w:rPr>
            </w:pPr>
          </w:p>
        </w:tc>
        <w:tc>
          <w:tcPr>
            <w:tcW w:w="1276" w:type="dxa"/>
            <w:tcBorders>
              <w:top w:val="nil"/>
              <w:left w:val="nil"/>
              <w:bottom w:val="nil"/>
              <w:right w:val="nil"/>
            </w:tcBorders>
            <w:noWrap/>
            <w:vAlign w:val="center"/>
          </w:tcPr>
          <w:p w14:paraId="670B1453" w14:textId="77777777" w:rsidR="00CE1283" w:rsidRPr="00660965" w:rsidRDefault="00CE1283" w:rsidP="00CE1283">
            <w:pPr>
              <w:spacing w:after="0" w:line="240" w:lineRule="auto"/>
              <w:ind w:right="43"/>
              <w:jc w:val="right"/>
              <w:rPr>
                <w:rFonts w:ascii="Calibri" w:eastAsia="Times New Roman" w:hAnsi="Calibri" w:cs="Calibri"/>
                <w:color w:val="000000"/>
                <w:sz w:val="21"/>
                <w:szCs w:val="21"/>
                <w:lang w:val="en-IE" w:eastAsia="en-US"/>
              </w:rPr>
            </w:pPr>
          </w:p>
        </w:tc>
      </w:tr>
      <w:tr w:rsidR="00CE1283" w:rsidRPr="00660965" w14:paraId="215871EA" w14:textId="77777777" w:rsidTr="00C9563C">
        <w:trPr>
          <w:trHeight w:val="300"/>
        </w:trPr>
        <w:tc>
          <w:tcPr>
            <w:tcW w:w="4962" w:type="dxa"/>
            <w:shd w:val="clear" w:color="auto" w:fill="FFFFFF"/>
            <w:vAlign w:val="bottom"/>
            <w:hideMark/>
          </w:tcPr>
          <w:p w14:paraId="3B355B51" w14:textId="0F553855" w:rsidR="00CE1283" w:rsidRPr="00660965" w:rsidRDefault="00CE1283" w:rsidP="00CE1283">
            <w:pPr>
              <w:spacing w:after="0" w:line="240" w:lineRule="auto"/>
              <w:ind w:left="31"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Reportable segment profit after income tax</w:t>
            </w:r>
          </w:p>
        </w:tc>
        <w:tc>
          <w:tcPr>
            <w:tcW w:w="1559" w:type="dxa"/>
            <w:tcBorders>
              <w:top w:val="nil"/>
              <w:left w:val="nil"/>
              <w:bottom w:val="single" w:sz="8" w:space="0" w:color="auto"/>
              <w:right w:val="nil"/>
            </w:tcBorders>
            <w:vAlign w:val="center"/>
          </w:tcPr>
          <w:p w14:paraId="08FD1183" w14:textId="7FC38A7A" w:rsidR="00CE1283" w:rsidRPr="00660965" w:rsidRDefault="002B257C" w:rsidP="00CE1283">
            <w:pPr>
              <w:spacing w:after="0" w:line="240" w:lineRule="auto"/>
              <w:ind w:right="-2"/>
              <w:jc w:val="right"/>
              <w:rPr>
                <w:rFonts w:ascii="Calibri" w:eastAsia="Times New Roman" w:hAnsi="Calibri" w:cs="Calibri"/>
                <w:color w:val="000000"/>
                <w:sz w:val="21"/>
                <w:szCs w:val="21"/>
                <w:highlight w:val="green"/>
                <w:lang w:val="en-IE" w:eastAsia="en-US"/>
              </w:rPr>
            </w:pPr>
            <w:r>
              <w:rPr>
                <w:rFonts w:ascii="Calibri" w:eastAsia="Times New Roman" w:hAnsi="Calibri" w:cs="Calibri"/>
                <w:color w:val="000000"/>
                <w:sz w:val="21"/>
                <w:szCs w:val="21"/>
                <w:lang w:val="en-IE" w:eastAsia="en-IE"/>
              </w:rPr>
              <w:t>1,727.2</w:t>
            </w:r>
          </w:p>
        </w:tc>
        <w:tc>
          <w:tcPr>
            <w:tcW w:w="1559" w:type="dxa"/>
            <w:tcBorders>
              <w:top w:val="nil"/>
              <w:left w:val="nil"/>
              <w:bottom w:val="single" w:sz="8" w:space="0" w:color="auto"/>
              <w:right w:val="nil"/>
            </w:tcBorders>
            <w:noWrap/>
            <w:vAlign w:val="center"/>
          </w:tcPr>
          <w:p w14:paraId="6F959552" w14:textId="64CFAD55" w:rsidR="00CE1283" w:rsidRPr="00660965" w:rsidRDefault="00CE1283" w:rsidP="00CE1283">
            <w:pPr>
              <w:spacing w:after="0" w:line="240" w:lineRule="auto"/>
              <w:ind w:right="40"/>
              <w:jc w:val="right"/>
              <w:rPr>
                <w:rFonts w:ascii="Calibri" w:eastAsia="Times New Roman" w:hAnsi="Calibri" w:cs="Calibri"/>
                <w:color w:val="000000"/>
                <w:sz w:val="21"/>
                <w:szCs w:val="21"/>
                <w:highlight w:val="green"/>
                <w:lang w:val="en-IE" w:eastAsia="en-US"/>
              </w:rPr>
            </w:pPr>
            <w:r w:rsidRPr="00660965">
              <w:rPr>
                <w:rFonts w:ascii="Calibri" w:eastAsia="Times New Roman" w:hAnsi="Calibri" w:cs="Calibri"/>
                <w:color w:val="000000"/>
                <w:sz w:val="21"/>
                <w:szCs w:val="21"/>
                <w:lang w:val="en-IE" w:eastAsia="en-US"/>
              </w:rPr>
              <w:t>6</w:t>
            </w:r>
            <w:r w:rsidR="00FF721D">
              <w:rPr>
                <w:rFonts w:ascii="Calibri" w:eastAsia="Times New Roman" w:hAnsi="Calibri" w:cs="Calibri"/>
                <w:color w:val="000000"/>
                <w:sz w:val="21"/>
                <w:szCs w:val="21"/>
                <w:lang w:val="en-IE" w:eastAsia="en-US"/>
              </w:rPr>
              <w:t>4.0</w:t>
            </w:r>
          </w:p>
        </w:tc>
        <w:tc>
          <w:tcPr>
            <w:tcW w:w="1418" w:type="dxa"/>
            <w:tcBorders>
              <w:top w:val="nil"/>
              <w:left w:val="nil"/>
              <w:bottom w:val="single" w:sz="8" w:space="0" w:color="auto"/>
              <w:right w:val="nil"/>
            </w:tcBorders>
            <w:vAlign w:val="center"/>
          </w:tcPr>
          <w:p w14:paraId="588E569C" w14:textId="77777777" w:rsidR="00CE1283" w:rsidRPr="00660965" w:rsidRDefault="00CE1283" w:rsidP="00CE1283">
            <w:pPr>
              <w:spacing w:after="0" w:line="240" w:lineRule="auto"/>
              <w:ind w:right="29"/>
              <w:jc w:val="right"/>
              <w:rPr>
                <w:rFonts w:ascii="Calibri" w:eastAsia="Times New Roman" w:hAnsi="Calibri" w:cs="Calibri"/>
                <w:sz w:val="21"/>
                <w:szCs w:val="21"/>
                <w:lang w:val="en-IE" w:eastAsia="en-US"/>
              </w:rPr>
            </w:pPr>
            <w:r w:rsidRPr="00660965">
              <w:rPr>
                <w:rFonts w:ascii="Calibri" w:eastAsia="Times New Roman" w:hAnsi="Calibri" w:cs="Calibri"/>
                <w:sz w:val="21"/>
                <w:szCs w:val="21"/>
                <w:lang w:val="en-IE" w:eastAsia="en-US"/>
              </w:rPr>
              <w:t>-</w:t>
            </w:r>
          </w:p>
        </w:tc>
        <w:tc>
          <w:tcPr>
            <w:tcW w:w="1276" w:type="dxa"/>
            <w:tcBorders>
              <w:top w:val="nil"/>
              <w:left w:val="nil"/>
              <w:bottom w:val="single" w:sz="8" w:space="0" w:color="auto"/>
              <w:right w:val="nil"/>
            </w:tcBorders>
            <w:noWrap/>
            <w:vAlign w:val="center"/>
          </w:tcPr>
          <w:p w14:paraId="679D8732" w14:textId="5AA8D6FE" w:rsidR="00CE1283" w:rsidRPr="00660965" w:rsidRDefault="00631978" w:rsidP="00CE1283">
            <w:pPr>
              <w:spacing w:after="0" w:line="240" w:lineRule="auto"/>
              <w:ind w:right="43"/>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1,791.2</w:t>
            </w:r>
          </w:p>
        </w:tc>
      </w:tr>
      <w:tr w:rsidR="00CE1283" w:rsidRPr="00660965" w14:paraId="268BE215" w14:textId="77777777" w:rsidTr="00C9563C">
        <w:trPr>
          <w:trHeight w:val="300"/>
        </w:trPr>
        <w:tc>
          <w:tcPr>
            <w:tcW w:w="4962" w:type="dxa"/>
            <w:shd w:val="clear" w:color="auto" w:fill="FFFFFF"/>
            <w:vAlign w:val="bottom"/>
            <w:hideMark/>
          </w:tcPr>
          <w:p w14:paraId="5916F54C" w14:textId="535EC98E"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p>
        </w:tc>
        <w:tc>
          <w:tcPr>
            <w:tcW w:w="1559" w:type="dxa"/>
            <w:tcBorders>
              <w:top w:val="nil"/>
              <w:left w:val="nil"/>
              <w:bottom w:val="nil"/>
              <w:right w:val="nil"/>
            </w:tcBorders>
            <w:vAlign w:val="center"/>
          </w:tcPr>
          <w:p w14:paraId="60CD55E6" w14:textId="77777777" w:rsidR="00CE1283" w:rsidRPr="00660965" w:rsidRDefault="00CE1283" w:rsidP="00CE1283">
            <w:pPr>
              <w:spacing w:after="0" w:line="240" w:lineRule="auto"/>
              <w:ind w:right="-2"/>
              <w:jc w:val="right"/>
              <w:rPr>
                <w:rFonts w:ascii="Calibri" w:eastAsia="Calibri" w:hAnsi="Calibri" w:cs="Calibri"/>
                <w:sz w:val="21"/>
                <w:szCs w:val="21"/>
                <w:lang w:val="en-IE" w:eastAsia="en-IE"/>
              </w:rPr>
            </w:pPr>
          </w:p>
        </w:tc>
        <w:tc>
          <w:tcPr>
            <w:tcW w:w="1559" w:type="dxa"/>
            <w:tcBorders>
              <w:top w:val="nil"/>
              <w:left w:val="nil"/>
              <w:bottom w:val="nil"/>
              <w:right w:val="nil"/>
            </w:tcBorders>
            <w:noWrap/>
            <w:vAlign w:val="center"/>
          </w:tcPr>
          <w:p w14:paraId="40654AF8" w14:textId="77777777" w:rsidR="00CE1283" w:rsidRPr="00660965" w:rsidRDefault="00CE1283" w:rsidP="00CE1283">
            <w:pPr>
              <w:spacing w:after="0" w:line="240" w:lineRule="auto"/>
              <w:ind w:right="40"/>
              <w:jc w:val="right"/>
              <w:rPr>
                <w:rFonts w:ascii="Calibri" w:eastAsia="Calibri" w:hAnsi="Calibri" w:cs="Calibri"/>
                <w:sz w:val="21"/>
                <w:szCs w:val="21"/>
                <w:lang w:val="en-IE" w:eastAsia="en-IE"/>
              </w:rPr>
            </w:pPr>
          </w:p>
        </w:tc>
        <w:tc>
          <w:tcPr>
            <w:tcW w:w="1418" w:type="dxa"/>
            <w:tcBorders>
              <w:top w:val="nil"/>
              <w:left w:val="nil"/>
              <w:bottom w:val="nil"/>
              <w:right w:val="nil"/>
            </w:tcBorders>
            <w:vAlign w:val="center"/>
          </w:tcPr>
          <w:p w14:paraId="08F9F3F3" w14:textId="77777777" w:rsidR="00CE1283" w:rsidRPr="00660965" w:rsidRDefault="00CE1283" w:rsidP="00CE1283">
            <w:pPr>
              <w:spacing w:after="0" w:line="240" w:lineRule="auto"/>
              <w:ind w:right="29"/>
              <w:jc w:val="right"/>
              <w:rPr>
                <w:rFonts w:ascii="Calibri" w:eastAsia="Calibri" w:hAnsi="Calibri" w:cs="Calibri"/>
                <w:sz w:val="21"/>
                <w:szCs w:val="21"/>
                <w:lang w:val="en-IE" w:eastAsia="en-IE"/>
              </w:rPr>
            </w:pPr>
          </w:p>
        </w:tc>
        <w:tc>
          <w:tcPr>
            <w:tcW w:w="1276" w:type="dxa"/>
            <w:tcBorders>
              <w:top w:val="nil"/>
              <w:left w:val="nil"/>
              <w:bottom w:val="nil"/>
              <w:right w:val="nil"/>
            </w:tcBorders>
            <w:noWrap/>
            <w:vAlign w:val="center"/>
          </w:tcPr>
          <w:p w14:paraId="78105B4F" w14:textId="77777777" w:rsidR="00CE1283" w:rsidRPr="00660965" w:rsidRDefault="00CE1283" w:rsidP="00CE1283">
            <w:pPr>
              <w:spacing w:after="0" w:line="240" w:lineRule="auto"/>
              <w:ind w:right="43"/>
              <w:jc w:val="center"/>
              <w:rPr>
                <w:rFonts w:ascii="Calibri" w:eastAsia="Calibri" w:hAnsi="Calibri" w:cs="Calibri"/>
                <w:sz w:val="21"/>
                <w:szCs w:val="21"/>
                <w:lang w:val="en-IE" w:eastAsia="en-IE"/>
              </w:rPr>
            </w:pPr>
          </w:p>
        </w:tc>
      </w:tr>
      <w:tr w:rsidR="00CE1283" w:rsidRPr="00660965" w14:paraId="086F4DD2" w14:textId="77777777" w:rsidTr="00C9563C">
        <w:trPr>
          <w:trHeight w:val="300"/>
        </w:trPr>
        <w:tc>
          <w:tcPr>
            <w:tcW w:w="4962" w:type="dxa"/>
            <w:shd w:val="clear" w:color="auto" w:fill="FFFFFF"/>
            <w:vAlign w:val="bottom"/>
            <w:hideMark/>
          </w:tcPr>
          <w:p w14:paraId="5F6D072F" w14:textId="6E2FE5AF" w:rsidR="00CE1283" w:rsidRPr="00660965" w:rsidRDefault="00CE1283" w:rsidP="00CE1283">
            <w:pPr>
              <w:spacing w:after="0" w:line="240" w:lineRule="auto"/>
              <w:ind w:right="-2" w:firstLine="31"/>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Other segment information: </w:t>
            </w:r>
          </w:p>
        </w:tc>
        <w:tc>
          <w:tcPr>
            <w:tcW w:w="1559" w:type="dxa"/>
            <w:tcBorders>
              <w:top w:val="nil"/>
              <w:left w:val="nil"/>
              <w:bottom w:val="nil"/>
              <w:right w:val="nil"/>
            </w:tcBorders>
            <w:vAlign w:val="center"/>
          </w:tcPr>
          <w:p w14:paraId="74B981D1" w14:textId="77777777" w:rsidR="00CE1283" w:rsidRPr="00660965" w:rsidRDefault="00CE1283" w:rsidP="00CE1283">
            <w:pPr>
              <w:spacing w:after="0" w:line="240" w:lineRule="auto"/>
              <w:ind w:right="-2"/>
              <w:jc w:val="right"/>
              <w:rPr>
                <w:rFonts w:ascii="Calibri" w:eastAsia="Calibri" w:hAnsi="Calibri" w:cs="Calibri"/>
                <w:sz w:val="21"/>
                <w:szCs w:val="21"/>
                <w:lang w:val="en-IE" w:eastAsia="en-IE"/>
              </w:rPr>
            </w:pPr>
          </w:p>
        </w:tc>
        <w:tc>
          <w:tcPr>
            <w:tcW w:w="1559" w:type="dxa"/>
            <w:tcBorders>
              <w:top w:val="nil"/>
              <w:left w:val="nil"/>
              <w:bottom w:val="nil"/>
              <w:right w:val="nil"/>
            </w:tcBorders>
            <w:noWrap/>
            <w:vAlign w:val="center"/>
          </w:tcPr>
          <w:p w14:paraId="0BB636C6" w14:textId="77777777" w:rsidR="00CE1283" w:rsidRPr="00660965" w:rsidRDefault="00CE1283" w:rsidP="00CE1283">
            <w:pPr>
              <w:spacing w:after="0" w:line="240" w:lineRule="auto"/>
              <w:ind w:right="40"/>
              <w:jc w:val="right"/>
              <w:rPr>
                <w:rFonts w:ascii="Calibri" w:eastAsia="Calibri" w:hAnsi="Calibri" w:cs="Calibri"/>
                <w:sz w:val="21"/>
                <w:szCs w:val="21"/>
                <w:lang w:val="en-IE" w:eastAsia="en-IE"/>
              </w:rPr>
            </w:pPr>
          </w:p>
        </w:tc>
        <w:tc>
          <w:tcPr>
            <w:tcW w:w="1418" w:type="dxa"/>
            <w:tcBorders>
              <w:top w:val="nil"/>
              <w:left w:val="nil"/>
              <w:bottom w:val="nil"/>
              <w:right w:val="nil"/>
            </w:tcBorders>
            <w:vAlign w:val="center"/>
          </w:tcPr>
          <w:p w14:paraId="6860098B" w14:textId="77777777" w:rsidR="00CE1283" w:rsidRPr="00660965" w:rsidRDefault="00CE1283" w:rsidP="00CE1283">
            <w:pPr>
              <w:spacing w:after="0" w:line="240" w:lineRule="auto"/>
              <w:ind w:right="29"/>
              <w:jc w:val="right"/>
              <w:rPr>
                <w:rFonts w:ascii="Calibri" w:eastAsia="Calibri" w:hAnsi="Calibri" w:cs="Calibri"/>
                <w:sz w:val="21"/>
                <w:szCs w:val="21"/>
                <w:lang w:val="en-IE" w:eastAsia="en-IE"/>
              </w:rPr>
            </w:pPr>
          </w:p>
        </w:tc>
        <w:tc>
          <w:tcPr>
            <w:tcW w:w="1276" w:type="dxa"/>
            <w:tcBorders>
              <w:top w:val="nil"/>
              <w:left w:val="nil"/>
              <w:bottom w:val="nil"/>
              <w:right w:val="nil"/>
            </w:tcBorders>
            <w:noWrap/>
            <w:vAlign w:val="center"/>
          </w:tcPr>
          <w:p w14:paraId="475AFB81" w14:textId="77777777" w:rsidR="00CE1283" w:rsidRPr="00660965" w:rsidRDefault="00CE1283" w:rsidP="00CE1283">
            <w:pPr>
              <w:spacing w:after="0" w:line="240" w:lineRule="auto"/>
              <w:ind w:right="43"/>
              <w:jc w:val="right"/>
              <w:rPr>
                <w:rFonts w:ascii="Calibri" w:eastAsia="Calibri" w:hAnsi="Calibri" w:cs="Calibri"/>
                <w:sz w:val="21"/>
                <w:szCs w:val="21"/>
                <w:lang w:val="en-IE" w:eastAsia="en-IE"/>
              </w:rPr>
            </w:pPr>
          </w:p>
        </w:tc>
      </w:tr>
      <w:tr w:rsidR="00CE1283" w:rsidRPr="00660965" w14:paraId="2C2D2DF3" w14:textId="77777777" w:rsidTr="00C9563C">
        <w:trPr>
          <w:trHeight w:val="300"/>
        </w:trPr>
        <w:tc>
          <w:tcPr>
            <w:tcW w:w="4962" w:type="dxa"/>
            <w:shd w:val="clear" w:color="auto" w:fill="FFFFFF"/>
            <w:vAlign w:val="bottom"/>
          </w:tcPr>
          <w:p w14:paraId="31092F7B" w14:textId="015ED627" w:rsidR="00CE1283" w:rsidRPr="00660965" w:rsidRDefault="00CE1283" w:rsidP="00CE1283">
            <w:pPr>
              <w:spacing w:after="0" w:line="240" w:lineRule="auto"/>
              <w:ind w:right="-2" w:firstLine="31"/>
              <w:rPr>
                <w:rFonts w:ascii="Calibri" w:eastAsia="Times New Roman" w:hAnsi="Calibri" w:cs="Calibri"/>
                <w:b/>
                <w:bCs/>
                <w:color w:val="000000"/>
                <w:sz w:val="21"/>
                <w:szCs w:val="21"/>
                <w:lang w:val="en-IE" w:eastAsia="en-US"/>
              </w:rPr>
            </w:pPr>
            <w:r w:rsidRPr="000E5963">
              <w:rPr>
                <w:rFonts w:ascii="Calibri" w:eastAsia="Times New Roman" w:hAnsi="Calibri" w:cs="Calibri"/>
                <w:color w:val="000000"/>
                <w:sz w:val="21"/>
                <w:szCs w:val="21"/>
                <w:lang w:val="en-IE" w:eastAsia="en-IE"/>
              </w:rPr>
              <w:t>Depreciation</w:t>
            </w:r>
          </w:p>
        </w:tc>
        <w:tc>
          <w:tcPr>
            <w:tcW w:w="1559" w:type="dxa"/>
            <w:tcBorders>
              <w:top w:val="nil"/>
              <w:left w:val="nil"/>
              <w:bottom w:val="nil"/>
              <w:right w:val="nil"/>
            </w:tcBorders>
            <w:vAlign w:val="center"/>
          </w:tcPr>
          <w:p w14:paraId="486F5262" w14:textId="429BE3B2" w:rsidR="00CE1283" w:rsidRPr="00660965" w:rsidRDefault="00CE1283" w:rsidP="00CE1283">
            <w:pPr>
              <w:spacing w:after="0" w:line="240" w:lineRule="auto"/>
              <w:ind w:right="-2"/>
              <w:jc w:val="right"/>
              <w:rPr>
                <w:rFonts w:ascii="Calibri" w:eastAsia="Calibri" w:hAnsi="Calibri" w:cs="Calibri"/>
                <w:sz w:val="21"/>
                <w:szCs w:val="21"/>
                <w:lang w:val="en-IE" w:eastAsia="en-IE"/>
              </w:rPr>
            </w:pPr>
            <w:r w:rsidRPr="00660965">
              <w:rPr>
                <w:rFonts w:ascii="Calibri" w:eastAsia="Times New Roman" w:hAnsi="Calibri" w:cs="Calibri"/>
                <w:color w:val="000000"/>
                <w:sz w:val="21"/>
                <w:szCs w:val="21"/>
                <w:lang w:val="en-IE" w:eastAsia="en-US"/>
              </w:rPr>
              <w:t>(</w:t>
            </w:r>
            <w:r w:rsidR="002B257C">
              <w:rPr>
                <w:rFonts w:ascii="Calibri" w:eastAsia="Times New Roman" w:hAnsi="Calibri" w:cs="Calibri"/>
                <w:color w:val="000000"/>
                <w:sz w:val="21"/>
                <w:szCs w:val="21"/>
                <w:lang w:val="en-IE" w:eastAsia="en-US"/>
              </w:rPr>
              <w:t>607.3</w:t>
            </w:r>
            <w:r w:rsidRPr="00660965">
              <w:rPr>
                <w:rFonts w:ascii="Calibri" w:eastAsia="Times New Roman" w:hAnsi="Calibri" w:cs="Calibri"/>
                <w:color w:val="000000"/>
                <w:sz w:val="21"/>
                <w:szCs w:val="21"/>
                <w:lang w:val="en-IE" w:eastAsia="en-US"/>
              </w:rPr>
              <w:t>)</w:t>
            </w:r>
          </w:p>
        </w:tc>
        <w:tc>
          <w:tcPr>
            <w:tcW w:w="1559" w:type="dxa"/>
            <w:tcBorders>
              <w:top w:val="nil"/>
              <w:left w:val="nil"/>
              <w:bottom w:val="nil"/>
              <w:right w:val="nil"/>
            </w:tcBorders>
            <w:noWrap/>
            <w:vAlign w:val="center"/>
          </w:tcPr>
          <w:p w14:paraId="71B84520" w14:textId="4F205941" w:rsidR="00CE1283" w:rsidRPr="00660965" w:rsidRDefault="00CE1283" w:rsidP="00CE1283">
            <w:pPr>
              <w:spacing w:after="0" w:line="240" w:lineRule="auto"/>
              <w:ind w:right="40"/>
              <w:jc w:val="right"/>
              <w:rPr>
                <w:rFonts w:ascii="Calibri" w:eastAsia="Calibri" w:hAnsi="Calibri" w:cs="Calibri"/>
                <w:sz w:val="21"/>
                <w:szCs w:val="21"/>
                <w:lang w:val="en-IE" w:eastAsia="en-IE"/>
              </w:rPr>
            </w:pPr>
            <w:r w:rsidRPr="00660965">
              <w:rPr>
                <w:rFonts w:ascii="Calibri" w:eastAsia="Times New Roman" w:hAnsi="Calibri" w:cs="Calibri"/>
                <w:color w:val="000000"/>
                <w:sz w:val="21"/>
                <w:szCs w:val="21"/>
                <w:lang w:val="en-IE" w:eastAsia="en-US"/>
              </w:rPr>
              <w:t>(20.</w:t>
            </w:r>
            <w:r w:rsidR="00FF721D">
              <w:rPr>
                <w:rFonts w:ascii="Calibri" w:eastAsia="Times New Roman" w:hAnsi="Calibri" w:cs="Calibri"/>
                <w:color w:val="000000"/>
                <w:sz w:val="21"/>
                <w:szCs w:val="21"/>
                <w:lang w:val="en-IE" w:eastAsia="en-US"/>
              </w:rPr>
              <w:t>1</w:t>
            </w:r>
            <w:r w:rsidRPr="00660965">
              <w:rPr>
                <w:rFonts w:ascii="Calibri" w:eastAsia="Times New Roman" w:hAnsi="Calibri" w:cs="Calibri"/>
                <w:color w:val="000000"/>
                <w:sz w:val="21"/>
                <w:szCs w:val="21"/>
                <w:lang w:val="en-IE" w:eastAsia="en-US"/>
              </w:rPr>
              <w:t>)</w:t>
            </w:r>
          </w:p>
        </w:tc>
        <w:tc>
          <w:tcPr>
            <w:tcW w:w="1418" w:type="dxa"/>
            <w:tcBorders>
              <w:top w:val="nil"/>
              <w:left w:val="nil"/>
              <w:bottom w:val="nil"/>
              <w:right w:val="nil"/>
            </w:tcBorders>
            <w:vAlign w:val="center"/>
          </w:tcPr>
          <w:p w14:paraId="4540E06D" w14:textId="77777777" w:rsidR="00CE1283" w:rsidRPr="00660965" w:rsidRDefault="00CE1283" w:rsidP="00CE1283">
            <w:pPr>
              <w:spacing w:after="0" w:line="240" w:lineRule="auto"/>
              <w:ind w:right="29"/>
              <w:jc w:val="right"/>
              <w:rPr>
                <w:rFonts w:ascii="Calibri" w:eastAsia="Calibri" w:hAnsi="Calibri" w:cs="Calibri"/>
                <w:sz w:val="21"/>
                <w:szCs w:val="21"/>
                <w:lang w:val="en-IE" w:eastAsia="en-IE"/>
              </w:rPr>
            </w:pP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64EE7C8E" w14:textId="3AB2B507" w:rsidR="00CE1283" w:rsidRPr="00660965" w:rsidRDefault="00CE1283" w:rsidP="00CE1283">
            <w:pPr>
              <w:spacing w:after="0" w:line="240" w:lineRule="auto"/>
              <w:ind w:right="43"/>
              <w:jc w:val="right"/>
              <w:rPr>
                <w:rFonts w:ascii="Calibri" w:eastAsia="Calibri" w:hAnsi="Calibri" w:cs="Calibri"/>
                <w:sz w:val="21"/>
                <w:szCs w:val="21"/>
                <w:lang w:val="en-IE" w:eastAsia="en-IE"/>
              </w:rPr>
            </w:pPr>
            <w:r w:rsidRPr="00660965">
              <w:rPr>
                <w:rFonts w:ascii="Calibri" w:eastAsia="Times New Roman" w:hAnsi="Calibri" w:cs="Calibri"/>
                <w:color w:val="000000"/>
                <w:sz w:val="21"/>
                <w:szCs w:val="21"/>
                <w:lang w:val="en-IE" w:eastAsia="en-US"/>
              </w:rPr>
              <w:t>(</w:t>
            </w:r>
            <w:r w:rsidR="00631978">
              <w:rPr>
                <w:rFonts w:ascii="Calibri" w:eastAsia="Times New Roman" w:hAnsi="Calibri" w:cs="Calibri"/>
                <w:color w:val="000000"/>
                <w:sz w:val="21"/>
                <w:szCs w:val="21"/>
                <w:lang w:val="en-IE" w:eastAsia="en-US"/>
              </w:rPr>
              <w:t>627.4</w:t>
            </w:r>
            <w:r w:rsidRPr="00660965">
              <w:rPr>
                <w:rFonts w:ascii="Calibri" w:eastAsia="Times New Roman" w:hAnsi="Calibri" w:cs="Calibri"/>
                <w:color w:val="000000"/>
                <w:sz w:val="21"/>
                <w:szCs w:val="21"/>
                <w:lang w:val="en-IE" w:eastAsia="en-US"/>
              </w:rPr>
              <w:t>)</w:t>
            </w:r>
          </w:p>
        </w:tc>
      </w:tr>
      <w:tr w:rsidR="00CE1283" w:rsidRPr="00660965" w14:paraId="045748FA" w14:textId="77777777" w:rsidTr="00C9563C">
        <w:trPr>
          <w:trHeight w:val="300"/>
        </w:trPr>
        <w:tc>
          <w:tcPr>
            <w:tcW w:w="4962" w:type="dxa"/>
            <w:tcBorders>
              <w:top w:val="nil"/>
              <w:left w:val="nil"/>
              <w:bottom w:val="nil"/>
              <w:right w:val="nil"/>
            </w:tcBorders>
            <w:shd w:val="clear" w:color="000000" w:fill="FFFFFF"/>
            <w:vAlign w:val="bottom"/>
            <w:hideMark/>
          </w:tcPr>
          <w:p w14:paraId="5C489F5D" w14:textId="73B8A7F2"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Net finance and other income</w:t>
            </w:r>
          </w:p>
        </w:tc>
        <w:tc>
          <w:tcPr>
            <w:tcW w:w="1559" w:type="dxa"/>
            <w:tcBorders>
              <w:top w:val="nil"/>
              <w:left w:val="nil"/>
              <w:bottom w:val="nil"/>
              <w:right w:val="nil"/>
            </w:tcBorders>
            <w:vAlign w:val="center"/>
          </w:tcPr>
          <w:p w14:paraId="691695B0" w14:textId="047956C1" w:rsidR="00CE1283" w:rsidRPr="00660965" w:rsidRDefault="002B257C" w:rsidP="00CE1283">
            <w:pPr>
              <w:spacing w:after="0" w:line="240" w:lineRule="auto"/>
              <w:ind w:right="-2"/>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54.0</w:t>
            </w:r>
          </w:p>
        </w:tc>
        <w:tc>
          <w:tcPr>
            <w:tcW w:w="1559" w:type="dxa"/>
            <w:tcBorders>
              <w:top w:val="nil"/>
              <w:left w:val="nil"/>
              <w:bottom w:val="nil"/>
              <w:right w:val="nil"/>
            </w:tcBorders>
            <w:noWrap/>
            <w:vAlign w:val="center"/>
          </w:tcPr>
          <w:p w14:paraId="22797827" w14:textId="34FD79A4" w:rsidR="00CE1283" w:rsidRPr="00660965" w:rsidRDefault="00CE1283" w:rsidP="00CE1283">
            <w:pPr>
              <w:spacing w:after="0" w:line="240" w:lineRule="auto"/>
              <w:ind w:right="40"/>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(4.</w:t>
            </w:r>
            <w:r w:rsidR="00FF721D">
              <w:rPr>
                <w:rFonts w:ascii="Calibri" w:eastAsia="Times New Roman" w:hAnsi="Calibri" w:cs="Calibri"/>
                <w:color w:val="000000"/>
                <w:sz w:val="21"/>
                <w:szCs w:val="21"/>
                <w:lang w:val="en-IE" w:eastAsia="en-US"/>
              </w:rPr>
              <w:t>0</w:t>
            </w:r>
            <w:r w:rsidRPr="00660965">
              <w:rPr>
                <w:rFonts w:ascii="Calibri" w:eastAsia="Times New Roman" w:hAnsi="Calibri" w:cs="Calibri"/>
                <w:color w:val="000000"/>
                <w:sz w:val="21"/>
                <w:szCs w:val="21"/>
                <w:lang w:val="en-IE" w:eastAsia="en-US"/>
              </w:rPr>
              <w:t>)</w:t>
            </w:r>
          </w:p>
        </w:tc>
        <w:tc>
          <w:tcPr>
            <w:tcW w:w="1418" w:type="dxa"/>
            <w:tcBorders>
              <w:top w:val="nil"/>
              <w:left w:val="nil"/>
              <w:bottom w:val="nil"/>
              <w:right w:val="nil"/>
            </w:tcBorders>
            <w:vAlign w:val="center"/>
          </w:tcPr>
          <w:p w14:paraId="29032345" w14:textId="77777777" w:rsidR="00CE1283" w:rsidRPr="00660965" w:rsidRDefault="00CE1283" w:rsidP="00CE1283">
            <w:pPr>
              <w:spacing w:after="0" w:line="240" w:lineRule="auto"/>
              <w:ind w:right="29"/>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786CE342" w14:textId="044A79F6" w:rsidR="00CE1283" w:rsidRPr="00660965" w:rsidRDefault="00631978" w:rsidP="00CE1283">
            <w:pPr>
              <w:spacing w:after="0" w:line="240" w:lineRule="auto"/>
              <w:ind w:right="43"/>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50.0</w:t>
            </w:r>
          </w:p>
        </w:tc>
      </w:tr>
      <w:tr w:rsidR="00CE1283" w:rsidRPr="00660965" w14:paraId="32EA5419" w14:textId="77777777" w:rsidTr="00C9563C">
        <w:trPr>
          <w:trHeight w:val="300"/>
        </w:trPr>
        <w:tc>
          <w:tcPr>
            <w:tcW w:w="4962" w:type="dxa"/>
            <w:tcBorders>
              <w:top w:val="nil"/>
              <w:left w:val="nil"/>
              <w:bottom w:val="nil"/>
              <w:right w:val="nil"/>
            </w:tcBorders>
            <w:shd w:val="clear" w:color="000000" w:fill="FFFFFF"/>
            <w:vAlign w:val="bottom"/>
            <w:hideMark/>
          </w:tcPr>
          <w:p w14:paraId="239744D0" w14:textId="14DACD99"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Capital expenditure</w:t>
            </w:r>
          </w:p>
        </w:tc>
        <w:tc>
          <w:tcPr>
            <w:tcW w:w="1559" w:type="dxa"/>
            <w:tcBorders>
              <w:top w:val="nil"/>
              <w:left w:val="nil"/>
              <w:bottom w:val="nil"/>
              <w:right w:val="nil"/>
            </w:tcBorders>
            <w:vAlign w:val="center"/>
          </w:tcPr>
          <w:p w14:paraId="7D37968E" w14:textId="271B4D5E" w:rsidR="00CE1283" w:rsidRPr="00660965" w:rsidRDefault="00CE1283" w:rsidP="00CE1283">
            <w:pPr>
              <w:spacing w:after="0" w:line="240" w:lineRule="auto"/>
              <w:ind w:right="-2"/>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r w:rsidR="002B257C">
              <w:rPr>
                <w:rFonts w:ascii="Calibri" w:eastAsia="Times New Roman" w:hAnsi="Calibri" w:cs="Calibri"/>
                <w:color w:val="000000"/>
                <w:sz w:val="21"/>
                <w:szCs w:val="21"/>
                <w:lang w:val="en-IE" w:eastAsia="en-US"/>
              </w:rPr>
              <w:t>710.2</w:t>
            </w:r>
            <w:r w:rsidRPr="00660965">
              <w:rPr>
                <w:rFonts w:ascii="Calibri" w:eastAsia="Times New Roman" w:hAnsi="Calibri" w:cs="Calibri"/>
                <w:color w:val="000000"/>
                <w:sz w:val="21"/>
                <w:szCs w:val="21"/>
                <w:lang w:val="en-IE" w:eastAsia="en-US"/>
              </w:rPr>
              <w:t>)</w:t>
            </w:r>
          </w:p>
        </w:tc>
        <w:tc>
          <w:tcPr>
            <w:tcW w:w="1559" w:type="dxa"/>
            <w:tcBorders>
              <w:top w:val="nil"/>
              <w:left w:val="nil"/>
              <w:bottom w:val="nil"/>
              <w:right w:val="nil"/>
            </w:tcBorders>
            <w:noWrap/>
            <w:vAlign w:val="center"/>
          </w:tcPr>
          <w:p w14:paraId="5897D23A" w14:textId="1A8DF530" w:rsidR="00CE1283" w:rsidRPr="00660965" w:rsidRDefault="00CE1283" w:rsidP="00CE1283">
            <w:pPr>
              <w:spacing w:after="0" w:line="240" w:lineRule="auto"/>
              <w:ind w:right="40"/>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r w:rsidR="00FF721D">
              <w:rPr>
                <w:rFonts w:ascii="Calibri" w:eastAsia="Times New Roman" w:hAnsi="Calibri" w:cs="Calibri"/>
                <w:color w:val="000000"/>
                <w:sz w:val="21"/>
                <w:szCs w:val="21"/>
                <w:lang w:val="en-IE" w:eastAsia="en-US"/>
              </w:rPr>
              <w:t>50.3</w:t>
            </w:r>
            <w:r w:rsidRPr="00660965">
              <w:rPr>
                <w:rFonts w:ascii="Calibri" w:eastAsia="Times New Roman" w:hAnsi="Calibri" w:cs="Calibri"/>
                <w:color w:val="000000"/>
                <w:sz w:val="21"/>
                <w:szCs w:val="21"/>
                <w:lang w:val="en-IE" w:eastAsia="en-US"/>
              </w:rPr>
              <w:t>)</w:t>
            </w:r>
          </w:p>
        </w:tc>
        <w:tc>
          <w:tcPr>
            <w:tcW w:w="1418" w:type="dxa"/>
            <w:tcBorders>
              <w:top w:val="nil"/>
              <w:left w:val="nil"/>
              <w:bottom w:val="nil"/>
              <w:right w:val="nil"/>
            </w:tcBorders>
            <w:vAlign w:val="center"/>
          </w:tcPr>
          <w:p w14:paraId="5368D2A9" w14:textId="77777777" w:rsidR="00CE1283" w:rsidRPr="00660965" w:rsidRDefault="00CE1283" w:rsidP="00CE1283">
            <w:pPr>
              <w:spacing w:after="0" w:line="240" w:lineRule="auto"/>
              <w:ind w:right="29"/>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77668431" w14:textId="5FFAA6A6" w:rsidR="00CE1283" w:rsidRPr="00660965" w:rsidRDefault="00CE1283" w:rsidP="00CE1283">
            <w:pPr>
              <w:spacing w:after="0" w:line="240" w:lineRule="auto"/>
              <w:ind w:right="43"/>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r w:rsidR="00631978">
              <w:rPr>
                <w:rFonts w:ascii="Calibri" w:eastAsia="Times New Roman" w:hAnsi="Calibri" w:cs="Calibri"/>
                <w:color w:val="000000"/>
                <w:sz w:val="21"/>
                <w:szCs w:val="21"/>
                <w:lang w:val="en-IE" w:eastAsia="en-US"/>
              </w:rPr>
              <w:t>760.5</w:t>
            </w:r>
            <w:r w:rsidRPr="00660965">
              <w:rPr>
                <w:rFonts w:ascii="Calibri" w:eastAsia="Times New Roman" w:hAnsi="Calibri" w:cs="Calibri"/>
                <w:color w:val="000000"/>
                <w:sz w:val="21"/>
                <w:szCs w:val="21"/>
                <w:lang w:val="en-IE" w:eastAsia="en-US"/>
              </w:rPr>
              <w:t>)</w:t>
            </w:r>
          </w:p>
        </w:tc>
      </w:tr>
      <w:tr w:rsidR="00CE1283" w:rsidRPr="00660965" w14:paraId="002197EF" w14:textId="77777777" w:rsidTr="00C9563C">
        <w:trPr>
          <w:trHeight w:val="300"/>
        </w:trPr>
        <w:tc>
          <w:tcPr>
            <w:tcW w:w="4962" w:type="dxa"/>
            <w:shd w:val="clear" w:color="auto" w:fill="FFFFFF"/>
            <w:vAlign w:val="bottom"/>
          </w:tcPr>
          <w:p w14:paraId="62A90624" w14:textId="1D861D90"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Staff costs</w:t>
            </w:r>
          </w:p>
        </w:tc>
        <w:tc>
          <w:tcPr>
            <w:tcW w:w="1559" w:type="dxa"/>
            <w:tcBorders>
              <w:top w:val="nil"/>
              <w:left w:val="nil"/>
              <w:bottom w:val="nil"/>
              <w:right w:val="nil"/>
            </w:tcBorders>
            <w:vAlign w:val="center"/>
          </w:tcPr>
          <w:p w14:paraId="095D82BA" w14:textId="5D568CAD" w:rsidR="00CE1283" w:rsidRPr="003D51DB" w:rsidRDefault="00E00351" w:rsidP="00CE1283">
            <w:pPr>
              <w:spacing w:after="0" w:line="240" w:lineRule="auto"/>
              <w:ind w:right="-2"/>
              <w:jc w:val="right"/>
              <w:rPr>
                <w:rFonts w:ascii="Calibri" w:eastAsia="Times New Roman" w:hAnsi="Calibri" w:cs="Calibri"/>
                <w:color w:val="000000"/>
                <w:sz w:val="21"/>
                <w:szCs w:val="21"/>
                <w:highlight w:val="yellow"/>
                <w:lang w:val="en-IE" w:eastAsia="en-US"/>
              </w:rPr>
            </w:pPr>
            <w:r w:rsidRPr="0064787E">
              <w:rPr>
                <w:rFonts w:ascii="Calibri" w:eastAsia="Times New Roman" w:hAnsi="Calibri" w:cs="Calibri"/>
                <w:color w:val="000000"/>
                <w:sz w:val="21"/>
                <w:szCs w:val="21"/>
                <w:lang w:val="en-IE" w:eastAsia="en-US"/>
              </w:rPr>
              <w:t>(560</w:t>
            </w:r>
            <w:r w:rsidR="00EA6C87" w:rsidRPr="0064787E">
              <w:rPr>
                <w:rFonts w:ascii="Calibri" w:eastAsia="Times New Roman" w:hAnsi="Calibri" w:cs="Calibri"/>
                <w:color w:val="000000"/>
                <w:sz w:val="21"/>
                <w:szCs w:val="21"/>
                <w:lang w:val="en-IE" w:eastAsia="en-US"/>
              </w:rPr>
              <w:t>.2)</w:t>
            </w:r>
          </w:p>
        </w:tc>
        <w:tc>
          <w:tcPr>
            <w:tcW w:w="1559" w:type="dxa"/>
            <w:tcBorders>
              <w:top w:val="nil"/>
              <w:left w:val="nil"/>
              <w:bottom w:val="nil"/>
              <w:right w:val="nil"/>
            </w:tcBorders>
            <w:noWrap/>
            <w:vAlign w:val="center"/>
          </w:tcPr>
          <w:p w14:paraId="636CBF68" w14:textId="2FAC6566" w:rsidR="00CE1283" w:rsidRPr="00BF470A" w:rsidRDefault="0029541A" w:rsidP="00CE1283">
            <w:pPr>
              <w:spacing w:after="0" w:line="240" w:lineRule="auto"/>
              <w:ind w:right="40"/>
              <w:jc w:val="right"/>
              <w:rPr>
                <w:rFonts w:ascii="Calibri" w:eastAsia="Times New Roman" w:hAnsi="Calibri" w:cs="Calibri"/>
                <w:color w:val="000000"/>
                <w:sz w:val="21"/>
                <w:szCs w:val="21"/>
                <w:lang w:val="en-IE" w:eastAsia="en-US"/>
              </w:rPr>
            </w:pPr>
            <w:r w:rsidRPr="00BF470A">
              <w:rPr>
                <w:rFonts w:ascii="Calibri" w:eastAsia="Times New Roman" w:hAnsi="Calibri" w:cs="Calibri"/>
                <w:color w:val="000000"/>
                <w:sz w:val="21"/>
                <w:szCs w:val="21"/>
                <w:lang w:val="en-IE" w:eastAsia="en-US"/>
              </w:rPr>
              <w:t>(</w:t>
            </w:r>
            <w:r w:rsidR="00BF470A" w:rsidRPr="00BF470A">
              <w:rPr>
                <w:rFonts w:ascii="Calibri" w:eastAsia="Times New Roman" w:hAnsi="Calibri" w:cs="Calibri"/>
                <w:color w:val="000000"/>
                <w:sz w:val="21"/>
                <w:szCs w:val="21"/>
                <w:lang w:val="en-IE" w:eastAsia="en-US"/>
              </w:rPr>
              <w:t>336.8)</w:t>
            </w:r>
          </w:p>
        </w:tc>
        <w:tc>
          <w:tcPr>
            <w:tcW w:w="1418" w:type="dxa"/>
            <w:tcBorders>
              <w:top w:val="nil"/>
              <w:left w:val="nil"/>
              <w:bottom w:val="nil"/>
              <w:right w:val="nil"/>
            </w:tcBorders>
            <w:vAlign w:val="center"/>
          </w:tcPr>
          <w:p w14:paraId="5DF7EE91" w14:textId="0AB80BED" w:rsidR="00CE1283" w:rsidRPr="00BF470A" w:rsidRDefault="00BF470A" w:rsidP="00CE1283">
            <w:pPr>
              <w:spacing w:after="0" w:line="240" w:lineRule="auto"/>
              <w:ind w:right="29"/>
              <w:jc w:val="right"/>
              <w:rPr>
                <w:rFonts w:ascii="Calibri" w:eastAsia="Times New Roman" w:hAnsi="Calibri" w:cs="Calibri"/>
                <w:color w:val="000000"/>
                <w:sz w:val="21"/>
                <w:szCs w:val="21"/>
                <w:lang w:val="en-IE" w:eastAsia="en-US"/>
              </w:rPr>
            </w:pPr>
            <w:r w:rsidRPr="00BF470A">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0B881F33" w14:textId="759A53DD" w:rsidR="00CE1283" w:rsidRPr="00BF470A" w:rsidRDefault="00BF470A" w:rsidP="00CE1283">
            <w:pPr>
              <w:spacing w:after="0" w:line="240" w:lineRule="auto"/>
              <w:ind w:right="43"/>
              <w:jc w:val="right"/>
              <w:rPr>
                <w:rFonts w:ascii="Calibri" w:eastAsia="Times New Roman" w:hAnsi="Calibri" w:cs="Calibri"/>
                <w:color w:val="000000"/>
                <w:sz w:val="21"/>
                <w:szCs w:val="21"/>
                <w:lang w:val="en-IE" w:eastAsia="en-US"/>
              </w:rPr>
            </w:pPr>
            <w:r w:rsidRPr="00BF470A">
              <w:rPr>
                <w:rFonts w:ascii="Calibri" w:eastAsia="Times New Roman" w:hAnsi="Calibri" w:cs="Calibri"/>
                <w:color w:val="000000"/>
                <w:sz w:val="21"/>
                <w:szCs w:val="21"/>
                <w:lang w:val="en-IE" w:eastAsia="en-US"/>
              </w:rPr>
              <w:t>(897.0)</w:t>
            </w:r>
          </w:p>
        </w:tc>
      </w:tr>
      <w:tr w:rsidR="00CE1283" w:rsidRPr="00660965" w14:paraId="137A5BF2" w14:textId="77777777" w:rsidTr="00C9563C">
        <w:trPr>
          <w:trHeight w:val="300"/>
        </w:trPr>
        <w:tc>
          <w:tcPr>
            <w:tcW w:w="4962" w:type="dxa"/>
            <w:shd w:val="clear" w:color="auto" w:fill="FFFFFF"/>
            <w:vAlign w:val="bottom"/>
            <w:hideMark/>
          </w:tcPr>
          <w:p w14:paraId="23CE6C57" w14:textId="3D28DEF3" w:rsidR="00CE1283" w:rsidRPr="00660965" w:rsidRDefault="00CE1283" w:rsidP="00CE1283">
            <w:pPr>
              <w:spacing w:after="0" w:line="240" w:lineRule="auto"/>
              <w:ind w:right="-2" w:firstLine="31"/>
              <w:rPr>
                <w:rFonts w:ascii="Calibri" w:eastAsia="Times New Roman" w:hAnsi="Calibri" w:cs="Calibri"/>
                <w:color w:val="000000"/>
                <w:sz w:val="21"/>
                <w:szCs w:val="21"/>
                <w:lang w:val="en-IE" w:eastAsia="en-IE"/>
              </w:rPr>
            </w:pPr>
          </w:p>
        </w:tc>
        <w:tc>
          <w:tcPr>
            <w:tcW w:w="1559" w:type="dxa"/>
            <w:tcBorders>
              <w:top w:val="nil"/>
              <w:left w:val="nil"/>
              <w:bottom w:val="nil"/>
              <w:right w:val="nil"/>
            </w:tcBorders>
            <w:vAlign w:val="center"/>
          </w:tcPr>
          <w:p w14:paraId="411F0825" w14:textId="150A3418" w:rsidR="00CE1283" w:rsidRPr="00660965" w:rsidRDefault="00CE1283" w:rsidP="00CE1283">
            <w:pPr>
              <w:spacing w:after="0" w:line="240" w:lineRule="auto"/>
              <w:ind w:right="-2"/>
              <w:jc w:val="right"/>
              <w:rPr>
                <w:rFonts w:ascii="Calibri" w:eastAsia="Times New Roman" w:hAnsi="Calibri" w:cs="Calibri"/>
                <w:color w:val="000000"/>
                <w:sz w:val="21"/>
                <w:szCs w:val="21"/>
                <w:lang w:val="en-IE" w:eastAsia="en-US"/>
              </w:rPr>
            </w:pPr>
          </w:p>
        </w:tc>
        <w:tc>
          <w:tcPr>
            <w:tcW w:w="1559" w:type="dxa"/>
            <w:tcBorders>
              <w:top w:val="nil"/>
              <w:left w:val="nil"/>
              <w:bottom w:val="nil"/>
              <w:right w:val="nil"/>
            </w:tcBorders>
            <w:noWrap/>
            <w:vAlign w:val="center"/>
          </w:tcPr>
          <w:p w14:paraId="5E8840B1" w14:textId="4A9D7123" w:rsidR="00CE1283" w:rsidRPr="00660965" w:rsidRDefault="00CE1283" w:rsidP="00CE1283">
            <w:pPr>
              <w:spacing w:after="0" w:line="240" w:lineRule="auto"/>
              <w:ind w:right="40"/>
              <w:jc w:val="right"/>
              <w:rPr>
                <w:rFonts w:ascii="Calibri" w:eastAsia="Times New Roman" w:hAnsi="Calibri" w:cs="Calibri"/>
                <w:color w:val="000000"/>
                <w:sz w:val="21"/>
                <w:szCs w:val="21"/>
                <w:lang w:val="en-IE" w:eastAsia="en-US"/>
              </w:rPr>
            </w:pPr>
          </w:p>
        </w:tc>
        <w:tc>
          <w:tcPr>
            <w:tcW w:w="1418" w:type="dxa"/>
            <w:tcBorders>
              <w:top w:val="nil"/>
              <w:left w:val="nil"/>
              <w:bottom w:val="nil"/>
              <w:right w:val="nil"/>
            </w:tcBorders>
            <w:vAlign w:val="center"/>
          </w:tcPr>
          <w:p w14:paraId="2C26AA8E" w14:textId="146D9297" w:rsidR="00CE1283" w:rsidRPr="00660965" w:rsidRDefault="00CE1283" w:rsidP="00CE1283">
            <w:pPr>
              <w:spacing w:after="0" w:line="240" w:lineRule="auto"/>
              <w:ind w:right="29"/>
              <w:jc w:val="right"/>
              <w:rPr>
                <w:rFonts w:ascii="Calibri" w:eastAsia="Times New Roman" w:hAnsi="Calibri" w:cs="Calibri"/>
                <w:color w:val="000000"/>
                <w:sz w:val="21"/>
                <w:szCs w:val="21"/>
                <w:lang w:val="en-IE" w:eastAsia="en-US"/>
              </w:rPr>
            </w:pPr>
          </w:p>
        </w:tc>
        <w:tc>
          <w:tcPr>
            <w:tcW w:w="1276" w:type="dxa"/>
            <w:tcBorders>
              <w:top w:val="nil"/>
              <w:left w:val="nil"/>
              <w:bottom w:val="nil"/>
              <w:right w:val="nil"/>
            </w:tcBorders>
            <w:noWrap/>
            <w:vAlign w:val="center"/>
          </w:tcPr>
          <w:p w14:paraId="6269E4C6" w14:textId="68E781DB" w:rsidR="00CE1283" w:rsidRPr="00660965" w:rsidRDefault="00CE1283" w:rsidP="00CE1283">
            <w:pPr>
              <w:spacing w:after="0" w:line="240" w:lineRule="auto"/>
              <w:ind w:right="43"/>
              <w:jc w:val="right"/>
              <w:rPr>
                <w:rFonts w:ascii="Calibri" w:eastAsia="Times New Roman" w:hAnsi="Calibri" w:cs="Calibri"/>
                <w:color w:val="000000"/>
                <w:sz w:val="21"/>
                <w:szCs w:val="21"/>
                <w:lang w:val="en-IE" w:eastAsia="en-US"/>
              </w:rPr>
            </w:pPr>
          </w:p>
        </w:tc>
      </w:tr>
      <w:tr w:rsidR="00FF721D" w:rsidRPr="00660965" w14:paraId="0C68A0F7" w14:textId="77777777" w:rsidTr="00C9563C">
        <w:trPr>
          <w:trHeight w:val="300"/>
        </w:trPr>
        <w:tc>
          <w:tcPr>
            <w:tcW w:w="4962" w:type="dxa"/>
            <w:shd w:val="clear" w:color="auto" w:fill="FFFFFF"/>
            <w:vAlign w:val="bottom"/>
            <w:hideMark/>
          </w:tcPr>
          <w:p w14:paraId="5826087D" w14:textId="1FB7CAD0" w:rsidR="00FF721D" w:rsidRPr="00660965" w:rsidRDefault="00FF721D" w:rsidP="00FF721D">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assets</w:t>
            </w:r>
          </w:p>
        </w:tc>
        <w:tc>
          <w:tcPr>
            <w:tcW w:w="1559" w:type="dxa"/>
            <w:tcBorders>
              <w:top w:val="nil"/>
              <w:left w:val="nil"/>
              <w:bottom w:val="nil"/>
              <w:right w:val="nil"/>
            </w:tcBorders>
            <w:vAlign w:val="center"/>
          </w:tcPr>
          <w:p w14:paraId="46207861" w14:textId="2C8D3414" w:rsidR="00FF721D" w:rsidRPr="00660965" w:rsidRDefault="00FF721D" w:rsidP="00FF721D">
            <w:pPr>
              <w:spacing w:after="0" w:line="240" w:lineRule="auto"/>
              <w:ind w:right="-2"/>
              <w:jc w:val="right"/>
              <w:rPr>
                <w:rFonts w:ascii="Calibri" w:eastAsia="Times New Roman" w:hAnsi="Calibri" w:cs="Calibri"/>
                <w:color w:val="000000"/>
                <w:sz w:val="21"/>
                <w:szCs w:val="21"/>
                <w:highlight w:val="green"/>
                <w:lang w:val="en-IE" w:eastAsia="en-US"/>
              </w:rPr>
            </w:pPr>
            <w:r>
              <w:rPr>
                <w:rFonts w:ascii="Calibri" w:eastAsia="Times New Roman" w:hAnsi="Calibri" w:cs="Calibri"/>
                <w:color w:val="000000"/>
                <w:sz w:val="21"/>
                <w:szCs w:val="21"/>
                <w:lang w:val="en-IE" w:eastAsia="en-US"/>
              </w:rPr>
              <w:t>16,017.6</w:t>
            </w:r>
          </w:p>
        </w:tc>
        <w:tc>
          <w:tcPr>
            <w:tcW w:w="1559" w:type="dxa"/>
            <w:tcBorders>
              <w:top w:val="nil"/>
              <w:left w:val="nil"/>
              <w:bottom w:val="nil"/>
              <w:right w:val="nil"/>
            </w:tcBorders>
            <w:noWrap/>
            <w:vAlign w:val="center"/>
          </w:tcPr>
          <w:p w14:paraId="66B6FA53" w14:textId="6BD375AB" w:rsidR="00FF721D" w:rsidRPr="00660965" w:rsidRDefault="00FF721D" w:rsidP="00FF721D">
            <w:pPr>
              <w:spacing w:after="0" w:line="240" w:lineRule="auto"/>
              <w:ind w:right="40"/>
              <w:jc w:val="right"/>
              <w:rPr>
                <w:rFonts w:ascii="Calibri" w:eastAsia="Times New Roman" w:hAnsi="Calibri" w:cs="Calibri"/>
                <w:color w:val="000000"/>
                <w:sz w:val="21"/>
                <w:szCs w:val="21"/>
                <w:highlight w:val="green"/>
                <w:lang w:val="en-IE" w:eastAsia="en-US"/>
              </w:rPr>
            </w:pPr>
            <w:r>
              <w:rPr>
                <w:rFonts w:ascii="Calibri" w:eastAsia="Times New Roman" w:hAnsi="Calibri" w:cs="Calibri"/>
                <w:color w:val="000000"/>
                <w:sz w:val="21"/>
                <w:szCs w:val="21"/>
                <w:lang w:val="en-IE" w:eastAsia="en-US"/>
              </w:rPr>
              <w:t>358.2</w:t>
            </w:r>
          </w:p>
        </w:tc>
        <w:tc>
          <w:tcPr>
            <w:tcW w:w="1418" w:type="dxa"/>
            <w:tcBorders>
              <w:top w:val="nil"/>
              <w:left w:val="nil"/>
              <w:bottom w:val="nil"/>
              <w:right w:val="nil"/>
            </w:tcBorders>
            <w:vAlign w:val="center"/>
          </w:tcPr>
          <w:p w14:paraId="14AE413C" w14:textId="497702B0" w:rsidR="00FF721D" w:rsidRPr="00660965" w:rsidRDefault="00FF721D" w:rsidP="00FF721D">
            <w:pPr>
              <w:spacing w:after="0" w:line="240" w:lineRule="auto"/>
              <w:ind w:right="29"/>
              <w:jc w:val="right"/>
              <w:rPr>
                <w:rFonts w:ascii="Calibri" w:eastAsia="Times New Roman" w:hAnsi="Calibri" w:cs="Calibri"/>
                <w:color w:val="000000"/>
                <w:sz w:val="21"/>
                <w:szCs w:val="21"/>
                <w:highlight w:val="green"/>
                <w:lang w:val="en-IE" w:eastAsia="en-US"/>
              </w:rPr>
            </w:pP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7C0950AB" w14:textId="224405FC" w:rsidR="00FF721D" w:rsidRPr="00660965" w:rsidRDefault="00FF721D" w:rsidP="00FF721D">
            <w:pPr>
              <w:spacing w:after="0" w:line="240" w:lineRule="auto"/>
              <w:ind w:right="43"/>
              <w:jc w:val="right"/>
              <w:rPr>
                <w:rFonts w:ascii="Calibri" w:eastAsia="Times New Roman" w:hAnsi="Calibri" w:cs="Calibri"/>
                <w:color w:val="000000"/>
                <w:sz w:val="21"/>
                <w:szCs w:val="21"/>
                <w:highlight w:val="green"/>
                <w:lang w:val="en-IE" w:eastAsia="en-US"/>
              </w:rPr>
            </w:pPr>
            <w:r w:rsidRPr="00660965">
              <w:rPr>
                <w:rFonts w:ascii="Calibri" w:eastAsia="Times New Roman" w:hAnsi="Calibri" w:cs="Calibri"/>
                <w:color w:val="000000"/>
                <w:sz w:val="21"/>
                <w:szCs w:val="21"/>
                <w:lang w:val="en-IE" w:eastAsia="en-US"/>
              </w:rPr>
              <w:t>16,3</w:t>
            </w:r>
            <w:r w:rsidR="00631978">
              <w:rPr>
                <w:rFonts w:ascii="Calibri" w:eastAsia="Times New Roman" w:hAnsi="Calibri" w:cs="Calibri"/>
                <w:color w:val="000000"/>
                <w:sz w:val="21"/>
                <w:szCs w:val="21"/>
                <w:lang w:val="en-IE" w:eastAsia="en-US"/>
              </w:rPr>
              <w:t>75.8</w:t>
            </w:r>
          </w:p>
        </w:tc>
      </w:tr>
      <w:tr w:rsidR="00FF721D" w:rsidRPr="00660965" w14:paraId="7CFBFD83" w14:textId="77777777" w:rsidTr="00C9563C">
        <w:trPr>
          <w:trHeight w:val="300"/>
        </w:trPr>
        <w:tc>
          <w:tcPr>
            <w:tcW w:w="4962" w:type="dxa"/>
            <w:shd w:val="clear" w:color="auto" w:fill="FFFFFF"/>
            <w:vAlign w:val="bottom"/>
          </w:tcPr>
          <w:p w14:paraId="5DB02B40" w14:textId="6A398FE3" w:rsidR="00FF721D" w:rsidRPr="000E5963" w:rsidRDefault="00FF721D" w:rsidP="00FF721D">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liabilities</w:t>
            </w:r>
          </w:p>
        </w:tc>
        <w:tc>
          <w:tcPr>
            <w:tcW w:w="1559" w:type="dxa"/>
            <w:tcBorders>
              <w:top w:val="nil"/>
              <w:left w:val="nil"/>
              <w:bottom w:val="nil"/>
              <w:right w:val="nil"/>
            </w:tcBorders>
            <w:vAlign w:val="center"/>
          </w:tcPr>
          <w:p w14:paraId="4A782D29" w14:textId="63260E26" w:rsidR="00FF721D" w:rsidRPr="00660965" w:rsidRDefault="00FF721D" w:rsidP="00FF721D">
            <w:pPr>
              <w:spacing w:after="0" w:line="240" w:lineRule="auto"/>
              <w:ind w:right="-2"/>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r>
              <w:rPr>
                <w:rFonts w:ascii="Calibri" w:eastAsia="Times New Roman" w:hAnsi="Calibri" w:cs="Calibri"/>
                <w:color w:val="000000"/>
                <w:sz w:val="21"/>
                <w:szCs w:val="21"/>
                <w:lang w:val="en-IE" w:eastAsia="en-US"/>
              </w:rPr>
              <w:t>8,025.1</w:t>
            </w:r>
            <w:r w:rsidRPr="00660965">
              <w:rPr>
                <w:rFonts w:ascii="Calibri" w:eastAsia="Times New Roman" w:hAnsi="Calibri" w:cs="Calibri"/>
                <w:color w:val="000000"/>
                <w:sz w:val="21"/>
                <w:szCs w:val="21"/>
                <w:lang w:val="en-IE" w:eastAsia="en-US"/>
              </w:rPr>
              <w:t>)</w:t>
            </w:r>
          </w:p>
        </w:tc>
        <w:tc>
          <w:tcPr>
            <w:tcW w:w="1559" w:type="dxa"/>
            <w:tcBorders>
              <w:top w:val="nil"/>
              <w:left w:val="nil"/>
              <w:bottom w:val="nil"/>
              <w:right w:val="nil"/>
            </w:tcBorders>
            <w:noWrap/>
            <w:vAlign w:val="center"/>
          </w:tcPr>
          <w:p w14:paraId="7F6961D8" w14:textId="260F0D61" w:rsidR="00FF721D" w:rsidRPr="00660965" w:rsidRDefault="00FF721D" w:rsidP="00FF721D">
            <w:pPr>
              <w:spacing w:after="0" w:line="240" w:lineRule="auto"/>
              <w:ind w:right="40"/>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r>
              <w:rPr>
                <w:rFonts w:ascii="Calibri" w:eastAsia="Times New Roman" w:hAnsi="Calibri" w:cs="Calibri"/>
                <w:color w:val="000000"/>
                <w:sz w:val="21"/>
                <w:szCs w:val="21"/>
                <w:lang w:val="en-IE" w:eastAsia="en-US"/>
              </w:rPr>
              <w:t>593.5</w:t>
            </w:r>
            <w:r w:rsidRPr="00660965">
              <w:rPr>
                <w:rFonts w:ascii="Calibri" w:eastAsia="Times New Roman" w:hAnsi="Calibri" w:cs="Calibri"/>
                <w:color w:val="000000"/>
                <w:sz w:val="21"/>
                <w:szCs w:val="21"/>
                <w:lang w:val="en-IE" w:eastAsia="en-US"/>
              </w:rPr>
              <w:t>)</w:t>
            </w:r>
          </w:p>
        </w:tc>
        <w:tc>
          <w:tcPr>
            <w:tcW w:w="1418" w:type="dxa"/>
            <w:tcBorders>
              <w:top w:val="nil"/>
              <w:left w:val="nil"/>
              <w:bottom w:val="nil"/>
              <w:right w:val="nil"/>
            </w:tcBorders>
            <w:vAlign w:val="center"/>
          </w:tcPr>
          <w:p w14:paraId="08DBA783" w14:textId="2FF52181" w:rsidR="00FF721D" w:rsidRPr="00660965" w:rsidRDefault="00FF721D" w:rsidP="00FF721D">
            <w:pPr>
              <w:spacing w:after="0" w:line="240" w:lineRule="auto"/>
              <w:ind w:right="29"/>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p>
        </w:tc>
        <w:tc>
          <w:tcPr>
            <w:tcW w:w="1276" w:type="dxa"/>
            <w:tcBorders>
              <w:top w:val="nil"/>
              <w:left w:val="nil"/>
              <w:bottom w:val="nil"/>
              <w:right w:val="nil"/>
            </w:tcBorders>
            <w:noWrap/>
            <w:vAlign w:val="center"/>
          </w:tcPr>
          <w:p w14:paraId="6DB612CC" w14:textId="30DBBFED" w:rsidR="00FF721D" w:rsidRPr="00660965" w:rsidRDefault="00FF721D" w:rsidP="00FF721D">
            <w:pPr>
              <w:spacing w:after="0" w:line="240" w:lineRule="auto"/>
              <w:ind w:right="43"/>
              <w:jc w:val="right"/>
              <w:rPr>
                <w:rFonts w:ascii="Calibri" w:eastAsia="Times New Roman" w:hAnsi="Calibri" w:cs="Calibri"/>
                <w:color w:val="000000"/>
                <w:sz w:val="21"/>
                <w:szCs w:val="21"/>
                <w:lang w:val="en-IE" w:eastAsia="en-US"/>
              </w:rPr>
            </w:pPr>
            <w:r w:rsidRPr="00660965">
              <w:rPr>
                <w:rFonts w:ascii="Calibri" w:eastAsia="Times New Roman" w:hAnsi="Calibri" w:cs="Calibri"/>
                <w:color w:val="000000"/>
                <w:sz w:val="21"/>
                <w:szCs w:val="21"/>
                <w:lang w:val="en-IE" w:eastAsia="en-US"/>
              </w:rPr>
              <w:t>(</w:t>
            </w:r>
            <w:r w:rsidR="00631978">
              <w:rPr>
                <w:rFonts w:ascii="Calibri" w:eastAsia="Times New Roman" w:hAnsi="Calibri" w:cs="Calibri"/>
                <w:color w:val="000000"/>
                <w:sz w:val="21"/>
                <w:szCs w:val="21"/>
                <w:lang w:val="en-IE" w:eastAsia="en-US"/>
              </w:rPr>
              <w:t>8,618.6</w:t>
            </w:r>
            <w:r w:rsidRPr="00660965">
              <w:rPr>
                <w:rFonts w:ascii="Calibri" w:eastAsia="Times New Roman" w:hAnsi="Calibri" w:cs="Calibri"/>
                <w:color w:val="000000"/>
                <w:sz w:val="21"/>
                <w:szCs w:val="21"/>
                <w:lang w:val="en-IE" w:eastAsia="en-US"/>
              </w:rPr>
              <w:t>)</w:t>
            </w:r>
          </w:p>
        </w:tc>
      </w:tr>
    </w:tbl>
    <w:p w14:paraId="73A49CC8" w14:textId="54F76F70" w:rsidR="000E5963" w:rsidRPr="000E5963" w:rsidRDefault="00611311" w:rsidP="00611311">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tbl>
      <w:tblPr>
        <w:tblW w:w="10774" w:type="dxa"/>
        <w:tblInd w:w="-34" w:type="dxa"/>
        <w:tblLayout w:type="fixed"/>
        <w:tblLook w:val="04A0" w:firstRow="1" w:lastRow="0" w:firstColumn="1" w:lastColumn="0" w:noHBand="0" w:noVBand="1"/>
      </w:tblPr>
      <w:tblGrid>
        <w:gridCol w:w="4962"/>
        <w:gridCol w:w="1559"/>
        <w:gridCol w:w="1559"/>
        <w:gridCol w:w="1419"/>
        <w:gridCol w:w="1275"/>
      </w:tblGrid>
      <w:tr w:rsidR="000E5963" w:rsidRPr="000E5963" w14:paraId="04CD5BAF" w14:textId="77777777" w:rsidTr="000E5963">
        <w:trPr>
          <w:trHeight w:val="283"/>
        </w:trPr>
        <w:tc>
          <w:tcPr>
            <w:tcW w:w="4962" w:type="dxa"/>
            <w:shd w:val="clear" w:color="auto" w:fill="FFFFFF"/>
            <w:hideMark/>
          </w:tcPr>
          <w:p w14:paraId="442F1379" w14:textId="77777777" w:rsidR="000E5963" w:rsidRPr="000E5963" w:rsidRDefault="000E5963" w:rsidP="000E5963">
            <w:pPr>
              <w:spacing w:after="0" w:line="240" w:lineRule="auto"/>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IE"/>
              </w:rPr>
              <w:lastRenderedPageBreak/>
              <w:t xml:space="preserve">Quarter Ended </w:t>
            </w:r>
          </w:p>
        </w:tc>
        <w:tc>
          <w:tcPr>
            <w:tcW w:w="1559" w:type="dxa"/>
            <w:shd w:val="clear" w:color="auto" w:fill="FFFF00"/>
            <w:vAlign w:val="bottom"/>
            <w:hideMark/>
          </w:tcPr>
          <w:p w14:paraId="5D0ADCCD"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Ryanair DAC</w:t>
            </w:r>
          </w:p>
          <w:p w14:paraId="04C58822" w14:textId="4E334792" w:rsidR="000E5963" w:rsidRPr="000E5963" w:rsidRDefault="00FC76A0"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Sep</w:t>
            </w:r>
            <w:r w:rsidR="000E5963" w:rsidRPr="000E5963">
              <w:rPr>
                <w:rFonts w:ascii="Calibri" w:eastAsia="Times New Roman" w:hAnsi="Calibri" w:cs="Calibri"/>
                <w:b/>
                <w:bCs/>
                <w:color w:val="000000"/>
                <w:sz w:val="21"/>
                <w:szCs w:val="21"/>
                <w:lang w:val="en-IE" w:eastAsia="en-IE"/>
              </w:rPr>
              <w:t xml:space="preserve"> 30,</w:t>
            </w:r>
          </w:p>
          <w:p w14:paraId="290423CB"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1EDDF95E"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c>
          <w:tcPr>
            <w:tcW w:w="1559" w:type="dxa"/>
            <w:shd w:val="clear" w:color="auto" w:fill="FFFF00"/>
            <w:vAlign w:val="bottom"/>
          </w:tcPr>
          <w:p w14:paraId="44B43DBA"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Other Airlines</w:t>
            </w:r>
          </w:p>
          <w:p w14:paraId="51B0D359" w14:textId="4FA3BBD2" w:rsidR="000E5963" w:rsidRPr="000E5963" w:rsidRDefault="00FC76A0"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Sep</w:t>
            </w:r>
            <w:r w:rsidR="000E5963" w:rsidRPr="000E5963">
              <w:rPr>
                <w:rFonts w:ascii="Calibri" w:eastAsia="Times New Roman" w:hAnsi="Calibri" w:cs="Calibri"/>
                <w:b/>
                <w:bCs/>
                <w:color w:val="000000"/>
                <w:sz w:val="21"/>
                <w:szCs w:val="21"/>
                <w:lang w:val="en-IE" w:eastAsia="en-IE"/>
              </w:rPr>
              <w:t xml:space="preserve"> 30,</w:t>
            </w:r>
          </w:p>
          <w:p w14:paraId="07A8E1D1"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74EBB24A"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c>
          <w:tcPr>
            <w:tcW w:w="1419" w:type="dxa"/>
            <w:shd w:val="clear" w:color="auto" w:fill="FFFF00"/>
            <w:vAlign w:val="bottom"/>
          </w:tcPr>
          <w:p w14:paraId="1123B6E6" w14:textId="77777777" w:rsidR="000E5963" w:rsidRPr="000E5963" w:rsidRDefault="000E5963" w:rsidP="000E5963">
            <w:pPr>
              <w:spacing w:after="0" w:line="240" w:lineRule="auto"/>
              <w:ind w:left="-115" w:right="29"/>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Elimination</w:t>
            </w:r>
          </w:p>
          <w:p w14:paraId="222C4C54" w14:textId="139CF74E" w:rsidR="000E5963" w:rsidRPr="000E5963" w:rsidRDefault="00FC76A0" w:rsidP="000E596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Sep</w:t>
            </w:r>
            <w:r w:rsidR="000E5963" w:rsidRPr="000E5963">
              <w:rPr>
                <w:rFonts w:ascii="Calibri" w:eastAsia="Times New Roman" w:hAnsi="Calibri" w:cs="Calibri"/>
                <w:b/>
                <w:bCs/>
                <w:color w:val="000000"/>
                <w:sz w:val="21"/>
                <w:szCs w:val="21"/>
                <w:lang w:val="en-IE" w:eastAsia="en-IE"/>
              </w:rPr>
              <w:t xml:space="preserve"> 30,</w:t>
            </w:r>
          </w:p>
          <w:p w14:paraId="187903E4" w14:textId="77777777" w:rsidR="000E5963" w:rsidRPr="000E5963" w:rsidRDefault="000E5963" w:rsidP="000E5963">
            <w:pPr>
              <w:spacing w:after="0" w:line="240" w:lineRule="auto"/>
              <w:ind w:left="-115" w:right="29"/>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7596FF57" w14:textId="77777777" w:rsidR="000E5963" w:rsidRPr="000E5963" w:rsidRDefault="000E5963" w:rsidP="000E5963">
            <w:pPr>
              <w:spacing w:after="0" w:line="240" w:lineRule="auto"/>
              <w:ind w:left="-115" w:right="29"/>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c>
          <w:tcPr>
            <w:tcW w:w="1275" w:type="dxa"/>
            <w:shd w:val="clear" w:color="auto" w:fill="FFFF00"/>
            <w:vAlign w:val="bottom"/>
            <w:hideMark/>
          </w:tcPr>
          <w:p w14:paraId="3CCEB1AE"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Total</w:t>
            </w:r>
          </w:p>
          <w:p w14:paraId="60832A77" w14:textId="28C4129B" w:rsidR="000E5963" w:rsidRPr="000E5963" w:rsidRDefault="00FC76A0"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Sep</w:t>
            </w:r>
            <w:r w:rsidR="000E5963" w:rsidRPr="000E5963">
              <w:rPr>
                <w:rFonts w:ascii="Calibri" w:eastAsia="Times New Roman" w:hAnsi="Calibri" w:cs="Calibri"/>
                <w:b/>
                <w:bCs/>
                <w:color w:val="000000"/>
                <w:sz w:val="21"/>
                <w:szCs w:val="21"/>
                <w:lang w:val="en-IE" w:eastAsia="en-IE"/>
              </w:rPr>
              <w:t xml:space="preserve"> 30,</w:t>
            </w:r>
          </w:p>
          <w:p w14:paraId="2300F14C"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p w14:paraId="7635B0D2"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€M</w:t>
            </w:r>
          </w:p>
        </w:tc>
      </w:tr>
      <w:tr w:rsidR="000E5963" w:rsidRPr="000E5963" w14:paraId="03624224" w14:textId="77777777" w:rsidTr="000E5963">
        <w:trPr>
          <w:trHeight w:val="319"/>
        </w:trPr>
        <w:tc>
          <w:tcPr>
            <w:tcW w:w="4962" w:type="dxa"/>
            <w:shd w:val="clear" w:color="auto" w:fill="FFFFFF"/>
            <w:vAlign w:val="bottom"/>
          </w:tcPr>
          <w:p w14:paraId="5542F18F"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Scheduled revenues</w:t>
            </w:r>
          </w:p>
        </w:tc>
        <w:tc>
          <w:tcPr>
            <w:tcW w:w="1559" w:type="dxa"/>
            <w:shd w:val="clear" w:color="auto" w:fill="FFFF00"/>
            <w:noWrap/>
            <w:vAlign w:val="bottom"/>
          </w:tcPr>
          <w:p w14:paraId="0439E281" w14:textId="0D072FB2" w:rsidR="000E5963" w:rsidRPr="000E5963" w:rsidRDefault="00D94971"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3,892.1</w:t>
            </w:r>
          </w:p>
        </w:tc>
        <w:tc>
          <w:tcPr>
            <w:tcW w:w="1559" w:type="dxa"/>
            <w:shd w:val="clear" w:color="auto" w:fill="FFFF00"/>
            <w:vAlign w:val="bottom"/>
          </w:tcPr>
          <w:p w14:paraId="3BB32363" w14:textId="0B565CE9"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72.7</w:t>
            </w:r>
          </w:p>
        </w:tc>
        <w:tc>
          <w:tcPr>
            <w:tcW w:w="1419" w:type="dxa"/>
            <w:shd w:val="clear" w:color="auto" w:fill="FFFF00"/>
            <w:vAlign w:val="bottom"/>
          </w:tcPr>
          <w:p w14:paraId="62617377" w14:textId="0B370FE5" w:rsidR="000E5963" w:rsidRPr="000E5963" w:rsidRDefault="00D94971" w:rsidP="000E596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275" w:type="dxa"/>
            <w:shd w:val="clear" w:color="auto" w:fill="FFFF00"/>
            <w:noWrap/>
            <w:vAlign w:val="bottom"/>
          </w:tcPr>
          <w:p w14:paraId="4F9788A7" w14:textId="5BCA9607"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3,964.8</w:t>
            </w:r>
          </w:p>
        </w:tc>
      </w:tr>
      <w:tr w:rsidR="000E5963" w:rsidRPr="000E5963" w14:paraId="4101AF8E" w14:textId="77777777" w:rsidTr="000E5963">
        <w:trPr>
          <w:trHeight w:val="319"/>
        </w:trPr>
        <w:tc>
          <w:tcPr>
            <w:tcW w:w="4962" w:type="dxa"/>
            <w:shd w:val="clear" w:color="auto" w:fill="FFFFFF"/>
            <w:vAlign w:val="bottom"/>
          </w:tcPr>
          <w:p w14:paraId="6B901FE4"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Ancillary revenues</w:t>
            </w:r>
          </w:p>
        </w:tc>
        <w:tc>
          <w:tcPr>
            <w:tcW w:w="1559" w:type="dxa"/>
            <w:shd w:val="clear" w:color="auto" w:fill="FFFF00"/>
            <w:noWrap/>
            <w:vAlign w:val="bottom"/>
          </w:tcPr>
          <w:p w14:paraId="13244C3E" w14:textId="4CEE224B" w:rsidR="000E5963" w:rsidRPr="000E5963" w:rsidRDefault="00D94971"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1,51</w:t>
            </w:r>
            <w:r w:rsidR="00C06ADF">
              <w:rPr>
                <w:rFonts w:ascii="Calibri" w:eastAsia="Times New Roman" w:hAnsi="Calibri" w:cs="Calibri"/>
                <w:b/>
                <w:bCs/>
                <w:color w:val="000000"/>
                <w:sz w:val="21"/>
                <w:szCs w:val="21"/>
                <w:lang w:val="en-IE" w:eastAsia="en-IE"/>
              </w:rPr>
              <w:t>5.1</w:t>
            </w:r>
          </w:p>
        </w:tc>
        <w:tc>
          <w:tcPr>
            <w:tcW w:w="1559" w:type="dxa"/>
            <w:shd w:val="clear" w:color="auto" w:fill="FFFF00"/>
            <w:vAlign w:val="bottom"/>
          </w:tcPr>
          <w:p w14:paraId="728D94E7" w14:textId="6373214A"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419" w:type="dxa"/>
            <w:shd w:val="clear" w:color="auto" w:fill="FFFF00"/>
            <w:vAlign w:val="bottom"/>
          </w:tcPr>
          <w:p w14:paraId="3C964C77" w14:textId="52D10F24" w:rsidR="000E5963" w:rsidRPr="000E5963" w:rsidRDefault="00D94971" w:rsidP="000E596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w:t>
            </w:r>
          </w:p>
        </w:tc>
        <w:tc>
          <w:tcPr>
            <w:tcW w:w="1275" w:type="dxa"/>
            <w:shd w:val="clear" w:color="auto" w:fill="FFFF00"/>
            <w:noWrap/>
            <w:vAlign w:val="bottom"/>
          </w:tcPr>
          <w:p w14:paraId="6D005675" w14:textId="6F531ED9"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1,51</w:t>
            </w:r>
            <w:r w:rsidR="00C06ADF">
              <w:rPr>
                <w:rFonts w:ascii="Calibri" w:eastAsia="Times New Roman" w:hAnsi="Calibri" w:cs="Calibri"/>
                <w:b/>
                <w:bCs/>
                <w:color w:val="000000"/>
                <w:sz w:val="21"/>
                <w:szCs w:val="21"/>
                <w:lang w:val="en-IE" w:eastAsia="en-IE"/>
              </w:rPr>
              <w:t>5.1</w:t>
            </w:r>
          </w:p>
        </w:tc>
      </w:tr>
      <w:tr w:rsidR="000E5963" w:rsidRPr="000E5963" w14:paraId="75D4B669" w14:textId="77777777" w:rsidTr="000E5963">
        <w:trPr>
          <w:trHeight w:val="319"/>
        </w:trPr>
        <w:tc>
          <w:tcPr>
            <w:tcW w:w="4962" w:type="dxa"/>
            <w:shd w:val="clear" w:color="auto" w:fill="FFFFFF"/>
            <w:vAlign w:val="bottom"/>
            <w:hideMark/>
          </w:tcPr>
          <w:p w14:paraId="78B8A789"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Inter-segment revenues</w:t>
            </w:r>
          </w:p>
        </w:tc>
        <w:tc>
          <w:tcPr>
            <w:tcW w:w="1559" w:type="dxa"/>
            <w:tcBorders>
              <w:left w:val="nil"/>
              <w:bottom w:val="single" w:sz="4" w:space="0" w:color="auto"/>
              <w:right w:val="nil"/>
            </w:tcBorders>
            <w:shd w:val="clear" w:color="000000" w:fill="FFFF00"/>
            <w:noWrap/>
            <w:vAlign w:val="bottom"/>
          </w:tcPr>
          <w:p w14:paraId="5F002183" w14:textId="7BE0D3A2" w:rsidR="000E5963" w:rsidRPr="000E5963" w:rsidRDefault="00D94971"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205.8</w:t>
            </w:r>
          </w:p>
        </w:tc>
        <w:tc>
          <w:tcPr>
            <w:tcW w:w="1559" w:type="dxa"/>
            <w:tcBorders>
              <w:left w:val="nil"/>
              <w:bottom w:val="single" w:sz="4" w:space="0" w:color="auto"/>
              <w:right w:val="nil"/>
            </w:tcBorders>
            <w:shd w:val="clear" w:color="000000" w:fill="FFFF00"/>
            <w:vAlign w:val="bottom"/>
          </w:tcPr>
          <w:p w14:paraId="23128A6A" w14:textId="2FA95EEB"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398.8</w:t>
            </w:r>
          </w:p>
        </w:tc>
        <w:tc>
          <w:tcPr>
            <w:tcW w:w="1419" w:type="dxa"/>
            <w:tcBorders>
              <w:left w:val="nil"/>
              <w:bottom w:val="single" w:sz="4" w:space="0" w:color="auto"/>
              <w:right w:val="nil"/>
            </w:tcBorders>
            <w:shd w:val="clear" w:color="000000" w:fill="FFFF00"/>
            <w:vAlign w:val="bottom"/>
          </w:tcPr>
          <w:p w14:paraId="1954C699" w14:textId="246F3784" w:rsidR="000E5963" w:rsidRPr="000E5963" w:rsidRDefault="00D94971" w:rsidP="000E5963">
            <w:pPr>
              <w:spacing w:after="0" w:line="240" w:lineRule="auto"/>
              <w:ind w:left="-115" w:right="29"/>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(604.6)</w:t>
            </w:r>
          </w:p>
        </w:tc>
        <w:tc>
          <w:tcPr>
            <w:tcW w:w="1275" w:type="dxa"/>
            <w:tcBorders>
              <w:left w:val="nil"/>
              <w:bottom w:val="single" w:sz="4" w:space="0" w:color="auto"/>
              <w:right w:val="nil"/>
            </w:tcBorders>
            <w:shd w:val="clear" w:color="000000" w:fill="FFFF00"/>
            <w:noWrap/>
            <w:vAlign w:val="bottom"/>
          </w:tcPr>
          <w:p w14:paraId="64539700" w14:textId="59B1814B"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p>
        </w:tc>
      </w:tr>
      <w:tr w:rsidR="000E5963" w:rsidRPr="000E5963" w14:paraId="6ADB4C0E" w14:textId="77777777" w:rsidTr="000E5963">
        <w:trPr>
          <w:trHeight w:val="319"/>
        </w:trPr>
        <w:tc>
          <w:tcPr>
            <w:tcW w:w="4962" w:type="dxa"/>
            <w:shd w:val="clear" w:color="auto" w:fill="FFFFFF"/>
            <w:vAlign w:val="bottom"/>
            <w:hideMark/>
          </w:tcPr>
          <w:p w14:paraId="7C66CB0F"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IE"/>
              </w:rPr>
              <w:t>Segment revenues</w:t>
            </w:r>
          </w:p>
        </w:tc>
        <w:tc>
          <w:tcPr>
            <w:tcW w:w="1559" w:type="dxa"/>
            <w:tcBorders>
              <w:top w:val="single" w:sz="4" w:space="0" w:color="auto"/>
              <w:bottom w:val="single" w:sz="12" w:space="0" w:color="auto"/>
            </w:tcBorders>
            <w:shd w:val="clear" w:color="auto" w:fill="FFFF00"/>
            <w:noWrap/>
            <w:vAlign w:val="bottom"/>
          </w:tcPr>
          <w:p w14:paraId="0E88F477" w14:textId="0D9A1716" w:rsidR="000E5963" w:rsidRPr="000E5963" w:rsidRDefault="00D94971"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5,61</w:t>
            </w:r>
            <w:r w:rsidR="00264F08">
              <w:rPr>
                <w:rFonts w:ascii="Calibri" w:eastAsia="Times New Roman" w:hAnsi="Calibri" w:cs="Calibri"/>
                <w:b/>
                <w:bCs/>
                <w:color w:val="000000"/>
                <w:sz w:val="21"/>
                <w:szCs w:val="21"/>
                <w:lang w:val="en-IE" w:eastAsia="en-IE"/>
              </w:rPr>
              <w:t>3.0</w:t>
            </w:r>
          </w:p>
        </w:tc>
        <w:tc>
          <w:tcPr>
            <w:tcW w:w="1559" w:type="dxa"/>
            <w:tcBorders>
              <w:top w:val="single" w:sz="4" w:space="0" w:color="auto"/>
              <w:bottom w:val="single" w:sz="12" w:space="0" w:color="auto"/>
            </w:tcBorders>
            <w:shd w:val="clear" w:color="auto" w:fill="FFFF00"/>
            <w:vAlign w:val="bottom"/>
          </w:tcPr>
          <w:p w14:paraId="37173001" w14:textId="47E7B0D6" w:rsidR="000E5963" w:rsidRPr="000E5963" w:rsidRDefault="00D94971" w:rsidP="000E5963">
            <w:pPr>
              <w:spacing w:after="0" w:line="240" w:lineRule="auto"/>
              <w:ind w:left="-115" w:right="40"/>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471.5</w:t>
            </w:r>
          </w:p>
        </w:tc>
        <w:tc>
          <w:tcPr>
            <w:tcW w:w="1419" w:type="dxa"/>
            <w:tcBorders>
              <w:top w:val="single" w:sz="4" w:space="0" w:color="auto"/>
              <w:bottom w:val="single" w:sz="12" w:space="0" w:color="auto"/>
            </w:tcBorders>
            <w:shd w:val="clear" w:color="auto" w:fill="FFFF00"/>
            <w:vAlign w:val="bottom"/>
          </w:tcPr>
          <w:p w14:paraId="0F9967BD" w14:textId="70062A8C" w:rsidR="000E5963" w:rsidRPr="000E5963" w:rsidRDefault="00D94971" w:rsidP="000E5963">
            <w:pPr>
              <w:spacing w:after="0" w:line="240" w:lineRule="auto"/>
              <w:ind w:left="-115" w:right="29"/>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(604.6)</w:t>
            </w:r>
          </w:p>
        </w:tc>
        <w:tc>
          <w:tcPr>
            <w:tcW w:w="1275" w:type="dxa"/>
            <w:tcBorders>
              <w:top w:val="single" w:sz="4" w:space="0" w:color="auto"/>
              <w:bottom w:val="single" w:sz="12" w:space="0" w:color="auto"/>
            </w:tcBorders>
            <w:shd w:val="clear" w:color="auto" w:fill="FFFF00"/>
            <w:noWrap/>
            <w:vAlign w:val="bottom"/>
          </w:tcPr>
          <w:p w14:paraId="0B2D7B2E" w14:textId="4B27B982"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5,479.</w:t>
            </w:r>
            <w:r w:rsidR="00CA5E0B">
              <w:rPr>
                <w:rFonts w:ascii="Calibri" w:eastAsia="Times New Roman" w:hAnsi="Calibri" w:cs="Calibri"/>
                <w:b/>
                <w:bCs/>
                <w:color w:val="000000"/>
                <w:sz w:val="21"/>
                <w:szCs w:val="21"/>
                <w:lang w:val="en-IE" w:eastAsia="en-IE"/>
              </w:rPr>
              <w:t>9</w:t>
            </w:r>
          </w:p>
        </w:tc>
      </w:tr>
      <w:tr w:rsidR="000E5963" w:rsidRPr="000E5963" w14:paraId="4B3BAD49" w14:textId="77777777" w:rsidTr="000E5963">
        <w:trPr>
          <w:trHeight w:val="57"/>
        </w:trPr>
        <w:tc>
          <w:tcPr>
            <w:tcW w:w="4962" w:type="dxa"/>
            <w:shd w:val="clear" w:color="auto" w:fill="FFFFFF"/>
            <w:vAlign w:val="bottom"/>
          </w:tcPr>
          <w:p w14:paraId="7A01A5B3"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p>
        </w:tc>
        <w:tc>
          <w:tcPr>
            <w:tcW w:w="1559" w:type="dxa"/>
            <w:tcBorders>
              <w:top w:val="single" w:sz="12" w:space="0" w:color="auto"/>
              <w:left w:val="nil"/>
              <w:right w:val="nil"/>
            </w:tcBorders>
            <w:shd w:val="clear" w:color="000000" w:fill="FFFF00"/>
            <w:noWrap/>
            <w:vAlign w:val="bottom"/>
          </w:tcPr>
          <w:p w14:paraId="2C3EC488"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tcBorders>
              <w:top w:val="single" w:sz="12" w:space="0" w:color="auto"/>
              <w:left w:val="nil"/>
              <w:right w:val="nil"/>
            </w:tcBorders>
            <w:shd w:val="clear" w:color="000000" w:fill="FFFF00"/>
            <w:vAlign w:val="bottom"/>
          </w:tcPr>
          <w:p w14:paraId="7F065CA9"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c>
          <w:tcPr>
            <w:tcW w:w="1419" w:type="dxa"/>
            <w:tcBorders>
              <w:top w:val="single" w:sz="12" w:space="0" w:color="auto"/>
              <w:left w:val="nil"/>
              <w:right w:val="nil"/>
            </w:tcBorders>
            <w:shd w:val="clear" w:color="000000" w:fill="FFFF00"/>
            <w:vAlign w:val="bottom"/>
          </w:tcPr>
          <w:p w14:paraId="321DB5A2" w14:textId="77777777" w:rsidR="000E5963" w:rsidRPr="000E5963" w:rsidRDefault="000E5963" w:rsidP="000E5963">
            <w:pPr>
              <w:spacing w:after="0" w:line="240" w:lineRule="auto"/>
              <w:ind w:left="-115" w:right="29"/>
              <w:jc w:val="right"/>
              <w:rPr>
                <w:rFonts w:ascii="Calibri" w:eastAsia="Times New Roman" w:hAnsi="Calibri" w:cs="Calibri"/>
                <w:b/>
                <w:bCs/>
                <w:sz w:val="21"/>
                <w:szCs w:val="21"/>
                <w:lang w:val="en-IE" w:eastAsia="en-US"/>
              </w:rPr>
            </w:pPr>
          </w:p>
        </w:tc>
        <w:tc>
          <w:tcPr>
            <w:tcW w:w="1275" w:type="dxa"/>
            <w:tcBorders>
              <w:top w:val="single" w:sz="12" w:space="0" w:color="auto"/>
              <w:left w:val="nil"/>
              <w:right w:val="nil"/>
            </w:tcBorders>
            <w:shd w:val="clear" w:color="000000" w:fill="FFFF00"/>
            <w:noWrap/>
            <w:vAlign w:val="bottom"/>
          </w:tcPr>
          <w:p w14:paraId="38CDD39B"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r>
      <w:tr w:rsidR="000E5963" w:rsidRPr="000E5963" w14:paraId="1D765262" w14:textId="77777777" w:rsidTr="000E5963">
        <w:trPr>
          <w:trHeight w:val="319"/>
        </w:trPr>
        <w:tc>
          <w:tcPr>
            <w:tcW w:w="4962" w:type="dxa"/>
            <w:shd w:val="clear" w:color="auto" w:fill="FFFFFF"/>
            <w:vAlign w:val="bottom"/>
            <w:hideMark/>
          </w:tcPr>
          <w:p w14:paraId="4B73AA67"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Reportable segment profit after income tax</w:t>
            </w:r>
          </w:p>
        </w:tc>
        <w:tc>
          <w:tcPr>
            <w:tcW w:w="1559" w:type="dxa"/>
            <w:tcBorders>
              <w:top w:val="nil"/>
              <w:left w:val="nil"/>
              <w:bottom w:val="single" w:sz="12" w:space="0" w:color="auto"/>
              <w:right w:val="nil"/>
            </w:tcBorders>
            <w:shd w:val="clear" w:color="000000" w:fill="FFFF00"/>
            <w:noWrap/>
            <w:vAlign w:val="bottom"/>
          </w:tcPr>
          <w:p w14:paraId="2F5D05F0" w14:textId="4FF3BB8B" w:rsidR="000E5963" w:rsidRPr="000E5963" w:rsidRDefault="00D94971" w:rsidP="000E5963">
            <w:pPr>
              <w:spacing w:after="0" w:line="240" w:lineRule="auto"/>
              <w:ind w:left="-115"/>
              <w:jc w:val="right"/>
              <w:rPr>
                <w:rFonts w:ascii="Calibri" w:eastAsia="Times New Roman" w:hAnsi="Calibri" w:cs="Calibri"/>
                <w:b/>
                <w:bCs/>
                <w:sz w:val="21"/>
                <w:szCs w:val="21"/>
                <w:highlight w:val="yellow"/>
                <w:lang w:val="en-IE" w:eastAsia="en-IE"/>
              </w:rPr>
            </w:pPr>
            <w:r>
              <w:rPr>
                <w:rFonts w:ascii="Calibri" w:eastAsia="Times New Roman" w:hAnsi="Calibri" w:cs="Calibri"/>
                <w:b/>
                <w:bCs/>
                <w:sz w:val="21"/>
                <w:szCs w:val="21"/>
                <w:highlight w:val="yellow"/>
                <w:lang w:val="en-IE" w:eastAsia="en-IE"/>
              </w:rPr>
              <w:t>1,6</w:t>
            </w:r>
            <w:r w:rsidR="00FE0CE3">
              <w:rPr>
                <w:rFonts w:ascii="Calibri" w:eastAsia="Times New Roman" w:hAnsi="Calibri" w:cs="Calibri"/>
                <w:b/>
                <w:bCs/>
                <w:sz w:val="21"/>
                <w:szCs w:val="21"/>
                <w:highlight w:val="yellow"/>
                <w:lang w:val="en-IE" w:eastAsia="en-IE"/>
              </w:rPr>
              <w:t>98.6</w:t>
            </w:r>
          </w:p>
        </w:tc>
        <w:tc>
          <w:tcPr>
            <w:tcW w:w="1559" w:type="dxa"/>
            <w:tcBorders>
              <w:top w:val="nil"/>
              <w:left w:val="nil"/>
              <w:bottom w:val="single" w:sz="12" w:space="0" w:color="auto"/>
              <w:right w:val="nil"/>
            </w:tcBorders>
            <w:shd w:val="clear" w:color="000000" w:fill="FFFF00"/>
            <w:vAlign w:val="bottom"/>
          </w:tcPr>
          <w:p w14:paraId="1EB99DD5" w14:textId="56AFAD9C" w:rsidR="000E5963" w:rsidRPr="000E5963" w:rsidRDefault="00FE0CE3"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20.3</w:t>
            </w:r>
          </w:p>
        </w:tc>
        <w:tc>
          <w:tcPr>
            <w:tcW w:w="1419" w:type="dxa"/>
            <w:tcBorders>
              <w:top w:val="nil"/>
              <w:left w:val="nil"/>
              <w:bottom w:val="single" w:sz="12" w:space="0" w:color="auto"/>
              <w:right w:val="nil"/>
            </w:tcBorders>
            <w:shd w:val="clear" w:color="000000" w:fill="FFFF00"/>
            <w:vAlign w:val="bottom"/>
          </w:tcPr>
          <w:p w14:paraId="51E8BF75" w14:textId="6723C0CA" w:rsidR="000E5963" w:rsidRPr="000E5963" w:rsidRDefault="00D94971" w:rsidP="000E5963">
            <w:pPr>
              <w:spacing w:after="0" w:line="240" w:lineRule="auto"/>
              <w:ind w:left="-115" w:right="29"/>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w:t>
            </w:r>
          </w:p>
        </w:tc>
        <w:tc>
          <w:tcPr>
            <w:tcW w:w="1275" w:type="dxa"/>
            <w:tcBorders>
              <w:top w:val="nil"/>
              <w:left w:val="nil"/>
              <w:bottom w:val="single" w:sz="12" w:space="0" w:color="auto"/>
              <w:right w:val="nil"/>
            </w:tcBorders>
            <w:shd w:val="clear" w:color="000000" w:fill="FFFF00"/>
            <w:noWrap/>
            <w:vAlign w:val="bottom"/>
          </w:tcPr>
          <w:p w14:paraId="6905C57E" w14:textId="591042A0" w:rsidR="000E5963" w:rsidRPr="000E5963" w:rsidRDefault="00D94971"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1,718.9</w:t>
            </w:r>
          </w:p>
        </w:tc>
      </w:tr>
      <w:tr w:rsidR="000E5963" w:rsidRPr="000E5963" w14:paraId="196EDF79" w14:textId="77777777" w:rsidTr="000E5963">
        <w:trPr>
          <w:trHeight w:val="319"/>
        </w:trPr>
        <w:tc>
          <w:tcPr>
            <w:tcW w:w="4962" w:type="dxa"/>
            <w:shd w:val="clear" w:color="auto" w:fill="FFFFFF"/>
            <w:vAlign w:val="bottom"/>
          </w:tcPr>
          <w:p w14:paraId="5F434ABF"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p>
        </w:tc>
        <w:tc>
          <w:tcPr>
            <w:tcW w:w="1559" w:type="dxa"/>
            <w:tcBorders>
              <w:top w:val="nil"/>
              <w:left w:val="nil"/>
              <w:right w:val="nil"/>
            </w:tcBorders>
            <w:shd w:val="clear" w:color="000000" w:fill="FFFF00"/>
            <w:noWrap/>
            <w:vAlign w:val="bottom"/>
          </w:tcPr>
          <w:p w14:paraId="339776BA"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tcBorders>
              <w:top w:val="nil"/>
              <w:left w:val="nil"/>
              <w:right w:val="nil"/>
            </w:tcBorders>
            <w:shd w:val="clear" w:color="000000" w:fill="FFFF00"/>
            <w:vAlign w:val="bottom"/>
          </w:tcPr>
          <w:p w14:paraId="54B28247"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c>
          <w:tcPr>
            <w:tcW w:w="1419" w:type="dxa"/>
            <w:tcBorders>
              <w:top w:val="nil"/>
              <w:left w:val="nil"/>
              <w:right w:val="nil"/>
            </w:tcBorders>
            <w:shd w:val="clear" w:color="000000" w:fill="FFFF00"/>
            <w:vAlign w:val="bottom"/>
          </w:tcPr>
          <w:p w14:paraId="5F3CCD49" w14:textId="77777777" w:rsidR="000E5963" w:rsidRPr="000E5963" w:rsidRDefault="000E5963" w:rsidP="000E5963">
            <w:pPr>
              <w:spacing w:after="0" w:line="240" w:lineRule="auto"/>
              <w:ind w:left="-115" w:right="29"/>
              <w:jc w:val="right"/>
              <w:rPr>
                <w:rFonts w:ascii="Calibri" w:eastAsia="Times New Roman" w:hAnsi="Calibri" w:cs="Calibri"/>
                <w:b/>
                <w:bCs/>
                <w:sz w:val="21"/>
                <w:szCs w:val="21"/>
                <w:lang w:val="en-IE" w:eastAsia="en-US"/>
              </w:rPr>
            </w:pPr>
          </w:p>
        </w:tc>
        <w:tc>
          <w:tcPr>
            <w:tcW w:w="1275" w:type="dxa"/>
            <w:tcBorders>
              <w:top w:val="nil"/>
              <w:left w:val="nil"/>
              <w:right w:val="nil"/>
            </w:tcBorders>
            <w:shd w:val="clear" w:color="000000" w:fill="FFFF00"/>
            <w:noWrap/>
            <w:vAlign w:val="bottom"/>
          </w:tcPr>
          <w:p w14:paraId="3A9C4E26" w14:textId="77777777" w:rsidR="000E5963" w:rsidRPr="000E5963" w:rsidRDefault="000E5963" w:rsidP="000E5963">
            <w:pPr>
              <w:spacing w:after="0" w:line="240" w:lineRule="auto"/>
              <w:ind w:left="-115" w:right="40"/>
              <w:jc w:val="right"/>
              <w:rPr>
                <w:rFonts w:ascii="Calibri" w:eastAsia="Times New Roman" w:hAnsi="Calibri" w:cs="Calibri"/>
                <w:b/>
                <w:bCs/>
                <w:color w:val="000000"/>
                <w:sz w:val="21"/>
                <w:szCs w:val="21"/>
                <w:lang w:val="en-IE" w:eastAsia="en-US"/>
              </w:rPr>
            </w:pPr>
          </w:p>
        </w:tc>
      </w:tr>
      <w:tr w:rsidR="000E5963" w:rsidRPr="000E5963" w14:paraId="045C5CE2" w14:textId="77777777" w:rsidTr="000E5963">
        <w:trPr>
          <w:trHeight w:val="319"/>
        </w:trPr>
        <w:tc>
          <w:tcPr>
            <w:tcW w:w="4962" w:type="dxa"/>
            <w:shd w:val="clear" w:color="auto" w:fill="FFFFFF"/>
            <w:vAlign w:val="bottom"/>
            <w:hideMark/>
          </w:tcPr>
          <w:p w14:paraId="4D7FEC5D" w14:textId="77777777" w:rsidR="000E5963" w:rsidRPr="000E5963" w:rsidRDefault="000E5963" w:rsidP="000E5963">
            <w:pPr>
              <w:spacing w:after="0" w:line="240" w:lineRule="auto"/>
              <w:ind w:left="30"/>
              <w:jc w:val="both"/>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Other segment information: </w:t>
            </w:r>
          </w:p>
        </w:tc>
        <w:tc>
          <w:tcPr>
            <w:tcW w:w="1559" w:type="dxa"/>
            <w:shd w:val="clear" w:color="auto" w:fill="FFFF00"/>
            <w:noWrap/>
            <w:vAlign w:val="bottom"/>
          </w:tcPr>
          <w:p w14:paraId="3F9B8999"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lang w:val="en-IE" w:eastAsia="en-IE"/>
              </w:rPr>
            </w:pPr>
          </w:p>
        </w:tc>
        <w:tc>
          <w:tcPr>
            <w:tcW w:w="1559" w:type="dxa"/>
            <w:shd w:val="clear" w:color="auto" w:fill="FFFF00"/>
            <w:vAlign w:val="bottom"/>
          </w:tcPr>
          <w:p w14:paraId="4CFA75F1" w14:textId="77777777" w:rsidR="000E5963" w:rsidRPr="000E5963" w:rsidRDefault="000E5963" w:rsidP="000E5963">
            <w:pPr>
              <w:spacing w:after="0" w:line="240" w:lineRule="auto"/>
              <w:ind w:left="-115" w:right="40"/>
              <w:jc w:val="right"/>
              <w:rPr>
                <w:rFonts w:ascii="Calibri" w:eastAsia="Calibri" w:hAnsi="Calibri" w:cs="Calibri"/>
                <w:b/>
                <w:bCs/>
                <w:sz w:val="21"/>
                <w:szCs w:val="21"/>
                <w:lang w:val="en-IE" w:eastAsia="en-IE"/>
              </w:rPr>
            </w:pPr>
          </w:p>
        </w:tc>
        <w:tc>
          <w:tcPr>
            <w:tcW w:w="1419" w:type="dxa"/>
            <w:shd w:val="clear" w:color="auto" w:fill="FFFF00"/>
            <w:vAlign w:val="bottom"/>
          </w:tcPr>
          <w:p w14:paraId="3F8B83B4" w14:textId="77777777" w:rsidR="000E5963" w:rsidRPr="000E5963" w:rsidRDefault="000E5963" w:rsidP="000E5963">
            <w:pPr>
              <w:spacing w:after="0" w:line="240" w:lineRule="auto"/>
              <w:ind w:left="-115" w:right="29"/>
              <w:jc w:val="right"/>
              <w:rPr>
                <w:rFonts w:ascii="Calibri" w:eastAsia="Calibri" w:hAnsi="Calibri" w:cs="Calibri"/>
                <w:b/>
                <w:bCs/>
                <w:sz w:val="21"/>
                <w:szCs w:val="21"/>
                <w:lang w:val="en-IE" w:eastAsia="en-IE"/>
              </w:rPr>
            </w:pPr>
          </w:p>
        </w:tc>
        <w:tc>
          <w:tcPr>
            <w:tcW w:w="1275" w:type="dxa"/>
            <w:shd w:val="clear" w:color="auto" w:fill="FFFF00"/>
            <w:noWrap/>
            <w:vAlign w:val="bottom"/>
          </w:tcPr>
          <w:p w14:paraId="66487278" w14:textId="77777777" w:rsidR="000E5963" w:rsidRPr="000E5963" w:rsidRDefault="000E5963" w:rsidP="000E5963">
            <w:pPr>
              <w:spacing w:after="0" w:line="240" w:lineRule="auto"/>
              <w:ind w:left="-115" w:right="40"/>
              <w:jc w:val="right"/>
              <w:rPr>
                <w:rFonts w:ascii="Calibri" w:eastAsia="Calibri" w:hAnsi="Calibri" w:cs="Calibri"/>
                <w:b/>
                <w:bCs/>
                <w:sz w:val="21"/>
                <w:szCs w:val="21"/>
                <w:lang w:val="en-IE" w:eastAsia="en-IE"/>
              </w:rPr>
            </w:pPr>
          </w:p>
        </w:tc>
      </w:tr>
      <w:tr w:rsidR="000E5963" w:rsidRPr="000E5963" w14:paraId="67E566C9" w14:textId="77777777" w:rsidTr="000E5963">
        <w:trPr>
          <w:trHeight w:val="319"/>
        </w:trPr>
        <w:tc>
          <w:tcPr>
            <w:tcW w:w="4962" w:type="dxa"/>
            <w:shd w:val="clear" w:color="auto" w:fill="FFFFFF"/>
            <w:vAlign w:val="bottom"/>
            <w:hideMark/>
          </w:tcPr>
          <w:p w14:paraId="6664042B"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Depreciation</w:t>
            </w:r>
          </w:p>
        </w:tc>
        <w:tc>
          <w:tcPr>
            <w:tcW w:w="1559" w:type="dxa"/>
            <w:tcBorders>
              <w:top w:val="nil"/>
              <w:left w:val="nil"/>
              <w:right w:val="nil"/>
            </w:tcBorders>
            <w:shd w:val="clear" w:color="000000" w:fill="FFFF00"/>
            <w:noWrap/>
            <w:vAlign w:val="bottom"/>
          </w:tcPr>
          <w:p w14:paraId="2600DD0F" w14:textId="7693EDAA" w:rsidR="000E5963" w:rsidRPr="000E5963" w:rsidRDefault="00D94971" w:rsidP="000E5963">
            <w:pPr>
              <w:spacing w:after="0" w:line="240" w:lineRule="auto"/>
              <w:ind w:left="-115"/>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(334.6)</w:t>
            </w:r>
          </w:p>
        </w:tc>
        <w:tc>
          <w:tcPr>
            <w:tcW w:w="1559" w:type="dxa"/>
            <w:tcBorders>
              <w:top w:val="nil"/>
              <w:left w:val="nil"/>
              <w:right w:val="nil"/>
            </w:tcBorders>
            <w:shd w:val="clear" w:color="000000" w:fill="FFFF00"/>
            <w:vAlign w:val="bottom"/>
          </w:tcPr>
          <w:p w14:paraId="0A2D5075" w14:textId="5D886B3A"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(9.6)</w:t>
            </w:r>
          </w:p>
        </w:tc>
        <w:tc>
          <w:tcPr>
            <w:tcW w:w="1419" w:type="dxa"/>
            <w:tcBorders>
              <w:top w:val="nil"/>
              <w:left w:val="nil"/>
              <w:right w:val="nil"/>
            </w:tcBorders>
            <w:shd w:val="clear" w:color="000000" w:fill="FFFF00"/>
            <w:vAlign w:val="bottom"/>
          </w:tcPr>
          <w:p w14:paraId="07746157" w14:textId="55866AA8" w:rsidR="000E5963" w:rsidRPr="000E5963" w:rsidRDefault="00D94971" w:rsidP="000E5963">
            <w:pPr>
              <w:spacing w:after="0" w:line="240" w:lineRule="auto"/>
              <w:ind w:left="-115" w:right="29"/>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w:t>
            </w:r>
          </w:p>
        </w:tc>
        <w:tc>
          <w:tcPr>
            <w:tcW w:w="1275" w:type="dxa"/>
            <w:tcBorders>
              <w:top w:val="nil"/>
              <w:left w:val="nil"/>
              <w:right w:val="nil"/>
            </w:tcBorders>
            <w:shd w:val="clear" w:color="000000" w:fill="FFFF00"/>
            <w:noWrap/>
            <w:vAlign w:val="bottom"/>
          </w:tcPr>
          <w:p w14:paraId="16C6E900" w14:textId="0CC285C1" w:rsidR="000E5963" w:rsidRPr="000E5963" w:rsidRDefault="00D94971" w:rsidP="000E5963">
            <w:pPr>
              <w:spacing w:after="0" w:line="240" w:lineRule="auto"/>
              <w:ind w:left="-115" w:right="40"/>
              <w:jc w:val="right"/>
              <w:rPr>
                <w:rFonts w:ascii="Calibri" w:eastAsia="Times New Roman" w:hAnsi="Calibri" w:cs="Calibri"/>
                <w:b/>
                <w:bCs/>
                <w:color w:val="000000"/>
                <w:sz w:val="21"/>
                <w:szCs w:val="21"/>
                <w:lang w:val="en-IE" w:eastAsia="en-US"/>
              </w:rPr>
            </w:pPr>
            <w:r>
              <w:rPr>
                <w:rFonts w:ascii="Calibri" w:eastAsia="Times New Roman" w:hAnsi="Calibri" w:cs="Calibri"/>
                <w:b/>
                <w:bCs/>
                <w:color w:val="000000"/>
                <w:sz w:val="21"/>
                <w:szCs w:val="21"/>
                <w:lang w:val="en-IE" w:eastAsia="en-US"/>
              </w:rPr>
              <w:t>(344.2)</w:t>
            </w:r>
          </w:p>
        </w:tc>
      </w:tr>
      <w:tr w:rsidR="000E5963" w:rsidRPr="000E5963" w14:paraId="2CF929AA" w14:textId="77777777" w:rsidTr="000E5963">
        <w:trPr>
          <w:trHeight w:val="319"/>
        </w:trPr>
        <w:tc>
          <w:tcPr>
            <w:tcW w:w="4962" w:type="dxa"/>
            <w:shd w:val="clear" w:color="auto" w:fill="FFFFFF"/>
            <w:vAlign w:val="bottom"/>
          </w:tcPr>
          <w:p w14:paraId="66A5194A"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Net finance and other income</w:t>
            </w:r>
          </w:p>
        </w:tc>
        <w:tc>
          <w:tcPr>
            <w:tcW w:w="1559" w:type="dxa"/>
            <w:tcBorders>
              <w:top w:val="nil"/>
              <w:left w:val="nil"/>
              <w:right w:val="nil"/>
            </w:tcBorders>
            <w:shd w:val="clear" w:color="000000" w:fill="FFFF00"/>
            <w:noWrap/>
            <w:vAlign w:val="bottom"/>
          </w:tcPr>
          <w:p w14:paraId="66C817C7" w14:textId="38A73F2C" w:rsidR="000E5963" w:rsidRPr="000E5963" w:rsidRDefault="00545AA8" w:rsidP="000E5963">
            <w:pPr>
              <w:spacing w:after="0" w:line="240" w:lineRule="auto"/>
              <w:ind w:left="-115"/>
              <w:jc w:val="right"/>
              <w:rPr>
                <w:rFonts w:ascii="Calibri" w:eastAsia="Times New Roman" w:hAnsi="Calibri" w:cs="Calibri"/>
                <w:b/>
                <w:bCs/>
                <w:sz w:val="21"/>
                <w:szCs w:val="21"/>
                <w:lang w:val="en-IE" w:eastAsia="en-IE"/>
              </w:rPr>
            </w:pPr>
            <w:r>
              <w:rPr>
                <w:rFonts w:ascii="Calibri" w:eastAsia="Times New Roman" w:hAnsi="Calibri" w:cs="Calibri"/>
                <w:b/>
                <w:bCs/>
                <w:sz w:val="21"/>
                <w:szCs w:val="21"/>
                <w:lang w:val="en-IE" w:eastAsia="en-IE"/>
              </w:rPr>
              <w:t>1</w:t>
            </w:r>
            <w:r w:rsidR="00264F08">
              <w:rPr>
                <w:rFonts w:ascii="Calibri" w:eastAsia="Times New Roman" w:hAnsi="Calibri" w:cs="Calibri"/>
                <w:b/>
                <w:bCs/>
                <w:sz w:val="21"/>
                <w:szCs w:val="21"/>
                <w:lang w:val="en-IE" w:eastAsia="en-IE"/>
              </w:rPr>
              <w:t>3.6</w:t>
            </w:r>
          </w:p>
        </w:tc>
        <w:tc>
          <w:tcPr>
            <w:tcW w:w="1559" w:type="dxa"/>
            <w:tcBorders>
              <w:top w:val="nil"/>
              <w:left w:val="nil"/>
              <w:right w:val="nil"/>
            </w:tcBorders>
            <w:shd w:val="clear" w:color="000000" w:fill="FFFF00"/>
            <w:vAlign w:val="bottom"/>
          </w:tcPr>
          <w:p w14:paraId="25451CB7" w14:textId="273543D0" w:rsidR="000E5963" w:rsidRPr="000E5963" w:rsidRDefault="00545AA8" w:rsidP="000E5963">
            <w:pPr>
              <w:spacing w:after="0" w:line="240" w:lineRule="auto"/>
              <w:ind w:left="-115" w:right="40"/>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(1.5)</w:t>
            </w:r>
          </w:p>
        </w:tc>
        <w:tc>
          <w:tcPr>
            <w:tcW w:w="1419" w:type="dxa"/>
            <w:tcBorders>
              <w:top w:val="nil"/>
              <w:left w:val="nil"/>
              <w:right w:val="nil"/>
            </w:tcBorders>
            <w:shd w:val="clear" w:color="000000" w:fill="FFFF00"/>
            <w:vAlign w:val="bottom"/>
          </w:tcPr>
          <w:p w14:paraId="676B4FC7" w14:textId="7937C4DD" w:rsidR="000E5963" w:rsidRPr="000E5963" w:rsidRDefault="00AA2CC0" w:rsidP="000E5963">
            <w:pPr>
              <w:spacing w:after="0" w:line="240" w:lineRule="auto"/>
              <w:ind w:left="-115" w:right="29"/>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w:t>
            </w:r>
          </w:p>
        </w:tc>
        <w:tc>
          <w:tcPr>
            <w:tcW w:w="1275" w:type="dxa"/>
            <w:tcBorders>
              <w:top w:val="nil"/>
              <w:left w:val="nil"/>
              <w:right w:val="nil"/>
            </w:tcBorders>
            <w:shd w:val="clear" w:color="000000" w:fill="FFFF00"/>
            <w:noWrap/>
            <w:vAlign w:val="bottom"/>
          </w:tcPr>
          <w:p w14:paraId="1AE06115" w14:textId="22862A62" w:rsidR="000E5963" w:rsidRPr="000E5963" w:rsidRDefault="00545AA8" w:rsidP="000E5963">
            <w:pPr>
              <w:spacing w:after="0" w:line="240" w:lineRule="auto"/>
              <w:ind w:left="-115" w:right="40"/>
              <w:jc w:val="right"/>
              <w:rPr>
                <w:rFonts w:ascii="Calibri" w:eastAsia="Calibri" w:hAnsi="Calibri" w:cs="Calibri"/>
                <w:b/>
                <w:bCs/>
                <w:sz w:val="21"/>
                <w:szCs w:val="21"/>
                <w:lang w:val="en-IE" w:eastAsia="en-IE"/>
              </w:rPr>
            </w:pPr>
            <w:r>
              <w:rPr>
                <w:rFonts w:ascii="Calibri" w:eastAsia="Calibri" w:hAnsi="Calibri" w:cs="Calibri"/>
                <w:b/>
                <w:bCs/>
                <w:sz w:val="21"/>
                <w:szCs w:val="21"/>
                <w:lang w:val="en-IE" w:eastAsia="en-IE"/>
              </w:rPr>
              <w:t>1</w:t>
            </w:r>
            <w:r w:rsidR="00264F08">
              <w:rPr>
                <w:rFonts w:ascii="Calibri" w:eastAsia="Calibri" w:hAnsi="Calibri" w:cs="Calibri"/>
                <w:b/>
                <w:bCs/>
                <w:sz w:val="21"/>
                <w:szCs w:val="21"/>
                <w:lang w:val="en-IE" w:eastAsia="en-IE"/>
              </w:rPr>
              <w:t>2.1</w:t>
            </w:r>
          </w:p>
        </w:tc>
      </w:tr>
      <w:tr w:rsidR="000E5963" w:rsidRPr="000E5963" w14:paraId="632A137D" w14:textId="77777777" w:rsidTr="000E5963">
        <w:trPr>
          <w:trHeight w:val="319"/>
        </w:trPr>
        <w:tc>
          <w:tcPr>
            <w:tcW w:w="4962" w:type="dxa"/>
            <w:shd w:val="clear" w:color="auto" w:fill="FFFFFF"/>
            <w:vAlign w:val="bottom"/>
            <w:hideMark/>
          </w:tcPr>
          <w:p w14:paraId="6DC019B9"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Capital expenditure</w:t>
            </w:r>
          </w:p>
        </w:tc>
        <w:tc>
          <w:tcPr>
            <w:tcW w:w="1559" w:type="dxa"/>
            <w:tcBorders>
              <w:left w:val="nil"/>
              <w:right w:val="nil"/>
            </w:tcBorders>
            <w:shd w:val="clear" w:color="000000" w:fill="FFFF00"/>
            <w:noWrap/>
            <w:vAlign w:val="bottom"/>
          </w:tcPr>
          <w:p w14:paraId="7DA7CC88" w14:textId="610CB5D9" w:rsidR="000E5963" w:rsidRPr="000E5963" w:rsidRDefault="00795C1D" w:rsidP="000E5963">
            <w:pPr>
              <w:spacing w:after="0" w:line="240" w:lineRule="auto"/>
              <w:ind w:left="-115"/>
              <w:jc w:val="right"/>
              <w:rPr>
                <w:rFonts w:ascii="Calibri" w:eastAsia="Times New Roman" w:hAnsi="Calibri" w:cs="Calibri"/>
                <w:b/>
                <w:bCs/>
                <w:color w:val="000000"/>
                <w:sz w:val="21"/>
                <w:szCs w:val="21"/>
                <w:highlight w:val="yellow"/>
                <w:lang w:val="en-IE" w:eastAsia="en-IE"/>
              </w:rPr>
            </w:pPr>
            <w:r>
              <w:rPr>
                <w:rFonts w:ascii="Calibri" w:eastAsia="Times New Roman" w:hAnsi="Calibri" w:cs="Calibri"/>
                <w:b/>
                <w:bCs/>
                <w:color w:val="000000"/>
                <w:sz w:val="21"/>
                <w:szCs w:val="21"/>
                <w:highlight w:val="yellow"/>
                <w:lang w:val="en-IE" w:eastAsia="en-IE"/>
              </w:rPr>
              <w:t>(437.4)</w:t>
            </w:r>
          </w:p>
        </w:tc>
        <w:tc>
          <w:tcPr>
            <w:tcW w:w="1559" w:type="dxa"/>
            <w:tcBorders>
              <w:left w:val="nil"/>
              <w:right w:val="nil"/>
            </w:tcBorders>
            <w:shd w:val="clear" w:color="000000" w:fill="FFFF00"/>
            <w:vAlign w:val="bottom"/>
          </w:tcPr>
          <w:p w14:paraId="295E8733" w14:textId="280CBFF9" w:rsidR="000E5963" w:rsidRPr="000E5963" w:rsidRDefault="00795C1D"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(9.9)</w:t>
            </w:r>
          </w:p>
        </w:tc>
        <w:tc>
          <w:tcPr>
            <w:tcW w:w="1419" w:type="dxa"/>
            <w:tcBorders>
              <w:left w:val="nil"/>
              <w:right w:val="nil"/>
            </w:tcBorders>
            <w:shd w:val="clear" w:color="000000" w:fill="FFFF00"/>
            <w:vAlign w:val="bottom"/>
          </w:tcPr>
          <w:p w14:paraId="2A758ADE" w14:textId="5AFB63FD" w:rsidR="000E5963" w:rsidRPr="000E5963" w:rsidRDefault="00AA2CC0" w:rsidP="000E5963">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w:t>
            </w:r>
          </w:p>
        </w:tc>
        <w:tc>
          <w:tcPr>
            <w:tcW w:w="1275" w:type="dxa"/>
            <w:tcBorders>
              <w:left w:val="nil"/>
              <w:right w:val="nil"/>
            </w:tcBorders>
            <w:shd w:val="clear" w:color="000000" w:fill="FFFF00"/>
            <w:noWrap/>
            <w:vAlign w:val="bottom"/>
          </w:tcPr>
          <w:p w14:paraId="7A5D2A3B" w14:textId="03CF7856" w:rsidR="000E5963" w:rsidRPr="000E5963" w:rsidRDefault="00795C1D" w:rsidP="000E5963">
            <w:pPr>
              <w:spacing w:after="0" w:line="240" w:lineRule="auto"/>
              <w:ind w:left="-115" w:right="40"/>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(447.3)</w:t>
            </w:r>
          </w:p>
        </w:tc>
      </w:tr>
      <w:tr w:rsidR="000E5963" w:rsidRPr="000E5963" w14:paraId="2133AF68" w14:textId="77777777" w:rsidTr="000E5963">
        <w:trPr>
          <w:trHeight w:val="319"/>
        </w:trPr>
        <w:tc>
          <w:tcPr>
            <w:tcW w:w="4962" w:type="dxa"/>
            <w:shd w:val="clear" w:color="auto" w:fill="FFFFFF"/>
            <w:vAlign w:val="bottom"/>
          </w:tcPr>
          <w:p w14:paraId="603A9E91"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Staff costs</w:t>
            </w:r>
          </w:p>
        </w:tc>
        <w:tc>
          <w:tcPr>
            <w:tcW w:w="1559" w:type="dxa"/>
            <w:tcBorders>
              <w:left w:val="nil"/>
              <w:right w:val="nil"/>
            </w:tcBorders>
            <w:shd w:val="clear" w:color="000000" w:fill="FFFF00"/>
            <w:noWrap/>
            <w:vAlign w:val="bottom"/>
          </w:tcPr>
          <w:p w14:paraId="43E1F9B1" w14:textId="7BA52387" w:rsidR="000E5963" w:rsidRPr="000E5963" w:rsidRDefault="00545AA8" w:rsidP="000E5963">
            <w:pPr>
              <w:spacing w:after="0" w:line="240" w:lineRule="auto"/>
              <w:ind w:left="-115"/>
              <w:jc w:val="right"/>
              <w:rPr>
                <w:rFonts w:ascii="Calibri" w:eastAsia="Times New Roman" w:hAnsi="Calibri" w:cs="Calibri"/>
                <w:b/>
                <w:bCs/>
                <w:color w:val="000000"/>
                <w:sz w:val="21"/>
                <w:szCs w:val="21"/>
                <w:highlight w:val="yellow"/>
                <w:lang w:val="en-IE" w:eastAsia="en-IE"/>
              </w:rPr>
            </w:pPr>
            <w:r>
              <w:rPr>
                <w:rFonts w:ascii="Calibri" w:eastAsia="Times New Roman" w:hAnsi="Calibri" w:cs="Calibri"/>
                <w:b/>
                <w:bCs/>
                <w:color w:val="000000"/>
                <w:sz w:val="21"/>
                <w:szCs w:val="21"/>
                <w:highlight w:val="yellow"/>
                <w:lang w:val="en-IE" w:eastAsia="en-IE"/>
              </w:rPr>
              <w:t>(287.7)</w:t>
            </w:r>
          </w:p>
        </w:tc>
        <w:tc>
          <w:tcPr>
            <w:tcW w:w="1559" w:type="dxa"/>
            <w:tcBorders>
              <w:left w:val="nil"/>
              <w:right w:val="nil"/>
            </w:tcBorders>
            <w:shd w:val="clear" w:color="000000" w:fill="FFFF00"/>
            <w:vAlign w:val="bottom"/>
          </w:tcPr>
          <w:p w14:paraId="4F34CD0C" w14:textId="7D3D9AEC" w:rsidR="000E5963" w:rsidRPr="000E5963" w:rsidRDefault="00545AA8" w:rsidP="000E5963">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sz w:val="21"/>
                <w:szCs w:val="21"/>
                <w:highlight w:val="yellow"/>
                <w:lang w:val="en-IE" w:eastAsia="en-US"/>
              </w:rPr>
              <w:t>(176.2)</w:t>
            </w:r>
          </w:p>
        </w:tc>
        <w:tc>
          <w:tcPr>
            <w:tcW w:w="1419" w:type="dxa"/>
            <w:tcBorders>
              <w:left w:val="nil"/>
              <w:right w:val="nil"/>
            </w:tcBorders>
            <w:shd w:val="clear" w:color="000000" w:fill="FFFF00"/>
            <w:vAlign w:val="bottom"/>
          </w:tcPr>
          <w:p w14:paraId="37AB25B8" w14:textId="5DECA824" w:rsidR="000E5963" w:rsidRPr="000E5963" w:rsidRDefault="00AA2CC0" w:rsidP="000E5963">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w:t>
            </w:r>
          </w:p>
        </w:tc>
        <w:tc>
          <w:tcPr>
            <w:tcW w:w="1275" w:type="dxa"/>
            <w:tcBorders>
              <w:left w:val="nil"/>
              <w:right w:val="nil"/>
            </w:tcBorders>
            <w:shd w:val="clear" w:color="000000" w:fill="FFFF00"/>
            <w:noWrap/>
            <w:vAlign w:val="bottom"/>
          </w:tcPr>
          <w:p w14:paraId="3BD2CDF3" w14:textId="026F0A0E" w:rsidR="000E5963" w:rsidRPr="000E5963" w:rsidRDefault="00AA2CC0" w:rsidP="000E5963">
            <w:pPr>
              <w:spacing w:after="0" w:line="240" w:lineRule="auto"/>
              <w:ind w:left="-115" w:right="40"/>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highlight w:val="yellow"/>
                <w:lang w:val="en-IE" w:eastAsia="en-IE"/>
              </w:rPr>
              <w:t>(463.9)</w:t>
            </w:r>
          </w:p>
        </w:tc>
      </w:tr>
      <w:tr w:rsidR="000E5963" w:rsidRPr="000E5963" w14:paraId="0E8FEDCE" w14:textId="77777777" w:rsidTr="000E5963">
        <w:trPr>
          <w:trHeight w:val="319"/>
        </w:trPr>
        <w:tc>
          <w:tcPr>
            <w:tcW w:w="4962" w:type="dxa"/>
            <w:shd w:val="clear" w:color="auto" w:fill="FFFFFF"/>
            <w:vAlign w:val="bottom"/>
          </w:tcPr>
          <w:p w14:paraId="56DCF13C" w14:textId="77777777" w:rsidR="000E5963" w:rsidRPr="000E5963" w:rsidRDefault="000E5963" w:rsidP="000E5963">
            <w:pPr>
              <w:spacing w:after="0" w:line="240" w:lineRule="auto"/>
              <w:ind w:left="30"/>
              <w:jc w:val="both"/>
              <w:rPr>
                <w:rFonts w:ascii="Calibri" w:eastAsia="Times New Roman" w:hAnsi="Calibri" w:cs="Calibri"/>
                <w:color w:val="000000"/>
                <w:sz w:val="21"/>
                <w:szCs w:val="21"/>
                <w:lang w:val="en-IE" w:eastAsia="en-IE"/>
              </w:rPr>
            </w:pPr>
          </w:p>
        </w:tc>
        <w:tc>
          <w:tcPr>
            <w:tcW w:w="1559" w:type="dxa"/>
            <w:tcBorders>
              <w:left w:val="nil"/>
              <w:right w:val="nil"/>
            </w:tcBorders>
            <w:shd w:val="clear" w:color="000000" w:fill="FFFF00"/>
            <w:noWrap/>
            <w:vAlign w:val="bottom"/>
          </w:tcPr>
          <w:p w14:paraId="751F7D6F" w14:textId="77777777" w:rsidR="000E5963" w:rsidRPr="000E5963" w:rsidRDefault="000E5963" w:rsidP="000E5963">
            <w:pPr>
              <w:spacing w:after="0" w:line="240" w:lineRule="auto"/>
              <w:ind w:left="-115"/>
              <w:jc w:val="right"/>
              <w:rPr>
                <w:rFonts w:ascii="Calibri" w:eastAsia="Times New Roman" w:hAnsi="Calibri" w:cs="Calibri"/>
                <w:b/>
                <w:bCs/>
                <w:color w:val="000000"/>
                <w:sz w:val="21"/>
                <w:szCs w:val="21"/>
                <w:highlight w:val="green"/>
                <w:lang w:val="en-IE" w:eastAsia="en-IE"/>
              </w:rPr>
            </w:pPr>
          </w:p>
        </w:tc>
        <w:tc>
          <w:tcPr>
            <w:tcW w:w="1559" w:type="dxa"/>
            <w:tcBorders>
              <w:left w:val="nil"/>
              <w:right w:val="nil"/>
            </w:tcBorders>
            <w:shd w:val="clear" w:color="000000" w:fill="FFFF00"/>
            <w:vAlign w:val="bottom"/>
          </w:tcPr>
          <w:p w14:paraId="541C0814" w14:textId="77777777" w:rsidR="000E5963" w:rsidRPr="000E5963" w:rsidRDefault="000E5963" w:rsidP="000E5963">
            <w:pPr>
              <w:spacing w:after="0" w:line="240" w:lineRule="auto"/>
              <w:ind w:left="-115" w:right="40"/>
              <w:jc w:val="right"/>
              <w:rPr>
                <w:rFonts w:ascii="Calibri" w:eastAsia="Times New Roman" w:hAnsi="Calibri" w:cs="Calibri"/>
                <w:b/>
                <w:bCs/>
                <w:sz w:val="21"/>
                <w:szCs w:val="21"/>
                <w:highlight w:val="green"/>
                <w:lang w:val="en-IE" w:eastAsia="en-US"/>
              </w:rPr>
            </w:pPr>
          </w:p>
        </w:tc>
        <w:tc>
          <w:tcPr>
            <w:tcW w:w="1419" w:type="dxa"/>
            <w:tcBorders>
              <w:left w:val="nil"/>
              <w:right w:val="nil"/>
            </w:tcBorders>
            <w:shd w:val="clear" w:color="000000" w:fill="FFFF00"/>
            <w:vAlign w:val="bottom"/>
          </w:tcPr>
          <w:p w14:paraId="526ED1BD" w14:textId="77777777" w:rsidR="000E5963" w:rsidRPr="000E5963" w:rsidRDefault="000E5963" w:rsidP="000E5963">
            <w:pPr>
              <w:spacing w:after="0" w:line="240" w:lineRule="auto"/>
              <w:ind w:left="-115" w:right="29"/>
              <w:jc w:val="right"/>
              <w:rPr>
                <w:rFonts w:ascii="Calibri" w:eastAsia="Calibri" w:hAnsi="Calibri" w:cs="Calibri"/>
                <w:b/>
                <w:bCs/>
                <w:sz w:val="21"/>
                <w:szCs w:val="21"/>
                <w:lang w:val="en-IE" w:eastAsia="en-IE"/>
              </w:rPr>
            </w:pPr>
          </w:p>
        </w:tc>
        <w:tc>
          <w:tcPr>
            <w:tcW w:w="1275" w:type="dxa"/>
            <w:tcBorders>
              <w:left w:val="nil"/>
              <w:right w:val="nil"/>
            </w:tcBorders>
            <w:shd w:val="clear" w:color="000000" w:fill="FFFF00"/>
            <w:noWrap/>
            <w:vAlign w:val="bottom"/>
          </w:tcPr>
          <w:p w14:paraId="00711DC6" w14:textId="77777777" w:rsidR="000E5963" w:rsidRPr="000E5963" w:rsidRDefault="000E5963" w:rsidP="000E5963">
            <w:pPr>
              <w:spacing w:after="0" w:line="240" w:lineRule="auto"/>
              <w:ind w:left="-115" w:right="40"/>
              <w:jc w:val="right"/>
              <w:rPr>
                <w:rFonts w:ascii="Calibri" w:eastAsia="Calibri" w:hAnsi="Calibri" w:cs="Calibri"/>
                <w:b/>
                <w:bCs/>
                <w:sz w:val="21"/>
                <w:szCs w:val="21"/>
                <w:highlight w:val="green"/>
                <w:lang w:val="en-IE" w:eastAsia="en-IE"/>
              </w:rPr>
            </w:pPr>
          </w:p>
        </w:tc>
      </w:tr>
      <w:tr w:rsidR="00143507" w:rsidRPr="000E5963" w14:paraId="7BAA90C3" w14:textId="77777777" w:rsidTr="000E5963">
        <w:trPr>
          <w:trHeight w:val="319"/>
        </w:trPr>
        <w:tc>
          <w:tcPr>
            <w:tcW w:w="4962" w:type="dxa"/>
            <w:shd w:val="clear" w:color="auto" w:fill="FFFFFF"/>
            <w:vAlign w:val="bottom"/>
            <w:hideMark/>
          </w:tcPr>
          <w:p w14:paraId="42A2A625" w14:textId="77777777" w:rsidR="00143507" w:rsidRPr="000E5963" w:rsidRDefault="00143507" w:rsidP="00143507">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assets</w:t>
            </w:r>
          </w:p>
        </w:tc>
        <w:tc>
          <w:tcPr>
            <w:tcW w:w="1559" w:type="dxa"/>
            <w:tcBorders>
              <w:top w:val="nil"/>
              <w:left w:val="nil"/>
              <w:bottom w:val="nil"/>
              <w:right w:val="nil"/>
            </w:tcBorders>
            <w:shd w:val="clear" w:color="000000" w:fill="FFFF00"/>
            <w:noWrap/>
            <w:vAlign w:val="bottom"/>
          </w:tcPr>
          <w:p w14:paraId="74CCA228" w14:textId="747D9617" w:rsidR="00143507" w:rsidRPr="000E5963" w:rsidRDefault="00143507" w:rsidP="00143507">
            <w:pPr>
              <w:spacing w:after="0" w:line="240" w:lineRule="auto"/>
              <w:ind w:left="-115"/>
              <w:jc w:val="right"/>
              <w:rPr>
                <w:rFonts w:ascii="Calibri" w:eastAsia="Times New Roman" w:hAnsi="Calibri" w:cs="Calibri"/>
                <w:b/>
                <w:bCs/>
                <w:sz w:val="21"/>
                <w:szCs w:val="21"/>
                <w:highlight w:val="yellow"/>
                <w:lang w:val="en-IE" w:eastAsia="en-IE"/>
              </w:rPr>
            </w:pPr>
            <w:r>
              <w:rPr>
                <w:rFonts w:ascii="Calibri" w:eastAsia="Times New Roman" w:hAnsi="Calibri" w:cs="Calibri"/>
                <w:b/>
                <w:bCs/>
                <w:color w:val="000000"/>
                <w:sz w:val="21"/>
                <w:szCs w:val="21"/>
                <w:lang w:val="en-IE" w:eastAsia="en-IE"/>
              </w:rPr>
              <w:t>16,0</w:t>
            </w:r>
            <w:r w:rsidR="008B0C67">
              <w:rPr>
                <w:rFonts w:ascii="Calibri" w:eastAsia="Times New Roman" w:hAnsi="Calibri" w:cs="Calibri"/>
                <w:b/>
                <w:bCs/>
                <w:color w:val="000000"/>
                <w:sz w:val="21"/>
                <w:szCs w:val="21"/>
                <w:lang w:val="en-IE" w:eastAsia="en-IE"/>
              </w:rPr>
              <w:t>18.8</w:t>
            </w:r>
          </w:p>
        </w:tc>
        <w:tc>
          <w:tcPr>
            <w:tcW w:w="1559" w:type="dxa"/>
            <w:tcBorders>
              <w:top w:val="nil"/>
              <w:left w:val="nil"/>
              <w:bottom w:val="nil"/>
              <w:right w:val="nil"/>
            </w:tcBorders>
            <w:shd w:val="clear" w:color="000000" w:fill="FFFF00"/>
            <w:vAlign w:val="bottom"/>
          </w:tcPr>
          <w:p w14:paraId="6975D06A" w14:textId="798FDD85" w:rsidR="00143507" w:rsidRPr="000E5963" w:rsidRDefault="00143507" w:rsidP="00143507">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color w:val="000000"/>
                <w:sz w:val="21"/>
                <w:szCs w:val="21"/>
                <w:lang w:val="en-IE" w:eastAsia="en-US"/>
              </w:rPr>
              <w:t>370.</w:t>
            </w:r>
            <w:r w:rsidR="008B0C67">
              <w:rPr>
                <w:rFonts w:ascii="Calibri" w:eastAsia="Times New Roman" w:hAnsi="Calibri" w:cs="Calibri"/>
                <w:b/>
                <w:bCs/>
                <w:color w:val="000000"/>
                <w:sz w:val="21"/>
                <w:szCs w:val="21"/>
                <w:lang w:val="en-IE" w:eastAsia="en-US"/>
              </w:rPr>
              <w:t>3</w:t>
            </w:r>
          </w:p>
        </w:tc>
        <w:tc>
          <w:tcPr>
            <w:tcW w:w="1419" w:type="dxa"/>
            <w:tcBorders>
              <w:top w:val="nil"/>
              <w:left w:val="nil"/>
              <w:bottom w:val="nil"/>
              <w:right w:val="nil"/>
            </w:tcBorders>
            <w:shd w:val="clear" w:color="000000" w:fill="FFFF00"/>
            <w:vAlign w:val="bottom"/>
          </w:tcPr>
          <w:p w14:paraId="67C96452" w14:textId="238838CE" w:rsidR="00143507" w:rsidRPr="000E5963" w:rsidRDefault="00143507" w:rsidP="00143507">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lang w:val="en-IE" w:eastAsia="en-IE"/>
              </w:rPr>
              <w:t>-</w:t>
            </w:r>
          </w:p>
        </w:tc>
        <w:tc>
          <w:tcPr>
            <w:tcW w:w="1275" w:type="dxa"/>
            <w:tcBorders>
              <w:top w:val="nil"/>
              <w:left w:val="nil"/>
              <w:bottom w:val="nil"/>
              <w:right w:val="nil"/>
            </w:tcBorders>
            <w:shd w:val="clear" w:color="000000" w:fill="FFFF00"/>
            <w:noWrap/>
            <w:vAlign w:val="bottom"/>
          </w:tcPr>
          <w:p w14:paraId="341A9A9F" w14:textId="07BC0F73" w:rsidR="00143507" w:rsidRPr="000E5963" w:rsidRDefault="00143507" w:rsidP="00143507">
            <w:pPr>
              <w:spacing w:after="0" w:line="240" w:lineRule="auto"/>
              <w:ind w:left="-115" w:right="40"/>
              <w:jc w:val="right"/>
              <w:rPr>
                <w:rFonts w:ascii="Calibri" w:eastAsia="Calibri" w:hAnsi="Calibri" w:cs="Calibri"/>
                <w:b/>
                <w:bCs/>
                <w:sz w:val="21"/>
                <w:szCs w:val="21"/>
                <w:highlight w:val="yellow"/>
                <w:lang w:val="en-IE" w:eastAsia="en-IE"/>
              </w:rPr>
            </w:pPr>
            <w:r w:rsidRPr="0067690D">
              <w:rPr>
                <w:rFonts w:ascii="Calibri" w:eastAsia="Times New Roman" w:hAnsi="Calibri" w:cs="Calibri"/>
                <w:b/>
                <w:bCs/>
                <w:color w:val="000000"/>
                <w:sz w:val="21"/>
                <w:szCs w:val="21"/>
                <w:lang w:val="en-IE" w:eastAsia="en-US"/>
              </w:rPr>
              <w:t>16,3</w:t>
            </w:r>
            <w:r w:rsidR="008B0C67">
              <w:rPr>
                <w:rFonts w:ascii="Calibri" w:eastAsia="Times New Roman" w:hAnsi="Calibri" w:cs="Calibri"/>
                <w:b/>
                <w:bCs/>
                <w:color w:val="000000"/>
                <w:sz w:val="21"/>
                <w:szCs w:val="21"/>
                <w:lang w:val="en-IE" w:eastAsia="en-US"/>
              </w:rPr>
              <w:t>89</w:t>
            </w:r>
            <w:r>
              <w:rPr>
                <w:rFonts w:ascii="Calibri" w:eastAsia="Times New Roman" w:hAnsi="Calibri" w:cs="Calibri"/>
                <w:b/>
                <w:bCs/>
                <w:color w:val="000000"/>
                <w:sz w:val="21"/>
                <w:szCs w:val="21"/>
                <w:lang w:val="en-IE" w:eastAsia="en-US"/>
              </w:rPr>
              <w:t>.</w:t>
            </w:r>
            <w:r w:rsidR="008B0C67">
              <w:rPr>
                <w:rFonts w:ascii="Calibri" w:eastAsia="Times New Roman" w:hAnsi="Calibri" w:cs="Calibri"/>
                <w:b/>
                <w:bCs/>
                <w:color w:val="000000"/>
                <w:sz w:val="21"/>
                <w:szCs w:val="21"/>
                <w:lang w:val="en-IE" w:eastAsia="en-US"/>
              </w:rPr>
              <w:t>1</w:t>
            </w:r>
          </w:p>
        </w:tc>
      </w:tr>
      <w:tr w:rsidR="00143507" w:rsidRPr="000E5963" w14:paraId="521F1FB4" w14:textId="77777777" w:rsidTr="000E5963">
        <w:trPr>
          <w:trHeight w:val="319"/>
        </w:trPr>
        <w:tc>
          <w:tcPr>
            <w:tcW w:w="4962" w:type="dxa"/>
            <w:shd w:val="clear" w:color="auto" w:fill="FFFFFF"/>
            <w:vAlign w:val="bottom"/>
            <w:hideMark/>
          </w:tcPr>
          <w:p w14:paraId="59808239" w14:textId="77777777" w:rsidR="00143507" w:rsidRPr="000E5963" w:rsidRDefault="00143507" w:rsidP="00143507">
            <w:pPr>
              <w:spacing w:after="0" w:line="240" w:lineRule="auto"/>
              <w:ind w:left="30"/>
              <w:jc w:val="both"/>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Segment liabilities</w:t>
            </w:r>
          </w:p>
        </w:tc>
        <w:tc>
          <w:tcPr>
            <w:tcW w:w="1559" w:type="dxa"/>
            <w:tcBorders>
              <w:top w:val="nil"/>
              <w:left w:val="nil"/>
              <w:bottom w:val="nil"/>
              <w:right w:val="nil"/>
            </w:tcBorders>
            <w:shd w:val="clear" w:color="000000" w:fill="FFFF00"/>
            <w:noWrap/>
            <w:vAlign w:val="bottom"/>
          </w:tcPr>
          <w:p w14:paraId="3210A870" w14:textId="26E76E8E" w:rsidR="00143507" w:rsidRPr="000E5963" w:rsidRDefault="00143507" w:rsidP="00143507">
            <w:pPr>
              <w:spacing w:after="0" w:line="240" w:lineRule="auto"/>
              <w:ind w:left="-115"/>
              <w:jc w:val="right"/>
              <w:rPr>
                <w:rFonts w:ascii="Calibri" w:eastAsia="Times New Roman" w:hAnsi="Calibri" w:cs="Calibri"/>
                <w:b/>
                <w:bCs/>
                <w:sz w:val="21"/>
                <w:szCs w:val="21"/>
                <w:highlight w:val="yellow"/>
                <w:lang w:val="en-IE" w:eastAsia="en-IE"/>
              </w:rPr>
            </w:pPr>
            <w:r>
              <w:rPr>
                <w:rFonts w:ascii="Calibri" w:eastAsia="Times New Roman" w:hAnsi="Calibri" w:cs="Calibri"/>
                <w:b/>
                <w:bCs/>
                <w:color w:val="000000"/>
                <w:sz w:val="21"/>
                <w:szCs w:val="21"/>
                <w:lang w:val="en-IE" w:eastAsia="en-IE"/>
              </w:rPr>
              <w:t>(6,9</w:t>
            </w:r>
            <w:r w:rsidR="008B0C67">
              <w:rPr>
                <w:rFonts w:ascii="Calibri" w:eastAsia="Times New Roman" w:hAnsi="Calibri" w:cs="Calibri"/>
                <w:b/>
                <w:bCs/>
                <w:color w:val="000000"/>
                <w:sz w:val="21"/>
                <w:szCs w:val="21"/>
                <w:lang w:val="en-IE" w:eastAsia="en-IE"/>
              </w:rPr>
              <w:t>54</w:t>
            </w:r>
            <w:r>
              <w:rPr>
                <w:rFonts w:ascii="Calibri" w:eastAsia="Times New Roman" w:hAnsi="Calibri" w:cs="Calibri"/>
                <w:b/>
                <w:bCs/>
                <w:color w:val="000000"/>
                <w:sz w:val="21"/>
                <w:szCs w:val="21"/>
                <w:lang w:val="en-IE" w:eastAsia="en-IE"/>
              </w:rPr>
              <w:t>.</w:t>
            </w:r>
            <w:r w:rsidR="008B0C67">
              <w:rPr>
                <w:rFonts w:ascii="Calibri" w:eastAsia="Times New Roman" w:hAnsi="Calibri" w:cs="Calibri"/>
                <w:b/>
                <w:bCs/>
                <w:color w:val="000000"/>
                <w:sz w:val="21"/>
                <w:szCs w:val="21"/>
                <w:lang w:val="en-IE" w:eastAsia="en-IE"/>
              </w:rPr>
              <w:t>2</w:t>
            </w:r>
            <w:r>
              <w:rPr>
                <w:rFonts w:ascii="Calibri" w:eastAsia="Times New Roman" w:hAnsi="Calibri" w:cs="Calibri"/>
                <w:b/>
                <w:bCs/>
                <w:color w:val="000000"/>
                <w:sz w:val="21"/>
                <w:szCs w:val="21"/>
                <w:lang w:val="en-IE" w:eastAsia="en-IE"/>
              </w:rPr>
              <w:t>)</w:t>
            </w:r>
          </w:p>
        </w:tc>
        <w:tc>
          <w:tcPr>
            <w:tcW w:w="1559" w:type="dxa"/>
            <w:tcBorders>
              <w:top w:val="nil"/>
              <w:left w:val="nil"/>
              <w:bottom w:val="nil"/>
              <w:right w:val="nil"/>
            </w:tcBorders>
            <w:shd w:val="clear" w:color="000000" w:fill="FFFF00"/>
            <w:vAlign w:val="bottom"/>
          </w:tcPr>
          <w:p w14:paraId="441AA176" w14:textId="4E93ACB8" w:rsidR="00143507" w:rsidRPr="000E5963" w:rsidRDefault="00143507" w:rsidP="00143507">
            <w:pPr>
              <w:spacing w:after="0" w:line="240" w:lineRule="auto"/>
              <w:ind w:left="-115" w:right="40"/>
              <w:jc w:val="right"/>
              <w:rPr>
                <w:rFonts w:ascii="Calibri" w:eastAsia="Times New Roman" w:hAnsi="Calibri" w:cs="Calibri"/>
                <w:b/>
                <w:bCs/>
                <w:sz w:val="21"/>
                <w:szCs w:val="21"/>
                <w:highlight w:val="yellow"/>
                <w:lang w:val="en-IE" w:eastAsia="en-US"/>
              </w:rPr>
            </w:pPr>
            <w:r>
              <w:rPr>
                <w:rFonts w:ascii="Calibri" w:eastAsia="Times New Roman" w:hAnsi="Calibri" w:cs="Calibri"/>
                <w:b/>
                <w:bCs/>
                <w:color w:val="000000"/>
                <w:sz w:val="21"/>
                <w:szCs w:val="21"/>
                <w:lang w:val="en-IE" w:eastAsia="en-US"/>
              </w:rPr>
              <w:t>(4</w:t>
            </w:r>
            <w:r w:rsidR="008B0C67">
              <w:rPr>
                <w:rFonts w:ascii="Calibri" w:eastAsia="Times New Roman" w:hAnsi="Calibri" w:cs="Calibri"/>
                <w:b/>
                <w:bCs/>
                <w:color w:val="000000"/>
                <w:sz w:val="21"/>
                <w:szCs w:val="21"/>
                <w:lang w:val="en-IE" w:eastAsia="en-US"/>
              </w:rPr>
              <w:t>65</w:t>
            </w:r>
            <w:r>
              <w:rPr>
                <w:rFonts w:ascii="Calibri" w:eastAsia="Times New Roman" w:hAnsi="Calibri" w:cs="Calibri"/>
                <w:b/>
                <w:bCs/>
                <w:color w:val="000000"/>
                <w:sz w:val="21"/>
                <w:szCs w:val="21"/>
                <w:lang w:val="en-IE" w:eastAsia="en-US"/>
              </w:rPr>
              <w:t>.</w:t>
            </w:r>
            <w:r w:rsidR="008B0C67">
              <w:rPr>
                <w:rFonts w:ascii="Calibri" w:eastAsia="Times New Roman" w:hAnsi="Calibri" w:cs="Calibri"/>
                <w:b/>
                <w:bCs/>
                <w:color w:val="000000"/>
                <w:sz w:val="21"/>
                <w:szCs w:val="21"/>
                <w:lang w:val="en-IE" w:eastAsia="en-US"/>
              </w:rPr>
              <w:t>1</w:t>
            </w:r>
            <w:r>
              <w:rPr>
                <w:rFonts w:ascii="Calibri" w:eastAsia="Times New Roman" w:hAnsi="Calibri" w:cs="Calibri"/>
                <w:b/>
                <w:bCs/>
                <w:color w:val="000000"/>
                <w:sz w:val="21"/>
                <w:szCs w:val="21"/>
                <w:lang w:val="en-IE" w:eastAsia="en-US"/>
              </w:rPr>
              <w:t>)</w:t>
            </w:r>
          </w:p>
        </w:tc>
        <w:tc>
          <w:tcPr>
            <w:tcW w:w="1419" w:type="dxa"/>
            <w:tcBorders>
              <w:top w:val="nil"/>
              <w:left w:val="nil"/>
              <w:bottom w:val="nil"/>
              <w:right w:val="nil"/>
            </w:tcBorders>
            <w:shd w:val="clear" w:color="000000" w:fill="FFFF00"/>
            <w:vAlign w:val="bottom"/>
          </w:tcPr>
          <w:p w14:paraId="4CB0FE5D" w14:textId="4E420248" w:rsidR="00143507" w:rsidRPr="000E5963" w:rsidRDefault="00143507" w:rsidP="00143507">
            <w:pPr>
              <w:spacing w:after="0" w:line="240" w:lineRule="auto"/>
              <w:ind w:left="-115" w:right="29"/>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lang w:val="en-IE" w:eastAsia="en-IE"/>
              </w:rPr>
              <w:t>-</w:t>
            </w:r>
          </w:p>
        </w:tc>
        <w:tc>
          <w:tcPr>
            <w:tcW w:w="1275" w:type="dxa"/>
            <w:tcBorders>
              <w:top w:val="nil"/>
              <w:left w:val="nil"/>
              <w:bottom w:val="nil"/>
              <w:right w:val="nil"/>
            </w:tcBorders>
            <w:shd w:val="clear" w:color="000000" w:fill="FFFF00"/>
            <w:noWrap/>
            <w:vAlign w:val="bottom"/>
          </w:tcPr>
          <w:p w14:paraId="3D1B0F1A" w14:textId="2CAF44AD" w:rsidR="00143507" w:rsidRPr="000E5963" w:rsidRDefault="00143507" w:rsidP="00143507">
            <w:pPr>
              <w:spacing w:after="0" w:line="240" w:lineRule="auto"/>
              <w:ind w:left="-115" w:right="40"/>
              <w:jc w:val="right"/>
              <w:rPr>
                <w:rFonts w:ascii="Calibri" w:eastAsia="Calibri" w:hAnsi="Calibri" w:cs="Calibri"/>
                <w:b/>
                <w:bCs/>
                <w:sz w:val="21"/>
                <w:szCs w:val="21"/>
                <w:highlight w:val="yellow"/>
                <w:lang w:val="en-IE" w:eastAsia="en-IE"/>
              </w:rPr>
            </w:pPr>
            <w:r>
              <w:rPr>
                <w:rFonts w:ascii="Calibri" w:eastAsia="Calibri" w:hAnsi="Calibri" w:cs="Calibri"/>
                <w:b/>
                <w:bCs/>
                <w:sz w:val="21"/>
                <w:szCs w:val="21"/>
                <w:lang w:val="en-IE" w:eastAsia="en-IE"/>
              </w:rPr>
              <w:t>(7,4</w:t>
            </w:r>
            <w:r w:rsidR="008B0C67">
              <w:rPr>
                <w:rFonts w:ascii="Calibri" w:eastAsia="Calibri" w:hAnsi="Calibri" w:cs="Calibri"/>
                <w:b/>
                <w:bCs/>
                <w:sz w:val="21"/>
                <w:szCs w:val="21"/>
                <w:lang w:val="en-IE" w:eastAsia="en-IE"/>
              </w:rPr>
              <w:t>19</w:t>
            </w:r>
            <w:r>
              <w:rPr>
                <w:rFonts w:ascii="Calibri" w:eastAsia="Calibri" w:hAnsi="Calibri" w:cs="Calibri"/>
                <w:b/>
                <w:bCs/>
                <w:sz w:val="21"/>
                <w:szCs w:val="21"/>
                <w:lang w:val="en-IE" w:eastAsia="en-IE"/>
              </w:rPr>
              <w:t>.</w:t>
            </w:r>
            <w:r w:rsidR="002A1FA4">
              <w:rPr>
                <w:rFonts w:ascii="Calibri" w:eastAsia="Calibri" w:hAnsi="Calibri" w:cs="Calibri"/>
                <w:b/>
                <w:bCs/>
                <w:sz w:val="21"/>
                <w:szCs w:val="21"/>
                <w:lang w:val="en-IE" w:eastAsia="en-IE"/>
              </w:rPr>
              <w:t>3</w:t>
            </w:r>
            <w:r>
              <w:rPr>
                <w:rFonts w:ascii="Calibri" w:eastAsia="Calibri" w:hAnsi="Calibri" w:cs="Calibri"/>
                <w:b/>
                <w:bCs/>
                <w:sz w:val="21"/>
                <w:szCs w:val="21"/>
                <w:lang w:val="en-IE" w:eastAsia="en-IE"/>
              </w:rPr>
              <w:t>)</w:t>
            </w:r>
          </w:p>
        </w:tc>
      </w:tr>
    </w:tbl>
    <w:p w14:paraId="0F100C44" w14:textId="77777777" w:rsidR="000E5963" w:rsidRPr="000E5963" w:rsidRDefault="000E5963" w:rsidP="000E5963">
      <w:pPr>
        <w:spacing w:after="0" w:line="240" w:lineRule="auto"/>
        <w:ind w:right="283"/>
        <w:jc w:val="both"/>
        <w:rPr>
          <w:rFonts w:ascii="Calibri" w:eastAsia="Times New Roman" w:hAnsi="Calibri" w:cs="Calibri"/>
          <w:sz w:val="22"/>
          <w:szCs w:val="22"/>
          <w:lang w:eastAsia="en-US"/>
        </w:rPr>
      </w:pPr>
    </w:p>
    <w:p w14:paraId="7C4F8CBD" w14:textId="3E90E1D4" w:rsidR="000E5963" w:rsidRPr="000E5963" w:rsidRDefault="000E5963" w:rsidP="000E5963">
      <w:pPr>
        <w:spacing w:after="0" w:line="240" w:lineRule="auto"/>
        <w:ind w:right="283"/>
        <w:jc w:val="both"/>
        <w:rPr>
          <w:rFonts w:ascii="Calibri" w:eastAsia="Times New Roman" w:hAnsi="Calibri" w:cs="Calibri"/>
          <w:sz w:val="22"/>
          <w:szCs w:val="22"/>
          <w:lang w:eastAsia="en-US"/>
        </w:rPr>
      </w:pPr>
    </w:p>
    <w:tbl>
      <w:tblPr>
        <w:tblW w:w="10774" w:type="dxa"/>
        <w:tblInd w:w="-34" w:type="dxa"/>
        <w:tblLayout w:type="fixed"/>
        <w:tblLook w:val="04A0" w:firstRow="1" w:lastRow="0" w:firstColumn="1" w:lastColumn="0" w:noHBand="0" w:noVBand="1"/>
      </w:tblPr>
      <w:tblGrid>
        <w:gridCol w:w="4962"/>
        <w:gridCol w:w="1559"/>
        <w:gridCol w:w="1559"/>
        <w:gridCol w:w="1418"/>
        <w:gridCol w:w="1276"/>
      </w:tblGrid>
      <w:tr w:rsidR="000E5963" w:rsidRPr="000E5963" w14:paraId="63C7CB0A" w14:textId="77777777" w:rsidTr="000E5963">
        <w:trPr>
          <w:trHeight w:val="300"/>
        </w:trPr>
        <w:tc>
          <w:tcPr>
            <w:tcW w:w="4962" w:type="dxa"/>
            <w:shd w:val="clear" w:color="auto" w:fill="FFFFFF"/>
            <w:hideMark/>
          </w:tcPr>
          <w:p w14:paraId="12D717CA" w14:textId="77777777" w:rsidR="000E5963" w:rsidRPr="000E5963" w:rsidRDefault="000E5963" w:rsidP="000E5963">
            <w:pPr>
              <w:spacing w:after="0" w:line="240" w:lineRule="auto"/>
              <w:ind w:left="319" w:right="-2" w:hanging="288"/>
              <w:rPr>
                <w:rFonts w:ascii="Calibri" w:eastAsia="Times New Roman" w:hAnsi="Calibri" w:cs="Calibri"/>
                <w:b/>
                <w:bCs/>
                <w:color w:val="000000"/>
                <w:sz w:val="21"/>
                <w:szCs w:val="21"/>
                <w:lang w:val="en-IE" w:eastAsia="en-US"/>
              </w:rPr>
            </w:pPr>
            <w:r w:rsidRPr="000E5963">
              <w:rPr>
                <w:rFonts w:ascii="Calibri" w:eastAsia="Times New Roman" w:hAnsi="Calibri" w:cs="Calibri"/>
                <w:b/>
                <w:bCs/>
                <w:color w:val="000000"/>
                <w:sz w:val="21"/>
                <w:szCs w:val="21"/>
                <w:lang w:val="en-IE" w:eastAsia="en-IE"/>
              </w:rPr>
              <w:t>Quarter Ended</w:t>
            </w:r>
          </w:p>
        </w:tc>
        <w:tc>
          <w:tcPr>
            <w:tcW w:w="1559" w:type="dxa"/>
            <w:vAlign w:val="bottom"/>
          </w:tcPr>
          <w:p w14:paraId="60B84DDD" w14:textId="77777777" w:rsidR="000E5963" w:rsidRPr="000E5963" w:rsidRDefault="000E5963" w:rsidP="000E5963">
            <w:pPr>
              <w:spacing w:after="0" w:line="240" w:lineRule="auto"/>
              <w:ind w:left="-11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Ryanair DAC</w:t>
            </w:r>
          </w:p>
          <w:p w14:paraId="198FFAF1" w14:textId="46F6430E" w:rsidR="000E5963" w:rsidRPr="000E5963" w:rsidRDefault="00FC76A0" w:rsidP="000E5963">
            <w:pPr>
              <w:spacing w:after="0" w:line="240" w:lineRule="auto"/>
              <w:ind w:left="-115"/>
              <w:jc w:val="right"/>
              <w:rPr>
                <w:rFonts w:ascii="Calibri" w:eastAsia="Times New Roman" w:hAnsi="Calibri" w:cs="Calibri"/>
                <w:color w:val="000000"/>
                <w:sz w:val="21"/>
                <w:szCs w:val="21"/>
                <w:lang w:val="en-IE" w:eastAsia="en-IE"/>
              </w:rPr>
            </w:pPr>
            <w:r>
              <w:rPr>
                <w:rFonts w:ascii="Calibri" w:eastAsia="Times New Roman" w:hAnsi="Calibri" w:cs="Calibri"/>
                <w:color w:val="000000"/>
                <w:sz w:val="21"/>
                <w:szCs w:val="21"/>
                <w:lang w:val="en-IE" w:eastAsia="en-IE"/>
              </w:rPr>
              <w:t>Sep</w:t>
            </w:r>
            <w:r w:rsidR="000E5963" w:rsidRPr="000E5963">
              <w:rPr>
                <w:rFonts w:ascii="Calibri" w:eastAsia="Times New Roman" w:hAnsi="Calibri" w:cs="Calibri"/>
                <w:color w:val="000000"/>
                <w:sz w:val="21"/>
                <w:szCs w:val="21"/>
                <w:lang w:val="en-IE" w:eastAsia="en-IE"/>
              </w:rPr>
              <w:t xml:space="preserve"> 30,</w:t>
            </w:r>
          </w:p>
          <w:p w14:paraId="439AB95B" w14:textId="77777777" w:rsidR="000E5963" w:rsidRPr="000E5963" w:rsidRDefault="000E5963" w:rsidP="000E5963">
            <w:pPr>
              <w:spacing w:after="0" w:line="240" w:lineRule="auto"/>
              <w:ind w:left="-11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21C5AEAE"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c>
          <w:tcPr>
            <w:tcW w:w="1559" w:type="dxa"/>
            <w:vAlign w:val="bottom"/>
            <w:hideMark/>
          </w:tcPr>
          <w:p w14:paraId="37CAFBCA"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Other Airlines</w:t>
            </w:r>
          </w:p>
          <w:p w14:paraId="012A3F2A" w14:textId="45D5B2E9" w:rsidR="000E5963" w:rsidRPr="000E5963" w:rsidRDefault="00FC76A0" w:rsidP="000E5963">
            <w:pPr>
              <w:spacing w:after="0" w:line="240" w:lineRule="auto"/>
              <w:ind w:left="-115" w:right="40"/>
              <w:jc w:val="right"/>
              <w:rPr>
                <w:rFonts w:ascii="Calibri" w:eastAsia="Times New Roman" w:hAnsi="Calibri" w:cs="Calibri"/>
                <w:color w:val="000000"/>
                <w:sz w:val="21"/>
                <w:szCs w:val="21"/>
                <w:lang w:val="en-IE" w:eastAsia="en-IE"/>
              </w:rPr>
            </w:pPr>
            <w:r>
              <w:rPr>
                <w:rFonts w:ascii="Calibri" w:eastAsia="Times New Roman" w:hAnsi="Calibri" w:cs="Calibri"/>
                <w:color w:val="000000"/>
                <w:sz w:val="21"/>
                <w:szCs w:val="21"/>
                <w:lang w:val="en-IE" w:eastAsia="en-IE"/>
              </w:rPr>
              <w:t>Sep</w:t>
            </w:r>
            <w:r w:rsidR="000E5963" w:rsidRPr="000E5963">
              <w:rPr>
                <w:rFonts w:ascii="Calibri" w:eastAsia="Times New Roman" w:hAnsi="Calibri" w:cs="Calibri"/>
                <w:color w:val="000000"/>
                <w:sz w:val="21"/>
                <w:szCs w:val="21"/>
                <w:lang w:val="en-IE" w:eastAsia="en-IE"/>
              </w:rPr>
              <w:t xml:space="preserve"> 30,</w:t>
            </w:r>
          </w:p>
          <w:p w14:paraId="4CC5EC5F"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6009E89B" w14:textId="77777777" w:rsidR="000E5963" w:rsidRPr="000E5963" w:rsidRDefault="000E5963" w:rsidP="000E5963">
            <w:pPr>
              <w:spacing w:after="0" w:line="240" w:lineRule="auto"/>
              <w:ind w:left="-281"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c>
          <w:tcPr>
            <w:tcW w:w="1418" w:type="dxa"/>
            <w:vAlign w:val="bottom"/>
          </w:tcPr>
          <w:p w14:paraId="772D5D6B" w14:textId="77777777" w:rsidR="000E5963" w:rsidRPr="000E5963" w:rsidRDefault="000E5963" w:rsidP="000E5963">
            <w:pPr>
              <w:spacing w:after="0" w:line="240" w:lineRule="auto"/>
              <w:ind w:left="-115" w:right="2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Elimination</w:t>
            </w:r>
          </w:p>
          <w:p w14:paraId="2265CD48" w14:textId="2E510032" w:rsidR="000E5963" w:rsidRPr="000E5963" w:rsidRDefault="00FC76A0" w:rsidP="000E5963">
            <w:pPr>
              <w:spacing w:after="0" w:line="240" w:lineRule="auto"/>
              <w:ind w:left="-115" w:right="29"/>
              <w:jc w:val="right"/>
              <w:rPr>
                <w:rFonts w:ascii="Calibri" w:eastAsia="Times New Roman" w:hAnsi="Calibri" w:cs="Calibri"/>
                <w:color w:val="000000"/>
                <w:sz w:val="21"/>
                <w:szCs w:val="21"/>
                <w:lang w:val="en-IE" w:eastAsia="en-IE"/>
              </w:rPr>
            </w:pPr>
            <w:r>
              <w:rPr>
                <w:rFonts w:ascii="Calibri" w:eastAsia="Times New Roman" w:hAnsi="Calibri" w:cs="Calibri"/>
                <w:color w:val="000000"/>
                <w:sz w:val="21"/>
                <w:szCs w:val="21"/>
                <w:lang w:val="en-IE" w:eastAsia="en-IE"/>
              </w:rPr>
              <w:t>Sep</w:t>
            </w:r>
            <w:r w:rsidR="000E5963" w:rsidRPr="000E5963">
              <w:rPr>
                <w:rFonts w:ascii="Calibri" w:eastAsia="Times New Roman" w:hAnsi="Calibri" w:cs="Calibri"/>
                <w:color w:val="000000"/>
                <w:sz w:val="21"/>
                <w:szCs w:val="21"/>
                <w:lang w:val="en-IE" w:eastAsia="en-IE"/>
              </w:rPr>
              <w:t xml:space="preserve"> 30,</w:t>
            </w:r>
          </w:p>
          <w:p w14:paraId="3680FCED" w14:textId="77777777" w:rsidR="000E5963" w:rsidRPr="000E5963" w:rsidRDefault="000E5963" w:rsidP="000E5963">
            <w:pPr>
              <w:spacing w:after="0" w:line="240" w:lineRule="auto"/>
              <w:ind w:left="-115" w:right="2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0D73EBAA" w14:textId="77777777" w:rsidR="000E5963" w:rsidRPr="000E5963" w:rsidRDefault="000E5963" w:rsidP="000E5963">
            <w:pPr>
              <w:spacing w:after="0" w:line="240" w:lineRule="auto"/>
              <w:ind w:left="-245" w:right="2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c>
          <w:tcPr>
            <w:tcW w:w="1276" w:type="dxa"/>
            <w:vAlign w:val="bottom"/>
            <w:hideMark/>
          </w:tcPr>
          <w:p w14:paraId="33248AE3"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Total</w:t>
            </w:r>
          </w:p>
          <w:p w14:paraId="1BF0EDCD" w14:textId="2E0CE1D2" w:rsidR="000E5963" w:rsidRPr="000E5963" w:rsidRDefault="00FC76A0" w:rsidP="000E5963">
            <w:pPr>
              <w:spacing w:after="0" w:line="240" w:lineRule="auto"/>
              <w:ind w:left="-115" w:right="40"/>
              <w:jc w:val="right"/>
              <w:rPr>
                <w:rFonts w:ascii="Calibri" w:eastAsia="Times New Roman" w:hAnsi="Calibri" w:cs="Calibri"/>
                <w:color w:val="000000"/>
                <w:sz w:val="21"/>
                <w:szCs w:val="21"/>
                <w:lang w:val="en-IE" w:eastAsia="en-IE"/>
              </w:rPr>
            </w:pPr>
            <w:r>
              <w:rPr>
                <w:rFonts w:ascii="Calibri" w:eastAsia="Times New Roman" w:hAnsi="Calibri" w:cs="Calibri"/>
                <w:color w:val="000000"/>
                <w:sz w:val="21"/>
                <w:szCs w:val="21"/>
                <w:lang w:val="en-IE" w:eastAsia="en-IE"/>
              </w:rPr>
              <w:t>Sep</w:t>
            </w:r>
            <w:r w:rsidR="000E5963" w:rsidRPr="000E5963">
              <w:rPr>
                <w:rFonts w:ascii="Calibri" w:eastAsia="Times New Roman" w:hAnsi="Calibri" w:cs="Calibri"/>
                <w:color w:val="000000"/>
                <w:sz w:val="21"/>
                <w:szCs w:val="21"/>
                <w:lang w:val="en-IE" w:eastAsia="en-IE"/>
              </w:rPr>
              <w:t xml:space="preserve"> 30,</w:t>
            </w:r>
          </w:p>
          <w:p w14:paraId="04DF81F5" w14:textId="77777777" w:rsidR="000E5963" w:rsidRPr="000E5963" w:rsidRDefault="000E5963" w:rsidP="000E5963">
            <w:pPr>
              <w:spacing w:after="0" w:line="240" w:lineRule="auto"/>
              <w:ind w:left="-115" w:right="40"/>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2024</w:t>
            </w:r>
          </w:p>
          <w:p w14:paraId="0D893520"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€M</w:t>
            </w:r>
          </w:p>
        </w:tc>
      </w:tr>
      <w:tr w:rsidR="000E5963" w:rsidRPr="000E5963" w14:paraId="2C327DC5" w14:textId="77777777" w:rsidTr="000E5963">
        <w:trPr>
          <w:trHeight w:val="300"/>
        </w:trPr>
        <w:tc>
          <w:tcPr>
            <w:tcW w:w="4962" w:type="dxa"/>
            <w:shd w:val="clear" w:color="auto" w:fill="FFFFFF"/>
            <w:vAlign w:val="center"/>
          </w:tcPr>
          <w:p w14:paraId="02C5243D"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Scheduled revenue</w:t>
            </w:r>
          </w:p>
        </w:tc>
        <w:tc>
          <w:tcPr>
            <w:tcW w:w="1559" w:type="dxa"/>
            <w:vAlign w:val="bottom"/>
          </w:tcPr>
          <w:p w14:paraId="600BF753" w14:textId="51EFCC87" w:rsidR="000E5963" w:rsidRPr="000E5963" w:rsidRDefault="00FC76A0" w:rsidP="000E5963">
            <w:pPr>
              <w:spacing w:after="0" w:line="240" w:lineRule="auto"/>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IE"/>
              </w:rPr>
              <w:t>3,554</w:t>
            </w:r>
            <w:r w:rsidR="004C41CB">
              <w:rPr>
                <w:rFonts w:ascii="Calibri" w:eastAsia="Times New Roman" w:hAnsi="Calibri" w:cs="Calibri"/>
                <w:color w:val="000000"/>
                <w:sz w:val="21"/>
                <w:szCs w:val="21"/>
                <w:lang w:val="en-IE" w:eastAsia="en-IE"/>
              </w:rPr>
              <w:t>.5</w:t>
            </w:r>
          </w:p>
        </w:tc>
        <w:tc>
          <w:tcPr>
            <w:tcW w:w="1559" w:type="dxa"/>
            <w:noWrap/>
            <w:vAlign w:val="bottom"/>
          </w:tcPr>
          <w:p w14:paraId="461C09B7" w14:textId="6D73E12A" w:rsidR="000E5963" w:rsidRPr="000E5963" w:rsidRDefault="00121A6F" w:rsidP="000E5963">
            <w:pPr>
              <w:spacing w:after="0" w:line="240" w:lineRule="auto"/>
              <w:ind w:right="40"/>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IE"/>
              </w:rPr>
              <w:t>66.5</w:t>
            </w:r>
          </w:p>
        </w:tc>
        <w:tc>
          <w:tcPr>
            <w:tcW w:w="1418" w:type="dxa"/>
            <w:vAlign w:val="bottom"/>
          </w:tcPr>
          <w:p w14:paraId="3CAD84CD"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w:t>
            </w:r>
          </w:p>
        </w:tc>
        <w:tc>
          <w:tcPr>
            <w:tcW w:w="1276" w:type="dxa"/>
            <w:noWrap/>
            <w:vAlign w:val="bottom"/>
          </w:tcPr>
          <w:p w14:paraId="67CC85B6" w14:textId="5663C254" w:rsidR="000E5963" w:rsidRPr="000E5963" w:rsidRDefault="00505C69" w:rsidP="000E5963">
            <w:pPr>
              <w:spacing w:after="0" w:line="240" w:lineRule="auto"/>
              <w:ind w:right="43"/>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IE"/>
              </w:rPr>
              <w:t>3,621.0</w:t>
            </w:r>
          </w:p>
        </w:tc>
      </w:tr>
      <w:tr w:rsidR="000E5963" w:rsidRPr="000E5963" w14:paraId="08F2E4A1" w14:textId="77777777" w:rsidTr="000E5963">
        <w:trPr>
          <w:trHeight w:val="300"/>
        </w:trPr>
        <w:tc>
          <w:tcPr>
            <w:tcW w:w="4962" w:type="dxa"/>
            <w:shd w:val="clear" w:color="auto" w:fill="FFFFFF"/>
            <w:vAlign w:val="center"/>
          </w:tcPr>
          <w:p w14:paraId="280FC290"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Ancillary revenue</w:t>
            </w:r>
          </w:p>
        </w:tc>
        <w:tc>
          <w:tcPr>
            <w:tcW w:w="1559" w:type="dxa"/>
            <w:vAlign w:val="bottom"/>
          </w:tcPr>
          <w:p w14:paraId="7FA7D989" w14:textId="68FD3E24"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w:t>
            </w:r>
            <w:r w:rsidR="004C41CB">
              <w:rPr>
                <w:rFonts w:ascii="Calibri" w:eastAsia="Times New Roman" w:hAnsi="Calibri" w:cs="Calibri"/>
                <w:color w:val="000000"/>
                <w:sz w:val="21"/>
                <w:szCs w:val="21"/>
                <w:lang w:val="en-IE" w:eastAsia="en-IE"/>
              </w:rPr>
              <w:t>444.9</w:t>
            </w:r>
          </w:p>
        </w:tc>
        <w:tc>
          <w:tcPr>
            <w:tcW w:w="1559" w:type="dxa"/>
            <w:noWrap/>
            <w:vAlign w:val="bottom"/>
          </w:tcPr>
          <w:p w14:paraId="65516B0E"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w:t>
            </w:r>
          </w:p>
        </w:tc>
        <w:tc>
          <w:tcPr>
            <w:tcW w:w="1418" w:type="dxa"/>
            <w:vAlign w:val="bottom"/>
          </w:tcPr>
          <w:p w14:paraId="7F84F5E3"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w:t>
            </w:r>
          </w:p>
        </w:tc>
        <w:tc>
          <w:tcPr>
            <w:tcW w:w="1276" w:type="dxa"/>
            <w:noWrap/>
            <w:vAlign w:val="bottom"/>
          </w:tcPr>
          <w:p w14:paraId="2ADA04B2" w14:textId="1055D651"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w:t>
            </w:r>
            <w:r w:rsidR="00505C69">
              <w:rPr>
                <w:rFonts w:ascii="Calibri" w:eastAsia="Times New Roman" w:hAnsi="Calibri" w:cs="Calibri"/>
                <w:color w:val="000000"/>
                <w:sz w:val="21"/>
                <w:szCs w:val="21"/>
                <w:lang w:val="en-IE" w:eastAsia="en-IE"/>
              </w:rPr>
              <w:t>444.9</w:t>
            </w:r>
          </w:p>
        </w:tc>
      </w:tr>
      <w:tr w:rsidR="000E5963" w:rsidRPr="000E5963" w14:paraId="047021BF" w14:textId="77777777" w:rsidTr="000E5963">
        <w:trPr>
          <w:trHeight w:val="300"/>
        </w:trPr>
        <w:tc>
          <w:tcPr>
            <w:tcW w:w="4962" w:type="dxa"/>
            <w:shd w:val="clear" w:color="auto" w:fill="FFFFFF"/>
            <w:vAlign w:val="center"/>
            <w:hideMark/>
          </w:tcPr>
          <w:p w14:paraId="69399E4C"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Inter-segment revenues</w:t>
            </w:r>
          </w:p>
        </w:tc>
        <w:tc>
          <w:tcPr>
            <w:tcW w:w="1559" w:type="dxa"/>
            <w:tcBorders>
              <w:bottom w:val="single" w:sz="4" w:space="0" w:color="auto"/>
            </w:tcBorders>
            <w:vAlign w:val="bottom"/>
          </w:tcPr>
          <w:p w14:paraId="627AB115" w14:textId="1E615CC5"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w:t>
            </w:r>
            <w:r w:rsidR="004C41CB">
              <w:rPr>
                <w:rFonts w:ascii="Calibri" w:eastAsia="Times New Roman" w:hAnsi="Calibri" w:cs="Calibri"/>
                <w:color w:val="000000"/>
                <w:sz w:val="21"/>
                <w:szCs w:val="21"/>
                <w:lang w:val="en-IE" w:eastAsia="en-IE"/>
              </w:rPr>
              <w:t>97.3</w:t>
            </w:r>
          </w:p>
        </w:tc>
        <w:tc>
          <w:tcPr>
            <w:tcW w:w="1559" w:type="dxa"/>
            <w:tcBorders>
              <w:bottom w:val="single" w:sz="4" w:space="0" w:color="auto"/>
            </w:tcBorders>
            <w:noWrap/>
            <w:vAlign w:val="bottom"/>
          </w:tcPr>
          <w:p w14:paraId="17E86CEA" w14:textId="00B8A9B8"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3</w:t>
            </w:r>
            <w:r w:rsidR="00600BD9">
              <w:rPr>
                <w:rFonts w:ascii="Calibri" w:eastAsia="Times New Roman" w:hAnsi="Calibri" w:cs="Calibri"/>
                <w:color w:val="000000"/>
                <w:sz w:val="21"/>
                <w:szCs w:val="21"/>
                <w:lang w:val="en-IE" w:eastAsia="en-US"/>
              </w:rPr>
              <w:t>85.9</w:t>
            </w:r>
          </w:p>
        </w:tc>
        <w:tc>
          <w:tcPr>
            <w:tcW w:w="1418" w:type="dxa"/>
            <w:tcBorders>
              <w:bottom w:val="single" w:sz="4" w:space="0" w:color="auto"/>
            </w:tcBorders>
            <w:vAlign w:val="bottom"/>
          </w:tcPr>
          <w:p w14:paraId="4AA71144" w14:textId="4B073FAD"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(5</w:t>
            </w:r>
            <w:r w:rsidR="00505C69">
              <w:rPr>
                <w:rFonts w:ascii="Calibri" w:eastAsia="Times New Roman" w:hAnsi="Calibri" w:cs="Calibri"/>
                <w:color w:val="000000"/>
                <w:sz w:val="21"/>
                <w:szCs w:val="21"/>
                <w:lang w:val="en-IE" w:eastAsia="en-US"/>
              </w:rPr>
              <w:t>83.2</w:t>
            </w:r>
            <w:r w:rsidRPr="000E5963">
              <w:rPr>
                <w:rFonts w:ascii="Calibri" w:eastAsia="Times New Roman" w:hAnsi="Calibri" w:cs="Calibri"/>
                <w:color w:val="000000"/>
                <w:sz w:val="21"/>
                <w:szCs w:val="21"/>
                <w:lang w:val="en-IE" w:eastAsia="en-US"/>
              </w:rPr>
              <w:t>)</w:t>
            </w:r>
          </w:p>
        </w:tc>
        <w:tc>
          <w:tcPr>
            <w:tcW w:w="1276" w:type="dxa"/>
            <w:tcBorders>
              <w:bottom w:val="single" w:sz="4" w:space="0" w:color="auto"/>
            </w:tcBorders>
            <w:noWrap/>
            <w:vAlign w:val="bottom"/>
          </w:tcPr>
          <w:p w14:paraId="064E49C1"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w:t>
            </w:r>
          </w:p>
        </w:tc>
      </w:tr>
      <w:tr w:rsidR="000E5963" w:rsidRPr="000E5963" w14:paraId="266C98E8" w14:textId="77777777" w:rsidTr="000E5963">
        <w:trPr>
          <w:trHeight w:val="300"/>
        </w:trPr>
        <w:tc>
          <w:tcPr>
            <w:tcW w:w="4962" w:type="dxa"/>
            <w:shd w:val="clear" w:color="auto" w:fill="FFFFFF"/>
            <w:vAlign w:val="center"/>
            <w:hideMark/>
          </w:tcPr>
          <w:p w14:paraId="5CCB4B71"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b/>
                <w:bCs/>
                <w:color w:val="000000"/>
                <w:sz w:val="21"/>
                <w:szCs w:val="21"/>
                <w:lang w:val="en-IE" w:eastAsia="en-US"/>
              </w:rPr>
              <w:t>Segment revenues</w:t>
            </w:r>
          </w:p>
        </w:tc>
        <w:tc>
          <w:tcPr>
            <w:tcW w:w="1559" w:type="dxa"/>
            <w:tcBorders>
              <w:top w:val="single" w:sz="4" w:space="0" w:color="auto"/>
              <w:bottom w:val="single" w:sz="12" w:space="0" w:color="auto"/>
            </w:tcBorders>
            <w:vAlign w:val="bottom"/>
          </w:tcPr>
          <w:p w14:paraId="7E1A0A95" w14:textId="5E8264C8" w:rsidR="000E5963" w:rsidRPr="000E5963" w:rsidRDefault="004C41CB" w:rsidP="000E5963">
            <w:pPr>
              <w:spacing w:after="0" w:line="240" w:lineRule="auto"/>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IE"/>
              </w:rPr>
              <w:t>5,196.7</w:t>
            </w:r>
          </w:p>
        </w:tc>
        <w:tc>
          <w:tcPr>
            <w:tcW w:w="1559" w:type="dxa"/>
            <w:tcBorders>
              <w:top w:val="single" w:sz="4" w:space="0" w:color="auto"/>
              <w:bottom w:val="single" w:sz="12" w:space="0" w:color="auto"/>
            </w:tcBorders>
            <w:noWrap/>
            <w:vAlign w:val="bottom"/>
          </w:tcPr>
          <w:p w14:paraId="481502D8" w14:textId="39AE28E1"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4</w:t>
            </w:r>
            <w:r w:rsidR="00600BD9">
              <w:rPr>
                <w:rFonts w:ascii="Calibri" w:eastAsia="Calibri" w:hAnsi="Calibri" w:cs="Calibri"/>
                <w:sz w:val="21"/>
                <w:szCs w:val="21"/>
                <w:lang w:val="en-IE" w:eastAsia="en-IE"/>
              </w:rPr>
              <w:t>52.4</w:t>
            </w:r>
          </w:p>
        </w:tc>
        <w:tc>
          <w:tcPr>
            <w:tcW w:w="1418" w:type="dxa"/>
            <w:tcBorders>
              <w:top w:val="single" w:sz="4" w:space="0" w:color="auto"/>
              <w:bottom w:val="single" w:sz="12" w:space="0" w:color="auto"/>
            </w:tcBorders>
            <w:vAlign w:val="bottom"/>
          </w:tcPr>
          <w:p w14:paraId="691AF71A" w14:textId="2D1B43F2"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(5</w:t>
            </w:r>
            <w:r w:rsidR="00505C69">
              <w:rPr>
                <w:rFonts w:ascii="Calibri" w:eastAsia="Times New Roman" w:hAnsi="Calibri" w:cs="Calibri"/>
                <w:color w:val="000000"/>
                <w:sz w:val="21"/>
                <w:szCs w:val="21"/>
                <w:lang w:val="en-IE" w:eastAsia="en-IE"/>
              </w:rPr>
              <w:t>83.2</w:t>
            </w:r>
            <w:r w:rsidRPr="000E5963">
              <w:rPr>
                <w:rFonts w:ascii="Calibri" w:eastAsia="Times New Roman" w:hAnsi="Calibri" w:cs="Calibri"/>
                <w:color w:val="000000"/>
                <w:sz w:val="21"/>
                <w:szCs w:val="21"/>
                <w:lang w:val="en-IE" w:eastAsia="en-IE"/>
              </w:rPr>
              <w:t>)</w:t>
            </w:r>
          </w:p>
        </w:tc>
        <w:tc>
          <w:tcPr>
            <w:tcW w:w="1276" w:type="dxa"/>
            <w:tcBorders>
              <w:top w:val="single" w:sz="4" w:space="0" w:color="auto"/>
              <w:bottom w:val="single" w:sz="12" w:space="0" w:color="auto"/>
            </w:tcBorders>
            <w:noWrap/>
            <w:vAlign w:val="bottom"/>
          </w:tcPr>
          <w:p w14:paraId="4A868A18" w14:textId="1E9D3150" w:rsidR="000E5963" w:rsidRPr="000E5963" w:rsidRDefault="00505C69" w:rsidP="000E5963">
            <w:pPr>
              <w:spacing w:after="0" w:line="240" w:lineRule="auto"/>
              <w:ind w:right="43"/>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IE"/>
              </w:rPr>
              <w:t>5,065.9</w:t>
            </w:r>
          </w:p>
        </w:tc>
      </w:tr>
      <w:tr w:rsidR="000E5963" w:rsidRPr="000E5963" w14:paraId="2A20432C" w14:textId="77777777" w:rsidTr="000E5963">
        <w:trPr>
          <w:trHeight w:val="300"/>
        </w:trPr>
        <w:tc>
          <w:tcPr>
            <w:tcW w:w="4962" w:type="dxa"/>
            <w:shd w:val="clear" w:color="auto" w:fill="FFFFFF"/>
            <w:vAlign w:val="center"/>
          </w:tcPr>
          <w:p w14:paraId="2F32BC1F" w14:textId="77777777" w:rsidR="000E5963" w:rsidRPr="000E5963" w:rsidRDefault="000E5963" w:rsidP="000E5963">
            <w:pPr>
              <w:spacing w:after="0" w:line="240" w:lineRule="auto"/>
              <w:ind w:right="-2" w:firstLine="31"/>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US"/>
              </w:rPr>
              <w:t> </w:t>
            </w:r>
          </w:p>
        </w:tc>
        <w:tc>
          <w:tcPr>
            <w:tcW w:w="1559" w:type="dxa"/>
            <w:tcBorders>
              <w:top w:val="nil"/>
              <w:left w:val="nil"/>
              <w:bottom w:val="nil"/>
              <w:right w:val="nil"/>
            </w:tcBorders>
            <w:vAlign w:val="bottom"/>
          </w:tcPr>
          <w:p w14:paraId="4867C1CF" w14:textId="77777777"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p>
        </w:tc>
        <w:tc>
          <w:tcPr>
            <w:tcW w:w="1559" w:type="dxa"/>
            <w:tcBorders>
              <w:top w:val="nil"/>
              <w:left w:val="nil"/>
              <w:bottom w:val="nil"/>
              <w:right w:val="nil"/>
            </w:tcBorders>
            <w:noWrap/>
            <w:vAlign w:val="bottom"/>
          </w:tcPr>
          <w:p w14:paraId="4F830627" w14:textId="77777777"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p>
        </w:tc>
        <w:tc>
          <w:tcPr>
            <w:tcW w:w="1418" w:type="dxa"/>
            <w:tcBorders>
              <w:top w:val="nil"/>
              <w:left w:val="nil"/>
              <w:bottom w:val="nil"/>
              <w:right w:val="nil"/>
            </w:tcBorders>
            <w:vAlign w:val="bottom"/>
          </w:tcPr>
          <w:p w14:paraId="708FEBD8" w14:textId="77777777" w:rsidR="000E5963" w:rsidRPr="000E5963" w:rsidRDefault="000E5963" w:rsidP="000E5963">
            <w:pPr>
              <w:spacing w:after="0" w:line="240" w:lineRule="auto"/>
              <w:ind w:right="29"/>
              <w:jc w:val="right"/>
              <w:rPr>
                <w:rFonts w:ascii="Calibri" w:eastAsia="Times New Roman" w:hAnsi="Calibri" w:cs="Calibri"/>
                <w:sz w:val="21"/>
                <w:szCs w:val="21"/>
                <w:lang w:val="en-IE" w:eastAsia="en-US"/>
              </w:rPr>
            </w:pPr>
          </w:p>
        </w:tc>
        <w:tc>
          <w:tcPr>
            <w:tcW w:w="1276" w:type="dxa"/>
            <w:tcBorders>
              <w:top w:val="nil"/>
              <w:left w:val="nil"/>
              <w:bottom w:val="nil"/>
              <w:right w:val="nil"/>
            </w:tcBorders>
            <w:noWrap/>
            <w:vAlign w:val="bottom"/>
          </w:tcPr>
          <w:p w14:paraId="5C57A9F7" w14:textId="77777777"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p>
        </w:tc>
      </w:tr>
      <w:tr w:rsidR="000E5963" w:rsidRPr="000E5963" w14:paraId="459029E4" w14:textId="77777777" w:rsidTr="000E5963">
        <w:trPr>
          <w:trHeight w:val="300"/>
        </w:trPr>
        <w:tc>
          <w:tcPr>
            <w:tcW w:w="4962" w:type="dxa"/>
            <w:shd w:val="clear" w:color="auto" w:fill="FFFFFF"/>
            <w:vAlign w:val="center"/>
            <w:hideMark/>
          </w:tcPr>
          <w:p w14:paraId="32BDABAD" w14:textId="77777777" w:rsidR="000E5963" w:rsidRPr="000E5963" w:rsidRDefault="000E5963" w:rsidP="000E5963">
            <w:pPr>
              <w:spacing w:after="0" w:line="240" w:lineRule="auto"/>
              <w:ind w:left="31"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US"/>
              </w:rPr>
              <w:t>Reportable segment profit after income tax</w:t>
            </w:r>
          </w:p>
        </w:tc>
        <w:tc>
          <w:tcPr>
            <w:tcW w:w="1559" w:type="dxa"/>
            <w:tcBorders>
              <w:bottom w:val="single" w:sz="12" w:space="0" w:color="auto"/>
            </w:tcBorders>
            <w:vAlign w:val="bottom"/>
          </w:tcPr>
          <w:p w14:paraId="316FEAA2" w14:textId="403A159C" w:rsidR="000E5963" w:rsidRPr="000E5963" w:rsidRDefault="00A51570" w:rsidP="000E5963">
            <w:pPr>
              <w:spacing w:after="0" w:line="240" w:lineRule="auto"/>
              <w:jc w:val="right"/>
              <w:rPr>
                <w:rFonts w:ascii="Calibri" w:eastAsia="Times New Roman" w:hAnsi="Calibri" w:cs="Calibri"/>
                <w:color w:val="000000"/>
                <w:sz w:val="21"/>
                <w:szCs w:val="21"/>
                <w:highlight w:val="green"/>
                <w:lang w:val="en-IE" w:eastAsia="en-US"/>
              </w:rPr>
            </w:pPr>
            <w:r>
              <w:rPr>
                <w:rFonts w:ascii="Calibri" w:eastAsia="Times New Roman" w:hAnsi="Calibri" w:cs="Calibri"/>
                <w:color w:val="000000"/>
                <w:sz w:val="21"/>
                <w:szCs w:val="21"/>
                <w:lang w:val="en-IE" w:eastAsia="en-IE"/>
              </w:rPr>
              <w:t>1,394.8</w:t>
            </w:r>
          </w:p>
        </w:tc>
        <w:tc>
          <w:tcPr>
            <w:tcW w:w="1559" w:type="dxa"/>
            <w:tcBorders>
              <w:bottom w:val="single" w:sz="12" w:space="0" w:color="auto"/>
            </w:tcBorders>
            <w:noWrap/>
            <w:vAlign w:val="bottom"/>
          </w:tcPr>
          <w:p w14:paraId="2D891A13" w14:textId="69C1559E" w:rsidR="000E5963" w:rsidRPr="000E5963" w:rsidRDefault="00600BD9" w:rsidP="000E5963">
            <w:pPr>
              <w:spacing w:after="0" w:line="240" w:lineRule="auto"/>
              <w:ind w:right="40"/>
              <w:jc w:val="right"/>
              <w:rPr>
                <w:rFonts w:ascii="Calibri" w:eastAsia="Times New Roman" w:hAnsi="Calibri" w:cs="Calibri"/>
                <w:color w:val="000000"/>
                <w:sz w:val="21"/>
                <w:szCs w:val="21"/>
                <w:highlight w:val="green"/>
                <w:lang w:val="en-IE" w:eastAsia="en-US"/>
              </w:rPr>
            </w:pPr>
            <w:r>
              <w:rPr>
                <w:rFonts w:ascii="Calibri" w:eastAsia="Times New Roman" w:hAnsi="Calibri" w:cs="Calibri"/>
                <w:color w:val="000000"/>
                <w:sz w:val="21"/>
                <w:szCs w:val="21"/>
                <w:lang w:val="en-IE" w:eastAsia="en-US"/>
              </w:rPr>
              <w:t>36.4</w:t>
            </w:r>
          </w:p>
        </w:tc>
        <w:tc>
          <w:tcPr>
            <w:tcW w:w="1418" w:type="dxa"/>
            <w:tcBorders>
              <w:bottom w:val="single" w:sz="12" w:space="0" w:color="auto"/>
            </w:tcBorders>
            <w:vAlign w:val="bottom"/>
          </w:tcPr>
          <w:p w14:paraId="7FBA20D7" w14:textId="77777777" w:rsidR="000E5963" w:rsidRPr="000E5963" w:rsidRDefault="000E5963" w:rsidP="000E5963">
            <w:pPr>
              <w:spacing w:after="0" w:line="240" w:lineRule="auto"/>
              <w:ind w:right="29"/>
              <w:jc w:val="right"/>
              <w:rPr>
                <w:rFonts w:ascii="Calibri" w:eastAsia="Times New Roman" w:hAnsi="Calibri" w:cs="Calibri"/>
                <w:sz w:val="21"/>
                <w:szCs w:val="21"/>
                <w:lang w:val="en-IE" w:eastAsia="en-US"/>
              </w:rPr>
            </w:pPr>
            <w:r w:rsidRPr="000E5963">
              <w:rPr>
                <w:rFonts w:ascii="Calibri" w:eastAsia="Times New Roman" w:hAnsi="Calibri" w:cs="Calibri"/>
                <w:sz w:val="21"/>
                <w:szCs w:val="21"/>
                <w:lang w:val="en-IE" w:eastAsia="en-US"/>
              </w:rPr>
              <w:t>-</w:t>
            </w:r>
          </w:p>
        </w:tc>
        <w:tc>
          <w:tcPr>
            <w:tcW w:w="1276" w:type="dxa"/>
            <w:tcBorders>
              <w:bottom w:val="single" w:sz="12" w:space="0" w:color="auto"/>
            </w:tcBorders>
            <w:noWrap/>
            <w:vAlign w:val="bottom"/>
          </w:tcPr>
          <w:p w14:paraId="228AE56C" w14:textId="05C30A28" w:rsidR="000E5963" w:rsidRPr="000E5963" w:rsidRDefault="00505C69" w:rsidP="000E5963">
            <w:pPr>
              <w:spacing w:after="0" w:line="240" w:lineRule="auto"/>
              <w:ind w:right="43"/>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1,431.2</w:t>
            </w:r>
          </w:p>
        </w:tc>
      </w:tr>
      <w:tr w:rsidR="000E5963" w:rsidRPr="000E5963" w14:paraId="1C7502E4" w14:textId="77777777" w:rsidTr="000E5963">
        <w:trPr>
          <w:trHeight w:val="300"/>
        </w:trPr>
        <w:tc>
          <w:tcPr>
            <w:tcW w:w="4962" w:type="dxa"/>
            <w:shd w:val="clear" w:color="auto" w:fill="FFFFFF"/>
            <w:vAlign w:val="center"/>
            <w:hideMark/>
          </w:tcPr>
          <w:p w14:paraId="46A3D882"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 </w:t>
            </w:r>
          </w:p>
        </w:tc>
        <w:tc>
          <w:tcPr>
            <w:tcW w:w="1559" w:type="dxa"/>
            <w:tcBorders>
              <w:top w:val="nil"/>
              <w:left w:val="nil"/>
              <w:bottom w:val="nil"/>
              <w:right w:val="nil"/>
            </w:tcBorders>
            <w:vAlign w:val="bottom"/>
          </w:tcPr>
          <w:p w14:paraId="16B5D469" w14:textId="77777777" w:rsidR="000E5963" w:rsidRPr="000E5963" w:rsidRDefault="000E5963" w:rsidP="000E5963">
            <w:pPr>
              <w:spacing w:after="0" w:line="240" w:lineRule="auto"/>
              <w:jc w:val="right"/>
              <w:rPr>
                <w:rFonts w:ascii="Calibri" w:eastAsia="Calibri" w:hAnsi="Calibri" w:cs="Calibri"/>
                <w:sz w:val="21"/>
                <w:szCs w:val="21"/>
                <w:lang w:val="en-IE" w:eastAsia="en-IE"/>
              </w:rPr>
            </w:pPr>
          </w:p>
        </w:tc>
        <w:tc>
          <w:tcPr>
            <w:tcW w:w="1559" w:type="dxa"/>
            <w:tcBorders>
              <w:top w:val="nil"/>
              <w:left w:val="nil"/>
              <w:bottom w:val="nil"/>
              <w:right w:val="nil"/>
            </w:tcBorders>
            <w:noWrap/>
            <w:vAlign w:val="bottom"/>
          </w:tcPr>
          <w:p w14:paraId="58A28A2C" w14:textId="77777777" w:rsidR="000E5963" w:rsidRPr="000E5963" w:rsidRDefault="000E5963" w:rsidP="000E5963">
            <w:pPr>
              <w:spacing w:after="0" w:line="240" w:lineRule="auto"/>
              <w:ind w:right="40"/>
              <w:jc w:val="right"/>
              <w:rPr>
                <w:rFonts w:ascii="Calibri" w:eastAsia="Calibri" w:hAnsi="Calibri" w:cs="Calibri"/>
                <w:sz w:val="21"/>
                <w:szCs w:val="21"/>
                <w:lang w:val="en-IE" w:eastAsia="en-IE"/>
              </w:rPr>
            </w:pPr>
          </w:p>
        </w:tc>
        <w:tc>
          <w:tcPr>
            <w:tcW w:w="1418" w:type="dxa"/>
            <w:tcBorders>
              <w:top w:val="nil"/>
              <w:left w:val="nil"/>
              <w:bottom w:val="nil"/>
              <w:right w:val="nil"/>
            </w:tcBorders>
            <w:vAlign w:val="bottom"/>
          </w:tcPr>
          <w:p w14:paraId="6E9BA581" w14:textId="77777777" w:rsidR="000E5963" w:rsidRPr="000E5963" w:rsidRDefault="000E5963" w:rsidP="000E5963">
            <w:pPr>
              <w:spacing w:after="0" w:line="240" w:lineRule="auto"/>
              <w:ind w:right="29"/>
              <w:jc w:val="right"/>
              <w:rPr>
                <w:rFonts w:ascii="Calibri" w:eastAsia="Calibri" w:hAnsi="Calibri" w:cs="Calibri"/>
                <w:sz w:val="21"/>
                <w:szCs w:val="21"/>
                <w:lang w:val="en-IE" w:eastAsia="en-IE"/>
              </w:rPr>
            </w:pPr>
          </w:p>
        </w:tc>
        <w:tc>
          <w:tcPr>
            <w:tcW w:w="1276" w:type="dxa"/>
            <w:tcBorders>
              <w:top w:val="nil"/>
              <w:left w:val="nil"/>
              <w:bottom w:val="nil"/>
              <w:right w:val="nil"/>
            </w:tcBorders>
            <w:noWrap/>
            <w:vAlign w:val="bottom"/>
          </w:tcPr>
          <w:p w14:paraId="642938CD" w14:textId="77777777" w:rsidR="000E5963" w:rsidRPr="000E5963" w:rsidRDefault="000E5963" w:rsidP="000E5963">
            <w:pPr>
              <w:spacing w:after="0" w:line="240" w:lineRule="auto"/>
              <w:ind w:right="43"/>
              <w:jc w:val="center"/>
              <w:rPr>
                <w:rFonts w:ascii="Calibri" w:eastAsia="Calibri" w:hAnsi="Calibri" w:cs="Calibri"/>
                <w:sz w:val="21"/>
                <w:szCs w:val="21"/>
                <w:lang w:val="en-IE" w:eastAsia="en-IE"/>
              </w:rPr>
            </w:pPr>
          </w:p>
        </w:tc>
      </w:tr>
      <w:tr w:rsidR="000E5963" w:rsidRPr="000E5963" w14:paraId="1FC51CB9" w14:textId="77777777" w:rsidTr="000E5963">
        <w:trPr>
          <w:trHeight w:val="300"/>
        </w:trPr>
        <w:tc>
          <w:tcPr>
            <w:tcW w:w="4962" w:type="dxa"/>
            <w:shd w:val="clear" w:color="auto" w:fill="FFFFFF"/>
            <w:vAlign w:val="center"/>
            <w:hideMark/>
          </w:tcPr>
          <w:p w14:paraId="4FFCA651" w14:textId="77777777" w:rsidR="000E5963" w:rsidRPr="000E5963" w:rsidRDefault="000E5963" w:rsidP="000E5963">
            <w:pPr>
              <w:spacing w:after="0" w:line="240" w:lineRule="auto"/>
              <w:ind w:right="-2" w:firstLine="31"/>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US"/>
              </w:rPr>
              <w:t>Other segment information:</w:t>
            </w:r>
          </w:p>
        </w:tc>
        <w:tc>
          <w:tcPr>
            <w:tcW w:w="1559" w:type="dxa"/>
            <w:tcBorders>
              <w:top w:val="nil"/>
              <w:left w:val="nil"/>
              <w:bottom w:val="nil"/>
              <w:right w:val="nil"/>
            </w:tcBorders>
            <w:vAlign w:val="bottom"/>
          </w:tcPr>
          <w:p w14:paraId="2A8541D3" w14:textId="77777777" w:rsidR="000E5963" w:rsidRPr="000E5963" w:rsidRDefault="000E5963" w:rsidP="000E5963">
            <w:pPr>
              <w:spacing w:after="0" w:line="240" w:lineRule="auto"/>
              <w:jc w:val="right"/>
              <w:rPr>
                <w:rFonts w:ascii="Calibri" w:eastAsia="Calibri" w:hAnsi="Calibri" w:cs="Calibri"/>
                <w:sz w:val="21"/>
                <w:szCs w:val="21"/>
                <w:lang w:val="en-IE" w:eastAsia="en-IE"/>
              </w:rPr>
            </w:pPr>
          </w:p>
        </w:tc>
        <w:tc>
          <w:tcPr>
            <w:tcW w:w="1559" w:type="dxa"/>
            <w:tcBorders>
              <w:top w:val="nil"/>
              <w:left w:val="nil"/>
              <w:bottom w:val="nil"/>
              <w:right w:val="nil"/>
            </w:tcBorders>
            <w:noWrap/>
            <w:vAlign w:val="bottom"/>
          </w:tcPr>
          <w:p w14:paraId="553B11AB" w14:textId="77777777" w:rsidR="000E5963" w:rsidRPr="000E5963" w:rsidRDefault="000E5963" w:rsidP="000E5963">
            <w:pPr>
              <w:spacing w:after="0" w:line="240" w:lineRule="auto"/>
              <w:ind w:right="40"/>
              <w:jc w:val="right"/>
              <w:rPr>
                <w:rFonts w:ascii="Calibri" w:eastAsia="Calibri" w:hAnsi="Calibri" w:cs="Calibri"/>
                <w:sz w:val="21"/>
                <w:szCs w:val="21"/>
                <w:lang w:val="en-IE" w:eastAsia="en-IE"/>
              </w:rPr>
            </w:pPr>
          </w:p>
        </w:tc>
        <w:tc>
          <w:tcPr>
            <w:tcW w:w="1418" w:type="dxa"/>
            <w:tcBorders>
              <w:top w:val="nil"/>
              <w:left w:val="nil"/>
              <w:bottom w:val="nil"/>
              <w:right w:val="nil"/>
            </w:tcBorders>
            <w:vAlign w:val="bottom"/>
          </w:tcPr>
          <w:p w14:paraId="5621BB0A" w14:textId="77777777" w:rsidR="000E5963" w:rsidRPr="000E5963" w:rsidRDefault="000E5963" w:rsidP="000E5963">
            <w:pPr>
              <w:spacing w:after="0" w:line="240" w:lineRule="auto"/>
              <w:ind w:right="29"/>
              <w:jc w:val="right"/>
              <w:rPr>
                <w:rFonts w:ascii="Calibri" w:eastAsia="Calibri" w:hAnsi="Calibri" w:cs="Calibri"/>
                <w:sz w:val="21"/>
                <w:szCs w:val="21"/>
                <w:lang w:val="en-IE" w:eastAsia="en-IE"/>
              </w:rPr>
            </w:pPr>
          </w:p>
        </w:tc>
        <w:tc>
          <w:tcPr>
            <w:tcW w:w="1276" w:type="dxa"/>
            <w:tcBorders>
              <w:top w:val="nil"/>
              <w:left w:val="nil"/>
              <w:bottom w:val="nil"/>
              <w:right w:val="nil"/>
            </w:tcBorders>
            <w:noWrap/>
            <w:vAlign w:val="bottom"/>
          </w:tcPr>
          <w:p w14:paraId="67115A61" w14:textId="77777777" w:rsidR="000E5963" w:rsidRPr="000E5963" w:rsidRDefault="000E5963" w:rsidP="000E5963">
            <w:pPr>
              <w:spacing w:after="0" w:line="240" w:lineRule="auto"/>
              <w:ind w:right="43"/>
              <w:jc w:val="right"/>
              <w:rPr>
                <w:rFonts w:ascii="Calibri" w:eastAsia="Calibri" w:hAnsi="Calibri" w:cs="Calibri"/>
                <w:sz w:val="21"/>
                <w:szCs w:val="21"/>
                <w:lang w:val="en-IE" w:eastAsia="en-IE"/>
              </w:rPr>
            </w:pPr>
          </w:p>
        </w:tc>
      </w:tr>
      <w:tr w:rsidR="000E5963" w:rsidRPr="000E5963" w14:paraId="54DAE6F4" w14:textId="77777777" w:rsidTr="000E5963">
        <w:trPr>
          <w:trHeight w:val="300"/>
        </w:trPr>
        <w:tc>
          <w:tcPr>
            <w:tcW w:w="4962" w:type="dxa"/>
            <w:shd w:val="clear" w:color="auto" w:fill="FFFFFF"/>
            <w:vAlign w:val="center"/>
          </w:tcPr>
          <w:p w14:paraId="67EBA4BE" w14:textId="77777777" w:rsidR="000E5963" w:rsidRPr="000E5963" w:rsidRDefault="000E5963" w:rsidP="000E5963">
            <w:pPr>
              <w:spacing w:after="0" w:line="240" w:lineRule="auto"/>
              <w:ind w:right="-2" w:firstLine="31"/>
              <w:rPr>
                <w:rFonts w:ascii="Calibri" w:eastAsia="Times New Roman" w:hAnsi="Calibri" w:cs="Calibri"/>
                <w:b/>
                <w:bCs/>
                <w:color w:val="000000"/>
                <w:sz w:val="21"/>
                <w:szCs w:val="21"/>
                <w:lang w:val="en-IE" w:eastAsia="en-US"/>
              </w:rPr>
            </w:pPr>
            <w:r w:rsidRPr="000E5963">
              <w:rPr>
                <w:rFonts w:ascii="Calibri" w:eastAsia="Times New Roman" w:hAnsi="Calibri" w:cs="Calibri"/>
                <w:color w:val="000000"/>
                <w:sz w:val="21"/>
                <w:szCs w:val="21"/>
                <w:lang w:val="en-IE" w:eastAsia="en-US"/>
              </w:rPr>
              <w:t>Depreciation</w:t>
            </w:r>
          </w:p>
        </w:tc>
        <w:tc>
          <w:tcPr>
            <w:tcW w:w="1559" w:type="dxa"/>
            <w:vAlign w:val="bottom"/>
          </w:tcPr>
          <w:p w14:paraId="561C0E6C" w14:textId="6787C788" w:rsidR="000E5963" w:rsidRPr="000E5963" w:rsidRDefault="000E5963" w:rsidP="000E5963">
            <w:pPr>
              <w:spacing w:after="0" w:line="240" w:lineRule="auto"/>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IE"/>
              </w:rPr>
              <w:t>(30</w:t>
            </w:r>
            <w:r w:rsidR="00A51570">
              <w:rPr>
                <w:rFonts w:ascii="Calibri" w:eastAsia="Times New Roman" w:hAnsi="Calibri" w:cs="Calibri"/>
                <w:color w:val="000000"/>
                <w:sz w:val="21"/>
                <w:szCs w:val="21"/>
                <w:lang w:val="en-IE" w:eastAsia="en-IE"/>
              </w:rPr>
              <w:t>4.1</w:t>
            </w:r>
            <w:r w:rsidRPr="000E5963">
              <w:rPr>
                <w:rFonts w:ascii="Calibri" w:eastAsia="Times New Roman" w:hAnsi="Calibri" w:cs="Calibri"/>
                <w:color w:val="000000"/>
                <w:sz w:val="21"/>
                <w:szCs w:val="21"/>
                <w:lang w:val="en-IE" w:eastAsia="en-IE"/>
              </w:rPr>
              <w:t>)</w:t>
            </w:r>
          </w:p>
        </w:tc>
        <w:tc>
          <w:tcPr>
            <w:tcW w:w="1559" w:type="dxa"/>
            <w:noWrap/>
            <w:vAlign w:val="bottom"/>
          </w:tcPr>
          <w:p w14:paraId="0D6239AD" w14:textId="14EE86F2" w:rsidR="000E5963" w:rsidRPr="000E5963" w:rsidRDefault="000E5963" w:rsidP="000E5963">
            <w:pPr>
              <w:spacing w:after="0" w:line="240" w:lineRule="auto"/>
              <w:ind w:right="40"/>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US"/>
              </w:rPr>
              <w:t>(10.</w:t>
            </w:r>
            <w:r w:rsidR="00600BD9">
              <w:rPr>
                <w:rFonts w:ascii="Calibri" w:eastAsia="Times New Roman" w:hAnsi="Calibri" w:cs="Calibri"/>
                <w:color w:val="000000"/>
                <w:sz w:val="21"/>
                <w:szCs w:val="21"/>
                <w:lang w:val="en-IE" w:eastAsia="en-US"/>
              </w:rPr>
              <w:t>1</w:t>
            </w:r>
            <w:r w:rsidRPr="000E5963">
              <w:rPr>
                <w:rFonts w:ascii="Calibri" w:eastAsia="Times New Roman" w:hAnsi="Calibri" w:cs="Calibri"/>
                <w:color w:val="000000"/>
                <w:sz w:val="21"/>
                <w:szCs w:val="21"/>
                <w:lang w:val="en-IE" w:eastAsia="en-US"/>
              </w:rPr>
              <w:t>)</w:t>
            </w:r>
          </w:p>
        </w:tc>
        <w:tc>
          <w:tcPr>
            <w:tcW w:w="1418" w:type="dxa"/>
            <w:vAlign w:val="bottom"/>
          </w:tcPr>
          <w:p w14:paraId="0C4B5FAB" w14:textId="77777777" w:rsidR="000E5963" w:rsidRPr="000E5963" w:rsidRDefault="000E5963" w:rsidP="000E5963">
            <w:pPr>
              <w:spacing w:after="0" w:line="240" w:lineRule="auto"/>
              <w:ind w:right="29"/>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US"/>
              </w:rPr>
              <w:t>-</w:t>
            </w:r>
          </w:p>
        </w:tc>
        <w:tc>
          <w:tcPr>
            <w:tcW w:w="1276" w:type="dxa"/>
            <w:noWrap/>
            <w:vAlign w:val="bottom"/>
          </w:tcPr>
          <w:p w14:paraId="42A1D0FA" w14:textId="3024F548" w:rsidR="000E5963" w:rsidRPr="000E5963" w:rsidRDefault="000E5963" w:rsidP="000E5963">
            <w:pPr>
              <w:spacing w:after="0" w:line="240" w:lineRule="auto"/>
              <w:ind w:right="43"/>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US"/>
              </w:rPr>
              <w:t>(31</w:t>
            </w:r>
            <w:r w:rsidR="00505C69">
              <w:rPr>
                <w:rFonts w:ascii="Calibri" w:eastAsia="Times New Roman" w:hAnsi="Calibri" w:cs="Calibri"/>
                <w:color w:val="000000"/>
                <w:sz w:val="21"/>
                <w:szCs w:val="21"/>
                <w:lang w:val="en-IE" w:eastAsia="en-US"/>
              </w:rPr>
              <w:t>4</w:t>
            </w:r>
            <w:r w:rsidRPr="000E5963">
              <w:rPr>
                <w:rFonts w:ascii="Calibri" w:eastAsia="Times New Roman" w:hAnsi="Calibri" w:cs="Calibri"/>
                <w:color w:val="000000"/>
                <w:sz w:val="21"/>
                <w:szCs w:val="21"/>
                <w:lang w:val="en-IE" w:eastAsia="en-US"/>
              </w:rPr>
              <w:t>.2)</w:t>
            </w:r>
          </w:p>
        </w:tc>
      </w:tr>
      <w:tr w:rsidR="000E5963" w:rsidRPr="000E5963" w14:paraId="15A4A5EE" w14:textId="77777777" w:rsidTr="000E5963">
        <w:trPr>
          <w:trHeight w:val="300"/>
        </w:trPr>
        <w:tc>
          <w:tcPr>
            <w:tcW w:w="4962" w:type="dxa"/>
            <w:tcBorders>
              <w:top w:val="nil"/>
              <w:left w:val="nil"/>
              <w:bottom w:val="nil"/>
              <w:right w:val="nil"/>
            </w:tcBorders>
            <w:shd w:val="clear" w:color="000000" w:fill="FFFFFF"/>
            <w:vAlign w:val="center"/>
            <w:hideMark/>
          </w:tcPr>
          <w:p w14:paraId="6CDAFA33"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Net finance and other income</w:t>
            </w:r>
          </w:p>
        </w:tc>
        <w:tc>
          <w:tcPr>
            <w:tcW w:w="1559" w:type="dxa"/>
            <w:vAlign w:val="bottom"/>
          </w:tcPr>
          <w:p w14:paraId="27BD7562" w14:textId="1EC94FBC" w:rsidR="000E5963" w:rsidRPr="000E5963" w:rsidRDefault="00A51570" w:rsidP="000E5963">
            <w:pPr>
              <w:spacing w:after="0" w:line="240" w:lineRule="auto"/>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IE"/>
              </w:rPr>
              <w:t>23.9</w:t>
            </w:r>
          </w:p>
        </w:tc>
        <w:tc>
          <w:tcPr>
            <w:tcW w:w="1559" w:type="dxa"/>
            <w:noWrap/>
            <w:vAlign w:val="bottom"/>
          </w:tcPr>
          <w:p w14:paraId="2A4CF803" w14:textId="429F60AE"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sz w:val="21"/>
                <w:szCs w:val="21"/>
                <w:lang w:val="en-IE" w:eastAsia="en-US"/>
              </w:rPr>
              <w:t>(2.</w:t>
            </w:r>
            <w:r w:rsidR="00600BD9">
              <w:rPr>
                <w:rFonts w:ascii="Calibri" w:eastAsia="Times New Roman" w:hAnsi="Calibri" w:cs="Calibri"/>
                <w:sz w:val="21"/>
                <w:szCs w:val="21"/>
                <w:lang w:val="en-IE" w:eastAsia="en-US"/>
              </w:rPr>
              <w:t>0</w:t>
            </w:r>
            <w:r w:rsidRPr="000E5963">
              <w:rPr>
                <w:rFonts w:ascii="Calibri" w:eastAsia="Times New Roman" w:hAnsi="Calibri" w:cs="Calibri"/>
                <w:sz w:val="21"/>
                <w:szCs w:val="21"/>
                <w:lang w:val="en-IE" w:eastAsia="en-US"/>
              </w:rPr>
              <w:t>)</w:t>
            </w:r>
          </w:p>
        </w:tc>
        <w:tc>
          <w:tcPr>
            <w:tcW w:w="1418" w:type="dxa"/>
            <w:vAlign w:val="bottom"/>
          </w:tcPr>
          <w:p w14:paraId="65D34289"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w:t>
            </w:r>
          </w:p>
        </w:tc>
        <w:tc>
          <w:tcPr>
            <w:tcW w:w="1276" w:type="dxa"/>
            <w:noWrap/>
            <w:vAlign w:val="bottom"/>
          </w:tcPr>
          <w:p w14:paraId="74AC6B7E" w14:textId="059010CD"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2</w:t>
            </w:r>
            <w:r w:rsidR="00505C69">
              <w:rPr>
                <w:rFonts w:ascii="Calibri" w:eastAsia="Calibri" w:hAnsi="Calibri" w:cs="Calibri"/>
                <w:sz w:val="21"/>
                <w:szCs w:val="21"/>
                <w:lang w:val="en-IE" w:eastAsia="en-IE"/>
              </w:rPr>
              <w:t>1.9</w:t>
            </w:r>
          </w:p>
        </w:tc>
      </w:tr>
      <w:tr w:rsidR="000E5963" w:rsidRPr="000E5963" w14:paraId="20208EB7" w14:textId="77777777" w:rsidTr="000E5963">
        <w:trPr>
          <w:trHeight w:val="300"/>
        </w:trPr>
        <w:tc>
          <w:tcPr>
            <w:tcW w:w="4962" w:type="dxa"/>
            <w:tcBorders>
              <w:top w:val="nil"/>
              <w:left w:val="nil"/>
              <w:bottom w:val="nil"/>
              <w:right w:val="nil"/>
            </w:tcBorders>
            <w:shd w:val="clear" w:color="000000" w:fill="FFFFFF"/>
            <w:vAlign w:val="center"/>
            <w:hideMark/>
          </w:tcPr>
          <w:p w14:paraId="687E5754" w14:textId="77777777" w:rsidR="000E5963" w:rsidRPr="000E5963" w:rsidRDefault="000E5963" w:rsidP="000E5963">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Capital expenditure</w:t>
            </w:r>
          </w:p>
        </w:tc>
        <w:tc>
          <w:tcPr>
            <w:tcW w:w="1559" w:type="dxa"/>
            <w:vAlign w:val="bottom"/>
          </w:tcPr>
          <w:p w14:paraId="51E91060" w14:textId="2E57FB50" w:rsidR="000E5963" w:rsidRPr="000E5963" w:rsidRDefault="000E5963" w:rsidP="000E5963">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(3</w:t>
            </w:r>
            <w:r w:rsidR="00A51570">
              <w:rPr>
                <w:rFonts w:ascii="Calibri" w:eastAsia="Times New Roman" w:hAnsi="Calibri" w:cs="Calibri"/>
                <w:color w:val="000000"/>
                <w:sz w:val="21"/>
                <w:szCs w:val="21"/>
                <w:lang w:val="en-IE" w:eastAsia="en-IE"/>
              </w:rPr>
              <w:t>30.1</w:t>
            </w:r>
            <w:r w:rsidRPr="000E5963">
              <w:rPr>
                <w:rFonts w:ascii="Calibri" w:eastAsia="Times New Roman" w:hAnsi="Calibri" w:cs="Calibri"/>
                <w:color w:val="000000"/>
                <w:sz w:val="21"/>
                <w:szCs w:val="21"/>
                <w:lang w:val="en-IE" w:eastAsia="en-IE"/>
              </w:rPr>
              <w:t>)</w:t>
            </w:r>
          </w:p>
        </w:tc>
        <w:tc>
          <w:tcPr>
            <w:tcW w:w="1559" w:type="dxa"/>
            <w:noWrap/>
            <w:vAlign w:val="bottom"/>
          </w:tcPr>
          <w:p w14:paraId="75260B10" w14:textId="7D7A573A" w:rsidR="000E5963" w:rsidRPr="000E5963" w:rsidRDefault="000E5963" w:rsidP="000E5963">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sz w:val="21"/>
                <w:szCs w:val="21"/>
                <w:lang w:val="en-IE" w:eastAsia="en-US"/>
              </w:rPr>
              <w:t>(</w:t>
            </w:r>
            <w:r w:rsidR="00600BD9">
              <w:rPr>
                <w:rFonts w:ascii="Calibri" w:eastAsia="Times New Roman" w:hAnsi="Calibri" w:cs="Calibri"/>
                <w:sz w:val="21"/>
                <w:szCs w:val="21"/>
                <w:lang w:val="en-IE" w:eastAsia="en-US"/>
              </w:rPr>
              <w:t>30.3</w:t>
            </w:r>
            <w:r w:rsidRPr="000E5963">
              <w:rPr>
                <w:rFonts w:ascii="Calibri" w:eastAsia="Times New Roman" w:hAnsi="Calibri" w:cs="Calibri"/>
                <w:sz w:val="21"/>
                <w:szCs w:val="21"/>
                <w:lang w:val="en-IE" w:eastAsia="en-US"/>
              </w:rPr>
              <w:t>)</w:t>
            </w:r>
          </w:p>
        </w:tc>
        <w:tc>
          <w:tcPr>
            <w:tcW w:w="1418" w:type="dxa"/>
            <w:vAlign w:val="bottom"/>
          </w:tcPr>
          <w:p w14:paraId="4F835CFF" w14:textId="77777777" w:rsidR="000E5963" w:rsidRPr="000E5963" w:rsidRDefault="000E5963" w:rsidP="000E5963">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w:t>
            </w:r>
          </w:p>
        </w:tc>
        <w:tc>
          <w:tcPr>
            <w:tcW w:w="1276" w:type="dxa"/>
            <w:noWrap/>
            <w:vAlign w:val="bottom"/>
          </w:tcPr>
          <w:p w14:paraId="7D9389F6" w14:textId="09179A5F" w:rsidR="000E5963" w:rsidRPr="000E5963" w:rsidRDefault="000E5963" w:rsidP="000E5963">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w:t>
            </w:r>
            <w:r w:rsidR="0073675E">
              <w:rPr>
                <w:rFonts w:ascii="Calibri" w:eastAsia="Calibri" w:hAnsi="Calibri" w:cs="Calibri"/>
                <w:sz w:val="21"/>
                <w:szCs w:val="21"/>
                <w:lang w:val="en-IE" w:eastAsia="en-IE"/>
              </w:rPr>
              <w:t>360.4</w:t>
            </w:r>
            <w:r w:rsidRPr="000E5963">
              <w:rPr>
                <w:rFonts w:ascii="Calibri" w:eastAsia="Calibri" w:hAnsi="Calibri" w:cs="Calibri"/>
                <w:sz w:val="21"/>
                <w:szCs w:val="21"/>
                <w:lang w:val="en-IE" w:eastAsia="en-IE"/>
              </w:rPr>
              <w:t>)</w:t>
            </w:r>
          </w:p>
        </w:tc>
      </w:tr>
      <w:tr w:rsidR="003D51DB" w:rsidRPr="000E5963" w14:paraId="49452576" w14:textId="77777777" w:rsidTr="00EB7986">
        <w:trPr>
          <w:trHeight w:val="300"/>
        </w:trPr>
        <w:tc>
          <w:tcPr>
            <w:tcW w:w="4962" w:type="dxa"/>
            <w:shd w:val="clear" w:color="auto" w:fill="FFFFFF"/>
            <w:vAlign w:val="center"/>
          </w:tcPr>
          <w:p w14:paraId="1C0FCF22" w14:textId="77777777" w:rsidR="003D51DB" w:rsidRPr="000E5963" w:rsidRDefault="003D51DB" w:rsidP="003D51DB">
            <w:pPr>
              <w:spacing w:after="0" w:line="240" w:lineRule="auto"/>
              <w:ind w:right="-2" w:firstLine="31"/>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Staff costs</w:t>
            </w:r>
          </w:p>
        </w:tc>
        <w:tc>
          <w:tcPr>
            <w:tcW w:w="1559" w:type="dxa"/>
            <w:vAlign w:val="center"/>
          </w:tcPr>
          <w:p w14:paraId="258A1E39" w14:textId="3045CEA2" w:rsidR="003D51DB" w:rsidRPr="000E5963" w:rsidRDefault="0034519F" w:rsidP="003D51DB">
            <w:pPr>
              <w:spacing w:after="0" w:line="240" w:lineRule="auto"/>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(27</w:t>
            </w:r>
            <w:r w:rsidR="00EF2ECC">
              <w:rPr>
                <w:rFonts w:ascii="Calibri" w:eastAsia="Times New Roman" w:hAnsi="Calibri" w:cs="Calibri"/>
                <w:color w:val="000000"/>
                <w:sz w:val="21"/>
                <w:szCs w:val="21"/>
                <w:lang w:val="en-IE" w:eastAsia="en-US"/>
              </w:rPr>
              <w:t>8</w:t>
            </w:r>
            <w:r>
              <w:rPr>
                <w:rFonts w:ascii="Calibri" w:eastAsia="Times New Roman" w:hAnsi="Calibri" w:cs="Calibri"/>
                <w:color w:val="000000"/>
                <w:sz w:val="21"/>
                <w:szCs w:val="21"/>
                <w:lang w:val="en-IE" w:eastAsia="en-US"/>
              </w:rPr>
              <w:t>.5)</w:t>
            </w:r>
          </w:p>
        </w:tc>
        <w:tc>
          <w:tcPr>
            <w:tcW w:w="1559" w:type="dxa"/>
            <w:noWrap/>
            <w:vAlign w:val="center"/>
          </w:tcPr>
          <w:p w14:paraId="3EB64680" w14:textId="78F9B3E0" w:rsidR="003D51DB" w:rsidRPr="000E5963" w:rsidRDefault="00713F20" w:rsidP="003D51DB">
            <w:pPr>
              <w:spacing w:after="0" w:line="240" w:lineRule="auto"/>
              <w:ind w:right="40"/>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(170.2)</w:t>
            </w:r>
          </w:p>
        </w:tc>
        <w:tc>
          <w:tcPr>
            <w:tcW w:w="1418" w:type="dxa"/>
            <w:vAlign w:val="center"/>
          </w:tcPr>
          <w:p w14:paraId="71BB7583" w14:textId="1E0E33AC" w:rsidR="003D51DB" w:rsidRPr="000E5963" w:rsidRDefault="00713F20" w:rsidP="003D51DB">
            <w:pPr>
              <w:spacing w:after="0" w:line="240" w:lineRule="auto"/>
              <w:ind w:right="29"/>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w:t>
            </w:r>
          </w:p>
        </w:tc>
        <w:tc>
          <w:tcPr>
            <w:tcW w:w="1276" w:type="dxa"/>
            <w:noWrap/>
            <w:vAlign w:val="center"/>
          </w:tcPr>
          <w:p w14:paraId="3F981AB3" w14:textId="2D2A82C3" w:rsidR="003D51DB" w:rsidRPr="000E5963" w:rsidRDefault="00964DF6" w:rsidP="003D51DB">
            <w:pPr>
              <w:spacing w:after="0" w:line="240" w:lineRule="auto"/>
              <w:ind w:right="43"/>
              <w:jc w:val="right"/>
              <w:rPr>
                <w:rFonts w:ascii="Calibri" w:eastAsia="Times New Roman" w:hAnsi="Calibri" w:cs="Calibri"/>
                <w:color w:val="000000"/>
                <w:sz w:val="21"/>
                <w:szCs w:val="21"/>
                <w:lang w:val="en-IE" w:eastAsia="en-US"/>
              </w:rPr>
            </w:pPr>
            <w:r>
              <w:rPr>
                <w:rFonts w:ascii="Calibri" w:eastAsia="Times New Roman" w:hAnsi="Calibri" w:cs="Calibri"/>
                <w:color w:val="000000"/>
                <w:sz w:val="21"/>
                <w:szCs w:val="21"/>
                <w:lang w:val="en-IE" w:eastAsia="en-US"/>
              </w:rPr>
              <w:t>(448.7)</w:t>
            </w:r>
          </w:p>
        </w:tc>
      </w:tr>
      <w:tr w:rsidR="003D51DB" w:rsidRPr="000E5963" w14:paraId="406BC9B8" w14:textId="77777777" w:rsidTr="000E5963">
        <w:trPr>
          <w:trHeight w:val="300"/>
        </w:trPr>
        <w:tc>
          <w:tcPr>
            <w:tcW w:w="4962" w:type="dxa"/>
            <w:shd w:val="clear" w:color="auto" w:fill="FFFFFF"/>
            <w:vAlign w:val="center"/>
          </w:tcPr>
          <w:p w14:paraId="7CBAF0F0" w14:textId="77777777" w:rsidR="003D51DB" w:rsidRPr="000E5963" w:rsidRDefault="003D51DB" w:rsidP="003D51DB">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 </w:t>
            </w:r>
          </w:p>
        </w:tc>
        <w:tc>
          <w:tcPr>
            <w:tcW w:w="1559" w:type="dxa"/>
            <w:vAlign w:val="bottom"/>
          </w:tcPr>
          <w:p w14:paraId="2ABA158F" w14:textId="77777777" w:rsidR="003D51DB" w:rsidRPr="000E5963" w:rsidRDefault="003D51DB" w:rsidP="003D51DB">
            <w:pPr>
              <w:spacing w:after="0" w:line="240" w:lineRule="auto"/>
              <w:jc w:val="right"/>
              <w:rPr>
                <w:rFonts w:ascii="Calibri" w:eastAsia="Times New Roman" w:hAnsi="Calibri" w:cs="Calibri"/>
                <w:color w:val="000000"/>
                <w:sz w:val="21"/>
                <w:szCs w:val="21"/>
                <w:lang w:val="en-IE" w:eastAsia="en-US"/>
              </w:rPr>
            </w:pPr>
          </w:p>
        </w:tc>
        <w:tc>
          <w:tcPr>
            <w:tcW w:w="1559" w:type="dxa"/>
            <w:noWrap/>
            <w:vAlign w:val="bottom"/>
          </w:tcPr>
          <w:p w14:paraId="3FD9D7DB" w14:textId="77777777" w:rsidR="003D51DB" w:rsidRPr="000E5963" w:rsidRDefault="003D51DB" w:rsidP="003D51DB">
            <w:pPr>
              <w:spacing w:after="0" w:line="240" w:lineRule="auto"/>
              <w:ind w:right="40"/>
              <w:jc w:val="right"/>
              <w:rPr>
                <w:rFonts w:ascii="Calibri" w:eastAsia="Times New Roman" w:hAnsi="Calibri" w:cs="Calibri"/>
                <w:color w:val="000000"/>
                <w:sz w:val="21"/>
                <w:szCs w:val="21"/>
                <w:lang w:val="en-IE" w:eastAsia="en-US"/>
              </w:rPr>
            </w:pPr>
          </w:p>
        </w:tc>
        <w:tc>
          <w:tcPr>
            <w:tcW w:w="1418" w:type="dxa"/>
            <w:vAlign w:val="bottom"/>
          </w:tcPr>
          <w:p w14:paraId="233ABC49" w14:textId="77777777" w:rsidR="003D51DB" w:rsidRPr="000E5963" w:rsidRDefault="003D51DB" w:rsidP="003D51DB">
            <w:pPr>
              <w:spacing w:after="0" w:line="240" w:lineRule="auto"/>
              <w:ind w:right="29"/>
              <w:jc w:val="right"/>
              <w:rPr>
                <w:rFonts w:ascii="Calibri" w:eastAsia="Times New Roman" w:hAnsi="Calibri" w:cs="Calibri"/>
                <w:color w:val="000000"/>
                <w:sz w:val="21"/>
                <w:szCs w:val="21"/>
                <w:lang w:val="en-IE" w:eastAsia="en-US"/>
              </w:rPr>
            </w:pPr>
          </w:p>
        </w:tc>
        <w:tc>
          <w:tcPr>
            <w:tcW w:w="1276" w:type="dxa"/>
            <w:noWrap/>
            <w:vAlign w:val="bottom"/>
          </w:tcPr>
          <w:p w14:paraId="1F55FA30" w14:textId="77777777" w:rsidR="003D51DB" w:rsidRPr="000E5963" w:rsidRDefault="003D51DB" w:rsidP="003D51DB">
            <w:pPr>
              <w:spacing w:after="0" w:line="240" w:lineRule="auto"/>
              <w:ind w:right="43"/>
              <w:jc w:val="right"/>
              <w:rPr>
                <w:rFonts w:ascii="Calibri" w:eastAsia="Times New Roman" w:hAnsi="Calibri" w:cs="Calibri"/>
                <w:color w:val="000000"/>
                <w:sz w:val="21"/>
                <w:szCs w:val="21"/>
                <w:lang w:val="en-IE" w:eastAsia="en-US"/>
              </w:rPr>
            </w:pPr>
          </w:p>
        </w:tc>
      </w:tr>
      <w:tr w:rsidR="003D51DB" w:rsidRPr="000E5963" w14:paraId="6651684C" w14:textId="77777777" w:rsidTr="000E5963">
        <w:trPr>
          <w:trHeight w:val="300"/>
        </w:trPr>
        <w:tc>
          <w:tcPr>
            <w:tcW w:w="4962" w:type="dxa"/>
            <w:shd w:val="clear" w:color="auto" w:fill="FFFFFF"/>
            <w:vAlign w:val="center"/>
            <w:hideMark/>
          </w:tcPr>
          <w:p w14:paraId="02268039" w14:textId="77777777" w:rsidR="003D51DB" w:rsidRPr="000E5963" w:rsidRDefault="003D51DB" w:rsidP="003D51DB">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Segment assets</w:t>
            </w:r>
          </w:p>
        </w:tc>
        <w:tc>
          <w:tcPr>
            <w:tcW w:w="1559" w:type="dxa"/>
            <w:vAlign w:val="bottom"/>
          </w:tcPr>
          <w:p w14:paraId="1A11BF29" w14:textId="3848FE1A" w:rsidR="003D51DB" w:rsidRPr="000E5963" w:rsidRDefault="003D51DB" w:rsidP="003D51DB">
            <w:pPr>
              <w:spacing w:after="0" w:line="240" w:lineRule="auto"/>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IE"/>
              </w:rPr>
              <w:t>1</w:t>
            </w:r>
            <w:r>
              <w:rPr>
                <w:rFonts w:ascii="Calibri" w:eastAsia="Times New Roman" w:hAnsi="Calibri" w:cs="Calibri"/>
                <w:color w:val="000000"/>
                <w:sz w:val="21"/>
                <w:szCs w:val="21"/>
                <w:lang w:val="en-IE" w:eastAsia="en-IE"/>
              </w:rPr>
              <w:t>6,017.6</w:t>
            </w:r>
          </w:p>
        </w:tc>
        <w:tc>
          <w:tcPr>
            <w:tcW w:w="1559" w:type="dxa"/>
            <w:noWrap/>
            <w:vAlign w:val="bottom"/>
          </w:tcPr>
          <w:p w14:paraId="35DF4111" w14:textId="2FF7A788" w:rsidR="003D51DB" w:rsidRPr="000E5963" w:rsidRDefault="003D51DB" w:rsidP="003D51DB">
            <w:pPr>
              <w:spacing w:after="0" w:line="240" w:lineRule="auto"/>
              <w:ind w:right="40"/>
              <w:jc w:val="right"/>
              <w:rPr>
                <w:rFonts w:ascii="Calibri" w:eastAsia="Times New Roman" w:hAnsi="Calibri" w:cs="Calibri"/>
                <w:color w:val="000000"/>
                <w:sz w:val="21"/>
                <w:szCs w:val="21"/>
                <w:lang w:val="en-IE" w:eastAsia="en-US"/>
              </w:rPr>
            </w:pPr>
            <w:r w:rsidRPr="000E5963">
              <w:rPr>
                <w:rFonts w:ascii="Calibri" w:eastAsia="Times New Roman" w:hAnsi="Calibri" w:cs="Calibri"/>
                <w:color w:val="000000"/>
                <w:sz w:val="21"/>
                <w:szCs w:val="21"/>
                <w:lang w:val="en-IE" w:eastAsia="en-US"/>
              </w:rPr>
              <w:t>3</w:t>
            </w:r>
            <w:r>
              <w:rPr>
                <w:rFonts w:ascii="Calibri" w:eastAsia="Times New Roman" w:hAnsi="Calibri" w:cs="Calibri"/>
                <w:color w:val="000000"/>
                <w:sz w:val="21"/>
                <w:szCs w:val="21"/>
                <w:lang w:val="en-IE" w:eastAsia="en-US"/>
              </w:rPr>
              <w:t>58.2</w:t>
            </w:r>
          </w:p>
        </w:tc>
        <w:tc>
          <w:tcPr>
            <w:tcW w:w="1418" w:type="dxa"/>
            <w:vAlign w:val="bottom"/>
          </w:tcPr>
          <w:p w14:paraId="50D00A5B" w14:textId="77777777" w:rsidR="003D51DB" w:rsidRPr="000E5963" w:rsidRDefault="003D51DB" w:rsidP="003D51DB">
            <w:pPr>
              <w:spacing w:after="0" w:line="240" w:lineRule="auto"/>
              <w:ind w:right="29"/>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w:t>
            </w:r>
          </w:p>
        </w:tc>
        <w:tc>
          <w:tcPr>
            <w:tcW w:w="1276" w:type="dxa"/>
            <w:noWrap/>
            <w:vAlign w:val="bottom"/>
          </w:tcPr>
          <w:p w14:paraId="582A3573" w14:textId="6FCC885D" w:rsidR="003D51DB" w:rsidRPr="000E5963" w:rsidRDefault="003D51DB" w:rsidP="003D51DB">
            <w:pPr>
              <w:spacing w:after="0" w:line="240" w:lineRule="auto"/>
              <w:ind w:right="43"/>
              <w:jc w:val="right"/>
              <w:rPr>
                <w:rFonts w:ascii="Calibri" w:eastAsia="Times New Roman" w:hAnsi="Calibri" w:cs="Calibri"/>
                <w:color w:val="000000"/>
                <w:sz w:val="21"/>
                <w:szCs w:val="21"/>
                <w:lang w:val="en-IE" w:eastAsia="en-US"/>
              </w:rPr>
            </w:pPr>
            <w:r w:rsidRPr="000E5963">
              <w:rPr>
                <w:rFonts w:ascii="Calibri" w:eastAsia="Calibri" w:hAnsi="Calibri" w:cs="Calibri"/>
                <w:sz w:val="21"/>
                <w:szCs w:val="21"/>
                <w:lang w:val="en-IE" w:eastAsia="en-IE"/>
              </w:rPr>
              <w:t>1</w:t>
            </w:r>
            <w:r>
              <w:rPr>
                <w:rFonts w:ascii="Calibri" w:eastAsia="Calibri" w:hAnsi="Calibri" w:cs="Calibri"/>
                <w:sz w:val="21"/>
                <w:szCs w:val="21"/>
                <w:lang w:val="en-IE" w:eastAsia="en-IE"/>
              </w:rPr>
              <w:t>6,375.8</w:t>
            </w:r>
          </w:p>
        </w:tc>
      </w:tr>
      <w:tr w:rsidR="003D51DB" w:rsidRPr="000E5963" w14:paraId="1F5C0248" w14:textId="77777777" w:rsidTr="000E5963">
        <w:trPr>
          <w:trHeight w:val="300"/>
        </w:trPr>
        <w:tc>
          <w:tcPr>
            <w:tcW w:w="4962" w:type="dxa"/>
            <w:shd w:val="clear" w:color="auto" w:fill="FFFFFF"/>
            <w:vAlign w:val="center"/>
            <w:hideMark/>
          </w:tcPr>
          <w:p w14:paraId="5C1B1E8C" w14:textId="77777777" w:rsidR="003D51DB" w:rsidRPr="000E5963" w:rsidRDefault="003D51DB" w:rsidP="003D51DB">
            <w:pPr>
              <w:spacing w:after="0" w:line="240" w:lineRule="auto"/>
              <w:ind w:right="-2" w:firstLine="31"/>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US"/>
              </w:rPr>
              <w:t>Segment liabilities</w:t>
            </w:r>
          </w:p>
        </w:tc>
        <w:tc>
          <w:tcPr>
            <w:tcW w:w="1559" w:type="dxa"/>
            <w:vAlign w:val="bottom"/>
          </w:tcPr>
          <w:p w14:paraId="176FD321" w14:textId="75BD0DF9" w:rsidR="003D51DB" w:rsidRPr="000E5963" w:rsidRDefault="003D51DB" w:rsidP="003D51DB">
            <w:pPr>
              <w:spacing w:after="0" w:line="240" w:lineRule="auto"/>
              <w:jc w:val="right"/>
              <w:rPr>
                <w:rFonts w:ascii="Calibri" w:eastAsia="Times New Roman" w:hAnsi="Calibri" w:cs="Calibri"/>
                <w:color w:val="000000"/>
                <w:sz w:val="21"/>
                <w:szCs w:val="21"/>
                <w:highlight w:val="green"/>
                <w:lang w:val="en-IE" w:eastAsia="en-US"/>
              </w:rPr>
            </w:pPr>
            <w:r w:rsidRPr="000E5963">
              <w:rPr>
                <w:rFonts w:ascii="Calibri" w:eastAsia="Times New Roman" w:hAnsi="Calibri" w:cs="Calibri"/>
                <w:color w:val="000000"/>
                <w:sz w:val="21"/>
                <w:szCs w:val="21"/>
                <w:lang w:val="en-IE" w:eastAsia="en-IE"/>
              </w:rPr>
              <w:t>(</w:t>
            </w:r>
            <w:r>
              <w:rPr>
                <w:rFonts w:ascii="Calibri" w:eastAsia="Times New Roman" w:hAnsi="Calibri" w:cs="Calibri"/>
                <w:color w:val="000000"/>
                <w:sz w:val="21"/>
                <w:szCs w:val="21"/>
                <w:lang w:val="en-IE" w:eastAsia="en-IE"/>
              </w:rPr>
              <w:t>8,025.1</w:t>
            </w:r>
            <w:r w:rsidRPr="000E5963">
              <w:rPr>
                <w:rFonts w:ascii="Calibri" w:eastAsia="Times New Roman" w:hAnsi="Calibri" w:cs="Calibri"/>
                <w:color w:val="000000"/>
                <w:sz w:val="21"/>
                <w:szCs w:val="21"/>
                <w:lang w:val="en-IE" w:eastAsia="en-IE"/>
              </w:rPr>
              <w:t>)</w:t>
            </w:r>
          </w:p>
        </w:tc>
        <w:tc>
          <w:tcPr>
            <w:tcW w:w="1559" w:type="dxa"/>
            <w:noWrap/>
            <w:vAlign w:val="bottom"/>
          </w:tcPr>
          <w:p w14:paraId="38034C8A" w14:textId="769DCC5E" w:rsidR="003D51DB" w:rsidRPr="000E5963" w:rsidRDefault="003D51DB" w:rsidP="003D51DB">
            <w:pPr>
              <w:spacing w:after="0" w:line="240" w:lineRule="auto"/>
              <w:ind w:right="40"/>
              <w:jc w:val="right"/>
              <w:rPr>
                <w:rFonts w:ascii="Calibri" w:eastAsia="Times New Roman" w:hAnsi="Calibri" w:cs="Calibri"/>
                <w:color w:val="000000"/>
                <w:sz w:val="21"/>
                <w:szCs w:val="21"/>
                <w:highlight w:val="green"/>
                <w:lang w:val="en-IE" w:eastAsia="en-US"/>
              </w:rPr>
            </w:pPr>
            <w:r w:rsidRPr="000E5963">
              <w:rPr>
                <w:rFonts w:ascii="Calibri" w:eastAsia="Times New Roman" w:hAnsi="Calibri" w:cs="Calibri"/>
                <w:color w:val="000000"/>
                <w:sz w:val="21"/>
                <w:szCs w:val="21"/>
                <w:lang w:val="en-IE" w:eastAsia="en-US"/>
              </w:rPr>
              <w:t>(</w:t>
            </w:r>
            <w:r>
              <w:rPr>
                <w:rFonts w:ascii="Calibri" w:eastAsia="Times New Roman" w:hAnsi="Calibri" w:cs="Calibri"/>
                <w:color w:val="000000"/>
                <w:sz w:val="21"/>
                <w:szCs w:val="21"/>
                <w:lang w:val="en-IE" w:eastAsia="en-US"/>
              </w:rPr>
              <w:t>593.5</w:t>
            </w:r>
            <w:r w:rsidRPr="000E5963">
              <w:rPr>
                <w:rFonts w:ascii="Calibri" w:eastAsia="Times New Roman" w:hAnsi="Calibri" w:cs="Calibri"/>
                <w:color w:val="000000"/>
                <w:sz w:val="21"/>
                <w:szCs w:val="21"/>
                <w:lang w:val="en-IE" w:eastAsia="en-US"/>
              </w:rPr>
              <w:t>)</w:t>
            </w:r>
          </w:p>
        </w:tc>
        <w:tc>
          <w:tcPr>
            <w:tcW w:w="1418" w:type="dxa"/>
            <w:vAlign w:val="bottom"/>
          </w:tcPr>
          <w:p w14:paraId="719C22C5" w14:textId="77777777" w:rsidR="003D51DB" w:rsidRPr="000E5963" w:rsidRDefault="003D51DB" w:rsidP="003D51DB">
            <w:pPr>
              <w:spacing w:after="0" w:line="240" w:lineRule="auto"/>
              <w:ind w:right="29"/>
              <w:jc w:val="right"/>
              <w:rPr>
                <w:rFonts w:ascii="Calibri" w:eastAsia="Times New Roman" w:hAnsi="Calibri" w:cs="Calibri"/>
                <w:color w:val="000000"/>
                <w:sz w:val="21"/>
                <w:szCs w:val="21"/>
                <w:highlight w:val="green"/>
                <w:lang w:val="en-IE" w:eastAsia="en-US"/>
              </w:rPr>
            </w:pPr>
            <w:r w:rsidRPr="000E5963">
              <w:rPr>
                <w:rFonts w:ascii="Calibri" w:eastAsia="Calibri" w:hAnsi="Calibri" w:cs="Calibri"/>
                <w:sz w:val="21"/>
                <w:szCs w:val="21"/>
                <w:lang w:val="en-IE" w:eastAsia="en-IE"/>
              </w:rPr>
              <w:t>-</w:t>
            </w:r>
          </w:p>
        </w:tc>
        <w:tc>
          <w:tcPr>
            <w:tcW w:w="1276" w:type="dxa"/>
            <w:noWrap/>
            <w:vAlign w:val="bottom"/>
          </w:tcPr>
          <w:p w14:paraId="0DEEDB34" w14:textId="42838EB0" w:rsidR="003D51DB" w:rsidRPr="000E5963" w:rsidRDefault="003D51DB" w:rsidP="003D51DB">
            <w:pPr>
              <w:spacing w:after="0" w:line="240" w:lineRule="auto"/>
              <w:ind w:right="43"/>
              <w:jc w:val="right"/>
              <w:rPr>
                <w:rFonts w:ascii="Calibri" w:eastAsia="Times New Roman" w:hAnsi="Calibri" w:cs="Calibri"/>
                <w:color w:val="000000"/>
                <w:sz w:val="21"/>
                <w:szCs w:val="21"/>
                <w:highlight w:val="green"/>
                <w:lang w:val="en-IE" w:eastAsia="en-US"/>
              </w:rPr>
            </w:pPr>
            <w:r w:rsidRPr="000E5963">
              <w:rPr>
                <w:rFonts w:ascii="Calibri" w:eastAsia="Calibri" w:hAnsi="Calibri" w:cs="Calibri"/>
                <w:sz w:val="21"/>
                <w:szCs w:val="21"/>
                <w:lang w:val="en-IE" w:eastAsia="en-IE"/>
              </w:rPr>
              <w:t>(</w:t>
            </w:r>
            <w:r>
              <w:rPr>
                <w:rFonts w:ascii="Calibri" w:eastAsia="Calibri" w:hAnsi="Calibri" w:cs="Calibri"/>
                <w:sz w:val="21"/>
                <w:szCs w:val="21"/>
                <w:lang w:val="en-IE" w:eastAsia="en-IE"/>
              </w:rPr>
              <w:t>8,618.6</w:t>
            </w:r>
            <w:r w:rsidRPr="000E5963">
              <w:rPr>
                <w:rFonts w:ascii="Calibri" w:eastAsia="Calibri" w:hAnsi="Calibri" w:cs="Calibri"/>
                <w:sz w:val="21"/>
                <w:szCs w:val="21"/>
                <w:lang w:val="en-IE" w:eastAsia="en-IE"/>
              </w:rPr>
              <w:t>)</w:t>
            </w:r>
          </w:p>
        </w:tc>
      </w:tr>
    </w:tbl>
    <w:p w14:paraId="27D033F6"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796639DB" w14:textId="2A5183DA" w:rsidR="000E5963" w:rsidRPr="000E5963" w:rsidRDefault="000E5963" w:rsidP="000E5963">
      <w:pPr>
        <w:spacing w:after="0" w:line="240" w:lineRule="auto"/>
        <w:ind w:right="283"/>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The expense line items not presented in the table</w:t>
      </w:r>
      <w:r w:rsidR="00837E0F">
        <w:rPr>
          <w:rFonts w:ascii="Calibri" w:eastAsia="Times New Roman" w:hAnsi="Calibri" w:cs="Calibri"/>
          <w:sz w:val="22"/>
          <w:szCs w:val="22"/>
          <w:lang w:eastAsia="en-US"/>
        </w:rPr>
        <w:t>s</w:t>
      </w:r>
      <w:r w:rsidRPr="000E5963">
        <w:rPr>
          <w:rFonts w:ascii="Calibri" w:eastAsia="Times New Roman" w:hAnsi="Calibri" w:cs="Calibri"/>
          <w:sz w:val="22"/>
          <w:szCs w:val="22"/>
          <w:lang w:eastAsia="en-US"/>
        </w:rPr>
        <w:t xml:space="preserve"> above are incurred by Ryanair DAC and as such have not been presented across the segments. </w:t>
      </w:r>
      <w:r w:rsidRPr="00087E37">
        <w:rPr>
          <w:rFonts w:ascii="Calibri" w:eastAsia="Times New Roman" w:hAnsi="Calibri" w:cs="Calibri"/>
          <w:sz w:val="22"/>
          <w:szCs w:val="22"/>
          <w:lang w:eastAsia="en-US"/>
        </w:rPr>
        <w:t xml:space="preserve">Prior </w:t>
      </w:r>
      <w:r w:rsidR="00F94051">
        <w:rPr>
          <w:rFonts w:ascii="Calibri" w:eastAsia="Times New Roman" w:hAnsi="Calibri" w:cs="Calibri"/>
          <w:sz w:val="22"/>
          <w:szCs w:val="22"/>
          <w:lang w:eastAsia="en-US"/>
        </w:rPr>
        <w:t>period</w:t>
      </w:r>
      <w:r w:rsidRPr="00087E37">
        <w:rPr>
          <w:rFonts w:ascii="Calibri" w:eastAsia="Times New Roman" w:hAnsi="Calibri" w:cs="Calibri"/>
          <w:sz w:val="22"/>
          <w:szCs w:val="22"/>
          <w:lang w:eastAsia="en-US"/>
        </w:rPr>
        <w:t xml:space="preserve"> comparatives have been updated to align with current </w:t>
      </w:r>
      <w:r w:rsidR="00F94051">
        <w:rPr>
          <w:rFonts w:ascii="Calibri" w:eastAsia="Times New Roman" w:hAnsi="Calibri" w:cs="Calibri"/>
          <w:sz w:val="22"/>
          <w:szCs w:val="22"/>
          <w:lang w:eastAsia="en-US"/>
        </w:rPr>
        <w:t>period</w:t>
      </w:r>
      <w:r w:rsidRPr="00087E37">
        <w:rPr>
          <w:rFonts w:ascii="Calibri" w:eastAsia="Times New Roman" w:hAnsi="Calibri" w:cs="Calibri"/>
          <w:sz w:val="22"/>
          <w:szCs w:val="22"/>
          <w:lang w:eastAsia="en-US"/>
        </w:rPr>
        <w:t xml:space="preserve"> presentation</w:t>
      </w:r>
      <w:r w:rsidRPr="000E5963">
        <w:rPr>
          <w:rFonts w:ascii="Calibri" w:eastAsia="Times New Roman" w:hAnsi="Calibri" w:cs="Calibri"/>
          <w:sz w:val="22"/>
          <w:szCs w:val="22"/>
          <w:lang w:eastAsia="en-US"/>
        </w:rPr>
        <w:t>.</w:t>
      </w:r>
    </w:p>
    <w:p w14:paraId="61C6906D"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199F87D5" w14:textId="78DD44AE" w:rsidR="00611311"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following table disaggregates revenue by primary geographical market. In accordance with IFRS 8, revenue by country of departure has been provided where revenue for that country is in excess of 10% of total revenue. Ireland is presented as it represents the country of domicile. “Other” includes all other countries in which the Group has operations.</w:t>
      </w:r>
    </w:p>
    <w:p w14:paraId="1C15895B" w14:textId="29BA0A49" w:rsidR="008F6464" w:rsidRPr="00611311" w:rsidRDefault="00611311" w:rsidP="00611311">
      <w:pPr>
        <w:rPr>
          <w:rFonts w:ascii="Calibri" w:eastAsia="Times New Roman" w:hAnsi="Calibri" w:cs="Calibri"/>
          <w:sz w:val="22"/>
          <w:szCs w:val="22"/>
          <w:lang w:val="en-IE" w:eastAsia="en-US"/>
        </w:rPr>
      </w:pPr>
      <w:r>
        <w:rPr>
          <w:rFonts w:ascii="Calibri" w:eastAsia="Times New Roman" w:hAnsi="Calibri" w:cs="Calibri"/>
          <w:sz w:val="22"/>
          <w:szCs w:val="22"/>
          <w:lang w:val="en-IE" w:eastAsia="en-US"/>
        </w:rPr>
        <w:br w:type="page"/>
      </w:r>
    </w:p>
    <w:tbl>
      <w:tblPr>
        <w:tblW w:w="10774" w:type="dxa"/>
        <w:tblInd w:w="-34" w:type="dxa"/>
        <w:tblLook w:val="04A0" w:firstRow="1" w:lastRow="0" w:firstColumn="1" w:lastColumn="0" w:noHBand="0" w:noVBand="1"/>
      </w:tblPr>
      <w:tblGrid>
        <w:gridCol w:w="2901"/>
        <w:gridCol w:w="2095"/>
        <w:gridCol w:w="1524"/>
        <w:gridCol w:w="1560"/>
        <w:gridCol w:w="1418"/>
        <w:gridCol w:w="1276"/>
      </w:tblGrid>
      <w:tr w:rsidR="008F6464" w:rsidRPr="008F6464" w14:paraId="03888284" w14:textId="77777777" w:rsidTr="00EB7986">
        <w:trPr>
          <w:trHeight w:val="223"/>
        </w:trPr>
        <w:tc>
          <w:tcPr>
            <w:tcW w:w="2901" w:type="dxa"/>
          </w:tcPr>
          <w:p w14:paraId="01433A56"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color w:val="000000"/>
                <w:sz w:val="21"/>
                <w:szCs w:val="21"/>
                <w:lang w:val="en-IE" w:eastAsia="en-US"/>
              </w:rPr>
            </w:pPr>
          </w:p>
        </w:tc>
        <w:tc>
          <w:tcPr>
            <w:tcW w:w="2095" w:type="dxa"/>
          </w:tcPr>
          <w:p w14:paraId="0B21934B"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b/>
                <w:bCs/>
                <w:color w:val="000000"/>
                <w:sz w:val="21"/>
                <w:szCs w:val="21"/>
                <w:highlight w:val="yellow"/>
                <w:lang w:val="en-IE" w:eastAsia="en-US"/>
              </w:rPr>
            </w:pPr>
          </w:p>
        </w:tc>
        <w:tc>
          <w:tcPr>
            <w:tcW w:w="1524" w:type="dxa"/>
            <w:shd w:val="clear" w:color="auto" w:fill="FFFF00"/>
            <w:hideMark/>
          </w:tcPr>
          <w:p w14:paraId="221C5182" w14:textId="77777777" w:rsidR="008F6464" w:rsidRPr="008F6464" w:rsidRDefault="008F6464" w:rsidP="008F6464">
            <w:pPr>
              <w:autoSpaceDE w:val="0"/>
              <w:autoSpaceDN w:val="0"/>
              <w:adjustRightInd w:val="0"/>
              <w:spacing w:after="0" w:line="240" w:lineRule="auto"/>
              <w:jc w:val="right"/>
              <w:rPr>
                <w:rFonts w:ascii="Calibri" w:eastAsia="Times New Roman" w:hAnsi="Calibri" w:cs="Calibri"/>
                <w:b/>
                <w:color w:val="000000"/>
                <w:sz w:val="21"/>
                <w:szCs w:val="21"/>
                <w:lang w:val="en-IE" w:eastAsia="en-US"/>
              </w:rPr>
            </w:pPr>
            <w:r w:rsidRPr="008F6464">
              <w:rPr>
                <w:rFonts w:ascii="Calibri" w:eastAsia="Times New Roman" w:hAnsi="Calibri" w:cs="Calibri"/>
                <w:b/>
                <w:color w:val="000000"/>
                <w:sz w:val="21"/>
                <w:szCs w:val="21"/>
                <w:lang w:val="en-IE" w:eastAsia="en-US"/>
              </w:rPr>
              <w:t xml:space="preserve">Half-Year Ended </w:t>
            </w:r>
          </w:p>
          <w:p w14:paraId="336F9C1E" w14:textId="77777777" w:rsidR="008F6464" w:rsidRPr="008F6464" w:rsidRDefault="008F6464" w:rsidP="008F6464">
            <w:pPr>
              <w:autoSpaceDE w:val="0"/>
              <w:autoSpaceDN w:val="0"/>
              <w:adjustRightInd w:val="0"/>
              <w:spacing w:after="0" w:line="240" w:lineRule="auto"/>
              <w:jc w:val="right"/>
              <w:rPr>
                <w:rFonts w:ascii="Calibri" w:eastAsia="Times New Roman" w:hAnsi="Calibri" w:cs="Calibri"/>
                <w:b/>
                <w:color w:val="000000"/>
                <w:sz w:val="21"/>
                <w:szCs w:val="21"/>
                <w:lang w:val="en-IE" w:eastAsia="en-US"/>
              </w:rPr>
            </w:pPr>
            <w:r w:rsidRPr="008F6464">
              <w:rPr>
                <w:rFonts w:ascii="Calibri" w:eastAsia="Times New Roman" w:hAnsi="Calibri" w:cs="Calibri"/>
                <w:b/>
                <w:color w:val="000000"/>
                <w:sz w:val="21"/>
                <w:szCs w:val="21"/>
                <w:lang w:val="en-IE" w:eastAsia="en-US"/>
              </w:rPr>
              <w:t>Sep 30,</w:t>
            </w:r>
          </w:p>
          <w:p w14:paraId="5BC4E95A" w14:textId="0EF85F20" w:rsidR="008F6464" w:rsidRPr="008F6464" w:rsidRDefault="008F6464" w:rsidP="008F6464">
            <w:pPr>
              <w:autoSpaceDE w:val="0"/>
              <w:autoSpaceDN w:val="0"/>
              <w:adjustRightInd w:val="0"/>
              <w:spacing w:after="0" w:line="240" w:lineRule="auto"/>
              <w:jc w:val="right"/>
              <w:rPr>
                <w:rFonts w:ascii="Calibri" w:eastAsia="Times New Roman" w:hAnsi="Calibri" w:cs="Calibri"/>
                <w:b/>
                <w:color w:val="000000"/>
                <w:sz w:val="21"/>
                <w:szCs w:val="21"/>
                <w:lang w:val="en-IE" w:eastAsia="en-US"/>
              </w:rPr>
            </w:pPr>
            <w:r w:rsidRPr="008F6464">
              <w:rPr>
                <w:rFonts w:ascii="Calibri" w:eastAsia="Times New Roman" w:hAnsi="Calibri" w:cs="Calibri"/>
                <w:b/>
                <w:color w:val="000000"/>
                <w:sz w:val="21"/>
                <w:szCs w:val="21"/>
                <w:lang w:val="en-IE" w:eastAsia="en-US"/>
              </w:rPr>
              <w:t>202</w:t>
            </w:r>
            <w:r w:rsidR="00625B5D">
              <w:rPr>
                <w:rFonts w:ascii="Calibri" w:eastAsia="Times New Roman" w:hAnsi="Calibri" w:cs="Calibri"/>
                <w:b/>
                <w:color w:val="000000"/>
                <w:sz w:val="21"/>
                <w:szCs w:val="21"/>
                <w:lang w:val="en-IE" w:eastAsia="en-US"/>
              </w:rPr>
              <w:t>5</w:t>
            </w:r>
          </w:p>
        </w:tc>
        <w:tc>
          <w:tcPr>
            <w:tcW w:w="1560" w:type="dxa"/>
            <w:hideMark/>
          </w:tcPr>
          <w:p w14:paraId="2C38F79A" w14:textId="77777777" w:rsidR="008F6464" w:rsidRPr="008F6464" w:rsidRDefault="008F6464" w:rsidP="008F6464">
            <w:pPr>
              <w:autoSpaceDE w:val="0"/>
              <w:autoSpaceDN w:val="0"/>
              <w:adjustRightInd w:val="0"/>
              <w:spacing w:after="0" w:line="240" w:lineRule="auto"/>
              <w:ind w:right="40"/>
              <w:jc w:val="right"/>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 xml:space="preserve">Half-Year Ended </w:t>
            </w:r>
          </w:p>
          <w:p w14:paraId="207F9F45" w14:textId="77777777" w:rsidR="008F6464" w:rsidRPr="008F6464" w:rsidRDefault="008F6464" w:rsidP="008F6464">
            <w:pPr>
              <w:autoSpaceDE w:val="0"/>
              <w:autoSpaceDN w:val="0"/>
              <w:adjustRightInd w:val="0"/>
              <w:spacing w:after="0" w:line="240" w:lineRule="auto"/>
              <w:ind w:right="40"/>
              <w:jc w:val="right"/>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 xml:space="preserve">Sep 30, </w:t>
            </w:r>
          </w:p>
          <w:p w14:paraId="5B0DE91D" w14:textId="0A31C833" w:rsidR="008F6464" w:rsidRPr="008F6464" w:rsidRDefault="008F6464" w:rsidP="008F6464">
            <w:pPr>
              <w:autoSpaceDE w:val="0"/>
              <w:autoSpaceDN w:val="0"/>
              <w:adjustRightInd w:val="0"/>
              <w:spacing w:after="0" w:line="240" w:lineRule="auto"/>
              <w:ind w:right="40"/>
              <w:jc w:val="right"/>
              <w:rPr>
                <w:rFonts w:ascii="Calibri" w:eastAsia="Times New Roman" w:hAnsi="Calibri" w:cs="Calibri"/>
                <w:bCs/>
                <w:color w:val="000000"/>
                <w:sz w:val="21"/>
                <w:szCs w:val="21"/>
                <w:lang w:val="en-IE" w:eastAsia="en-US"/>
              </w:rPr>
            </w:pPr>
            <w:r w:rsidRPr="008F6464">
              <w:rPr>
                <w:rFonts w:ascii="Calibri" w:eastAsia="Times New Roman" w:hAnsi="Calibri" w:cs="Calibri"/>
                <w:color w:val="000000"/>
                <w:sz w:val="21"/>
                <w:szCs w:val="21"/>
                <w:lang w:val="en-IE" w:eastAsia="en-US"/>
              </w:rPr>
              <w:t>202</w:t>
            </w:r>
            <w:r w:rsidR="00625B5D">
              <w:rPr>
                <w:rFonts w:ascii="Calibri" w:eastAsia="Times New Roman" w:hAnsi="Calibri" w:cs="Calibri"/>
                <w:color w:val="000000"/>
                <w:sz w:val="21"/>
                <w:szCs w:val="21"/>
                <w:lang w:val="en-IE" w:eastAsia="en-US"/>
              </w:rPr>
              <w:t>4</w:t>
            </w:r>
          </w:p>
        </w:tc>
        <w:tc>
          <w:tcPr>
            <w:tcW w:w="1418" w:type="dxa"/>
            <w:shd w:val="clear" w:color="auto" w:fill="FFFF00"/>
          </w:tcPr>
          <w:p w14:paraId="3FB4EF94" w14:textId="77777777" w:rsidR="008F6464" w:rsidRPr="008F6464" w:rsidRDefault="008F6464" w:rsidP="008F6464">
            <w:pPr>
              <w:autoSpaceDE w:val="0"/>
              <w:autoSpaceDN w:val="0"/>
              <w:adjustRightInd w:val="0"/>
              <w:spacing w:after="0" w:line="240" w:lineRule="auto"/>
              <w:ind w:right="29"/>
              <w:jc w:val="right"/>
              <w:rPr>
                <w:rFonts w:ascii="Calibri" w:eastAsia="Times New Roman" w:hAnsi="Calibri" w:cs="Calibri"/>
                <w:b/>
                <w:color w:val="000000"/>
                <w:sz w:val="21"/>
                <w:szCs w:val="21"/>
                <w:lang w:val="en-IE" w:eastAsia="en-US"/>
              </w:rPr>
            </w:pPr>
            <w:r w:rsidRPr="008F6464">
              <w:rPr>
                <w:rFonts w:ascii="Calibri" w:eastAsia="Times New Roman" w:hAnsi="Calibri" w:cs="Calibri"/>
                <w:b/>
                <w:color w:val="000000"/>
                <w:sz w:val="21"/>
                <w:szCs w:val="21"/>
                <w:lang w:val="en-IE" w:eastAsia="en-US"/>
              </w:rPr>
              <w:t xml:space="preserve">Quarter Ended </w:t>
            </w:r>
          </w:p>
          <w:p w14:paraId="1B57C5C7" w14:textId="77777777" w:rsidR="008F6464" w:rsidRPr="008F6464" w:rsidRDefault="008F6464" w:rsidP="008F6464">
            <w:pPr>
              <w:autoSpaceDE w:val="0"/>
              <w:autoSpaceDN w:val="0"/>
              <w:adjustRightInd w:val="0"/>
              <w:spacing w:after="0" w:line="240" w:lineRule="auto"/>
              <w:ind w:right="29"/>
              <w:jc w:val="right"/>
              <w:rPr>
                <w:rFonts w:ascii="Calibri" w:eastAsia="Times New Roman" w:hAnsi="Calibri" w:cs="Calibri"/>
                <w:b/>
                <w:color w:val="000000"/>
                <w:sz w:val="21"/>
                <w:szCs w:val="21"/>
                <w:lang w:val="en-IE" w:eastAsia="en-US"/>
              </w:rPr>
            </w:pPr>
            <w:r w:rsidRPr="008F6464">
              <w:rPr>
                <w:rFonts w:ascii="Calibri" w:eastAsia="Times New Roman" w:hAnsi="Calibri" w:cs="Calibri"/>
                <w:b/>
                <w:color w:val="000000"/>
                <w:sz w:val="21"/>
                <w:szCs w:val="21"/>
                <w:lang w:val="en-IE" w:eastAsia="en-US"/>
              </w:rPr>
              <w:t xml:space="preserve">Sep 30, </w:t>
            </w:r>
          </w:p>
          <w:p w14:paraId="114B21F0" w14:textId="6DCF3419" w:rsidR="008F6464" w:rsidRPr="008F6464" w:rsidRDefault="008F6464" w:rsidP="008F6464">
            <w:pPr>
              <w:autoSpaceDE w:val="0"/>
              <w:autoSpaceDN w:val="0"/>
              <w:adjustRightInd w:val="0"/>
              <w:spacing w:after="0" w:line="240" w:lineRule="auto"/>
              <w:ind w:right="29"/>
              <w:jc w:val="right"/>
              <w:rPr>
                <w:rFonts w:ascii="Calibri" w:eastAsia="Times New Roman" w:hAnsi="Calibri" w:cs="Calibri"/>
                <w:bCs/>
                <w:color w:val="000000"/>
                <w:sz w:val="21"/>
                <w:szCs w:val="21"/>
                <w:lang w:val="en-IE" w:eastAsia="en-US"/>
              </w:rPr>
            </w:pPr>
            <w:r w:rsidRPr="008F6464">
              <w:rPr>
                <w:rFonts w:ascii="Calibri" w:eastAsia="Times New Roman" w:hAnsi="Calibri" w:cs="Calibri"/>
                <w:b/>
                <w:color w:val="000000"/>
                <w:sz w:val="21"/>
                <w:szCs w:val="21"/>
                <w:lang w:val="en-IE" w:eastAsia="en-US"/>
              </w:rPr>
              <w:t>202</w:t>
            </w:r>
            <w:r w:rsidR="00625B5D">
              <w:rPr>
                <w:rFonts w:ascii="Calibri" w:eastAsia="Times New Roman" w:hAnsi="Calibri" w:cs="Calibri"/>
                <w:b/>
                <w:color w:val="000000"/>
                <w:sz w:val="21"/>
                <w:szCs w:val="21"/>
                <w:lang w:val="en-IE" w:eastAsia="en-US"/>
              </w:rPr>
              <w:t>5</w:t>
            </w:r>
          </w:p>
        </w:tc>
        <w:tc>
          <w:tcPr>
            <w:tcW w:w="1276" w:type="dxa"/>
          </w:tcPr>
          <w:p w14:paraId="0A61A1F9" w14:textId="77777777" w:rsidR="008F6464" w:rsidRPr="008F6464" w:rsidRDefault="008F6464" w:rsidP="008F6464">
            <w:pPr>
              <w:autoSpaceDE w:val="0"/>
              <w:autoSpaceDN w:val="0"/>
              <w:adjustRightInd w:val="0"/>
              <w:spacing w:after="0" w:line="240" w:lineRule="auto"/>
              <w:ind w:right="43"/>
              <w:jc w:val="right"/>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 xml:space="preserve">Quarter </w:t>
            </w:r>
          </w:p>
          <w:p w14:paraId="5E8F8042" w14:textId="77777777" w:rsidR="008F6464" w:rsidRPr="008F6464" w:rsidRDefault="008F6464" w:rsidP="008F6464">
            <w:pPr>
              <w:autoSpaceDE w:val="0"/>
              <w:autoSpaceDN w:val="0"/>
              <w:adjustRightInd w:val="0"/>
              <w:spacing w:after="0" w:line="240" w:lineRule="auto"/>
              <w:ind w:right="43"/>
              <w:jc w:val="right"/>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 xml:space="preserve">Ended </w:t>
            </w:r>
          </w:p>
          <w:p w14:paraId="423843A9" w14:textId="6593079E" w:rsidR="008F6464" w:rsidRPr="008F6464" w:rsidRDefault="008F6464" w:rsidP="008F6464">
            <w:pPr>
              <w:autoSpaceDE w:val="0"/>
              <w:autoSpaceDN w:val="0"/>
              <w:adjustRightInd w:val="0"/>
              <w:spacing w:after="0" w:line="240" w:lineRule="auto"/>
              <w:ind w:right="43"/>
              <w:jc w:val="right"/>
              <w:rPr>
                <w:rFonts w:ascii="Calibri" w:eastAsia="Times New Roman" w:hAnsi="Calibri" w:cs="Calibri"/>
                <w:bCs/>
                <w:color w:val="000000"/>
                <w:sz w:val="21"/>
                <w:szCs w:val="21"/>
                <w:lang w:val="en-IE" w:eastAsia="en-US"/>
              </w:rPr>
            </w:pPr>
            <w:r w:rsidRPr="008F6464">
              <w:rPr>
                <w:rFonts w:ascii="Calibri" w:eastAsia="Times New Roman" w:hAnsi="Calibri" w:cs="Calibri"/>
                <w:color w:val="000000"/>
                <w:sz w:val="21"/>
                <w:szCs w:val="21"/>
                <w:lang w:val="en-IE" w:eastAsia="en-US"/>
              </w:rPr>
              <w:t>Sep 30, 202</w:t>
            </w:r>
            <w:r w:rsidR="00625B5D">
              <w:rPr>
                <w:rFonts w:ascii="Calibri" w:eastAsia="Times New Roman" w:hAnsi="Calibri" w:cs="Calibri"/>
                <w:color w:val="000000"/>
                <w:sz w:val="21"/>
                <w:szCs w:val="21"/>
                <w:lang w:val="en-IE" w:eastAsia="en-US"/>
              </w:rPr>
              <w:t>4</w:t>
            </w:r>
          </w:p>
        </w:tc>
      </w:tr>
      <w:tr w:rsidR="008F6464" w:rsidRPr="008F6464" w14:paraId="4089013F" w14:textId="77777777" w:rsidTr="00EB7986">
        <w:trPr>
          <w:trHeight w:val="223"/>
        </w:trPr>
        <w:tc>
          <w:tcPr>
            <w:tcW w:w="2901" w:type="dxa"/>
          </w:tcPr>
          <w:p w14:paraId="2703A672"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color w:val="000000"/>
                <w:sz w:val="21"/>
                <w:szCs w:val="21"/>
                <w:lang w:val="en-IE" w:eastAsia="en-US"/>
              </w:rPr>
            </w:pPr>
          </w:p>
        </w:tc>
        <w:tc>
          <w:tcPr>
            <w:tcW w:w="2095" w:type="dxa"/>
          </w:tcPr>
          <w:p w14:paraId="5215287F" w14:textId="77777777" w:rsidR="008F6464" w:rsidRPr="008F6464" w:rsidRDefault="008F6464" w:rsidP="008F6464">
            <w:pPr>
              <w:autoSpaceDE w:val="0"/>
              <w:autoSpaceDN w:val="0"/>
              <w:adjustRightInd w:val="0"/>
              <w:spacing w:after="0" w:line="240" w:lineRule="auto"/>
              <w:ind w:left="-106" w:right="-2"/>
              <w:jc w:val="right"/>
              <w:rPr>
                <w:rFonts w:ascii="Calibri" w:eastAsia="Times New Roman" w:hAnsi="Calibri" w:cs="Calibri"/>
                <w:b/>
                <w:bCs/>
                <w:color w:val="000000"/>
                <w:sz w:val="21"/>
                <w:szCs w:val="21"/>
                <w:highlight w:val="yellow"/>
                <w:lang w:val="en-IE" w:eastAsia="en-US"/>
              </w:rPr>
            </w:pPr>
          </w:p>
        </w:tc>
        <w:tc>
          <w:tcPr>
            <w:tcW w:w="1524" w:type="dxa"/>
            <w:shd w:val="clear" w:color="auto" w:fill="FFFF00"/>
          </w:tcPr>
          <w:p w14:paraId="10BF7C1D" w14:textId="77777777" w:rsidR="008F6464" w:rsidRPr="008F6464" w:rsidRDefault="008F6464" w:rsidP="008F6464">
            <w:pPr>
              <w:autoSpaceDE w:val="0"/>
              <w:autoSpaceDN w:val="0"/>
              <w:adjustRightInd w:val="0"/>
              <w:spacing w:after="0" w:line="240" w:lineRule="auto"/>
              <w:jc w:val="right"/>
              <w:rPr>
                <w:rFonts w:ascii="Calibri" w:eastAsia="Times New Roman" w:hAnsi="Calibri" w:cs="Calibri"/>
                <w:b/>
                <w:color w:val="000000"/>
                <w:sz w:val="21"/>
                <w:szCs w:val="21"/>
                <w:lang w:val="en-IE" w:eastAsia="en-US"/>
              </w:rPr>
            </w:pPr>
            <w:r w:rsidRPr="008F6464">
              <w:rPr>
                <w:rFonts w:ascii="Calibri" w:eastAsia="Times New Roman" w:hAnsi="Calibri" w:cs="Calibri"/>
                <w:b/>
                <w:color w:val="000000"/>
                <w:sz w:val="21"/>
                <w:szCs w:val="21"/>
                <w:lang w:val="en-IE" w:eastAsia="en-US"/>
              </w:rPr>
              <w:t>€M</w:t>
            </w:r>
          </w:p>
        </w:tc>
        <w:tc>
          <w:tcPr>
            <w:tcW w:w="1560" w:type="dxa"/>
          </w:tcPr>
          <w:p w14:paraId="1D090E33" w14:textId="77777777" w:rsidR="008F6464" w:rsidRPr="008F6464" w:rsidRDefault="008F6464" w:rsidP="008F6464">
            <w:pPr>
              <w:autoSpaceDE w:val="0"/>
              <w:autoSpaceDN w:val="0"/>
              <w:adjustRightInd w:val="0"/>
              <w:spacing w:after="0" w:line="240" w:lineRule="auto"/>
              <w:ind w:right="40"/>
              <w:jc w:val="right"/>
              <w:rPr>
                <w:rFonts w:ascii="Calibri" w:eastAsia="Times New Roman" w:hAnsi="Calibri" w:cs="Calibri"/>
                <w:bCs/>
                <w:color w:val="000000"/>
                <w:sz w:val="21"/>
                <w:szCs w:val="21"/>
                <w:lang w:val="en-IE" w:eastAsia="en-US"/>
              </w:rPr>
            </w:pPr>
            <w:r w:rsidRPr="008F6464">
              <w:rPr>
                <w:rFonts w:ascii="Calibri" w:eastAsia="Times New Roman" w:hAnsi="Calibri" w:cs="Calibri"/>
                <w:color w:val="000000"/>
                <w:sz w:val="21"/>
                <w:szCs w:val="21"/>
                <w:lang w:val="en-IE" w:eastAsia="en-US"/>
              </w:rPr>
              <w:t>€M</w:t>
            </w:r>
          </w:p>
        </w:tc>
        <w:tc>
          <w:tcPr>
            <w:tcW w:w="1418" w:type="dxa"/>
            <w:shd w:val="clear" w:color="auto" w:fill="FFFF00"/>
          </w:tcPr>
          <w:p w14:paraId="7F726DB3" w14:textId="77777777" w:rsidR="008F6464" w:rsidRPr="008F6464" w:rsidRDefault="008F6464" w:rsidP="008F6464">
            <w:pPr>
              <w:autoSpaceDE w:val="0"/>
              <w:autoSpaceDN w:val="0"/>
              <w:adjustRightInd w:val="0"/>
              <w:spacing w:after="0" w:line="240" w:lineRule="auto"/>
              <w:ind w:right="29"/>
              <w:jc w:val="right"/>
              <w:rPr>
                <w:rFonts w:ascii="Calibri" w:eastAsia="Times New Roman" w:hAnsi="Calibri" w:cs="Calibri"/>
                <w:bCs/>
                <w:color w:val="000000"/>
                <w:sz w:val="21"/>
                <w:szCs w:val="21"/>
                <w:lang w:val="en-IE" w:eastAsia="en-US"/>
              </w:rPr>
            </w:pPr>
            <w:r w:rsidRPr="008F6464">
              <w:rPr>
                <w:rFonts w:ascii="Calibri" w:eastAsia="Times New Roman" w:hAnsi="Calibri" w:cs="Calibri"/>
                <w:b/>
                <w:color w:val="000000"/>
                <w:sz w:val="21"/>
                <w:szCs w:val="21"/>
                <w:lang w:val="en-IE" w:eastAsia="en-US"/>
              </w:rPr>
              <w:t>€M</w:t>
            </w:r>
          </w:p>
        </w:tc>
        <w:tc>
          <w:tcPr>
            <w:tcW w:w="1276" w:type="dxa"/>
          </w:tcPr>
          <w:p w14:paraId="63E76E8D" w14:textId="77777777" w:rsidR="008F6464" w:rsidRPr="008F6464" w:rsidRDefault="008F6464" w:rsidP="008F6464">
            <w:pPr>
              <w:autoSpaceDE w:val="0"/>
              <w:autoSpaceDN w:val="0"/>
              <w:adjustRightInd w:val="0"/>
              <w:spacing w:after="0" w:line="240" w:lineRule="auto"/>
              <w:ind w:right="43"/>
              <w:jc w:val="right"/>
              <w:rPr>
                <w:rFonts w:ascii="Calibri" w:eastAsia="Times New Roman" w:hAnsi="Calibri" w:cs="Calibri"/>
                <w:bCs/>
                <w:color w:val="000000"/>
                <w:sz w:val="21"/>
                <w:szCs w:val="21"/>
                <w:lang w:val="en-IE" w:eastAsia="en-US"/>
              </w:rPr>
            </w:pPr>
            <w:r w:rsidRPr="008F6464">
              <w:rPr>
                <w:rFonts w:ascii="Calibri" w:eastAsia="Times New Roman" w:hAnsi="Calibri" w:cs="Calibri"/>
                <w:color w:val="000000"/>
                <w:sz w:val="21"/>
                <w:szCs w:val="21"/>
                <w:lang w:val="en-IE" w:eastAsia="en-US"/>
              </w:rPr>
              <w:t>€M</w:t>
            </w:r>
          </w:p>
        </w:tc>
      </w:tr>
      <w:tr w:rsidR="008F6464" w:rsidRPr="008F6464" w14:paraId="54C9CB1C" w14:textId="77777777" w:rsidTr="00EB7986">
        <w:trPr>
          <w:trHeight w:val="223"/>
        </w:trPr>
        <w:tc>
          <w:tcPr>
            <w:tcW w:w="2901" w:type="dxa"/>
          </w:tcPr>
          <w:p w14:paraId="6301A88C"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color w:val="000000"/>
                <w:sz w:val="21"/>
                <w:szCs w:val="21"/>
                <w:lang w:val="en-IE" w:eastAsia="en-US"/>
              </w:rPr>
            </w:pPr>
          </w:p>
        </w:tc>
        <w:tc>
          <w:tcPr>
            <w:tcW w:w="2095" w:type="dxa"/>
          </w:tcPr>
          <w:p w14:paraId="51ABFAD2" w14:textId="77777777" w:rsidR="008F6464" w:rsidRPr="008F6464" w:rsidRDefault="008F6464" w:rsidP="008F6464">
            <w:pPr>
              <w:autoSpaceDE w:val="0"/>
              <w:autoSpaceDN w:val="0"/>
              <w:adjustRightInd w:val="0"/>
              <w:spacing w:after="0" w:line="240" w:lineRule="auto"/>
              <w:ind w:left="-106" w:right="-2"/>
              <w:jc w:val="right"/>
              <w:rPr>
                <w:rFonts w:ascii="Calibri" w:eastAsia="Times New Roman" w:hAnsi="Calibri" w:cs="Calibri"/>
                <w:b/>
                <w:bCs/>
                <w:color w:val="000000"/>
                <w:sz w:val="21"/>
                <w:szCs w:val="21"/>
                <w:highlight w:val="yellow"/>
                <w:lang w:val="en-IE" w:eastAsia="en-US"/>
              </w:rPr>
            </w:pPr>
          </w:p>
        </w:tc>
        <w:tc>
          <w:tcPr>
            <w:tcW w:w="1524" w:type="dxa"/>
            <w:shd w:val="clear" w:color="auto" w:fill="FFFF00"/>
          </w:tcPr>
          <w:p w14:paraId="4DC21CB6" w14:textId="77777777" w:rsidR="008F6464" w:rsidRPr="008F6464" w:rsidRDefault="008F6464" w:rsidP="008F6464">
            <w:pPr>
              <w:autoSpaceDE w:val="0"/>
              <w:autoSpaceDN w:val="0"/>
              <w:adjustRightInd w:val="0"/>
              <w:spacing w:after="0" w:line="240" w:lineRule="auto"/>
              <w:ind w:left="-245"/>
              <w:jc w:val="right"/>
              <w:rPr>
                <w:rFonts w:ascii="Calibri" w:eastAsia="Times New Roman" w:hAnsi="Calibri" w:cs="Calibri"/>
                <w:b/>
                <w:bCs/>
                <w:color w:val="000000"/>
                <w:sz w:val="21"/>
                <w:szCs w:val="21"/>
                <w:lang w:val="en-IE" w:eastAsia="en-US"/>
              </w:rPr>
            </w:pPr>
          </w:p>
        </w:tc>
        <w:tc>
          <w:tcPr>
            <w:tcW w:w="1560" w:type="dxa"/>
          </w:tcPr>
          <w:p w14:paraId="2AD44477" w14:textId="77777777" w:rsidR="008F6464" w:rsidRPr="008F6464" w:rsidRDefault="008F6464" w:rsidP="008F6464">
            <w:pPr>
              <w:autoSpaceDE w:val="0"/>
              <w:autoSpaceDN w:val="0"/>
              <w:adjustRightInd w:val="0"/>
              <w:spacing w:after="0" w:line="240" w:lineRule="auto"/>
              <w:ind w:left="-245" w:right="40"/>
              <w:jc w:val="right"/>
              <w:rPr>
                <w:rFonts w:ascii="Calibri" w:eastAsia="Times New Roman" w:hAnsi="Calibri" w:cs="Calibri"/>
                <w:b/>
                <w:bCs/>
                <w:color w:val="000000"/>
                <w:sz w:val="21"/>
                <w:szCs w:val="21"/>
                <w:lang w:val="en-IE" w:eastAsia="en-US"/>
              </w:rPr>
            </w:pPr>
          </w:p>
        </w:tc>
        <w:tc>
          <w:tcPr>
            <w:tcW w:w="1418" w:type="dxa"/>
            <w:shd w:val="clear" w:color="auto" w:fill="FFFF00"/>
          </w:tcPr>
          <w:p w14:paraId="2C53549C" w14:textId="77777777" w:rsidR="008F6464" w:rsidRPr="008F6464" w:rsidRDefault="008F6464" w:rsidP="008F6464">
            <w:pPr>
              <w:autoSpaceDE w:val="0"/>
              <w:autoSpaceDN w:val="0"/>
              <w:adjustRightInd w:val="0"/>
              <w:spacing w:after="0" w:line="240" w:lineRule="auto"/>
              <w:ind w:left="-245" w:right="29"/>
              <w:jc w:val="right"/>
              <w:rPr>
                <w:rFonts w:ascii="Calibri" w:eastAsia="Times New Roman" w:hAnsi="Calibri" w:cs="Calibri"/>
                <w:b/>
                <w:bCs/>
                <w:color w:val="000000"/>
                <w:sz w:val="21"/>
                <w:szCs w:val="21"/>
                <w:lang w:val="en-IE" w:eastAsia="en-US"/>
              </w:rPr>
            </w:pPr>
          </w:p>
        </w:tc>
        <w:tc>
          <w:tcPr>
            <w:tcW w:w="1276" w:type="dxa"/>
          </w:tcPr>
          <w:p w14:paraId="13E1B42C" w14:textId="77777777" w:rsidR="008F6464" w:rsidRPr="008F6464" w:rsidRDefault="008F6464" w:rsidP="008F6464">
            <w:pPr>
              <w:autoSpaceDE w:val="0"/>
              <w:autoSpaceDN w:val="0"/>
              <w:adjustRightInd w:val="0"/>
              <w:spacing w:after="0" w:line="240" w:lineRule="auto"/>
              <w:ind w:left="-245" w:right="43"/>
              <w:jc w:val="right"/>
              <w:rPr>
                <w:rFonts w:ascii="Calibri" w:eastAsia="Times New Roman" w:hAnsi="Calibri" w:cs="Calibri"/>
                <w:b/>
                <w:bCs/>
                <w:color w:val="000000"/>
                <w:sz w:val="21"/>
                <w:szCs w:val="21"/>
                <w:lang w:val="en-IE" w:eastAsia="en-US"/>
              </w:rPr>
            </w:pPr>
          </w:p>
        </w:tc>
      </w:tr>
      <w:tr w:rsidR="008F6464" w:rsidRPr="008F6464" w14:paraId="4FCBF6CE" w14:textId="77777777" w:rsidTr="00EB7986">
        <w:trPr>
          <w:trHeight w:val="223"/>
        </w:trPr>
        <w:tc>
          <w:tcPr>
            <w:tcW w:w="2901" w:type="dxa"/>
            <w:hideMark/>
          </w:tcPr>
          <w:p w14:paraId="5C81C3D1" w14:textId="77777777" w:rsidR="008F6464" w:rsidRPr="008F6464" w:rsidRDefault="008F6464" w:rsidP="008F6464">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Italy</w:t>
            </w:r>
          </w:p>
        </w:tc>
        <w:tc>
          <w:tcPr>
            <w:tcW w:w="2095" w:type="dxa"/>
          </w:tcPr>
          <w:p w14:paraId="7942102C"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524" w:type="dxa"/>
            <w:shd w:val="clear" w:color="auto" w:fill="FFFF00"/>
          </w:tcPr>
          <w:p w14:paraId="767373B9" w14:textId="0E5864A7" w:rsidR="008F6464" w:rsidRPr="008F6464" w:rsidRDefault="0007195A" w:rsidP="008F6464">
            <w:pPr>
              <w:widowControl w:val="0"/>
              <w:autoSpaceDE w:val="0"/>
              <w:autoSpaceDN w:val="0"/>
              <w:adjustRightInd w:val="0"/>
              <w:spacing w:after="0" w:line="240" w:lineRule="auto"/>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2,09</w:t>
            </w:r>
            <w:r w:rsidR="007B1B9B">
              <w:rPr>
                <w:rFonts w:ascii="Calibri" w:eastAsia="Times New Roman" w:hAnsi="Calibri" w:cs="Calibri"/>
                <w:b/>
                <w:bCs/>
                <w:sz w:val="21"/>
                <w:szCs w:val="21"/>
                <w:lang w:val="en-IE" w:eastAsia="en-US"/>
              </w:rPr>
              <w:t>8.0</w:t>
            </w:r>
          </w:p>
        </w:tc>
        <w:tc>
          <w:tcPr>
            <w:tcW w:w="1560" w:type="dxa"/>
          </w:tcPr>
          <w:p w14:paraId="462B7745" w14:textId="3200F691" w:rsidR="008F6464" w:rsidRPr="008F6464" w:rsidRDefault="008F6464" w:rsidP="008F6464">
            <w:pPr>
              <w:widowControl w:val="0"/>
              <w:autoSpaceDE w:val="0"/>
              <w:autoSpaceDN w:val="0"/>
              <w:adjustRightInd w:val="0"/>
              <w:spacing w:after="0" w:line="240" w:lineRule="auto"/>
              <w:ind w:right="40"/>
              <w:jc w:val="right"/>
              <w:rPr>
                <w:rFonts w:ascii="Calibri" w:eastAsia="Times New Roman" w:hAnsi="Calibri" w:cs="Calibri"/>
                <w:sz w:val="21"/>
                <w:szCs w:val="21"/>
                <w:lang w:val="en-IE" w:eastAsia="en-US"/>
              </w:rPr>
            </w:pPr>
            <w:r w:rsidRPr="008F6464">
              <w:rPr>
                <w:rFonts w:ascii="Calibri" w:eastAsia="Times New Roman" w:hAnsi="Calibri" w:cs="Calibri"/>
                <w:sz w:val="21"/>
                <w:szCs w:val="21"/>
                <w:lang w:val="en-IE" w:eastAsia="en-US"/>
              </w:rPr>
              <w:t>1,8</w:t>
            </w:r>
            <w:r w:rsidR="003A675F">
              <w:rPr>
                <w:rFonts w:ascii="Calibri" w:eastAsia="Times New Roman" w:hAnsi="Calibri" w:cs="Calibri"/>
                <w:sz w:val="21"/>
                <w:szCs w:val="21"/>
                <w:lang w:val="en-IE" w:eastAsia="en-US"/>
              </w:rPr>
              <w:t>46.3</w:t>
            </w:r>
          </w:p>
        </w:tc>
        <w:tc>
          <w:tcPr>
            <w:tcW w:w="1418" w:type="dxa"/>
            <w:shd w:val="clear" w:color="auto" w:fill="FFFF00"/>
          </w:tcPr>
          <w:p w14:paraId="0C8B5DAC" w14:textId="71717558" w:rsidR="008F6464" w:rsidRPr="008F6464" w:rsidRDefault="00814924" w:rsidP="008F6464">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1,15</w:t>
            </w:r>
            <w:r w:rsidR="00D83CC6">
              <w:rPr>
                <w:rFonts w:ascii="Calibri" w:eastAsia="Times New Roman" w:hAnsi="Calibri" w:cs="Calibri"/>
                <w:b/>
                <w:bCs/>
                <w:sz w:val="21"/>
                <w:szCs w:val="21"/>
                <w:lang w:val="en-IE" w:eastAsia="en-US"/>
              </w:rPr>
              <w:t>8.0</w:t>
            </w:r>
          </w:p>
        </w:tc>
        <w:tc>
          <w:tcPr>
            <w:tcW w:w="1276" w:type="dxa"/>
          </w:tcPr>
          <w:p w14:paraId="59954D86" w14:textId="798AAAAA" w:rsidR="008F6464" w:rsidRPr="008F6464" w:rsidRDefault="00E22E2D" w:rsidP="008F6464">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Pr>
                <w:rFonts w:ascii="Calibri" w:eastAsia="Times New Roman" w:hAnsi="Calibri" w:cs="Calibri"/>
                <w:sz w:val="21"/>
                <w:szCs w:val="21"/>
                <w:lang w:val="en-IE" w:eastAsia="en-US"/>
              </w:rPr>
              <w:t>1,061.2</w:t>
            </w:r>
          </w:p>
        </w:tc>
      </w:tr>
      <w:tr w:rsidR="008F6464" w:rsidRPr="008F6464" w14:paraId="321A02A1" w14:textId="77777777" w:rsidTr="00EB7986">
        <w:trPr>
          <w:trHeight w:val="223"/>
        </w:trPr>
        <w:tc>
          <w:tcPr>
            <w:tcW w:w="2901" w:type="dxa"/>
            <w:hideMark/>
          </w:tcPr>
          <w:p w14:paraId="5EC8109B" w14:textId="77777777" w:rsidR="008F6464" w:rsidRPr="008F6464" w:rsidRDefault="008F6464" w:rsidP="008F6464">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Spain</w:t>
            </w:r>
          </w:p>
        </w:tc>
        <w:tc>
          <w:tcPr>
            <w:tcW w:w="2095" w:type="dxa"/>
          </w:tcPr>
          <w:p w14:paraId="3C31E6FF"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524" w:type="dxa"/>
            <w:shd w:val="clear" w:color="auto" w:fill="FFFF00"/>
          </w:tcPr>
          <w:p w14:paraId="6177928F" w14:textId="13A3F968" w:rsidR="008F6464" w:rsidRPr="008F6464" w:rsidRDefault="00DB4C74" w:rsidP="008F6464">
            <w:pPr>
              <w:widowControl w:val="0"/>
              <w:autoSpaceDE w:val="0"/>
              <w:autoSpaceDN w:val="0"/>
              <w:adjustRightInd w:val="0"/>
              <w:spacing w:after="0" w:line="240" w:lineRule="auto"/>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1,755.</w:t>
            </w:r>
            <w:r w:rsidR="00F05E37">
              <w:rPr>
                <w:rFonts w:ascii="Calibri" w:eastAsia="Times New Roman" w:hAnsi="Calibri" w:cs="Calibri"/>
                <w:b/>
                <w:bCs/>
                <w:sz w:val="21"/>
                <w:szCs w:val="21"/>
                <w:lang w:val="en-IE" w:eastAsia="en-US"/>
              </w:rPr>
              <w:t>1</w:t>
            </w:r>
          </w:p>
        </w:tc>
        <w:tc>
          <w:tcPr>
            <w:tcW w:w="1560" w:type="dxa"/>
          </w:tcPr>
          <w:p w14:paraId="433E748E" w14:textId="65DAC5B1" w:rsidR="008F6464" w:rsidRPr="008F6464" w:rsidRDefault="008F6464" w:rsidP="008F6464">
            <w:pPr>
              <w:widowControl w:val="0"/>
              <w:autoSpaceDE w:val="0"/>
              <w:autoSpaceDN w:val="0"/>
              <w:adjustRightInd w:val="0"/>
              <w:spacing w:after="0" w:line="240" w:lineRule="auto"/>
              <w:ind w:right="40"/>
              <w:jc w:val="right"/>
              <w:rPr>
                <w:rFonts w:ascii="Calibri" w:eastAsia="Times New Roman" w:hAnsi="Calibri" w:cs="Calibri"/>
                <w:sz w:val="21"/>
                <w:szCs w:val="21"/>
                <w:lang w:val="en-IE" w:eastAsia="en-US"/>
              </w:rPr>
            </w:pPr>
            <w:r w:rsidRPr="008F6464">
              <w:rPr>
                <w:rFonts w:ascii="Calibri" w:eastAsia="Times New Roman" w:hAnsi="Calibri" w:cs="Calibri"/>
                <w:sz w:val="21"/>
                <w:szCs w:val="21"/>
                <w:lang w:val="en-IE" w:eastAsia="en-US"/>
              </w:rPr>
              <w:t>1,5</w:t>
            </w:r>
            <w:r w:rsidR="003A675F">
              <w:rPr>
                <w:rFonts w:ascii="Calibri" w:eastAsia="Times New Roman" w:hAnsi="Calibri" w:cs="Calibri"/>
                <w:sz w:val="21"/>
                <w:szCs w:val="21"/>
                <w:lang w:val="en-IE" w:eastAsia="en-US"/>
              </w:rPr>
              <w:t>46.2</w:t>
            </w:r>
          </w:p>
        </w:tc>
        <w:tc>
          <w:tcPr>
            <w:tcW w:w="1418" w:type="dxa"/>
            <w:shd w:val="clear" w:color="auto" w:fill="FFFF00"/>
          </w:tcPr>
          <w:p w14:paraId="4E0A480C" w14:textId="7310A610" w:rsidR="008F6464" w:rsidRPr="008F6464" w:rsidRDefault="00814924" w:rsidP="008F6464">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983.</w:t>
            </w:r>
            <w:r w:rsidR="00D83CC6">
              <w:rPr>
                <w:rFonts w:ascii="Calibri" w:eastAsia="Times New Roman" w:hAnsi="Calibri" w:cs="Calibri"/>
                <w:b/>
                <w:bCs/>
                <w:sz w:val="21"/>
                <w:szCs w:val="21"/>
                <w:lang w:val="en-IE" w:eastAsia="en-US"/>
              </w:rPr>
              <w:t>4</w:t>
            </w:r>
          </w:p>
        </w:tc>
        <w:tc>
          <w:tcPr>
            <w:tcW w:w="1276" w:type="dxa"/>
          </w:tcPr>
          <w:p w14:paraId="7B7AD3BD" w14:textId="4F19C660" w:rsidR="008F6464" w:rsidRPr="008F6464" w:rsidRDefault="003D383E" w:rsidP="008F6464">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Pr>
                <w:rFonts w:ascii="Calibri" w:eastAsia="Times New Roman" w:hAnsi="Calibri" w:cs="Calibri"/>
                <w:sz w:val="21"/>
                <w:szCs w:val="21"/>
                <w:lang w:val="en-IE" w:eastAsia="en-US"/>
              </w:rPr>
              <w:t>907.6</w:t>
            </w:r>
          </w:p>
        </w:tc>
      </w:tr>
      <w:tr w:rsidR="008F6464" w:rsidRPr="008F6464" w14:paraId="0D69A1A2" w14:textId="77777777" w:rsidTr="00EB7986">
        <w:trPr>
          <w:trHeight w:val="223"/>
        </w:trPr>
        <w:tc>
          <w:tcPr>
            <w:tcW w:w="2901" w:type="dxa"/>
          </w:tcPr>
          <w:p w14:paraId="2AE3B5D4" w14:textId="77777777" w:rsidR="008F6464" w:rsidRPr="008F6464" w:rsidRDefault="008F6464" w:rsidP="008F6464">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United Kingdom</w:t>
            </w:r>
          </w:p>
        </w:tc>
        <w:tc>
          <w:tcPr>
            <w:tcW w:w="2095" w:type="dxa"/>
          </w:tcPr>
          <w:p w14:paraId="7CC34999"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524" w:type="dxa"/>
            <w:shd w:val="clear" w:color="auto" w:fill="FFFF00"/>
          </w:tcPr>
          <w:p w14:paraId="6AEB6CA3" w14:textId="6881BEC0" w:rsidR="008F6464" w:rsidRPr="008F6464" w:rsidRDefault="00DB4C74" w:rsidP="008F6464">
            <w:pPr>
              <w:widowControl w:val="0"/>
              <w:autoSpaceDE w:val="0"/>
              <w:autoSpaceDN w:val="0"/>
              <w:adjustRightInd w:val="0"/>
              <w:spacing w:after="0" w:line="240" w:lineRule="auto"/>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1,405.</w:t>
            </w:r>
            <w:r w:rsidR="00F05E37">
              <w:rPr>
                <w:rFonts w:ascii="Calibri" w:eastAsia="Times New Roman" w:hAnsi="Calibri" w:cs="Calibri"/>
                <w:b/>
                <w:bCs/>
                <w:sz w:val="21"/>
                <w:szCs w:val="21"/>
                <w:lang w:val="en-IE" w:eastAsia="en-US"/>
              </w:rPr>
              <w:t>3</w:t>
            </w:r>
          </w:p>
        </w:tc>
        <w:tc>
          <w:tcPr>
            <w:tcW w:w="1560" w:type="dxa"/>
          </w:tcPr>
          <w:p w14:paraId="64B3A55E" w14:textId="71779DC8" w:rsidR="008F6464" w:rsidRPr="008F6464" w:rsidRDefault="008F6464" w:rsidP="008F6464">
            <w:pPr>
              <w:widowControl w:val="0"/>
              <w:autoSpaceDE w:val="0"/>
              <w:autoSpaceDN w:val="0"/>
              <w:adjustRightInd w:val="0"/>
              <w:spacing w:after="0" w:line="240" w:lineRule="auto"/>
              <w:ind w:right="40"/>
              <w:jc w:val="right"/>
              <w:rPr>
                <w:rFonts w:ascii="Calibri" w:eastAsia="Times New Roman" w:hAnsi="Calibri" w:cs="Calibri"/>
                <w:sz w:val="21"/>
                <w:szCs w:val="21"/>
                <w:lang w:val="en-IE" w:eastAsia="en-US"/>
              </w:rPr>
            </w:pPr>
            <w:r w:rsidRPr="008F6464">
              <w:rPr>
                <w:rFonts w:ascii="Calibri" w:eastAsia="Times New Roman" w:hAnsi="Calibri" w:cs="Calibri"/>
                <w:sz w:val="21"/>
                <w:szCs w:val="21"/>
                <w:lang w:val="en-IE" w:eastAsia="en-US"/>
              </w:rPr>
              <w:t>1,2</w:t>
            </w:r>
            <w:r w:rsidR="003A675F">
              <w:rPr>
                <w:rFonts w:ascii="Calibri" w:eastAsia="Times New Roman" w:hAnsi="Calibri" w:cs="Calibri"/>
                <w:sz w:val="21"/>
                <w:szCs w:val="21"/>
                <w:lang w:val="en-IE" w:eastAsia="en-US"/>
              </w:rPr>
              <w:t>39.5</w:t>
            </w:r>
          </w:p>
        </w:tc>
        <w:tc>
          <w:tcPr>
            <w:tcW w:w="1418" w:type="dxa"/>
            <w:shd w:val="clear" w:color="auto" w:fill="FFFF00"/>
          </w:tcPr>
          <w:p w14:paraId="5ADC069A" w14:textId="68876395" w:rsidR="008F6464" w:rsidRPr="008F6464" w:rsidRDefault="00814924" w:rsidP="008F6464">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771.</w:t>
            </w:r>
            <w:r w:rsidR="001E5748">
              <w:rPr>
                <w:rFonts w:ascii="Calibri" w:eastAsia="Times New Roman" w:hAnsi="Calibri" w:cs="Calibri"/>
                <w:b/>
                <w:bCs/>
                <w:sz w:val="21"/>
                <w:szCs w:val="21"/>
                <w:lang w:val="en-IE" w:eastAsia="en-US"/>
              </w:rPr>
              <w:t>5</w:t>
            </w:r>
          </w:p>
        </w:tc>
        <w:tc>
          <w:tcPr>
            <w:tcW w:w="1276" w:type="dxa"/>
          </w:tcPr>
          <w:p w14:paraId="45F61AA9" w14:textId="03080416" w:rsidR="008F6464" w:rsidRPr="008F6464" w:rsidRDefault="003D383E" w:rsidP="008F6464">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Pr>
                <w:rFonts w:ascii="Calibri" w:eastAsia="Times New Roman" w:hAnsi="Calibri" w:cs="Calibri"/>
                <w:sz w:val="21"/>
                <w:szCs w:val="21"/>
                <w:lang w:val="en-IE" w:eastAsia="en-US"/>
              </w:rPr>
              <w:t>710.0</w:t>
            </w:r>
          </w:p>
        </w:tc>
      </w:tr>
      <w:tr w:rsidR="008F6464" w:rsidRPr="008F6464" w14:paraId="27B35EDE" w14:textId="77777777" w:rsidTr="00EB7986">
        <w:trPr>
          <w:trHeight w:val="223"/>
        </w:trPr>
        <w:tc>
          <w:tcPr>
            <w:tcW w:w="2901" w:type="dxa"/>
            <w:hideMark/>
          </w:tcPr>
          <w:p w14:paraId="286A8E55" w14:textId="77777777" w:rsidR="008F6464" w:rsidRPr="008F6464" w:rsidRDefault="008F6464" w:rsidP="008F6464">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Ireland</w:t>
            </w:r>
          </w:p>
        </w:tc>
        <w:tc>
          <w:tcPr>
            <w:tcW w:w="2095" w:type="dxa"/>
          </w:tcPr>
          <w:p w14:paraId="1AE31B7D"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524" w:type="dxa"/>
            <w:shd w:val="clear" w:color="auto" w:fill="FFFF00"/>
          </w:tcPr>
          <w:p w14:paraId="15A23E43" w14:textId="0D142877" w:rsidR="008F6464" w:rsidRPr="008F6464" w:rsidRDefault="00DB4C74" w:rsidP="008F6464">
            <w:pPr>
              <w:widowControl w:val="0"/>
              <w:autoSpaceDE w:val="0"/>
              <w:autoSpaceDN w:val="0"/>
              <w:adjustRightInd w:val="0"/>
              <w:spacing w:after="0" w:line="240" w:lineRule="auto"/>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543.9</w:t>
            </w:r>
          </w:p>
        </w:tc>
        <w:tc>
          <w:tcPr>
            <w:tcW w:w="1560" w:type="dxa"/>
          </w:tcPr>
          <w:p w14:paraId="0C3B5E7E" w14:textId="21BA933A" w:rsidR="008F6464" w:rsidRPr="008F6464" w:rsidRDefault="008F6464" w:rsidP="008F6464">
            <w:pPr>
              <w:widowControl w:val="0"/>
              <w:autoSpaceDE w:val="0"/>
              <w:autoSpaceDN w:val="0"/>
              <w:adjustRightInd w:val="0"/>
              <w:spacing w:after="0" w:line="240" w:lineRule="auto"/>
              <w:ind w:right="40"/>
              <w:jc w:val="right"/>
              <w:rPr>
                <w:rFonts w:ascii="Calibri" w:eastAsia="Times New Roman" w:hAnsi="Calibri" w:cs="Calibri"/>
                <w:sz w:val="21"/>
                <w:szCs w:val="21"/>
                <w:lang w:val="en-IE" w:eastAsia="en-US"/>
              </w:rPr>
            </w:pPr>
            <w:r w:rsidRPr="008F6464">
              <w:rPr>
                <w:rFonts w:ascii="Calibri" w:eastAsia="Times New Roman" w:hAnsi="Calibri" w:cs="Calibri"/>
                <w:sz w:val="21"/>
                <w:szCs w:val="21"/>
                <w:lang w:val="en-IE" w:eastAsia="en-US"/>
              </w:rPr>
              <w:t>4</w:t>
            </w:r>
            <w:r w:rsidR="003A675F">
              <w:rPr>
                <w:rFonts w:ascii="Calibri" w:eastAsia="Times New Roman" w:hAnsi="Calibri" w:cs="Calibri"/>
                <w:sz w:val="21"/>
                <w:szCs w:val="21"/>
                <w:lang w:val="en-IE" w:eastAsia="en-US"/>
              </w:rPr>
              <w:t>63.9</w:t>
            </w:r>
          </w:p>
        </w:tc>
        <w:tc>
          <w:tcPr>
            <w:tcW w:w="1418" w:type="dxa"/>
            <w:shd w:val="clear" w:color="auto" w:fill="FFFF00"/>
          </w:tcPr>
          <w:p w14:paraId="5CA4CC8E" w14:textId="15809372" w:rsidR="008F6464" w:rsidRPr="008F6464" w:rsidRDefault="00814924" w:rsidP="008F6464">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298.</w:t>
            </w:r>
            <w:r w:rsidR="001E5748">
              <w:rPr>
                <w:rFonts w:ascii="Calibri" w:eastAsia="Times New Roman" w:hAnsi="Calibri" w:cs="Calibri"/>
                <w:b/>
                <w:bCs/>
                <w:sz w:val="21"/>
                <w:szCs w:val="21"/>
                <w:lang w:val="en-IE" w:eastAsia="en-US"/>
              </w:rPr>
              <w:t>5</w:t>
            </w:r>
          </w:p>
        </w:tc>
        <w:tc>
          <w:tcPr>
            <w:tcW w:w="1276" w:type="dxa"/>
          </w:tcPr>
          <w:p w14:paraId="39485A0C" w14:textId="25AA1333" w:rsidR="008F6464" w:rsidRPr="008F6464" w:rsidRDefault="003D383E" w:rsidP="008F6464">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Pr>
                <w:rFonts w:ascii="Calibri" w:eastAsia="Times New Roman" w:hAnsi="Calibri" w:cs="Calibri"/>
                <w:sz w:val="21"/>
                <w:szCs w:val="21"/>
                <w:lang w:val="en-IE" w:eastAsia="en-US"/>
              </w:rPr>
              <w:t>267.1</w:t>
            </w:r>
          </w:p>
        </w:tc>
      </w:tr>
      <w:tr w:rsidR="008F6464" w:rsidRPr="008F6464" w14:paraId="50D144BF" w14:textId="77777777" w:rsidTr="00EB7986">
        <w:trPr>
          <w:trHeight w:val="223"/>
        </w:trPr>
        <w:tc>
          <w:tcPr>
            <w:tcW w:w="2901" w:type="dxa"/>
          </w:tcPr>
          <w:p w14:paraId="274B42B1" w14:textId="77777777" w:rsidR="008F6464" w:rsidRPr="008F6464" w:rsidRDefault="008F6464" w:rsidP="008F6464">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 xml:space="preserve">Other </w:t>
            </w:r>
          </w:p>
        </w:tc>
        <w:tc>
          <w:tcPr>
            <w:tcW w:w="2095" w:type="dxa"/>
          </w:tcPr>
          <w:p w14:paraId="0D4A4430"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524" w:type="dxa"/>
            <w:tcBorders>
              <w:top w:val="nil"/>
              <w:left w:val="nil"/>
              <w:bottom w:val="single" w:sz="4" w:space="0" w:color="auto"/>
              <w:right w:val="nil"/>
            </w:tcBorders>
            <w:shd w:val="clear" w:color="auto" w:fill="FFFF00"/>
          </w:tcPr>
          <w:p w14:paraId="7526AEA4" w14:textId="317B202D" w:rsidR="008F6464" w:rsidRPr="008F6464" w:rsidRDefault="00DB4C74" w:rsidP="008F6464">
            <w:pPr>
              <w:widowControl w:val="0"/>
              <w:autoSpaceDE w:val="0"/>
              <w:autoSpaceDN w:val="0"/>
              <w:adjustRightInd w:val="0"/>
              <w:spacing w:after="0" w:line="240" w:lineRule="auto"/>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4,01</w:t>
            </w:r>
            <w:r w:rsidR="00F05E37">
              <w:rPr>
                <w:rFonts w:ascii="Calibri" w:eastAsia="Times New Roman" w:hAnsi="Calibri" w:cs="Calibri"/>
                <w:b/>
                <w:bCs/>
                <w:sz w:val="21"/>
                <w:szCs w:val="21"/>
                <w:lang w:val="en-IE" w:eastAsia="en-US"/>
              </w:rPr>
              <w:t>5.</w:t>
            </w:r>
            <w:r w:rsidR="007B1B9B">
              <w:rPr>
                <w:rFonts w:ascii="Calibri" w:eastAsia="Times New Roman" w:hAnsi="Calibri" w:cs="Calibri"/>
                <w:b/>
                <w:bCs/>
                <w:sz w:val="21"/>
                <w:szCs w:val="21"/>
                <w:lang w:val="en-IE" w:eastAsia="en-US"/>
              </w:rPr>
              <w:t>2</w:t>
            </w:r>
          </w:p>
        </w:tc>
        <w:tc>
          <w:tcPr>
            <w:tcW w:w="1560" w:type="dxa"/>
            <w:tcBorders>
              <w:top w:val="nil"/>
              <w:left w:val="nil"/>
              <w:bottom w:val="single" w:sz="4" w:space="0" w:color="auto"/>
              <w:right w:val="nil"/>
            </w:tcBorders>
          </w:tcPr>
          <w:p w14:paraId="6806B52C" w14:textId="1515A7F9" w:rsidR="008F6464" w:rsidRPr="008F6464" w:rsidRDefault="008F6464" w:rsidP="008F6464">
            <w:pPr>
              <w:widowControl w:val="0"/>
              <w:autoSpaceDE w:val="0"/>
              <w:autoSpaceDN w:val="0"/>
              <w:adjustRightInd w:val="0"/>
              <w:spacing w:after="0" w:line="240" w:lineRule="auto"/>
              <w:ind w:right="40"/>
              <w:jc w:val="right"/>
              <w:rPr>
                <w:rFonts w:ascii="Calibri" w:eastAsia="Times New Roman" w:hAnsi="Calibri" w:cs="Calibri"/>
                <w:sz w:val="21"/>
                <w:szCs w:val="21"/>
                <w:lang w:val="en-IE" w:eastAsia="en-US"/>
              </w:rPr>
            </w:pPr>
            <w:r w:rsidRPr="008F6464">
              <w:rPr>
                <w:rFonts w:ascii="Calibri" w:eastAsia="Times New Roman" w:hAnsi="Calibri" w:cs="Calibri"/>
                <w:sz w:val="21"/>
                <w:szCs w:val="21"/>
                <w:lang w:val="en-IE" w:eastAsia="en-US"/>
              </w:rPr>
              <w:t>3,</w:t>
            </w:r>
            <w:r w:rsidR="003A675F">
              <w:rPr>
                <w:rFonts w:ascii="Calibri" w:eastAsia="Times New Roman" w:hAnsi="Calibri" w:cs="Calibri"/>
                <w:sz w:val="21"/>
                <w:szCs w:val="21"/>
                <w:lang w:val="en-IE" w:eastAsia="en-US"/>
              </w:rPr>
              <w:t>596.1</w:t>
            </w:r>
          </w:p>
        </w:tc>
        <w:tc>
          <w:tcPr>
            <w:tcW w:w="1418" w:type="dxa"/>
            <w:tcBorders>
              <w:top w:val="nil"/>
              <w:left w:val="nil"/>
              <w:bottom w:val="single" w:sz="4" w:space="0" w:color="auto"/>
              <w:right w:val="nil"/>
            </w:tcBorders>
            <w:shd w:val="clear" w:color="auto" w:fill="FFFF00"/>
          </w:tcPr>
          <w:p w14:paraId="646152E4" w14:textId="5ED450D9" w:rsidR="008F6464" w:rsidRPr="008F6464" w:rsidRDefault="00814924" w:rsidP="008F6464">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2,268.</w:t>
            </w:r>
            <w:r w:rsidR="001E5748">
              <w:rPr>
                <w:rFonts w:ascii="Calibri" w:eastAsia="Times New Roman" w:hAnsi="Calibri" w:cs="Calibri"/>
                <w:b/>
                <w:bCs/>
                <w:sz w:val="21"/>
                <w:szCs w:val="21"/>
                <w:lang w:val="en-IE" w:eastAsia="en-US"/>
              </w:rPr>
              <w:t>5</w:t>
            </w:r>
          </w:p>
        </w:tc>
        <w:tc>
          <w:tcPr>
            <w:tcW w:w="1276" w:type="dxa"/>
            <w:tcBorders>
              <w:top w:val="nil"/>
              <w:left w:val="nil"/>
              <w:bottom w:val="single" w:sz="4" w:space="0" w:color="auto"/>
              <w:right w:val="nil"/>
            </w:tcBorders>
          </w:tcPr>
          <w:p w14:paraId="04B5E2FA" w14:textId="7BE21F58" w:rsidR="008F6464" w:rsidRPr="008F6464" w:rsidRDefault="003D383E" w:rsidP="008F6464">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Pr>
                <w:rFonts w:ascii="Calibri" w:eastAsia="Times New Roman" w:hAnsi="Calibri" w:cs="Calibri"/>
                <w:sz w:val="21"/>
                <w:szCs w:val="21"/>
                <w:lang w:val="en-IE" w:eastAsia="en-US"/>
              </w:rPr>
              <w:t>2,120.0</w:t>
            </w:r>
          </w:p>
        </w:tc>
      </w:tr>
      <w:tr w:rsidR="008F6464" w:rsidRPr="008F6464" w14:paraId="238C492E" w14:textId="77777777" w:rsidTr="00EB7986">
        <w:trPr>
          <w:trHeight w:val="223"/>
        </w:trPr>
        <w:tc>
          <w:tcPr>
            <w:tcW w:w="2901" w:type="dxa"/>
            <w:hideMark/>
          </w:tcPr>
          <w:p w14:paraId="07472882" w14:textId="77777777" w:rsidR="008F6464" w:rsidRPr="008F6464" w:rsidRDefault="008F6464" w:rsidP="008F6464">
            <w:pPr>
              <w:autoSpaceDE w:val="0"/>
              <w:autoSpaceDN w:val="0"/>
              <w:adjustRightInd w:val="0"/>
              <w:spacing w:after="0" w:line="240" w:lineRule="auto"/>
              <w:ind w:right="-2" w:firstLine="31"/>
              <w:rPr>
                <w:rFonts w:ascii="Calibri" w:eastAsia="Times New Roman" w:hAnsi="Calibri" w:cs="Calibri"/>
                <w:color w:val="000000"/>
                <w:sz w:val="21"/>
                <w:szCs w:val="21"/>
                <w:lang w:val="en-IE" w:eastAsia="en-US"/>
              </w:rPr>
            </w:pPr>
            <w:r w:rsidRPr="008F6464">
              <w:rPr>
                <w:rFonts w:ascii="Calibri" w:eastAsia="Times New Roman" w:hAnsi="Calibri" w:cs="Calibri"/>
                <w:color w:val="000000"/>
                <w:sz w:val="21"/>
                <w:szCs w:val="21"/>
                <w:lang w:val="en-IE" w:eastAsia="en-US"/>
              </w:rPr>
              <w:t>Total revenue</w:t>
            </w:r>
          </w:p>
        </w:tc>
        <w:tc>
          <w:tcPr>
            <w:tcW w:w="2095" w:type="dxa"/>
          </w:tcPr>
          <w:p w14:paraId="4FE9C3E4" w14:textId="77777777" w:rsidR="008F6464" w:rsidRPr="008F6464" w:rsidRDefault="008F6464" w:rsidP="008F6464">
            <w:pPr>
              <w:autoSpaceDE w:val="0"/>
              <w:autoSpaceDN w:val="0"/>
              <w:adjustRightInd w:val="0"/>
              <w:spacing w:after="0" w:line="240" w:lineRule="auto"/>
              <w:ind w:right="-2"/>
              <w:jc w:val="right"/>
              <w:rPr>
                <w:rFonts w:ascii="Calibri" w:eastAsia="Times New Roman" w:hAnsi="Calibri" w:cs="Calibri"/>
                <w:b/>
                <w:bCs/>
                <w:color w:val="000000"/>
                <w:sz w:val="21"/>
                <w:szCs w:val="21"/>
                <w:lang w:val="en-IE" w:eastAsia="en-US"/>
              </w:rPr>
            </w:pPr>
          </w:p>
        </w:tc>
        <w:tc>
          <w:tcPr>
            <w:tcW w:w="1524" w:type="dxa"/>
            <w:tcBorders>
              <w:top w:val="single" w:sz="4" w:space="0" w:color="auto"/>
              <w:left w:val="nil"/>
              <w:bottom w:val="single" w:sz="12" w:space="0" w:color="auto"/>
              <w:right w:val="nil"/>
            </w:tcBorders>
            <w:shd w:val="clear" w:color="auto" w:fill="FFFF00"/>
          </w:tcPr>
          <w:p w14:paraId="560CD24D" w14:textId="7922A5B6" w:rsidR="008F6464" w:rsidRPr="008F6464" w:rsidRDefault="00DB4C74" w:rsidP="008F6464">
            <w:pPr>
              <w:widowControl w:val="0"/>
              <w:autoSpaceDE w:val="0"/>
              <w:autoSpaceDN w:val="0"/>
              <w:adjustRightInd w:val="0"/>
              <w:spacing w:after="0" w:line="240" w:lineRule="auto"/>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9,81</w:t>
            </w:r>
            <w:r w:rsidR="00F05E37">
              <w:rPr>
                <w:rFonts w:ascii="Calibri" w:eastAsia="Times New Roman" w:hAnsi="Calibri" w:cs="Calibri"/>
                <w:b/>
                <w:bCs/>
                <w:sz w:val="21"/>
                <w:szCs w:val="21"/>
                <w:lang w:val="en-IE" w:eastAsia="en-US"/>
              </w:rPr>
              <w:t>7.</w:t>
            </w:r>
            <w:r w:rsidR="007B1B9B">
              <w:rPr>
                <w:rFonts w:ascii="Calibri" w:eastAsia="Times New Roman" w:hAnsi="Calibri" w:cs="Calibri"/>
                <w:b/>
                <w:bCs/>
                <w:sz w:val="21"/>
                <w:szCs w:val="21"/>
                <w:lang w:val="en-IE" w:eastAsia="en-US"/>
              </w:rPr>
              <w:t>5</w:t>
            </w:r>
          </w:p>
        </w:tc>
        <w:tc>
          <w:tcPr>
            <w:tcW w:w="1560" w:type="dxa"/>
            <w:tcBorders>
              <w:top w:val="single" w:sz="4" w:space="0" w:color="auto"/>
              <w:left w:val="nil"/>
              <w:bottom w:val="single" w:sz="12" w:space="0" w:color="auto"/>
              <w:right w:val="nil"/>
            </w:tcBorders>
          </w:tcPr>
          <w:p w14:paraId="44ECB0F5" w14:textId="544D39CC" w:rsidR="008F6464" w:rsidRPr="008F6464" w:rsidRDefault="008F6464" w:rsidP="008F6464">
            <w:pPr>
              <w:widowControl w:val="0"/>
              <w:autoSpaceDE w:val="0"/>
              <w:autoSpaceDN w:val="0"/>
              <w:adjustRightInd w:val="0"/>
              <w:spacing w:after="0" w:line="240" w:lineRule="auto"/>
              <w:ind w:right="40"/>
              <w:jc w:val="right"/>
              <w:rPr>
                <w:rFonts w:ascii="Calibri" w:eastAsia="Times New Roman" w:hAnsi="Calibri" w:cs="Calibri"/>
                <w:sz w:val="21"/>
                <w:szCs w:val="21"/>
                <w:lang w:val="en-IE" w:eastAsia="en-US"/>
              </w:rPr>
            </w:pPr>
            <w:r w:rsidRPr="008F6464">
              <w:rPr>
                <w:rFonts w:ascii="Calibri" w:eastAsia="Times New Roman" w:hAnsi="Calibri" w:cs="Calibri"/>
                <w:sz w:val="21"/>
                <w:szCs w:val="21"/>
                <w:lang w:val="en-IE" w:eastAsia="en-US"/>
              </w:rPr>
              <w:t>8</w:t>
            </w:r>
            <w:r w:rsidR="003A675F">
              <w:rPr>
                <w:rFonts w:ascii="Calibri" w:eastAsia="Times New Roman" w:hAnsi="Calibri" w:cs="Calibri"/>
                <w:sz w:val="21"/>
                <w:szCs w:val="21"/>
                <w:lang w:val="en-IE" w:eastAsia="en-US"/>
              </w:rPr>
              <w:t>,692.0</w:t>
            </w:r>
          </w:p>
        </w:tc>
        <w:tc>
          <w:tcPr>
            <w:tcW w:w="1418" w:type="dxa"/>
            <w:tcBorders>
              <w:top w:val="single" w:sz="4" w:space="0" w:color="auto"/>
              <w:left w:val="nil"/>
              <w:bottom w:val="single" w:sz="12" w:space="0" w:color="auto"/>
              <w:right w:val="nil"/>
            </w:tcBorders>
            <w:shd w:val="clear" w:color="auto" w:fill="FFFF00"/>
          </w:tcPr>
          <w:p w14:paraId="474D90CD" w14:textId="1D639693" w:rsidR="008F6464" w:rsidRPr="008F6464" w:rsidRDefault="00814924" w:rsidP="008F6464">
            <w:pPr>
              <w:widowControl w:val="0"/>
              <w:autoSpaceDE w:val="0"/>
              <w:autoSpaceDN w:val="0"/>
              <w:adjustRightInd w:val="0"/>
              <w:spacing w:after="0" w:line="240" w:lineRule="auto"/>
              <w:ind w:right="29"/>
              <w:jc w:val="right"/>
              <w:rPr>
                <w:rFonts w:ascii="Calibri" w:eastAsia="Times New Roman" w:hAnsi="Calibri" w:cs="Calibri"/>
                <w:b/>
                <w:bCs/>
                <w:sz w:val="21"/>
                <w:szCs w:val="21"/>
                <w:lang w:val="en-IE" w:eastAsia="en-US"/>
              </w:rPr>
            </w:pPr>
            <w:r>
              <w:rPr>
                <w:rFonts w:ascii="Calibri" w:eastAsia="Times New Roman" w:hAnsi="Calibri" w:cs="Calibri"/>
                <w:b/>
                <w:bCs/>
                <w:sz w:val="21"/>
                <w:szCs w:val="21"/>
                <w:lang w:val="en-IE" w:eastAsia="en-US"/>
              </w:rPr>
              <w:t>5,479.</w:t>
            </w:r>
            <w:r w:rsidR="001E5748">
              <w:rPr>
                <w:rFonts w:ascii="Calibri" w:eastAsia="Times New Roman" w:hAnsi="Calibri" w:cs="Calibri"/>
                <w:b/>
                <w:bCs/>
                <w:sz w:val="21"/>
                <w:szCs w:val="21"/>
                <w:lang w:val="en-IE" w:eastAsia="en-US"/>
              </w:rPr>
              <w:t>9</w:t>
            </w:r>
          </w:p>
        </w:tc>
        <w:tc>
          <w:tcPr>
            <w:tcW w:w="1276" w:type="dxa"/>
            <w:tcBorders>
              <w:top w:val="single" w:sz="4" w:space="0" w:color="auto"/>
              <w:left w:val="nil"/>
              <w:bottom w:val="single" w:sz="12" w:space="0" w:color="auto"/>
              <w:right w:val="nil"/>
            </w:tcBorders>
          </w:tcPr>
          <w:p w14:paraId="05B8F499" w14:textId="634DE1F5" w:rsidR="008F6464" w:rsidRPr="008F6464" w:rsidRDefault="003D383E" w:rsidP="008F6464">
            <w:pPr>
              <w:widowControl w:val="0"/>
              <w:autoSpaceDE w:val="0"/>
              <w:autoSpaceDN w:val="0"/>
              <w:adjustRightInd w:val="0"/>
              <w:spacing w:after="0" w:line="240" w:lineRule="auto"/>
              <w:ind w:right="43"/>
              <w:jc w:val="right"/>
              <w:rPr>
                <w:rFonts w:ascii="Calibri" w:eastAsia="Times New Roman" w:hAnsi="Calibri" w:cs="Calibri"/>
                <w:sz w:val="21"/>
                <w:szCs w:val="21"/>
                <w:lang w:val="en-IE" w:eastAsia="en-US"/>
              </w:rPr>
            </w:pPr>
            <w:r>
              <w:rPr>
                <w:rFonts w:ascii="Calibri" w:eastAsia="Times New Roman" w:hAnsi="Calibri" w:cs="Calibri"/>
                <w:sz w:val="21"/>
                <w:szCs w:val="21"/>
                <w:lang w:val="en-IE" w:eastAsia="en-US"/>
              </w:rPr>
              <w:t>5,065.9</w:t>
            </w:r>
          </w:p>
        </w:tc>
      </w:tr>
    </w:tbl>
    <w:p w14:paraId="1AFCE66C" w14:textId="77777777" w:rsidR="00B8013A" w:rsidRPr="000E5963" w:rsidRDefault="00B8013A" w:rsidP="000E5963">
      <w:pPr>
        <w:spacing w:after="0" w:line="240" w:lineRule="auto"/>
        <w:ind w:right="283"/>
        <w:jc w:val="both"/>
        <w:rPr>
          <w:rFonts w:ascii="Calibri" w:eastAsia="Times New Roman" w:hAnsi="Calibri" w:cs="Calibri"/>
          <w:color w:val="FF0000"/>
          <w:sz w:val="22"/>
          <w:szCs w:val="22"/>
          <w:lang w:eastAsia="en-US"/>
        </w:rPr>
      </w:pPr>
    </w:p>
    <w:p w14:paraId="38C044F6" w14:textId="77777777" w:rsidR="000E5963" w:rsidRPr="000E5963" w:rsidRDefault="000E5963" w:rsidP="000E5963">
      <w:pPr>
        <w:spacing w:after="0" w:line="240" w:lineRule="auto"/>
        <w:rPr>
          <w:rFonts w:ascii="Calibri" w:eastAsia="Times New Roman" w:hAnsi="Calibri" w:cs="Calibri"/>
          <w:lang w:eastAsia="en-US"/>
        </w:rPr>
      </w:pPr>
    </w:p>
    <w:p w14:paraId="432260F1"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Ancillary revenues comprise revenues from non-flight scheduled operations, inflight sales and internet-related services. Non-flight scheduled revenue arises from the sale of discretionary products such as priority boarding, allocated seats, car hire, travel insurance, airport transfers, room reservations and other sources, including excess baggage charges and other fees, all directly attributable to the low-fares business.</w:t>
      </w:r>
    </w:p>
    <w:p w14:paraId="18EDD3A5"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76DD2F77"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vast majority of ancillary revenue is recognised at a point in time, which is typically the flight date. The economic factors that would impact the nature, amount, timing and uncertainty of revenue and cashflows associated with the provision of passenger travel-related ancillary services are homogeneous across the various component categories within ancillary revenue. Accordingly, there is no further disaggregation of ancillary revenue required in accordance with IFRS 15.</w:t>
      </w:r>
    </w:p>
    <w:p w14:paraId="237CAA4B" w14:textId="77777777" w:rsidR="006A1941" w:rsidRDefault="006A1941" w:rsidP="000E5963">
      <w:pPr>
        <w:spacing w:after="0" w:line="240" w:lineRule="auto"/>
        <w:ind w:right="283"/>
        <w:jc w:val="both"/>
        <w:rPr>
          <w:rFonts w:ascii="Calibri" w:eastAsia="Times New Roman" w:hAnsi="Calibri" w:cs="Calibri"/>
          <w:b/>
          <w:sz w:val="22"/>
          <w:szCs w:val="22"/>
          <w:lang w:val="en-IE" w:eastAsia="en-US"/>
        </w:rPr>
      </w:pPr>
      <w:bookmarkStart w:id="23" w:name="_Hlk194667309"/>
    </w:p>
    <w:p w14:paraId="1E72CFDC" w14:textId="6DA30ED3"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8.</w:t>
      </w:r>
      <w:r w:rsidRPr="000E5963">
        <w:rPr>
          <w:rFonts w:ascii="Calibri" w:eastAsia="Times New Roman" w:hAnsi="Calibri" w:cs="Calibri"/>
          <w:b/>
          <w:sz w:val="22"/>
          <w:szCs w:val="22"/>
          <w:lang w:val="en-IE" w:eastAsia="en-US"/>
        </w:rPr>
        <w:tab/>
        <w:t xml:space="preserve">Property, plant and equipment </w:t>
      </w:r>
    </w:p>
    <w:p w14:paraId="359CE67E" w14:textId="77777777" w:rsidR="000E5963" w:rsidRPr="000E5963" w:rsidRDefault="000E5963" w:rsidP="000E5963">
      <w:pPr>
        <w:spacing w:after="0" w:line="240" w:lineRule="auto"/>
        <w:ind w:right="283"/>
        <w:rPr>
          <w:rFonts w:ascii="Calibri" w:eastAsia="Times New Roman" w:hAnsi="Calibri" w:cs="Calibri"/>
          <w:lang w:eastAsia="en-US"/>
        </w:rPr>
      </w:pPr>
    </w:p>
    <w:p w14:paraId="5F4332C2"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i/>
          <w:sz w:val="22"/>
          <w:szCs w:val="22"/>
          <w:lang w:val="en-IE" w:eastAsia="en-US"/>
        </w:rPr>
      </w:pPr>
      <w:bookmarkStart w:id="24" w:name="_Hlk163226202"/>
      <w:r w:rsidRPr="000E5963">
        <w:rPr>
          <w:rFonts w:ascii="Calibri" w:eastAsia="Times New Roman" w:hAnsi="Calibri" w:cs="Calibri"/>
          <w:i/>
          <w:sz w:val="22"/>
          <w:szCs w:val="22"/>
          <w:lang w:val="en-IE" w:eastAsia="en-US"/>
        </w:rPr>
        <w:t>Acquisitions and disposals</w:t>
      </w:r>
    </w:p>
    <w:p w14:paraId="2FFF2527" w14:textId="12038CD9"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bookmarkStart w:id="25" w:name="_Hlk155346016"/>
      <w:r w:rsidRPr="000E5963">
        <w:rPr>
          <w:rFonts w:ascii="Calibri" w:eastAsia="Times New Roman" w:hAnsi="Calibri" w:cs="Calibri"/>
          <w:sz w:val="22"/>
          <w:szCs w:val="22"/>
          <w:lang w:val="en-IE" w:eastAsia="en-US"/>
        </w:rPr>
        <w:t xml:space="preserve">During the </w:t>
      </w:r>
      <w:r w:rsidR="00FC6F5D">
        <w:rPr>
          <w:rFonts w:ascii="Calibri" w:eastAsia="Times New Roman" w:hAnsi="Calibri" w:cs="Calibri"/>
          <w:sz w:val="22"/>
          <w:szCs w:val="22"/>
          <w:lang w:val="en-IE" w:eastAsia="en-US"/>
        </w:rPr>
        <w:t>period</w:t>
      </w:r>
      <w:r w:rsidRPr="000E5963">
        <w:rPr>
          <w:rFonts w:ascii="Calibri" w:eastAsia="Times New Roman" w:hAnsi="Calibri" w:cs="Calibri"/>
          <w:sz w:val="22"/>
          <w:szCs w:val="22"/>
          <w:lang w:val="en-IE" w:eastAsia="en-US"/>
        </w:rPr>
        <w:t xml:space="preserve"> ended </w:t>
      </w:r>
      <w:r w:rsidR="00FC6F5D">
        <w:rPr>
          <w:rFonts w:ascii="Calibri" w:eastAsia="Times New Roman" w:hAnsi="Calibri" w:cs="Calibri"/>
          <w:sz w:val="22"/>
          <w:szCs w:val="22"/>
          <w:lang w:val="en-IE" w:eastAsia="en-US"/>
        </w:rPr>
        <w:t>September</w:t>
      </w:r>
      <w:r w:rsidRPr="000E5963">
        <w:rPr>
          <w:rFonts w:ascii="Calibri" w:eastAsia="Times New Roman" w:hAnsi="Calibri" w:cs="Calibri"/>
          <w:sz w:val="22"/>
          <w:szCs w:val="22"/>
          <w:lang w:val="en-IE" w:eastAsia="en-US"/>
        </w:rPr>
        <w:t xml:space="preserve"> 30, 2025, net capital additions amounted to </w:t>
      </w:r>
      <w:r w:rsidRPr="009B1B82">
        <w:rPr>
          <w:rFonts w:ascii="Calibri" w:eastAsia="Times New Roman" w:hAnsi="Calibri" w:cs="Calibri"/>
          <w:sz w:val="22"/>
          <w:szCs w:val="22"/>
          <w:lang w:val="en-IE" w:eastAsia="en-US"/>
        </w:rPr>
        <w:t>€</w:t>
      </w:r>
      <w:r w:rsidR="00105692" w:rsidRPr="009B1B82">
        <w:rPr>
          <w:rFonts w:ascii="Calibri" w:eastAsia="Times New Roman" w:hAnsi="Calibri" w:cs="Calibri"/>
          <w:sz w:val="22"/>
          <w:szCs w:val="22"/>
          <w:lang w:val="en-IE" w:eastAsia="en-US"/>
        </w:rPr>
        <w:t>0.</w:t>
      </w:r>
      <w:r w:rsidR="007C1FB0" w:rsidRPr="009B1B82">
        <w:rPr>
          <w:rFonts w:ascii="Calibri" w:eastAsia="Times New Roman" w:hAnsi="Calibri" w:cs="Calibri"/>
          <w:sz w:val="22"/>
          <w:szCs w:val="22"/>
          <w:lang w:val="en-IE" w:eastAsia="en-US"/>
        </w:rPr>
        <w:t>8</w:t>
      </w:r>
      <w:r w:rsidR="00052817">
        <w:rPr>
          <w:rFonts w:ascii="Calibri" w:eastAsia="Times New Roman" w:hAnsi="Calibri" w:cs="Calibri"/>
          <w:sz w:val="22"/>
          <w:szCs w:val="22"/>
          <w:lang w:val="en-IE" w:eastAsia="en-US"/>
        </w:rPr>
        <w:t>4</w:t>
      </w:r>
      <w:r w:rsidRPr="009B1B82">
        <w:rPr>
          <w:rFonts w:ascii="Calibri" w:eastAsia="Times New Roman" w:hAnsi="Calibri" w:cs="Calibri"/>
          <w:sz w:val="22"/>
          <w:szCs w:val="22"/>
          <w:lang w:val="en-IE" w:eastAsia="en-US"/>
        </w:rPr>
        <w:t xml:space="preserve">BN </w:t>
      </w:r>
      <w:bookmarkEnd w:id="24"/>
      <w:r w:rsidRPr="009B1B82">
        <w:rPr>
          <w:rFonts w:ascii="Calibri" w:eastAsia="Times New Roman" w:hAnsi="Calibri" w:cs="Calibri"/>
          <w:sz w:val="22"/>
          <w:szCs w:val="22"/>
          <w:lang w:val="en-IE" w:eastAsia="en-US"/>
        </w:rPr>
        <w:t>principally</w:t>
      </w:r>
      <w:r w:rsidRPr="000E5963">
        <w:rPr>
          <w:rFonts w:ascii="Calibri" w:eastAsia="Times New Roman" w:hAnsi="Calibri" w:cs="Calibri"/>
          <w:sz w:val="22"/>
          <w:szCs w:val="22"/>
          <w:lang w:val="en-IE" w:eastAsia="en-US"/>
        </w:rPr>
        <w:t xml:space="preserve"> reflecting aircraft </w:t>
      </w:r>
      <w:bookmarkEnd w:id="25"/>
      <w:r w:rsidRPr="000E5963">
        <w:rPr>
          <w:rFonts w:ascii="Calibri" w:eastAsia="Times New Roman" w:hAnsi="Calibri" w:cs="Calibri"/>
          <w:sz w:val="22"/>
          <w:szCs w:val="22"/>
          <w:lang w:val="en-IE" w:eastAsia="en-US"/>
        </w:rPr>
        <w:t>deliveries in the period and capitalised maintenance offset by depreciation.</w:t>
      </w:r>
    </w:p>
    <w:bookmarkEnd w:id="23"/>
    <w:p w14:paraId="6A41197D"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5E7BC5D2" w14:textId="77777777" w:rsidR="000E5963" w:rsidRPr="000E5963" w:rsidRDefault="000E5963" w:rsidP="000E5963">
      <w:pPr>
        <w:spacing w:after="0" w:line="240" w:lineRule="auto"/>
        <w:ind w:right="283"/>
        <w:jc w:val="both"/>
        <w:rPr>
          <w:rFonts w:ascii="Times New Roman" w:eastAsia="Times New Roman" w:hAnsi="Times New Roman" w:cs="Times New Roman"/>
          <w:sz w:val="22"/>
          <w:szCs w:val="22"/>
          <w:lang w:val="en-IE" w:eastAsia="en-US"/>
        </w:rPr>
      </w:pPr>
      <w:r w:rsidRPr="000E5963">
        <w:rPr>
          <w:rFonts w:ascii="Calibri" w:eastAsia="Times New Roman" w:hAnsi="Calibri" w:cs="Calibri"/>
          <w:b/>
          <w:sz w:val="22"/>
          <w:szCs w:val="22"/>
          <w:lang w:eastAsia="en-US"/>
        </w:rPr>
        <w:t>9.</w:t>
      </w:r>
      <w:r w:rsidRPr="000E5963">
        <w:rPr>
          <w:rFonts w:ascii="Calibri" w:eastAsia="Times New Roman" w:hAnsi="Calibri" w:cs="Calibri"/>
          <w:b/>
          <w:sz w:val="22"/>
          <w:szCs w:val="22"/>
          <w:lang w:eastAsia="en-US"/>
        </w:rPr>
        <w:tab/>
        <w:t>Related party transactions</w:t>
      </w:r>
    </w:p>
    <w:p w14:paraId="4D60FB54" w14:textId="77777777" w:rsidR="000E5963" w:rsidRPr="000E5963" w:rsidRDefault="000E5963" w:rsidP="000E5963">
      <w:pPr>
        <w:spacing w:after="0" w:line="240" w:lineRule="auto"/>
        <w:ind w:right="283"/>
        <w:jc w:val="both"/>
        <w:rPr>
          <w:rFonts w:ascii="Times New Roman" w:eastAsia="Times New Roman" w:hAnsi="Times New Roman" w:cs="Times New Roman"/>
          <w:sz w:val="22"/>
          <w:szCs w:val="22"/>
          <w:lang w:val="en-IE" w:eastAsia="en-US"/>
        </w:rPr>
      </w:pPr>
    </w:p>
    <w:p w14:paraId="1C96B0E4"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The Company’s related parties include its subsidiaries, Directors and Key Management Personnel. All transactions with subsidiaries eliminate on consolidation and are not disclosed.</w:t>
      </w:r>
    </w:p>
    <w:p w14:paraId="5C0CD977"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73FFA4BC" w14:textId="0B7A637F"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r w:rsidRPr="000E5963">
        <w:rPr>
          <w:rFonts w:ascii="Calibri" w:eastAsia="Times New Roman" w:hAnsi="Calibri" w:cs="Calibri"/>
          <w:sz w:val="22"/>
          <w:szCs w:val="22"/>
          <w:lang w:val="en-IE" w:eastAsia="en-US"/>
        </w:rPr>
        <w:t xml:space="preserve">There were no related party transactions in the </w:t>
      </w:r>
      <w:r w:rsidR="00FC6F5D">
        <w:rPr>
          <w:rFonts w:ascii="Calibri" w:eastAsia="Times New Roman" w:hAnsi="Calibri" w:cs="Calibri"/>
          <w:sz w:val="22"/>
          <w:szCs w:val="22"/>
          <w:lang w:val="en-IE" w:eastAsia="en-US"/>
        </w:rPr>
        <w:t>period</w:t>
      </w:r>
      <w:r w:rsidRPr="000E5963">
        <w:rPr>
          <w:rFonts w:ascii="Calibri" w:eastAsia="Times New Roman" w:hAnsi="Calibri" w:cs="Calibri"/>
          <w:sz w:val="22"/>
          <w:szCs w:val="22"/>
          <w:lang w:val="en-IE" w:eastAsia="en-US"/>
        </w:rPr>
        <w:t xml:space="preserve"> ended </w:t>
      </w:r>
      <w:r w:rsidR="00FC6F5D">
        <w:rPr>
          <w:rFonts w:ascii="Calibri" w:eastAsia="Times New Roman" w:hAnsi="Calibri" w:cs="Calibri"/>
          <w:sz w:val="22"/>
          <w:szCs w:val="22"/>
          <w:lang w:val="en-IE" w:eastAsia="en-US"/>
        </w:rPr>
        <w:t>September</w:t>
      </w:r>
      <w:r w:rsidRPr="000E5963">
        <w:rPr>
          <w:rFonts w:ascii="Calibri" w:eastAsia="Times New Roman" w:hAnsi="Calibri" w:cs="Calibri"/>
          <w:sz w:val="22"/>
          <w:szCs w:val="22"/>
          <w:lang w:val="en-IE" w:eastAsia="en-US"/>
        </w:rPr>
        <w:t xml:space="preserve"> 30, 2025 that materially affected the financial position or the performance of the Group during that period and there were no changes in the related party transactions described in the 2025 Annual Report that could have a material effect on the financial position or performance of the Group in the same period.</w:t>
      </w:r>
    </w:p>
    <w:p w14:paraId="315FBFD3" w14:textId="77777777" w:rsidR="000E5963" w:rsidRPr="000E5963" w:rsidRDefault="000E5963" w:rsidP="000E5963">
      <w:pPr>
        <w:spacing w:after="0" w:line="240" w:lineRule="auto"/>
        <w:ind w:right="283"/>
        <w:jc w:val="both"/>
        <w:rPr>
          <w:rFonts w:ascii="Calibri" w:eastAsia="Times New Roman" w:hAnsi="Calibri" w:cs="Calibri"/>
          <w:sz w:val="22"/>
          <w:szCs w:val="22"/>
          <w:lang w:val="en-IE" w:eastAsia="en-US"/>
        </w:rPr>
      </w:pPr>
    </w:p>
    <w:p w14:paraId="414EE17C"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b/>
          <w:sz w:val="22"/>
          <w:szCs w:val="22"/>
          <w:lang w:val="en-IE" w:eastAsia="en-US"/>
        </w:rPr>
        <w:t>10.</w:t>
      </w:r>
      <w:r w:rsidRPr="000E5963">
        <w:rPr>
          <w:rFonts w:ascii="Calibri" w:eastAsia="Times New Roman" w:hAnsi="Calibri" w:cs="Calibri"/>
          <w:sz w:val="22"/>
          <w:szCs w:val="22"/>
          <w:lang w:val="en-IE" w:eastAsia="en-US"/>
        </w:rPr>
        <w:tab/>
      </w:r>
      <w:r w:rsidRPr="000E5963">
        <w:rPr>
          <w:rFonts w:ascii="Calibri" w:eastAsia="Times New Roman" w:hAnsi="Calibri" w:cs="Calibri"/>
          <w:b/>
          <w:sz w:val="22"/>
          <w:szCs w:val="22"/>
          <w:lang w:val="en-IE" w:eastAsia="en-US"/>
        </w:rPr>
        <w:t xml:space="preserve">Financial instruments and financial risk management </w:t>
      </w:r>
    </w:p>
    <w:p w14:paraId="0A2D381A"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sz w:val="22"/>
          <w:szCs w:val="22"/>
          <w:lang w:val="en-IE" w:eastAsia="en-US"/>
        </w:rPr>
      </w:pPr>
    </w:p>
    <w:p w14:paraId="03CE0010"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sz w:val="22"/>
          <w:szCs w:val="22"/>
          <w:lang w:val="en-IE" w:eastAsia="en-US"/>
        </w:rPr>
      </w:pPr>
      <w:r w:rsidRPr="000E5963">
        <w:rPr>
          <w:rFonts w:ascii="Calibri" w:eastAsia="Calibri" w:hAnsi="Calibri" w:cs="Calibri"/>
          <w:sz w:val="22"/>
          <w:szCs w:val="22"/>
          <w:lang w:val="en-IE" w:eastAsia="en-US"/>
        </w:rPr>
        <w:t xml:space="preserve">The Group is exposed to various financial risks arising in the normal course of business. The Group’s financial risk exposures are predominantly related to </w:t>
      </w:r>
      <w:r w:rsidRPr="000E5963">
        <w:rPr>
          <w:rFonts w:ascii="Calibri" w:eastAsia="Times New Roman" w:hAnsi="Calibri" w:cs="Calibri"/>
          <w:sz w:val="22"/>
          <w:szCs w:val="22"/>
          <w:lang w:val="en-IE" w:eastAsia="en-US"/>
        </w:rPr>
        <w:t>commodity price, foreign exchange and interest rate risks. The Group uses financial instruments to manage exposures arising from these risks.</w:t>
      </w:r>
    </w:p>
    <w:p w14:paraId="10E50549"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sz w:val="22"/>
          <w:szCs w:val="22"/>
          <w:lang w:val="en-IE" w:eastAsia="en-US"/>
        </w:rPr>
      </w:pPr>
    </w:p>
    <w:p w14:paraId="3D088016" w14:textId="0E335B4E"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sz w:val="22"/>
          <w:szCs w:val="22"/>
          <w:lang w:val="en-IE" w:eastAsia="en-US"/>
        </w:rPr>
      </w:pPr>
      <w:r w:rsidRPr="000E5963">
        <w:rPr>
          <w:rFonts w:ascii="Calibri" w:eastAsia="Calibri" w:hAnsi="Calibri" w:cs="Calibri"/>
          <w:sz w:val="22"/>
          <w:szCs w:val="22"/>
          <w:lang w:val="en-IE" w:eastAsia="en-US"/>
        </w:rPr>
        <w:t xml:space="preserve">These condensed consolidated interim financial statements do not include all financial risk management information and disclosures required in the annual financial statements and should be read in conjunction with the </w:t>
      </w:r>
      <w:r w:rsidR="0082297D">
        <w:rPr>
          <w:rFonts w:ascii="Calibri" w:eastAsia="Calibri" w:hAnsi="Calibri" w:cs="Calibri"/>
          <w:sz w:val="22"/>
          <w:szCs w:val="22"/>
          <w:lang w:val="en-IE" w:eastAsia="en-US"/>
        </w:rPr>
        <w:t>2025</w:t>
      </w:r>
      <w:r w:rsidRPr="000E5963">
        <w:rPr>
          <w:rFonts w:ascii="Calibri" w:eastAsia="Calibri" w:hAnsi="Calibri" w:cs="Calibri"/>
          <w:sz w:val="22"/>
          <w:szCs w:val="22"/>
          <w:lang w:val="en-IE" w:eastAsia="en-US"/>
        </w:rPr>
        <w:t xml:space="preserve"> Annual Report. </w:t>
      </w:r>
      <w:r w:rsidRPr="000E5963">
        <w:rPr>
          <w:rFonts w:ascii="Calibri" w:eastAsia="Times New Roman" w:hAnsi="Calibri" w:cs="Calibri"/>
          <w:sz w:val="22"/>
          <w:szCs w:val="22"/>
          <w:lang w:val="en-IE" w:eastAsia="en-US"/>
        </w:rPr>
        <w:t>There have been no changes in our risk management policies in the period.</w:t>
      </w:r>
    </w:p>
    <w:p w14:paraId="0A26992C"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b/>
          <w:bCs/>
          <w:i/>
          <w:iCs/>
          <w:sz w:val="22"/>
          <w:szCs w:val="22"/>
          <w:lang w:val="en-IE" w:eastAsia="en-US"/>
        </w:rPr>
      </w:pPr>
    </w:p>
    <w:p w14:paraId="05CEE3E9"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b/>
          <w:bCs/>
          <w:i/>
          <w:iCs/>
          <w:sz w:val="22"/>
          <w:szCs w:val="22"/>
          <w:lang w:val="en-IE" w:eastAsia="en-US"/>
        </w:rPr>
      </w:pPr>
      <w:r w:rsidRPr="000E5963">
        <w:rPr>
          <w:rFonts w:ascii="Calibri" w:eastAsia="Calibri" w:hAnsi="Calibri" w:cs="Calibri"/>
          <w:b/>
          <w:bCs/>
          <w:i/>
          <w:iCs/>
          <w:sz w:val="22"/>
          <w:szCs w:val="22"/>
          <w:lang w:val="en-IE" w:eastAsia="en-US"/>
        </w:rPr>
        <w:t>Fair value hierarchy</w:t>
      </w:r>
    </w:p>
    <w:p w14:paraId="6D0A1A96" w14:textId="77777777" w:rsidR="000E5963" w:rsidRPr="000E5963" w:rsidRDefault="000E5963" w:rsidP="000E5963">
      <w:pPr>
        <w:spacing w:after="0" w:line="240" w:lineRule="auto"/>
        <w:ind w:right="283"/>
        <w:jc w:val="both"/>
        <w:rPr>
          <w:rFonts w:ascii="Calibri" w:eastAsia="MS Mincho" w:hAnsi="Calibri" w:cs="Calibri"/>
          <w:sz w:val="22"/>
          <w:szCs w:val="22"/>
          <w:lang w:eastAsia="en-US"/>
        </w:rPr>
      </w:pPr>
      <w:r w:rsidRPr="000E5963">
        <w:rPr>
          <w:rFonts w:ascii="Calibri" w:eastAsia="Times New Roman" w:hAnsi="Calibri" w:cs="Calibri"/>
          <w:sz w:val="22"/>
          <w:szCs w:val="22"/>
          <w:lang w:val="en-IE" w:eastAsia="en-US"/>
        </w:rPr>
        <w:t>Financial instruments measured at fair value in the balance sheet are categorised by the type of valuation method used. The different valuation levels are defined as follows:</w:t>
      </w:r>
    </w:p>
    <w:p w14:paraId="37AAEE7E" w14:textId="77777777" w:rsidR="000E5963" w:rsidRPr="000E5963" w:rsidRDefault="000E5963" w:rsidP="000E5963">
      <w:pPr>
        <w:numPr>
          <w:ilvl w:val="0"/>
          <w:numId w:val="14"/>
        </w:numPr>
        <w:autoSpaceDE w:val="0"/>
        <w:autoSpaceDN w:val="0"/>
        <w:adjustRightInd w:val="0"/>
        <w:spacing w:after="0" w:line="240" w:lineRule="auto"/>
        <w:ind w:left="426" w:right="283" w:hanging="426"/>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t>Level 1: quoted prices (unadjusted) in active markets for identical assets or liabilities that the Group can access at the measurement date.</w:t>
      </w:r>
    </w:p>
    <w:p w14:paraId="338C374F" w14:textId="77777777" w:rsidR="000E5963" w:rsidRPr="000E5963" w:rsidRDefault="000E5963" w:rsidP="000E5963">
      <w:pPr>
        <w:numPr>
          <w:ilvl w:val="0"/>
          <w:numId w:val="14"/>
        </w:numPr>
        <w:autoSpaceDE w:val="0"/>
        <w:autoSpaceDN w:val="0"/>
        <w:adjustRightInd w:val="0"/>
        <w:spacing w:after="0" w:line="240" w:lineRule="auto"/>
        <w:ind w:left="426" w:right="283" w:hanging="426"/>
        <w:jc w:val="both"/>
        <w:rPr>
          <w:rFonts w:ascii="Calibri" w:eastAsia="Times New Roman" w:hAnsi="Calibri" w:cs="Calibri"/>
          <w:sz w:val="22"/>
          <w:szCs w:val="22"/>
          <w:lang w:eastAsia="en-US"/>
        </w:rPr>
      </w:pPr>
      <w:r w:rsidRPr="000E5963">
        <w:rPr>
          <w:rFonts w:ascii="Calibri" w:eastAsia="Times New Roman" w:hAnsi="Calibri" w:cs="Calibri"/>
          <w:sz w:val="22"/>
          <w:szCs w:val="22"/>
          <w:lang w:eastAsia="en-US"/>
        </w:rPr>
        <w:lastRenderedPageBreak/>
        <w:t>Level 2: inputs other than quoted prices included within Level 1 that are observable for that asset or liability, either directly or indirectly.</w:t>
      </w:r>
    </w:p>
    <w:p w14:paraId="25329BE1" w14:textId="77777777" w:rsidR="000E5963" w:rsidRPr="000E5963" w:rsidRDefault="000E5963" w:rsidP="000E5963">
      <w:pPr>
        <w:numPr>
          <w:ilvl w:val="0"/>
          <w:numId w:val="14"/>
        </w:numPr>
        <w:autoSpaceDE w:val="0"/>
        <w:autoSpaceDN w:val="0"/>
        <w:adjustRightInd w:val="0"/>
        <w:spacing w:after="0" w:line="240" w:lineRule="auto"/>
        <w:ind w:left="426" w:right="283" w:hanging="426"/>
        <w:jc w:val="both"/>
        <w:rPr>
          <w:rFonts w:ascii="Calibri" w:eastAsia="Calibri" w:hAnsi="Calibri" w:cs="Calibri"/>
          <w:b/>
          <w:bCs/>
          <w:i/>
          <w:iCs/>
          <w:sz w:val="22"/>
          <w:szCs w:val="22"/>
          <w:lang w:val="en-IE" w:eastAsia="en-US"/>
        </w:rPr>
      </w:pPr>
      <w:r w:rsidRPr="000E5963">
        <w:rPr>
          <w:rFonts w:ascii="Calibri" w:eastAsia="Times New Roman" w:hAnsi="Calibri" w:cs="Calibri"/>
          <w:sz w:val="22"/>
          <w:szCs w:val="22"/>
          <w:lang w:eastAsia="en-US"/>
        </w:rPr>
        <w:t>Level 3: significant unobservable inputs for the asset or liability.</w:t>
      </w:r>
    </w:p>
    <w:p w14:paraId="2192D9D6"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sz w:val="22"/>
          <w:szCs w:val="22"/>
          <w:lang w:eastAsia="en-US"/>
        </w:rPr>
      </w:pPr>
    </w:p>
    <w:p w14:paraId="19BBAB14" w14:textId="77777777" w:rsidR="000E5963" w:rsidRPr="000E5963" w:rsidRDefault="000E5963" w:rsidP="000E5963">
      <w:pPr>
        <w:autoSpaceDE w:val="0"/>
        <w:autoSpaceDN w:val="0"/>
        <w:adjustRightInd w:val="0"/>
        <w:spacing w:after="0" w:line="240" w:lineRule="auto"/>
        <w:ind w:right="283"/>
        <w:jc w:val="both"/>
        <w:rPr>
          <w:rFonts w:ascii="Calibri" w:eastAsia="Calibri" w:hAnsi="Calibri" w:cs="Calibri"/>
          <w:b/>
          <w:bCs/>
          <w:i/>
          <w:iCs/>
          <w:sz w:val="22"/>
          <w:szCs w:val="22"/>
          <w:lang w:val="en-IE" w:eastAsia="en-US"/>
        </w:rPr>
      </w:pPr>
      <w:r w:rsidRPr="000E5963">
        <w:rPr>
          <w:rFonts w:ascii="Calibri" w:eastAsia="Calibri" w:hAnsi="Calibri" w:cs="Calibri"/>
          <w:b/>
          <w:bCs/>
          <w:i/>
          <w:iCs/>
          <w:sz w:val="22"/>
          <w:szCs w:val="22"/>
          <w:lang w:val="en-IE" w:eastAsia="en-US"/>
        </w:rPr>
        <w:t>Fair value estimation</w:t>
      </w:r>
    </w:p>
    <w:p w14:paraId="4F9EEAEB" w14:textId="77777777" w:rsidR="000E5963" w:rsidRPr="000E5963" w:rsidRDefault="000E5963" w:rsidP="000E5963">
      <w:pPr>
        <w:spacing w:after="0" w:line="240" w:lineRule="auto"/>
        <w:ind w:right="283"/>
        <w:jc w:val="both"/>
        <w:rPr>
          <w:rFonts w:ascii="Calibri" w:eastAsia="Times New Roman" w:hAnsi="Calibri" w:cs="Calibri"/>
          <w:snapToGrid w:val="0"/>
          <w:sz w:val="22"/>
          <w:szCs w:val="22"/>
          <w:lang w:val="en-IE" w:eastAsia="en-US"/>
        </w:rPr>
      </w:pPr>
      <w:r w:rsidRPr="000E5963">
        <w:rPr>
          <w:rFonts w:ascii="Calibri" w:eastAsia="Times New Roman" w:hAnsi="Calibri" w:cs="Calibri"/>
          <w:snapToGrid w:val="0"/>
          <w:sz w:val="22"/>
          <w:szCs w:val="22"/>
          <w:lang w:val="en-IE" w:eastAsia="en-US"/>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1EA70C3F" w14:textId="77777777" w:rsidR="000E5963" w:rsidRPr="000E5963" w:rsidRDefault="000E5963" w:rsidP="000E5963">
      <w:pPr>
        <w:spacing w:after="0" w:line="240" w:lineRule="auto"/>
        <w:ind w:right="283"/>
        <w:jc w:val="both"/>
        <w:rPr>
          <w:rFonts w:ascii="Calibri" w:eastAsia="Times New Roman" w:hAnsi="Calibri" w:cs="Calibri"/>
          <w:i/>
          <w:snapToGrid w:val="0"/>
          <w:sz w:val="22"/>
          <w:szCs w:val="22"/>
          <w:lang w:val="en-IE" w:eastAsia="en-US"/>
        </w:rPr>
      </w:pPr>
    </w:p>
    <w:p w14:paraId="098D7C52" w14:textId="77777777" w:rsidR="000E5963" w:rsidRPr="000E5963" w:rsidRDefault="000E5963" w:rsidP="000E5963">
      <w:pPr>
        <w:spacing w:after="0" w:line="240" w:lineRule="auto"/>
        <w:ind w:right="283"/>
        <w:jc w:val="both"/>
        <w:rPr>
          <w:rFonts w:ascii="Calibri" w:eastAsia="Times New Roman" w:hAnsi="Calibri" w:cs="Calibri"/>
          <w:i/>
          <w:snapToGrid w:val="0"/>
          <w:sz w:val="22"/>
          <w:szCs w:val="22"/>
          <w:lang w:val="en-IE" w:eastAsia="en-US"/>
        </w:rPr>
      </w:pPr>
      <w:r w:rsidRPr="000E5963">
        <w:rPr>
          <w:rFonts w:ascii="Calibri" w:eastAsia="Times New Roman" w:hAnsi="Calibri" w:cs="Calibri"/>
          <w:i/>
          <w:snapToGrid w:val="0"/>
          <w:sz w:val="22"/>
          <w:szCs w:val="22"/>
          <w:lang w:val="en-IE" w:eastAsia="en-US"/>
        </w:rPr>
        <w:t>Financial instruments measured at fair value</w:t>
      </w:r>
    </w:p>
    <w:p w14:paraId="13E70872" w14:textId="77777777" w:rsidR="000E5963" w:rsidRPr="000E5963" w:rsidRDefault="000E5963" w:rsidP="000E5963">
      <w:pPr>
        <w:spacing w:after="0" w:line="240" w:lineRule="auto"/>
        <w:ind w:right="283"/>
        <w:jc w:val="both"/>
        <w:rPr>
          <w:rFonts w:ascii="Calibri" w:eastAsia="Times New Roman" w:hAnsi="Calibri" w:cs="Calibri"/>
          <w:i/>
          <w:snapToGrid w:val="0"/>
          <w:sz w:val="22"/>
          <w:szCs w:val="22"/>
          <w:lang w:val="en-IE" w:eastAsia="en-US"/>
        </w:rPr>
      </w:pPr>
    </w:p>
    <w:p w14:paraId="213BA8CD" w14:textId="476783D8" w:rsidR="000E5963" w:rsidRPr="000E5963" w:rsidRDefault="000E5963" w:rsidP="00E52C26">
      <w:pPr>
        <w:pStyle w:val="CG-SingleSp05s2"/>
        <w:numPr>
          <w:ilvl w:val="0"/>
          <w:numId w:val="12"/>
        </w:numPr>
        <w:tabs>
          <w:tab w:val="clear" w:pos="340"/>
          <w:tab w:val="num" w:pos="-284"/>
          <w:tab w:val="num" w:pos="426"/>
        </w:tabs>
        <w:snapToGrid w:val="0"/>
        <w:spacing w:after="0"/>
        <w:ind w:left="426" w:right="283" w:hanging="426"/>
        <w:rPr>
          <w:rFonts w:ascii="Calibri" w:hAnsi="Calibri" w:cs="Calibri"/>
          <w:szCs w:val="22"/>
        </w:rPr>
      </w:pPr>
      <w:r w:rsidRPr="000E5963">
        <w:rPr>
          <w:rFonts w:ascii="Calibri" w:hAnsi="Calibri" w:cs="Calibri"/>
          <w:b/>
          <w:szCs w:val="22"/>
        </w:rPr>
        <w:t xml:space="preserve">Derivatives – currency forwards, jet fuel forward swap contracts and carbon contracts: </w:t>
      </w:r>
      <w:r w:rsidRPr="000E5963">
        <w:rPr>
          <w:rFonts w:ascii="Calibri" w:hAnsi="Calibri" w:cs="Calibri"/>
          <w:szCs w:val="22"/>
        </w:rPr>
        <w:t xml:space="preserve">A comparison of the contracted rate to the market rate for contracts providing a similar risk profile at </w:t>
      </w:r>
      <w:r w:rsidR="00FC6F5D">
        <w:rPr>
          <w:rFonts w:ascii="Calibri" w:hAnsi="Calibri" w:cs="Calibri"/>
          <w:szCs w:val="22"/>
        </w:rPr>
        <w:t>September</w:t>
      </w:r>
      <w:r w:rsidRPr="000E5963">
        <w:rPr>
          <w:rFonts w:ascii="Calibri" w:hAnsi="Calibri" w:cs="Calibri"/>
          <w:szCs w:val="22"/>
        </w:rPr>
        <w:t xml:space="preserve"> 30, 2025 has been used to establish fair value. The Group’s credit risk and counterparty’s credit risk is taken into account when establishing fair value (Level 2).</w:t>
      </w:r>
    </w:p>
    <w:p w14:paraId="08C77A79" w14:textId="77777777" w:rsidR="000E5963" w:rsidRPr="000E5963" w:rsidRDefault="000E5963" w:rsidP="000E5963">
      <w:pPr>
        <w:tabs>
          <w:tab w:val="num" w:pos="426"/>
        </w:tabs>
        <w:autoSpaceDE w:val="0"/>
        <w:autoSpaceDN w:val="0"/>
        <w:adjustRightInd w:val="0"/>
        <w:snapToGrid w:val="0"/>
        <w:spacing w:after="0" w:line="240" w:lineRule="auto"/>
        <w:ind w:left="426" w:right="283" w:hanging="426"/>
        <w:jc w:val="both"/>
        <w:rPr>
          <w:rFonts w:ascii="Calibri" w:eastAsia="Times New Roman" w:hAnsi="Calibri" w:cs="Calibri"/>
          <w:bCs/>
          <w:iCs/>
          <w:snapToGrid w:val="0"/>
          <w:sz w:val="22"/>
          <w:szCs w:val="22"/>
          <w:lang w:val="en-IE" w:eastAsia="en-US"/>
        </w:rPr>
      </w:pPr>
    </w:p>
    <w:p w14:paraId="67B217B2" w14:textId="113213A4" w:rsidR="000E5963" w:rsidRPr="000E5963" w:rsidRDefault="000E5963" w:rsidP="000E5963">
      <w:pPr>
        <w:tabs>
          <w:tab w:val="num" w:pos="0"/>
        </w:tabs>
        <w:autoSpaceDE w:val="0"/>
        <w:autoSpaceDN w:val="0"/>
        <w:adjustRightInd w:val="0"/>
        <w:snapToGrid w:val="0"/>
        <w:spacing w:after="0" w:line="240" w:lineRule="auto"/>
        <w:ind w:right="283"/>
        <w:jc w:val="both"/>
        <w:rPr>
          <w:rFonts w:ascii="Calibri" w:eastAsia="Times New Roman" w:hAnsi="Calibri" w:cs="Calibri"/>
          <w:bCs/>
          <w:iCs/>
          <w:snapToGrid w:val="0"/>
          <w:sz w:val="22"/>
          <w:szCs w:val="22"/>
          <w:lang w:val="en-IE" w:eastAsia="en-US"/>
        </w:rPr>
      </w:pPr>
      <w:r w:rsidRPr="000E5963">
        <w:rPr>
          <w:rFonts w:ascii="Calibri" w:eastAsia="Times New Roman" w:hAnsi="Calibri" w:cs="Calibri"/>
          <w:bCs/>
          <w:iCs/>
          <w:snapToGrid w:val="0"/>
          <w:sz w:val="22"/>
          <w:szCs w:val="22"/>
          <w:lang w:val="en-IE" w:eastAsia="en-US"/>
        </w:rPr>
        <w:t xml:space="preserve">The Group policy is to recognise any transfers between levels of the fair value hierarchy as of the end of the reporting period during which the transfer occurred. During the </w:t>
      </w:r>
      <w:r w:rsidR="000C247F">
        <w:rPr>
          <w:rFonts w:ascii="Calibri" w:eastAsia="Times New Roman" w:hAnsi="Calibri" w:cs="Calibri"/>
          <w:bCs/>
          <w:iCs/>
          <w:snapToGrid w:val="0"/>
          <w:sz w:val="22"/>
          <w:szCs w:val="22"/>
          <w:lang w:val="en-IE" w:eastAsia="en-US"/>
        </w:rPr>
        <w:t>half-year</w:t>
      </w:r>
      <w:r w:rsidRPr="000E5963">
        <w:rPr>
          <w:rFonts w:ascii="Calibri" w:eastAsia="Times New Roman" w:hAnsi="Calibri" w:cs="Calibri"/>
          <w:bCs/>
          <w:iCs/>
          <w:snapToGrid w:val="0"/>
          <w:sz w:val="22"/>
          <w:szCs w:val="22"/>
          <w:lang w:val="en-IE" w:eastAsia="en-US"/>
        </w:rPr>
        <w:t xml:space="preserve"> ended </w:t>
      </w:r>
      <w:r w:rsidR="000C247F">
        <w:rPr>
          <w:rFonts w:ascii="Calibri" w:eastAsia="Times New Roman" w:hAnsi="Calibri" w:cs="Calibri"/>
          <w:bCs/>
          <w:iCs/>
          <w:snapToGrid w:val="0"/>
          <w:sz w:val="22"/>
          <w:szCs w:val="22"/>
          <w:lang w:val="en-IE" w:eastAsia="en-US"/>
        </w:rPr>
        <w:t>September</w:t>
      </w:r>
      <w:r w:rsidRPr="000E5963">
        <w:rPr>
          <w:rFonts w:ascii="Calibri" w:eastAsia="Times New Roman" w:hAnsi="Calibri" w:cs="Calibri"/>
          <w:bCs/>
          <w:iCs/>
          <w:snapToGrid w:val="0"/>
          <w:sz w:val="22"/>
          <w:szCs w:val="22"/>
          <w:lang w:val="en-IE" w:eastAsia="en-US"/>
        </w:rPr>
        <w:t xml:space="preserve"> 30, 2025 there were no reclassifications of financial instruments and no transfers between levels of the fair value hierarchy used in measuring the fair value of financial instruments.</w:t>
      </w:r>
    </w:p>
    <w:p w14:paraId="3643FA28" w14:textId="77777777" w:rsidR="000E5963" w:rsidRPr="000E5963" w:rsidRDefault="000E5963" w:rsidP="000E5963">
      <w:pPr>
        <w:autoSpaceDE w:val="0"/>
        <w:autoSpaceDN w:val="0"/>
        <w:adjustRightInd w:val="0"/>
        <w:snapToGrid w:val="0"/>
        <w:spacing w:after="0" w:line="240" w:lineRule="auto"/>
        <w:ind w:right="283"/>
        <w:jc w:val="both"/>
        <w:rPr>
          <w:rFonts w:ascii="Calibri" w:eastAsia="Times New Roman" w:hAnsi="Calibri" w:cs="Calibri"/>
          <w:bCs/>
          <w:iCs/>
          <w:snapToGrid w:val="0"/>
          <w:sz w:val="22"/>
          <w:szCs w:val="22"/>
          <w:lang w:val="en-IE" w:eastAsia="en-US"/>
        </w:rPr>
      </w:pPr>
    </w:p>
    <w:p w14:paraId="68E098FC"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i/>
          <w:sz w:val="22"/>
          <w:szCs w:val="22"/>
          <w:lang w:val="en-IE" w:eastAsia="en-US"/>
        </w:rPr>
      </w:pPr>
      <w:r w:rsidRPr="000E5963">
        <w:rPr>
          <w:rFonts w:ascii="Calibri" w:eastAsia="Times New Roman" w:hAnsi="Calibri" w:cs="Calibri"/>
          <w:i/>
          <w:sz w:val="22"/>
          <w:szCs w:val="22"/>
          <w:lang w:val="en-IE" w:eastAsia="en-US"/>
        </w:rPr>
        <w:t>Financial instruments not measured at fair value</w:t>
      </w:r>
    </w:p>
    <w:p w14:paraId="0B59EE31" w14:textId="77777777" w:rsidR="000E5963" w:rsidRPr="000E5963" w:rsidRDefault="000E5963" w:rsidP="000E5963">
      <w:pPr>
        <w:autoSpaceDE w:val="0"/>
        <w:autoSpaceDN w:val="0"/>
        <w:adjustRightInd w:val="0"/>
        <w:spacing w:after="0" w:line="240" w:lineRule="auto"/>
        <w:ind w:right="283"/>
        <w:jc w:val="both"/>
        <w:rPr>
          <w:rFonts w:ascii="Calibri" w:eastAsia="Times New Roman" w:hAnsi="Calibri" w:cs="Calibri"/>
          <w:i/>
          <w:sz w:val="22"/>
          <w:szCs w:val="22"/>
          <w:lang w:val="en-IE" w:eastAsia="en-US"/>
        </w:rPr>
      </w:pPr>
    </w:p>
    <w:p w14:paraId="14137DD5" w14:textId="5EDFCD56" w:rsidR="000E5963" w:rsidRPr="000E5963" w:rsidRDefault="000E5963" w:rsidP="00E52C26">
      <w:pPr>
        <w:pStyle w:val="CG-SingleSp05s2"/>
        <w:numPr>
          <w:ilvl w:val="0"/>
          <w:numId w:val="12"/>
        </w:numPr>
        <w:tabs>
          <w:tab w:val="clear" w:pos="340"/>
          <w:tab w:val="num" w:pos="-284"/>
          <w:tab w:val="num" w:pos="426"/>
        </w:tabs>
        <w:snapToGrid w:val="0"/>
        <w:spacing w:after="0"/>
        <w:ind w:left="426" w:right="283" w:hanging="426"/>
        <w:rPr>
          <w:rFonts w:ascii="Calibri" w:hAnsi="Calibri" w:cs="Calibri"/>
          <w:szCs w:val="22"/>
        </w:rPr>
      </w:pPr>
      <w:r w:rsidRPr="000E5963">
        <w:rPr>
          <w:rFonts w:ascii="Calibri" w:hAnsi="Calibri" w:cs="Calibri"/>
          <w:b/>
          <w:szCs w:val="22"/>
        </w:rPr>
        <w:t>Long-term debt</w:t>
      </w:r>
      <w:r w:rsidRPr="000E5963">
        <w:rPr>
          <w:rFonts w:ascii="Calibri" w:hAnsi="Calibri" w:cs="Calibri"/>
          <w:b/>
          <w:bCs/>
          <w:szCs w:val="22"/>
        </w:rPr>
        <w:t xml:space="preserve">: </w:t>
      </w:r>
      <w:r w:rsidRPr="000E5963">
        <w:rPr>
          <w:rFonts w:ascii="Calibri" w:hAnsi="Calibri" w:cs="Calibri"/>
          <w:szCs w:val="22"/>
        </w:rPr>
        <w:t xml:space="preserve">The </w:t>
      </w:r>
      <w:r w:rsidR="00926401" w:rsidRPr="00926401">
        <w:rPr>
          <w:rFonts w:ascii="Calibri" w:hAnsi="Calibri" w:cs="Calibri"/>
          <w:szCs w:val="22"/>
        </w:rPr>
        <w:t xml:space="preserve">fair value disclosed for </w:t>
      </w:r>
      <w:r w:rsidRPr="000E5963">
        <w:rPr>
          <w:rFonts w:ascii="Calibri" w:hAnsi="Calibri" w:cs="Calibri"/>
          <w:szCs w:val="22"/>
        </w:rPr>
        <w:t xml:space="preserve">the </w:t>
      </w:r>
      <w:r w:rsidR="00926401" w:rsidRPr="00926401">
        <w:rPr>
          <w:rFonts w:ascii="Calibri" w:hAnsi="Calibri" w:cs="Calibri"/>
          <w:szCs w:val="22"/>
        </w:rPr>
        <w:t>Group’s long-term debt has</w:t>
      </w:r>
      <w:r w:rsidRPr="000E5963">
        <w:rPr>
          <w:rFonts w:ascii="Calibri" w:hAnsi="Calibri" w:cs="Calibri"/>
          <w:szCs w:val="22"/>
        </w:rPr>
        <w:t xml:space="preserve"> been </w:t>
      </w:r>
      <w:r w:rsidR="00926401" w:rsidRPr="00926401">
        <w:rPr>
          <w:rFonts w:ascii="Calibri" w:hAnsi="Calibri" w:cs="Calibri"/>
          <w:szCs w:val="22"/>
        </w:rPr>
        <w:t>measured using</w:t>
      </w:r>
      <w:r w:rsidRPr="000E5963">
        <w:rPr>
          <w:rFonts w:ascii="Calibri" w:hAnsi="Calibri" w:cs="Calibri"/>
          <w:szCs w:val="22"/>
        </w:rPr>
        <w:t xml:space="preserve"> the relevant market rates at </w:t>
      </w:r>
      <w:r w:rsidR="000C247F">
        <w:rPr>
          <w:rFonts w:ascii="Calibri" w:hAnsi="Calibri" w:cs="Calibri"/>
          <w:szCs w:val="22"/>
        </w:rPr>
        <w:t>September</w:t>
      </w:r>
      <w:r w:rsidRPr="000E5963">
        <w:rPr>
          <w:rFonts w:ascii="Calibri" w:hAnsi="Calibri" w:cs="Calibri"/>
          <w:szCs w:val="22"/>
        </w:rPr>
        <w:t xml:space="preserve"> 30, 2025</w:t>
      </w:r>
      <w:r w:rsidR="00926401" w:rsidRPr="00926401">
        <w:rPr>
          <w:rFonts w:ascii="Calibri" w:hAnsi="Calibri" w:cs="Calibri"/>
          <w:szCs w:val="22"/>
        </w:rPr>
        <w:t>. This represents</w:t>
      </w:r>
      <w:r w:rsidRPr="000E5963">
        <w:rPr>
          <w:rFonts w:ascii="Calibri" w:hAnsi="Calibri" w:cs="Calibri"/>
          <w:szCs w:val="22"/>
        </w:rPr>
        <w:t xml:space="preserve"> the amount </w:t>
      </w:r>
      <w:r w:rsidR="00926401" w:rsidRPr="00926401">
        <w:rPr>
          <w:rFonts w:ascii="Calibri" w:hAnsi="Calibri" w:cs="Calibri"/>
          <w:szCs w:val="22"/>
        </w:rPr>
        <w:t xml:space="preserve">which would be </w:t>
      </w:r>
      <w:r w:rsidRPr="000E5963">
        <w:rPr>
          <w:rFonts w:ascii="Calibri" w:hAnsi="Calibri" w:cs="Calibri"/>
          <w:szCs w:val="22"/>
        </w:rPr>
        <w:t>payable to a third party to assume the obligations.</w:t>
      </w:r>
    </w:p>
    <w:p w14:paraId="415CD0A9" w14:textId="5891E60C" w:rsidR="000E5963" w:rsidRPr="003009E3" w:rsidRDefault="006A1941" w:rsidP="003009E3">
      <w:pPr>
        <w:rPr>
          <w:rFonts w:ascii="Calibri" w:eastAsia="Times New Roman" w:hAnsi="Calibri" w:cs="Calibri"/>
          <w:b/>
          <w:snapToGrid w:val="0"/>
          <w:sz w:val="22"/>
          <w:szCs w:val="22"/>
          <w:lang w:val="en-IE" w:eastAsia="en-US"/>
        </w:rPr>
      </w:pPr>
      <w:r>
        <w:rPr>
          <w:rFonts w:ascii="Calibri" w:hAnsi="Calibri" w:cs="Calibri"/>
          <w:b/>
          <w:bCs/>
          <w:szCs w:val="22"/>
        </w:rPr>
        <w:br w:type="page"/>
      </w:r>
      <w:r w:rsidR="000E5963" w:rsidRPr="000E5963">
        <w:rPr>
          <w:rFonts w:ascii="Calibri" w:eastAsia="Times New Roman" w:hAnsi="Calibri" w:cs="Calibri"/>
          <w:bCs/>
          <w:iCs/>
          <w:sz w:val="22"/>
          <w:szCs w:val="22"/>
          <w:lang w:val="en-IE" w:eastAsia="en-US"/>
        </w:rPr>
        <w:lastRenderedPageBreak/>
        <w:t>The fair value of financial assets and financial liabilities, together with the carrying amounts in the condensed consolidated balance sheet, are as follows:</w:t>
      </w:r>
    </w:p>
    <w:tbl>
      <w:tblPr>
        <w:tblW w:w="10957" w:type="dxa"/>
        <w:tblInd w:w="-216" w:type="dxa"/>
        <w:tblLayout w:type="fixed"/>
        <w:tblLook w:val="04A0" w:firstRow="1" w:lastRow="0" w:firstColumn="1" w:lastColumn="0" w:noHBand="0" w:noVBand="1"/>
      </w:tblPr>
      <w:tblGrid>
        <w:gridCol w:w="5144"/>
        <w:gridCol w:w="1559"/>
        <w:gridCol w:w="1559"/>
        <w:gridCol w:w="1417"/>
        <w:gridCol w:w="1278"/>
      </w:tblGrid>
      <w:tr w:rsidR="000E5963" w:rsidRPr="000E5963" w14:paraId="7134DE79" w14:textId="77777777" w:rsidTr="000E5963">
        <w:trPr>
          <w:trHeight w:val="232"/>
        </w:trPr>
        <w:tc>
          <w:tcPr>
            <w:tcW w:w="5144" w:type="dxa"/>
            <w:shd w:val="clear" w:color="auto" w:fill="FFFFFF"/>
            <w:vAlign w:val="center"/>
            <w:hideMark/>
          </w:tcPr>
          <w:p w14:paraId="20BDB7B1"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bookmarkStart w:id="26" w:name="_Hlk144819342"/>
            <w:r w:rsidRPr="000E5963">
              <w:rPr>
                <w:rFonts w:ascii="Times New Roman" w:eastAsia="Times New Roman" w:hAnsi="Times New Roman" w:cs="Times New Roman"/>
                <w:sz w:val="21"/>
                <w:szCs w:val="21"/>
                <w:lang w:val="en-IE" w:eastAsia="en-US"/>
              </w:rPr>
              <w:br w:type="page"/>
            </w:r>
            <w:r w:rsidRPr="000E5963">
              <w:rPr>
                <w:rFonts w:ascii="Calibri" w:eastAsia="Times New Roman" w:hAnsi="Calibri" w:cs="Calibri"/>
                <w:bCs/>
                <w:iCs/>
                <w:sz w:val="21"/>
                <w:szCs w:val="21"/>
                <w:lang w:val="en-IE" w:eastAsia="en-US"/>
              </w:rPr>
              <w:br w:type="page"/>
            </w: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293CC20A" w14:textId="41439C28"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At </w:t>
            </w:r>
            <w:r w:rsidR="0049185C">
              <w:rPr>
                <w:rFonts w:ascii="Calibri" w:eastAsia="Times New Roman" w:hAnsi="Calibri" w:cs="Calibri"/>
                <w:b/>
                <w:bCs/>
                <w:color w:val="000000"/>
                <w:sz w:val="21"/>
                <w:szCs w:val="21"/>
                <w:lang w:val="en-IE" w:eastAsia="en-IE"/>
              </w:rPr>
              <w:t>Sep</w:t>
            </w:r>
            <w:r w:rsidRPr="000E5963">
              <w:rPr>
                <w:rFonts w:ascii="Calibri" w:eastAsia="Times New Roman" w:hAnsi="Calibri" w:cs="Calibri"/>
                <w:b/>
                <w:bCs/>
                <w:color w:val="000000"/>
                <w:sz w:val="21"/>
                <w:szCs w:val="21"/>
                <w:lang w:val="en-IE" w:eastAsia="en-IE"/>
              </w:rPr>
              <w:t xml:space="preserve"> 30,</w:t>
            </w:r>
          </w:p>
        </w:tc>
        <w:tc>
          <w:tcPr>
            <w:tcW w:w="1559" w:type="dxa"/>
            <w:shd w:val="clear" w:color="auto" w:fill="FFFF00"/>
            <w:vAlign w:val="center"/>
            <w:hideMark/>
          </w:tcPr>
          <w:p w14:paraId="1AECD114" w14:textId="1E9AB93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At </w:t>
            </w:r>
            <w:r w:rsidR="0049185C">
              <w:rPr>
                <w:rFonts w:ascii="Calibri" w:eastAsia="Times New Roman" w:hAnsi="Calibri" w:cs="Calibri"/>
                <w:b/>
                <w:bCs/>
                <w:color w:val="000000"/>
                <w:sz w:val="21"/>
                <w:szCs w:val="21"/>
                <w:lang w:val="en-IE" w:eastAsia="en-IE"/>
              </w:rPr>
              <w:t>Sep</w:t>
            </w:r>
            <w:r w:rsidRPr="000E5963">
              <w:rPr>
                <w:rFonts w:ascii="Calibri" w:eastAsia="Times New Roman" w:hAnsi="Calibri" w:cs="Calibri"/>
                <w:b/>
                <w:bCs/>
                <w:color w:val="000000"/>
                <w:sz w:val="21"/>
                <w:szCs w:val="21"/>
                <w:lang w:val="en-IE" w:eastAsia="en-IE"/>
              </w:rPr>
              <w:t xml:space="preserve"> 30,</w:t>
            </w:r>
          </w:p>
        </w:tc>
        <w:tc>
          <w:tcPr>
            <w:tcW w:w="1417" w:type="dxa"/>
            <w:shd w:val="clear" w:color="auto" w:fill="FFFFFF"/>
            <w:vAlign w:val="center"/>
            <w:hideMark/>
          </w:tcPr>
          <w:p w14:paraId="0A1D9EC5"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At Mar 31,</w:t>
            </w:r>
          </w:p>
        </w:tc>
        <w:tc>
          <w:tcPr>
            <w:tcW w:w="1278" w:type="dxa"/>
            <w:shd w:val="clear" w:color="auto" w:fill="FFFFFF"/>
            <w:vAlign w:val="center"/>
            <w:hideMark/>
          </w:tcPr>
          <w:p w14:paraId="2D60AF6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At Mar 31,</w:t>
            </w:r>
          </w:p>
        </w:tc>
      </w:tr>
      <w:tr w:rsidR="000E5963" w:rsidRPr="000E5963" w14:paraId="1E6BB6EB" w14:textId="77777777" w:rsidTr="000E5963">
        <w:trPr>
          <w:trHeight w:val="232"/>
        </w:trPr>
        <w:tc>
          <w:tcPr>
            <w:tcW w:w="5144" w:type="dxa"/>
            <w:shd w:val="clear" w:color="auto" w:fill="FFFFFF"/>
            <w:vAlign w:val="center"/>
            <w:hideMark/>
          </w:tcPr>
          <w:p w14:paraId="1447B7AE"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1E5E3B18"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559" w:type="dxa"/>
            <w:shd w:val="clear" w:color="auto" w:fill="FFFF00"/>
            <w:vAlign w:val="center"/>
            <w:hideMark/>
          </w:tcPr>
          <w:p w14:paraId="200DD9FE"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417" w:type="dxa"/>
            <w:shd w:val="clear" w:color="auto" w:fill="FFFFFF"/>
            <w:vAlign w:val="center"/>
            <w:hideMark/>
          </w:tcPr>
          <w:p w14:paraId="4E70A9A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c>
          <w:tcPr>
            <w:tcW w:w="1278" w:type="dxa"/>
            <w:shd w:val="clear" w:color="auto" w:fill="FFFFFF"/>
            <w:vAlign w:val="center"/>
            <w:hideMark/>
          </w:tcPr>
          <w:p w14:paraId="532A723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r>
      <w:tr w:rsidR="000E5963" w:rsidRPr="000E5963" w14:paraId="207FB37C" w14:textId="77777777" w:rsidTr="000E5963">
        <w:trPr>
          <w:trHeight w:val="232"/>
        </w:trPr>
        <w:tc>
          <w:tcPr>
            <w:tcW w:w="5144" w:type="dxa"/>
            <w:shd w:val="clear" w:color="auto" w:fill="FFFFFF"/>
            <w:vAlign w:val="center"/>
            <w:hideMark/>
          </w:tcPr>
          <w:p w14:paraId="2555052D"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49B464D7"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Carrying</w:t>
            </w:r>
          </w:p>
        </w:tc>
        <w:tc>
          <w:tcPr>
            <w:tcW w:w="1559" w:type="dxa"/>
            <w:shd w:val="clear" w:color="auto" w:fill="FFFF00"/>
            <w:vAlign w:val="center"/>
            <w:hideMark/>
          </w:tcPr>
          <w:p w14:paraId="288D6F9D"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Fair</w:t>
            </w:r>
          </w:p>
        </w:tc>
        <w:tc>
          <w:tcPr>
            <w:tcW w:w="1417" w:type="dxa"/>
            <w:shd w:val="clear" w:color="auto" w:fill="FFFFFF"/>
            <w:vAlign w:val="center"/>
            <w:hideMark/>
          </w:tcPr>
          <w:p w14:paraId="54FF95E7"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Carrying</w:t>
            </w:r>
          </w:p>
        </w:tc>
        <w:tc>
          <w:tcPr>
            <w:tcW w:w="1278" w:type="dxa"/>
            <w:shd w:val="clear" w:color="auto" w:fill="FFFFFF"/>
            <w:vAlign w:val="center"/>
            <w:hideMark/>
          </w:tcPr>
          <w:p w14:paraId="6C269DC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Fair</w:t>
            </w:r>
          </w:p>
        </w:tc>
      </w:tr>
      <w:tr w:rsidR="000E5963" w:rsidRPr="000E5963" w14:paraId="710581F6" w14:textId="77777777" w:rsidTr="000E5963">
        <w:trPr>
          <w:trHeight w:val="232"/>
        </w:trPr>
        <w:tc>
          <w:tcPr>
            <w:tcW w:w="5144" w:type="dxa"/>
            <w:shd w:val="clear" w:color="auto" w:fill="FFFFFF"/>
            <w:vAlign w:val="center"/>
            <w:hideMark/>
          </w:tcPr>
          <w:p w14:paraId="5E156DF1" w14:textId="77777777" w:rsidR="000E5963" w:rsidRPr="000E5963" w:rsidRDefault="000E5963" w:rsidP="000E5963">
            <w:pPr>
              <w:spacing w:after="0" w:line="240" w:lineRule="auto"/>
              <w:ind w:left="-284"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nil"/>
              <w:left w:val="nil"/>
              <w:right w:val="nil"/>
            </w:tcBorders>
            <w:shd w:val="clear" w:color="auto" w:fill="FFFF00"/>
            <w:vAlign w:val="center"/>
            <w:hideMark/>
          </w:tcPr>
          <w:p w14:paraId="7727A4D8"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Amount</w:t>
            </w:r>
          </w:p>
        </w:tc>
        <w:tc>
          <w:tcPr>
            <w:tcW w:w="1559" w:type="dxa"/>
            <w:tcBorders>
              <w:top w:val="nil"/>
              <w:left w:val="nil"/>
              <w:right w:val="nil"/>
            </w:tcBorders>
            <w:shd w:val="clear" w:color="auto" w:fill="FFFF00"/>
            <w:vAlign w:val="center"/>
            <w:hideMark/>
          </w:tcPr>
          <w:p w14:paraId="46EBDAB2"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Value</w:t>
            </w:r>
          </w:p>
        </w:tc>
        <w:tc>
          <w:tcPr>
            <w:tcW w:w="1417" w:type="dxa"/>
            <w:tcBorders>
              <w:top w:val="nil"/>
              <w:left w:val="nil"/>
              <w:right w:val="nil"/>
            </w:tcBorders>
            <w:shd w:val="clear" w:color="auto" w:fill="FFFFFF"/>
            <w:vAlign w:val="center"/>
            <w:hideMark/>
          </w:tcPr>
          <w:p w14:paraId="6131AB9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Amount</w:t>
            </w:r>
          </w:p>
        </w:tc>
        <w:tc>
          <w:tcPr>
            <w:tcW w:w="1278" w:type="dxa"/>
            <w:tcBorders>
              <w:top w:val="nil"/>
              <w:left w:val="nil"/>
              <w:right w:val="nil"/>
            </w:tcBorders>
            <w:shd w:val="clear" w:color="auto" w:fill="FFFFFF"/>
            <w:vAlign w:val="center"/>
            <w:hideMark/>
          </w:tcPr>
          <w:p w14:paraId="499194C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Value</w:t>
            </w:r>
          </w:p>
        </w:tc>
      </w:tr>
      <w:tr w:rsidR="000E5963" w:rsidRPr="000E5963" w14:paraId="58FDFA6B" w14:textId="77777777" w:rsidTr="000E5963">
        <w:trPr>
          <w:trHeight w:val="232"/>
        </w:trPr>
        <w:tc>
          <w:tcPr>
            <w:tcW w:w="5144" w:type="dxa"/>
            <w:shd w:val="clear" w:color="auto" w:fill="FFFFFF"/>
            <w:vAlign w:val="center"/>
            <w:hideMark/>
          </w:tcPr>
          <w:p w14:paraId="7B57BB3E"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Non-current financial assets</w:t>
            </w:r>
          </w:p>
        </w:tc>
        <w:tc>
          <w:tcPr>
            <w:tcW w:w="1559" w:type="dxa"/>
            <w:shd w:val="clear" w:color="auto" w:fill="FFFF00"/>
            <w:vAlign w:val="center"/>
            <w:hideMark/>
          </w:tcPr>
          <w:p w14:paraId="6FB7238B"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u w:val="single"/>
                <w:lang w:val="en-IE" w:eastAsia="en-IE"/>
              </w:rPr>
            </w:pPr>
            <w:r w:rsidRPr="000E5963">
              <w:rPr>
                <w:rFonts w:ascii="Calibri" w:eastAsia="Times New Roman" w:hAnsi="Calibri" w:cs="Calibri"/>
                <w:b/>
                <w:bCs/>
                <w:color w:val="000000"/>
                <w:sz w:val="21"/>
                <w:szCs w:val="21"/>
                <w:u w:val="single"/>
                <w:lang w:val="en-IE" w:eastAsia="en-IE"/>
              </w:rPr>
              <w:t>€M</w:t>
            </w:r>
          </w:p>
        </w:tc>
        <w:tc>
          <w:tcPr>
            <w:tcW w:w="1559" w:type="dxa"/>
            <w:shd w:val="clear" w:color="auto" w:fill="FFFF00"/>
            <w:vAlign w:val="center"/>
            <w:hideMark/>
          </w:tcPr>
          <w:p w14:paraId="5FDB8C99"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u w:val="single"/>
                <w:lang w:val="en-IE" w:eastAsia="en-IE"/>
              </w:rPr>
            </w:pPr>
            <w:r w:rsidRPr="000E5963">
              <w:rPr>
                <w:rFonts w:ascii="Calibri" w:eastAsia="Times New Roman" w:hAnsi="Calibri" w:cs="Calibri"/>
                <w:b/>
                <w:bCs/>
                <w:color w:val="000000"/>
                <w:sz w:val="21"/>
                <w:szCs w:val="21"/>
                <w:u w:val="single"/>
                <w:lang w:val="en-IE" w:eastAsia="en-IE"/>
              </w:rPr>
              <w:t>€M</w:t>
            </w:r>
          </w:p>
        </w:tc>
        <w:tc>
          <w:tcPr>
            <w:tcW w:w="1417" w:type="dxa"/>
            <w:shd w:val="clear" w:color="auto" w:fill="FFFFFF"/>
            <w:vAlign w:val="center"/>
            <w:hideMark/>
          </w:tcPr>
          <w:p w14:paraId="04ADA23A"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u w:val="single"/>
                <w:lang w:val="en-IE" w:eastAsia="en-IE"/>
              </w:rPr>
            </w:pPr>
            <w:r w:rsidRPr="000E5963">
              <w:rPr>
                <w:rFonts w:ascii="Calibri" w:eastAsia="Times New Roman" w:hAnsi="Calibri" w:cs="Calibri"/>
                <w:color w:val="000000"/>
                <w:sz w:val="21"/>
                <w:szCs w:val="21"/>
                <w:u w:val="single"/>
                <w:lang w:val="en-IE" w:eastAsia="en-IE"/>
              </w:rPr>
              <w:t>€M</w:t>
            </w:r>
          </w:p>
        </w:tc>
        <w:tc>
          <w:tcPr>
            <w:tcW w:w="1278" w:type="dxa"/>
            <w:shd w:val="clear" w:color="auto" w:fill="FFFFFF"/>
            <w:vAlign w:val="center"/>
            <w:hideMark/>
          </w:tcPr>
          <w:p w14:paraId="143539F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u w:val="single"/>
                <w:lang w:val="en-IE" w:eastAsia="en-IE"/>
              </w:rPr>
            </w:pPr>
            <w:r w:rsidRPr="000E5963">
              <w:rPr>
                <w:rFonts w:ascii="Calibri" w:eastAsia="Times New Roman" w:hAnsi="Calibri" w:cs="Calibri"/>
                <w:color w:val="000000"/>
                <w:sz w:val="21"/>
                <w:szCs w:val="21"/>
                <w:u w:val="single"/>
                <w:lang w:val="en-IE" w:eastAsia="en-IE"/>
              </w:rPr>
              <w:t>€M</w:t>
            </w:r>
          </w:p>
        </w:tc>
      </w:tr>
      <w:tr w:rsidR="000E5963" w:rsidRPr="000E5963" w14:paraId="3FDF4E95" w14:textId="77777777" w:rsidTr="0049185C">
        <w:trPr>
          <w:trHeight w:val="232"/>
        </w:trPr>
        <w:tc>
          <w:tcPr>
            <w:tcW w:w="5144" w:type="dxa"/>
            <w:shd w:val="clear" w:color="auto" w:fill="FFFFFF"/>
            <w:vAlign w:val="center"/>
            <w:hideMark/>
          </w:tcPr>
          <w:p w14:paraId="227CC978"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tcPr>
          <w:p w14:paraId="2849B7F8" w14:textId="77777777" w:rsidR="000E5963" w:rsidRPr="000E5963" w:rsidRDefault="000E5963" w:rsidP="000E5963">
            <w:pPr>
              <w:spacing w:after="0" w:line="240" w:lineRule="auto"/>
              <w:ind w:left="-284"/>
              <w:rPr>
                <w:rFonts w:ascii="Calibri" w:eastAsia="Times New Roman" w:hAnsi="Calibri" w:cs="Calibri"/>
                <w:color w:val="000000"/>
                <w:sz w:val="21"/>
                <w:szCs w:val="21"/>
                <w:lang w:val="en-IE" w:eastAsia="en-IE"/>
              </w:rPr>
            </w:pPr>
          </w:p>
        </w:tc>
        <w:tc>
          <w:tcPr>
            <w:tcW w:w="1559" w:type="dxa"/>
            <w:shd w:val="clear" w:color="auto" w:fill="FFFF00"/>
            <w:vAlign w:val="center"/>
          </w:tcPr>
          <w:p w14:paraId="2F23617D" w14:textId="77777777" w:rsidR="000E5963" w:rsidRPr="000E5963" w:rsidRDefault="000E5963" w:rsidP="000E5963">
            <w:pPr>
              <w:spacing w:after="0" w:line="240" w:lineRule="auto"/>
              <w:ind w:left="-284" w:right="38"/>
              <w:rPr>
                <w:rFonts w:ascii="Calibri" w:eastAsia="Calibri" w:hAnsi="Calibri" w:cs="Calibri"/>
                <w:sz w:val="21"/>
                <w:szCs w:val="21"/>
                <w:lang w:val="en-IE" w:eastAsia="en-IE"/>
              </w:rPr>
            </w:pPr>
          </w:p>
        </w:tc>
        <w:tc>
          <w:tcPr>
            <w:tcW w:w="1417" w:type="dxa"/>
            <w:shd w:val="clear" w:color="auto" w:fill="FFFFFF"/>
            <w:noWrap/>
            <w:vAlign w:val="center"/>
            <w:hideMark/>
          </w:tcPr>
          <w:p w14:paraId="7B5FBB51" w14:textId="77777777" w:rsidR="000E5963" w:rsidRPr="000E5963" w:rsidRDefault="000E5963" w:rsidP="000E5963">
            <w:pPr>
              <w:spacing w:after="0" w:line="240" w:lineRule="auto"/>
              <w:ind w:left="-284" w:right="25"/>
              <w:rPr>
                <w:rFonts w:ascii="Calibri" w:eastAsia="Calibri" w:hAnsi="Calibri" w:cs="Calibri"/>
                <w:sz w:val="21"/>
                <w:szCs w:val="21"/>
                <w:lang w:val="en-IE" w:eastAsia="en-IE"/>
              </w:rPr>
            </w:pPr>
          </w:p>
        </w:tc>
        <w:tc>
          <w:tcPr>
            <w:tcW w:w="1278" w:type="dxa"/>
            <w:shd w:val="clear" w:color="auto" w:fill="FFFFFF"/>
            <w:noWrap/>
            <w:vAlign w:val="center"/>
            <w:hideMark/>
          </w:tcPr>
          <w:p w14:paraId="22A21A7F" w14:textId="77777777" w:rsidR="000E5963" w:rsidRPr="000E5963" w:rsidRDefault="000E5963" w:rsidP="000E5963">
            <w:pPr>
              <w:spacing w:after="0" w:line="240" w:lineRule="auto"/>
              <w:ind w:left="-284" w:right="39"/>
              <w:rPr>
                <w:rFonts w:ascii="Calibri" w:eastAsia="Calibri" w:hAnsi="Calibri" w:cs="Calibri"/>
                <w:sz w:val="21"/>
                <w:szCs w:val="21"/>
                <w:lang w:val="en-IE" w:eastAsia="en-IE"/>
              </w:rPr>
            </w:pPr>
          </w:p>
        </w:tc>
      </w:tr>
      <w:tr w:rsidR="000E5963" w:rsidRPr="000E5963" w14:paraId="1B35A0BE" w14:textId="77777777" w:rsidTr="000E5963">
        <w:trPr>
          <w:trHeight w:val="232"/>
        </w:trPr>
        <w:tc>
          <w:tcPr>
            <w:tcW w:w="5144" w:type="dxa"/>
            <w:shd w:val="clear" w:color="auto" w:fill="FFFFFF"/>
            <w:vAlign w:val="center"/>
            <w:hideMark/>
          </w:tcPr>
          <w:p w14:paraId="74D678CD"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xml:space="preserve">- U.S. dollar currency forward contracts </w:t>
            </w:r>
          </w:p>
        </w:tc>
        <w:tc>
          <w:tcPr>
            <w:tcW w:w="1559" w:type="dxa"/>
            <w:shd w:val="clear" w:color="auto" w:fill="FFFF00"/>
            <w:vAlign w:val="center"/>
          </w:tcPr>
          <w:p w14:paraId="62E54609" w14:textId="6BD34EB0" w:rsidR="000E5963" w:rsidRPr="000E5963" w:rsidRDefault="00FD053B"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1.6</w:t>
            </w:r>
          </w:p>
        </w:tc>
        <w:tc>
          <w:tcPr>
            <w:tcW w:w="1559" w:type="dxa"/>
            <w:shd w:val="clear" w:color="auto" w:fill="FFFF00"/>
            <w:vAlign w:val="center"/>
          </w:tcPr>
          <w:p w14:paraId="10BCA0F6" w14:textId="2956980F" w:rsidR="000E5963" w:rsidRPr="000E5963" w:rsidRDefault="00FD053B"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1.6</w:t>
            </w:r>
          </w:p>
        </w:tc>
        <w:tc>
          <w:tcPr>
            <w:tcW w:w="1417" w:type="dxa"/>
            <w:shd w:val="clear" w:color="auto" w:fill="FFFFFF"/>
            <w:vAlign w:val="center"/>
            <w:hideMark/>
          </w:tcPr>
          <w:p w14:paraId="2F77C11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5.8</w:t>
            </w:r>
          </w:p>
        </w:tc>
        <w:tc>
          <w:tcPr>
            <w:tcW w:w="1278" w:type="dxa"/>
            <w:shd w:val="clear" w:color="auto" w:fill="FFFFFF"/>
            <w:vAlign w:val="center"/>
            <w:hideMark/>
          </w:tcPr>
          <w:p w14:paraId="2037E414"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5.8</w:t>
            </w:r>
          </w:p>
        </w:tc>
      </w:tr>
      <w:tr w:rsidR="000E5963" w:rsidRPr="000E5963" w14:paraId="7DA47049" w14:textId="77777777" w:rsidTr="000E5963">
        <w:trPr>
          <w:trHeight w:val="232"/>
        </w:trPr>
        <w:tc>
          <w:tcPr>
            <w:tcW w:w="5144" w:type="dxa"/>
            <w:shd w:val="clear" w:color="auto" w:fill="FFFFFF"/>
            <w:vAlign w:val="center"/>
          </w:tcPr>
          <w:p w14:paraId="73646BD1"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Jet fuel &amp; carbon derivatives contracts</w:t>
            </w:r>
          </w:p>
        </w:tc>
        <w:tc>
          <w:tcPr>
            <w:tcW w:w="1559" w:type="dxa"/>
            <w:tcBorders>
              <w:bottom w:val="single" w:sz="8" w:space="0" w:color="auto"/>
            </w:tcBorders>
            <w:shd w:val="clear" w:color="auto" w:fill="FFFF00"/>
            <w:vAlign w:val="center"/>
          </w:tcPr>
          <w:p w14:paraId="6E89261C" w14:textId="5496507C" w:rsidR="000E5963" w:rsidRPr="000E5963" w:rsidRDefault="006372E8"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21.6</w:t>
            </w:r>
          </w:p>
        </w:tc>
        <w:tc>
          <w:tcPr>
            <w:tcW w:w="1559" w:type="dxa"/>
            <w:tcBorders>
              <w:bottom w:val="single" w:sz="8" w:space="0" w:color="auto"/>
            </w:tcBorders>
            <w:shd w:val="clear" w:color="auto" w:fill="FFFF00"/>
            <w:vAlign w:val="center"/>
          </w:tcPr>
          <w:p w14:paraId="1E8803AC" w14:textId="02F8CE0E" w:rsidR="000E5963" w:rsidRPr="000E5963" w:rsidRDefault="006372E8"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21.6</w:t>
            </w:r>
          </w:p>
        </w:tc>
        <w:tc>
          <w:tcPr>
            <w:tcW w:w="1417" w:type="dxa"/>
            <w:tcBorders>
              <w:bottom w:val="single" w:sz="8" w:space="0" w:color="auto"/>
            </w:tcBorders>
            <w:shd w:val="clear" w:color="auto" w:fill="FFFFFF"/>
            <w:vAlign w:val="center"/>
          </w:tcPr>
          <w:p w14:paraId="6301AEE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9.6</w:t>
            </w:r>
          </w:p>
        </w:tc>
        <w:tc>
          <w:tcPr>
            <w:tcW w:w="1278" w:type="dxa"/>
            <w:tcBorders>
              <w:bottom w:val="single" w:sz="8" w:space="0" w:color="auto"/>
            </w:tcBorders>
            <w:shd w:val="clear" w:color="auto" w:fill="FFFFFF"/>
            <w:vAlign w:val="center"/>
          </w:tcPr>
          <w:p w14:paraId="52A0CB4F"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9.6</w:t>
            </w:r>
          </w:p>
        </w:tc>
      </w:tr>
      <w:tr w:rsidR="000E5963" w:rsidRPr="000E5963" w14:paraId="45038E44" w14:textId="77777777" w:rsidTr="000E5963">
        <w:trPr>
          <w:trHeight w:val="232"/>
        </w:trPr>
        <w:tc>
          <w:tcPr>
            <w:tcW w:w="5144" w:type="dxa"/>
            <w:shd w:val="clear" w:color="auto" w:fill="FFFFFF"/>
            <w:vAlign w:val="bottom"/>
            <w:hideMark/>
          </w:tcPr>
          <w:p w14:paraId="28749183"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8" w:space="0" w:color="auto"/>
            </w:tcBorders>
            <w:shd w:val="clear" w:color="auto" w:fill="FFFF00"/>
            <w:vAlign w:val="center"/>
          </w:tcPr>
          <w:p w14:paraId="1AFF2522" w14:textId="168D7840" w:rsidR="000E5963" w:rsidRPr="000E5963" w:rsidRDefault="006372E8"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23.2</w:t>
            </w:r>
          </w:p>
        </w:tc>
        <w:tc>
          <w:tcPr>
            <w:tcW w:w="1559" w:type="dxa"/>
            <w:tcBorders>
              <w:top w:val="single" w:sz="8" w:space="0" w:color="auto"/>
            </w:tcBorders>
            <w:shd w:val="clear" w:color="auto" w:fill="FFFF00"/>
            <w:vAlign w:val="center"/>
          </w:tcPr>
          <w:p w14:paraId="49405B53" w14:textId="6A13BEF9" w:rsidR="000E5963" w:rsidRPr="000E5963" w:rsidRDefault="006372E8"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23.2</w:t>
            </w:r>
          </w:p>
        </w:tc>
        <w:tc>
          <w:tcPr>
            <w:tcW w:w="1417" w:type="dxa"/>
            <w:tcBorders>
              <w:top w:val="single" w:sz="8" w:space="0" w:color="auto"/>
            </w:tcBorders>
            <w:shd w:val="clear" w:color="auto" w:fill="FFFFFF"/>
            <w:vAlign w:val="center"/>
            <w:hideMark/>
          </w:tcPr>
          <w:p w14:paraId="44FC4E0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15.4</w:t>
            </w:r>
          </w:p>
        </w:tc>
        <w:tc>
          <w:tcPr>
            <w:tcW w:w="1278" w:type="dxa"/>
            <w:tcBorders>
              <w:top w:val="single" w:sz="8" w:space="0" w:color="auto"/>
            </w:tcBorders>
            <w:shd w:val="clear" w:color="auto" w:fill="FFFFFF"/>
            <w:vAlign w:val="center"/>
            <w:hideMark/>
          </w:tcPr>
          <w:p w14:paraId="1E4B2CD4"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15.4</w:t>
            </w:r>
          </w:p>
        </w:tc>
      </w:tr>
      <w:tr w:rsidR="000E5963" w:rsidRPr="000E5963" w14:paraId="0927FDB0" w14:textId="77777777" w:rsidTr="000E5963">
        <w:trPr>
          <w:trHeight w:val="232"/>
        </w:trPr>
        <w:tc>
          <w:tcPr>
            <w:tcW w:w="5144" w:type="dxa"/>
            <w:shd w:val="clear" w:color="auto" w:fill="FFFFFF"/>
            <w:vAlign w:val="center"/>
            <w:hideMark/>
          </w:tcPr>
          <w:p w14:paraId="3475AAF5"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Current financial assets</w:t>
            </w:r>
          </w:p>
        </w:tc>
        <w:tc>
          <w:tcPr>
            <w:tcW w:w="1559" w:type="dxa"/>
            <w:shd w:val="clear" w:color="auto" w:fill="FFFF00"/>
            <w:vAlign w:val="center"/>
          </w:tcPr>
          <w:p w14:paraId="212C5432"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p>
        </w:tc>
        <w:tc>
          <w:tcPr>
            <w:tcW w:w="1559" w:type="dxa"/>
            <w:shd w:val="clear" w:color="auto" w:fill="FFFF00"/>
            <w:vAlign w:val="center"/>
          </w:tcPr>
          <w:p w14:paraId="3CA6B7D0"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62E6827F"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shd w:val="clear" w:color="auto" w:fill="FFFFFF"/>
            <w:vAlign w:val="center"/>
            <w:hideMark/>
          </w:tcPr>
          <w:p w14:paraId="40293D78"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64508F8A" w14:textId="77777777" w:rsidTr="000E5963">
        <w:trPr>
          <w:trHeight w:val="232"/>
        </w:trPr>
        <w:tc>
          <w:tcPr>
            <w:tcW w:w="5144" w:type="dxa"/>
            <w:shd w:val="clear" w:color="auto" w:fill="FFFFFF"/>
            <w:vAlign w:val="center"/>
            <w:hideMark/>
          </w:tcPr>
          <w:p w14:paraId="5E3BFB4A"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tcPr>
          <w:p w14:paraId="3E24221F"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0B3DC9BE"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5C7146A1" w14:textId="77777777" w:rsidR="000E5963" w:rsidRPr="000E5963" w:rsidRDefault="000E5963" w:rsidP="000E5963">
            <w:pPr>
              <w:spacing w:after="0" w:line="240" w:lineRule="auto"/>
              <w:ind w:left="-284" w:right="25"/>
              <w:jc w:val="center"/>
              <w:rPr>
                <w:rFonts w:ascii="Calibri" w:eastAsia="Calibri" w:hAnsi="Calibri" w:cs="Calibri"/>
                <w:sz w:val="21"/>
                <w:szCs w:val="21"/>
                <w:lang w:val="en-IE" w:eastAsia="en-IE"/>
              </w:rPr>
            </w:pPr>
          </w:p>
        </w:tc>
        <w:tc>
          <w:tcPr>
            <w:tcW w:w="1278" w:type="dxa"/>
            <w:shd w:val="clear" w:color="auto" w:fill="FFFFFF"/>
            <w:vAlign w:val="center"/>
          </w:tcPr>
          <w:p w14:paraId="00AF68B5"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7D0CE982" w14:textId="77777777" w:rsidTr="000E5963">
        <w:trPr>
          <w:trHeight w:val="232"/>
        </w:trPr>
        <w:tc>
          <w:tcPr>
            <w:tcW w:w="5144" w:type="dxa"/>
            <w:shd w:val="clear" w:color="auto" w:fill="FFFFFF"/>
            <w:vAlign w:val="center"/>
            <w:hideMark/>
          </w:tcPr>
          <w:p w14:paraId="019F8C4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U.S. dollar currency forward contracts</w:t>
            </w:r>
          </w:p>
        </w:tc>
        <w:tc>
          <w:tcPr>
            <w:tcW w:w="1559" w:type="dxa"/>
            <w:shd w:val="clear" w:color="auto" w:fill="FFFF00"/>
            <w:vAlign w:val="center"/>
          </w:tcPr>
          <w:p w14:paraId="60D581B8" w14:textId="75930C44" w:rsidR="000E5963" w:rsidRPr="000E5963" w:rsidRDefault="006372E8"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1.4</w:t>
            </w:r>
          </w:p>
        </w:tc>
        <w:tc>
          <w:tcPr>
            <w:tcW w:w="1559" w:type="dxa"/>
            <w:shd w:val="clear" w:color="auto" w:fill="FFFF00"/>
            <w:vAlign w:val="center"/>
          </w:tcPr>
          <w:p w14:paraId="79DE4855" w14:textId="46BEA85E" w:rsidR="000E5963" w:rsidRPr="000E5963" w:rsidRDefault="006372E8"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1.4</w:t>
            </w:r>
          </w:p>
        </w:tc>
        <w:tc>
          <w:tcPr>
            <w:tcW w:w="1417" w:type="dxa"/>
            <w:shd w:val="clear" w:color="auto" w:fill="FFFFFF"/>
            <w:vAlign w:val="center"/>
          </w:tcPr>
          <w:p w14:paraId="5F89DE0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84.4</w:t>
            </w:r>
          </w:p>
        </w:tc>
        <w:tc>
          <w:tcPr>
            <w:tcW w:w="1278" w:type="dxa"/>
            <w:shd w:val="clear" w:color="auto" w:fill="FFFFFF"/>
            <w:vAlign w:val="center"/>
          </w:tcPr>
          <w:p w14:paraId="4717F488"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84.4</w:t>
            </w:r>
          </w:p>
        </w:tc>
      </w:tr>
      <w:tr w:rsidR="000E5963" w:rsidRPr="000E5963" w14:paraId="6F3B0221" w14:textId="77777777" w:rsidTr="000E5963">
        <w:trPr>
          <w:trHeight w:val="232"/>
        </w:trPr>
        <w:tc>
          <w:tcPr>
            <w:tcW w:w="5144" w:type="dxa"/>
            <w:shd w:val="clear" w:color="auto" w:fill="FFFFFF"/>
            <w:vAlign w:val="center"/>
          </w:tcPr>
          <w:p w14:paraId="736713D7"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Jet fuel &amp; carbon derivative contracts</w:t>
            </w:r>
          </w:p>
        </w:tc>
        <w:tc>
          <w:tcPr>
            <w:tcW w:w="1559" w:type="dxa"/>
            <w:tcBorders>
              <w:top w:val="nil"/>
              <w:left w:val="nil"/>
              <w:bottom w:val="single" w:sz="8" w:space="0" w:color="auto"/>
              <w:right w:val="nil"/>
            </w:tcBorders>
            <w:shd w:val="clear" w:color="auto" w:fill="FFFF00"/>
            <w:vAlign w:val="center"/>
          </w:tcPr>
          <w:p w14:paraId="5471036F" w14:textId="35780616" w:rsidR="000E5963" w:rsidRPr="000E5963" w:rsidRDefault="006372E8"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68.8</w:t>
            </w:r>
          </w:p>
        </w:tc>
        <w:tc>
          <w:tcPr>
            <w:tcW w:w="1559" w:type="dxa"/>
            <w:tcBorders>
              <w:top w:val="nil"/>
              <w:left w:val="nil"/>
              <w:bottom w:val="single" w:sz="8" w:space="0" w:color="auto"/>
              <w:right w:val="nil"/>
            </w:tcBorders>
            <w:shd w:val="clear" w:color="auto" w:fill="FFFF00"/>
            <w:vAlign w:val="center"/>
          </w:tcPr>
          <w:p w14:paraId="0E9D9B8F" w14:textId="698BB829" w:rsidR="000E5963" w:rsidRPr="000E5963" w:rsidRDefault="006372E8"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68.8</w:t>
            </w:r>
          </w:p>
        </w:tc>
        <w:tc>
          <w:tcPr>
            <w:tcW w:w="1417" w:type="dxa"/>
            <w:tcBorders>
              <w:top w:val="nil"/>
              <w:left w:val="nil"/>
              <w:bottom w:val="single" w:sz="8" w:space="0" w:color="auto"/>
              <w:right w:val="nil"/>
            </w:tcBorders>
            <w:shd w:val="clear" w:color="auto" w:fill="FFFFFF"/>
            <w:vAlign w:val="center"/>
          </w:tcPr>
          <w:p w14:paraId="4F657572"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10.0</w:t>
            </w:r>
          </w:p>
        </w:tc>
        <w:tc>
          <w:tcPr>
            <w:tcW w:w="1278" w:type="dxa"/>
            <w:tcBorders>
              <w:top w:val="nil"/>
              <w:left w:val="nil"/>
              <w:bottom w:val="single" w:sz="8" w:space="0" w:color="auto"/>
              <w:right w:val="nil"/>
            </w:tcBorders>
            <w:shd w:val="clear" w:color="auto" w:fill="FFFFFF"/>
            <w:vAlign w:val="center"/>
          </w:tcPr>
          <w:p w14:paraId="02576E9C"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10.0</w:t>
            </w:r>
          </w:p>
        </w:tc>
      </w:tr>
      <w:tr w:rsidR="000E5963" w:rsidRPr="000E5963" w14:paraId="0FC9DBB7" w14:textId="77777777" w:rsidTr="000E5963">
        <w:trPr>
          <w:trHeight w:val="232"/>
        </w:trPr>
        <w:tc>
          <w:tcPr>
            <w:tcW w:w="5144" w:type="dxa"/>
            <w:shd w:val="clear" w:color="auto" w:fill="FFFFFF"/>
            <w:vAlign w:val="center"/>
            <w:hideMark/>
          </w:tcPr>
          <w:p w14:paraId="45CD9351"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8" w:space="0" w:color="auto"/>
            </w:tcBorders>
            <w:shd w:val="clear" w:color="auto" w:fill="FFFF00"/>
            <w:vAlign w:val="center"/>
          </w:tcPr>
          <w:p w14:paraId="7A996769" w14:textId="0B0068CD" w:rsidR="000E5963" w:rsidRPr="000E5963" w:rsidRDefault="0067435C"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70.2</w:t>
            </w:r>
          </w:p>
        </w:tc>
        <w:tc>
          <w:tcPr>
            <w:tcW w:w="1559" w:type="dxa"/>
            <w:tcBorders>
              <w:top w:val="single" w:sz="8" w:space="0" w:color="auto"/>
            </w:tcBorders>
            <w:shd w:val="clear" w:color="auto" w:fill="FFFF00"/>
            <w:vAlign w:val="center"/>
          </w:tcPr>
          <w:p w14:paraId="6A2110F1" w14:textId="19224B55" w:rsidR="000E5963" w:rsidRPr="000E5963" w:rsidRDefault="0067435C"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70.2</w:t>
            </w:r>
          </w:p>
        </w:tc>
        <w:tc>
          <w:tcPr>
            <w:tcW w:w="1417" w:type="dxa"/>
            <w:tcBorders>
              <w:top w:val="single" w:sz="8" w:space="0" w:color="auto"/>
            </w:tcBorders>
            <w:shd w:val="clear" w:color="auto" w:fill="FFFFFF"/>
            <w:vAlign w:val="center"/>
            <w:hideMark/>
          </w:tcPr>
          <w:p w14:paraId="1193D9A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94.4</w:t>
            </w:r>
          </w:p>
        </w:tc>
        <w:tc>
          <w:tcPr>
            <w:tcW w:w="1278" w:type="dxa"/>
            <w:tcBorders>
              <w:top w:val="single" w:sz="8" w:space="0" w:color="auto"/>
            </w:tcBorders>
            <w:shd w:val="clear" w:color="auto" w:fill="FFFFFF"/>
            <w:vAlign w:val="center"/>
            <w:hideMark/>
          </w:tcPr>
          <w:p w14:paraId="7012797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94.4</w:t>
            </w:r>
          </w:p>
        </w:tc>
      </w:tr>
      <w:tr w:rsidR="000E5963" w:rsidRPr="000E5963" w14:paraId="1AECEAE6" w14:textId="77777777" w:rsidTr="000E5963">
        <w:trPr>
          <w:trHeight w:val="232"/>
        </w:trPr>
        <w:tc>
          <w:tcPr>
            <w:tcW w:w="5144" w:type="dxa"/>
            <w:shd w:val="clear" w:color="auto" w:fill="FFFFFF"/>
            <w:vAlign w:val="center"/>
            <w:hideMark/>
          </w:tcPr>
          <w:p w14:paraId="4DFEB21A"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Trade receivables*</w:t>
            </w:r>
          </w:p>
        </w:tc>
        <w:tc>
          <w:tcPr>
            <w:tcW w:w="1559" w:type="dxa"/>
            <w:shd w:val="clear" w:color="auto" w:fill="FFFF00"/>
            <w:vAlign w:val="center"/>
          </w:tcPr>
          <w:p w14:paraId="3F03793F" w14:textId="7BF1AAB9" w:rsidR="000E5963" w:rsidRPr="000E5963" w:rsidRDefault="0067435C"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77.7</w:t>
            </w:r>
          </w:p>
        </w:tc>
        <w:tc>
          <w:tcPr>
            <w:tcW w:w="1559" w:type="dxa"/>
            <w:shd w:val="clear" w:color="auto" w:fill="FFFF00"/>
            <w:vAlign w:val="center"/>
          </w:tcPr>
          <w:p w14:paraId="034F2BA6"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0F4A36E8"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73.5</w:t>
            </w:r>
          </w:p>
        </w:tc>
        <w:tc>
          <w:tcPr>
            <w:tcW w:w="1278" w:type="dxa"/>
            <w:shd w:val="clear" w:color="auto" w:fill="FFFFFF"/>
            <w:vAlign w:val="center"/>
            <w:hideMark/>
          </w:tcPr>
          <w:p w14:paraId="2D290D38"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5BED4281" w14:textId="77777777" w:rsidTr="000E5963">
        <w:trPr>
          <w:trHeight w:val="232"/>
        </w:trPr>
        <w:tc>
          <w:tcPr>
            <w:tcW w:w="5144" w:type="dxa"/>
            <w:shd w:val="clear" w:color="auto" w:fill="FFFFFF"/>
            <w:vAlign w:val="center"/>
            <w:hideMark/>
          </w:tcPr>
          <w:p w14:paraId="0DFC2CF5"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Cash and cash equivalents*</w:t>
            </w:r>
          </w:p>
        </w:tc>
        <w:tc>
          <w:tcPr>
            <w:tcW w:w="1559" w:type="dxa"/>
            <w:shd w:val="clear" w:color="auto" w:fill="FFFF00"/>
            <w:vAlign w:val="center"/>
          </w:tcPr>
          <w:p w14:paraId="1E557DB6" w14:textId="04DBB2C4" w:rsidR="000E5963" w:rsidRPr="000E5963" w:rsidRDefault="00E55882"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2,963.5</w:t>
            </w:r>
          </w:p>
        </w:tc>
        <w:tc>
          <w:tcPr>
            <w:tcW w:w="1559" w:type="dxa"/>
            <w:shd w:val="clear" w:color="auto" w:fill="FFFF00"/>
            <w:vAlign w:val="center"/>
          </w:tcPr>
          <w:p w14:paraId="50C46644"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19940C8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3,863.3</w:t>
            </w:r>
          </w:p>
        </w:tc>
        <w:tc>
          <w:tcPr>
            <w:tcW w:w="1278" w:type="dxa"/>
            <w:shd w:val="clear" w:color="auto" w:fill="FFFFFF"/>
            <w:vAlign w:val="center"/>
            <w:hideMark/>
          </w:tcPr>
          <w:p w14:paraId="5FB272DC"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1C26DC31" w14:textId="77777777" w:rsidTr="000E5963">
        <w:trPr>
          <w:trHeight w:val="232"/>
        </w:trPr>
        <w:tc>
          <w:tcPr>
            <w:tcW w:w="5144" w:type="dxa"/>
            <w:shd w:val="clear" w:color="auto" w:fill="FFFFFF"/>
            <w:vAlign w:val="center"/>
            <w:hideMark/>
          </w:tcPr>
          <w:p w14:paraId="381D2DE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Financial asset: cash &gt; 3 months*</w:t>
            </w:r>
          </w:p>
        </w:tc>
        <w:tc>
          <w:tcPr>
            <w:tcW w:w="1559" w:type="dxa"/>
            <w:shd w:val="clear" w:color="auto" w:fill="FFFF00"/>
            <w:vAlign w:val="center"/>
          </w:tcPr>
          <w:p w14:paraId="5275AA23" w14:textId="68EB6D3F" w:rsidR="000E5963" w:rsidRPr="000E5963" w:rsidRDefault="00E55882"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w:t>
            </w:r>
          </w:p>
        </w:tc>
        <w:tc>
          <w:tcPr>
            <w:tcW w:w="1559" w:type="dxa"/>
            <w:shd w:val="clear" w:color="auto" w:fill="FFFF00"/>
            <w:vAlign w:val="center"/>
          </w:tcPr>
          <w:p w14:paraId="070CF0A9"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1679451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100.1</w:t>
            </w:r>
          </w:p>
        </w:tc>
        <w:tc>
          <w:tcPr>
            <w:tcW w:w="1278" w:type="dxa"/>
            <w:shd w:val="clear" w:color="auto" w:fill="FFFFFF"/>
            <w:vAlign w:val="center"/>
            <w:hideMark/>
          </w:tcPr>
          <w:p w14:paraId="455D021D"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000BFC43" w14:textId="77777777" w:rsidTr="000E5963">
        <w:trPr>
          <w:trHeight w:val="232"/>
        </w:trPr>
        <w:tc>
          <w:tcPr>
            <w:tcW w:w="5144" w:type="dxa"/>
            <w:shd w:val="clear" w:color="auto" w:fill="FFFFFF"/>
            <w:vAlign w:val="center"/>
            <w:hideMark/>
          </w:tcPr>
          <w:p w14:paraId="19DA0C7C"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Restricted cash*</w:t>
            </w:r>
          </w:p>
        </w:tc>
        <w:tc>
          <w:tcPr>
            <w:tcW w:w="1559" w:type="dxa"/>
            <w:tcBorders>
              <w:bottom w:val="single" w:sz="8" w:space="0" w:color="auto"/>
            </w:tcBorders>
            <w:shd w:val="clear" w:color="auto" w:fill="FFFF00"/>
            <w:vAlign w:val="center"/>
          </w:tcPr>
          <w:p w14:paraId="5D1DABDD" w14:textId="57EEF093" w:rsidR="000E5963" w:rsidRPr="000E5963" w:rsidRDefault="00E55882"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28.6</w:t>
            </w:r>
          </w:p>
        </w:tc>
        <w:tc>
          <w:tcPr>
            <w:tcW w:w="1559" w:type="dxa"/>
            <w:tcBorders>
              <w:bottom w:val="single" w:sz="8" w:space="0" w:color="auto"/>
            </w:tcBorders>
            <w:shd w:val="clear" w:color="auto" w:fill="FFFF00"/>
            <w:vAlign w:val="center"/>
          </w:tcPr>
          <w:p w14:paraId="56572DAD"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tcBorders>
              <w:bottom w:val="single" w:sz="8" w:space="0" w:color="auto"/>
            </w:tcBorders>
            <w:shd w:val="clear" w:color="auto" w:fill="FFFFFF"/>
            <w:vAlign w:val="center"/>
            <w:hideMark/>
          </w:tcPr>
          <w:p w14:paraId="6980315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23.1</w:t>
            </w:r>
          </w:p>
        </w:tc>
        <w:tc>
          <w:tcPr>
            <w:tcW w:w="1278" w:type="dxa"/>
            <w:tcBorders>
              <w:bottom w:val="single" w:sz="8" w:space="0" w:color="auto"/>
            </w:tcBorders>
            <w:shd w:val="clear" w:color="auto" w:fill="FFFFFF"/>
            <w:vAlign w:val="center"/>
            <w:hideMark/>
          </w:tcPr>
          <w:p w14:paraId="75F2D61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4CD65235" w14:textId="77777777" w:rsidTr="000E5963">
        <w:trPr>
          <w:trHeight w:val="232"/>
        </w:trPr>
        <w:tc>
          <w:tcPr>
            <w:tcW w:w="5144" w:type="dxa"/>
            <w:shd w:val="clear" w:color="auto" w:fill="FFFFFF"/>
            <w:vAlign w:val="center"/>
            <w:hideMark/>
          </w:tcPr>
          <w:p w14:paraId="66D949F7"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8" w:space="0" w:color="auto"/>
              <w:left w:val="nil"/>
              <w:bottom w:val="single" w:sz="8" w:space="0" w:color="auto"/>
              <w:right w:val="nil"/>
            </w:tcBorders>
            <w:shd w:val="clear" w:color="auto" w:fill="FFFF00"/>
            <w:vAlign w:val="center"/>
          </w:tcPr>
          <w:p w14:paraId="38F76857" w14:textId="70BBE01A" w:rsidR="000E5963" w:rsidRPr="000E5963" w:rsidRDefault="00E55882"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3,140.0</w:t>
            </w:r>
          </w:p>
        </w:tc>
        <w:tc>
          <w:tcPr>
            <w:tcW w:w="1559" w:type="dxa"/>
            <w:tcBorders>
              <w:top w:val="single" w:sz="8" w:space="0" w:color="auto"/>
              <w:left w:val="nil"/>
              <w:bottom w:val="single" w:sz="8" w:space="0" w:color="auto"/>
              <w:right w:val="nil"/>
            </w:tcBorders>
            <w:shd w:val="clear" w:color="auto" w:fill="FFFF00"/>
            <w:vAlign w:val="center"/>
          </w:tcPr>
          <w:p w14:paraId="066AB065" w14:textId="3D724D2C" w:rsidR="000E5963" w:rsidRPr="000E5963" w:rsidRDefault="006C75B6"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70.2</w:t>
            </w:r>
          </w:p>
        </w:tc>
        <w:tc>
          <w:tcPr>
            <w:tcW w:w="1417" w:type="dxa"/>
            <w:tcBorders>
              <w:top w:val="single" w:sz="8" w:space="0" w:color="auto"/>
              <w:left w:val="nil"/>
              <w:bottom w:val="single" w:sz="8" w:space="0" w:color="auto"/>
              <w:right w:val="nil"/>
            </w:tcBorders>
            <w:shd w:val="clear" w:color="auto" w:fill="FFFFFF"/>
            <w:vAlign w:val="center"/>
            <w:hideMark/>
          </w:tcPr>
          <w:p w14:paraId="45FDBD8D"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4,154.4</w:t>
            </w:r>
          </w:p>
        </w:tc>
        <w:tc>
          <w:tcPr>
            <w:tcW w:w="1278" w:type="dxa"/>
            <w:tcBorders>
              <w:top w:val="single" w:sz="8" w:space="0" w:color="auto"/>
              <w:left w:val="nil"/>
              <w:bottom w:val="single" w:sz="8" w:space="0" w:color="auto"/>
              <w:right w:val="nil"/>
            </w:tcBorders>
            <w:shd w:val="clear" w:color="auto" w:fill="FFFFFF"/>
            <w:vAlign w:val="center"/>
            <w:hideMark/>
          </w:tcPr>
          <w:p w14:paraId="325DA02B"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94.4</w:t>
            </w:r>
          </w:p>
        </w:tc>
      </w:tr>
      <w:tr w:rsidR="000E5963" w:rsidRPr="000E5963" w14:paraId="3A1072B8" w14:textId="77777777" w:rsidTr="000E5963">
        <w:trPr>
          <w:trHeight w:val="232"/>
        </w:trPr>
        <w:tc>
          <w:tcPr>
            <w:tcW w:w="5144" w:type="dxa"/>
            <w:shd w:val="clear" w:color="auto" w:fill="FFFFFF"/>
            <w:vAlign w:val="center"/>
            <w:hideMark/>
          </w:tcPr>
          <w:p w14:paraId="551CAB1F"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Total financial assets</w:t>
            </w:r>
          </w:p>
        </w:tc>
        <w:tc>
          <w:tcPr>
            <w:tcW w:w="1559" w:type="dxa"/>
            <w:tcBorders>
              <w:top w:val="single" w:sz="8" w:space="0" w:color="auto"/>
              <w:left w:val="nil"/>
              <w:bottom w:val="single" w:sz="12" w:space="0" w:color="auto"/>
              <w:right w:val="nil"/>
            </w:tcBorders>
            <w:shd w:val="clear" w:color="auto" w:fill="FFFF00"/>
            <w:vAlign w:val="center"/>
          </w:tcPr>
          <w:p w14:paraId="47DDA55E" w14:textId="168CB842" w:rsidR="000E5963" w:rsidRPr="000E5963" w:rsidRDefault="00E55882"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3,163.2</w:t>
            </w:r>
          </w:p>
        </w:tc>
        <w:tc>
          <w:tcPr>
            <w:tcW w:w="1559" w:type="dxa"/>
            <w:tcBorders>
              <w:top w:val="single" w:sz="8" w:space="0" w:color="auto"/>
              <w:left w:val="nil"/>
              <w:bottom w:val="single" w:sz="12" w:space="0" w:color="auto"/>
              <w:right w:val="nil"/>
            </w:tcBorders>
            <w:shd w:val="clear" w:color="auto" w:fill="FFFF00"/>
            <w:vAlign w:val="center"/>
          </w:tcPr>
          <w:p w14:paraId="1D1DF093" w14:textId="7F8AC94B" w:rsidR="000E5963" w:rsidRPr="000E5963" w:rsidRDefault="006C75B6"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93.4</w:t>
            </w:r>
          </w:p>
        </w:tc>
        <w:tc>
          <w:tcPr>
            <w:tcW w:w="1417" w:type="dxa"/>
            <w:tcBorders>
              <w:top w:val="single" w:sz="8" w:space="0" w:color="auto"/>
              <w:left w:val="nil"/>
              <w:bottom w:val="single" w:sz="12" w:space="0" w:color="auto"/>
              <w:right w:val="nil"/>
            </w:tcBorders>
            <w:shd w:val="clear" w:color="auto" w:fill="FFFFFF"/>
            <w:vAlign w:val="center"/>
            <w:hideMark/>
          </w:tcPr>
          <w:p w14:paraId="20A300A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4,169.8</w:t>
            </w:r>
          </w:p>
        </w:tc>
        <w:tc>
          <w:tcPr>
            <w:tcW w:w="1278" w:type="dxa"/>
            <w:tcBorders>
              <w:top w:val="single" w:sz="8" w:space="0" w:color="auto"/>
              <w:left w:val="nil"/>
              <w:bottom w:val="single" w:sz="12" w:space="0" w:color="auto"/>
              <w:right w:val="nil"/>
            </w:tcBorders>
            <w:shd w:val="clear" w:color="auto" w:fill="FFFFFF"/>
            <w:vAlign w:val="center"/>
            <w:hideMark/>
          </w:tcPr>
          <w:p w14:paraId="285E05C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109.8</w:t>
            </w:r>
          </w:p>
        </w:tc>
      </w:tr>
      <w:tr w:rsidR="000E5963" w:rsidRPr="000E5963" w14:paraId="03808B2D" w14:textId="77777777" w:rsidTr="000E5963">
        <w:trPr>
          <w:trHeight w:val="232"/>
        </w:trPr>
        <w:tc>
          <w:tcPr>
            <w:tcW w:w="5144" w:type="dxa"/>
            <w:shd w:val="clear" w:color="auto" w:fill="FFFFFF"/>
            <w:vAlign w:val="center"/>
          </w:tcPr>
          <w:p w14:paraId="240DC50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12" w:space="0" w:color="auto"/>
            </w:tcBorders>
            <w:vAlign w:val="center"/>
          </w:tcPr>
          <w:p w14:paraId="3F4B67C4"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tcBorders>
              <w:top w:val="single" w:sz="12" w:space="0" w:color="auto"/>
            </w:tcBorders>
            <w:vAlign w:val="center"/>
          </w:tcPr>
          <w:p w14:paraId="4AD8B114" w14:textId="77777777" w:rsidR="000E5963" w:rsidRPr="000E5963" w:rsidRDefault="000E5963" w:rsidP="000E5963">
            <w:pPr>
              <w:spacing w:after="0" w:line="240" w:lineRule="auto"/>
              <w:ind w:left="-284" w:right="38"/>
              <w:rPr>
                <w:rFonts w:ascii="Calibri" w:eastAsia="Calibri" w:hAnsi="Calibri" w:cs="Calibri"/>
                <w:b/>
                <w:sz w:val="21"/>
                <w:szCs w:val="21"/>
                <w:lang w:val="en-IE" w:eastAsia="en-IE"/>
              </w:rPr>
            </w:pPr>
          </w:p>
        </w:tc>
        <w:tc>
          <w:tcPr>
            <w:tcW w:w="1417" w:type="dxa"/>
            <w:tcBorders>
              <w:top w:val="single" w:sz="12" w:space="0" w:color="auto"/>
            </w:tcBorders>
            <w:shd w:val="clear" w:color="auto" w:fill="FFFFFF"/>
            <w:vAlign w:val="center"/>
          </w:tcPr>
          <w:p w14:paraId="760E352A"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tcBorders>
              <w:top w:val="single" w:sz="12" w:space="0" w:color="auto"/>
            </w:tcBorders>
            <w:shd w:val="clear" w:color="auto" w:fill="FFFFFF"/>
            <w:vAlign w:val="center"/>
          </w:tcPr>
          <w:p w14:paraId="1A1A717D"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40CC0120" w14:textId="77777777" w:rsidTr="000E5963">
        <w:trPr>
          <w:trHeight w:val="232"/>
        </w:trPr>
        <w:tc>
          <w:tcPr>
            <w:tcW w:w="5144" w:type="dxa"/>
            <w:shd w:val="clear" w:color="auto" w:fill="FFFFFF"/>
            <w:vAlign w:val="center"/>
            <w:hideMark/>
          </w:tcPr>
          <w:p w14:paraId="7567EAC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hideMark/>
          </w:tcPr>
          <w:p w14:paraId="2EA5CACD" w14:textId="5AA0137A"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r w:rsidRPr="000E5963">
              <w:rPr>
                <w:rFonts w:ascii="Calibri" w:eastAsia="Times New Roman" w:hAnsi="Calibri" w:cs="Calibri"/>
                <w:b/>
                <w:bCs/>
                <w:color w:val="000000"/>
                <w:sz w:val="21"/>
                <w:szCs w:val="21"/>
                <w:lang w:val="en-IE" w:eastAsia="en-IE"/>
              </w:rPr>
              <w:t xml:space="preserve">At </w:t>
            </w:r>
            <w:r w:rsidR="0049185C">
              <w:rPr>
                <w:rFonts w:ascii="Calibri" w:eastAsia="Times New Roman" w:hAnsi="Calibri" w:cs="Calibri"/>
                <w:b/>
                <w:bCs/>
                <w:color w:val="000000"/>
                <w:sz w:val="21"/>
                <w:szCs w:val="21"/>
                <w:lang w:val="en-IE" w:eastAsia="en-IE"/>
              </w:rPr>
              <w:t>Sep</w:t>
            </w:r>
            <w:r w:rsidRPr="000E5963">
              <w:rPr>
                <w:rFonts w:ascii="Calibri" w:eastAsia="Times New Roman" w:hAnsi="Calibri" w:cs="Calibri"/>
                <w:b/>
                <w:bCs/>
                <w:color w:val="000000"/>
                <w:sz w:val="21"/>
                <w:szCs w:val="21"/>
                <w:lang w:val="en-IE" w:eastAsia="en-IE"/>
              </w:rPr>
              <w:t xml:space="preserve"> 30,</w:t>
            </w:r>
          </w:p>
        </w:tc>
        <w:tc>
          <w:tcPr>
            <w:tcW w:w="1559" w:type="dxa"/>
            <w:shd w:val="clear" w:color="auto" w:fill="FFFF00"/>
            <w:vAlign w:val="center"/>
            <w:hideMark/>
          </w:tcPr>
          <w:p w14:paraId="2961E87A" w14:textId="32B3F148"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r w:rsidRPr="000E5963">
              <w:rPr>
                <w:rFonts w:ascii="Calibri" w:eastAsia="Times New Roman" w:hAnsi="Calibri" w:cs="Calibri"/>
                <w:b/>
                <w:bCs/>
                <w:color w:val="000000"/>
                <w:sz w:val="21"/>
                <w:szCs w:val="21"/>
                <w:lang w:val="en-IE" w:eastAsia="en-IE"/>
              </w:rPr>
              <w:t xml:space="preserve">At </w:t>
            </w:r>
            <w:r w:rsidR="0049185C">
              <w:rPr>
                <w:rFonts w:ascii="Calibri" w:eastAsia="Times New Roman" w:hAnsi="Calibri" w:cs="Calibri"/>
                <w:b/>
                <w:bCs/>
                <w:color w:val="000000"/>
                <w:sz w:val="21"/>
                <w:szCs w:val="21"/>
                <w:lang w:val="en-IE" w:eastAsia="en-IE"/>
              </w:rPr>
              <w:t>Sep</w:t>
            </w:r>
            <w:r w:rsidRPr="000E5963">
              <w:rPr>
                <w:rFonts w:ascii="Calibri" w:eastAsia="Times New Roman" w:hAnsi="Calibri" w:cs="Calibri"/>
                <w:b/>
                <w:bCs/>
                <w:color w:val="000000"/>
                <w:sz w:val="21"/>
                <w:szCs w:val="21"/>
                <w:lang w:val="en-IE" w:eastAsia="en-IE"/>
              </w:rPr>
              <w:t xml:space="preserve"> 30,</w:t>
            </w:r>
          </w:p>
        </w:tc>
        <w:tc>
          <w:tcPr>
            <w:tcW w:w="1417" w:type="dxa"/>
            <w:shd w:val="clear" w:color="auto" w:fill="FFFFFF"/>
            <w:vAlign w:val="center"/>
            <w:hideMark/>
          </w:tcPr>
          <w:p w14:paraId="2C20472B"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IE"/>
              </w:rPr>
              <w:t>At Mar 31,</w:t>
            </w:r>
          </w:p>
        </w:tc>
        <w:tc>
          <w:tcPr>
            <w:tcW w:w="1278" w:type="dxa"/>
            <w:shd w:val="clear" w:color="auto" w:fill="FFFFFF"/>
            <w:vAlign w:val="center"/>
            <w:hideMark/>
          </w:tcPr>
          <w:p w14:paraId="6D5714F6"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Times New Roman" w:hAnsi="Calibri" w:cs="Calibri"/>
                <w:color w:val="000000"/>
                <w:sz w:val="21"/>
                <w:szCs w:val="21"/>
                <w:lang w:val="en-IE" w:eastAsia="en-IE"/>
              </w:rPr>
              <w:t>At Mar 31,</w:t>
            </w:r>
          </w:p>
        </w:tc>
      </w:tr>
      <w:tr w:rsidR="000E5963" w:rsidRPr="000E5963" w14:paraId="0D2F12D8" w14:textId="77777777" w:rsidTr="000E5963">
        <w:trPr>
          <w:trHeight w:val="232"/>
        </w:trPr>
        <w:tc>
          <w:tcPr>
            <w:tcW w:w="5144" w:type="dxa"/>
            <w:shd w:val="clear" w:color="auto" w:fill="FFFFFF"/>
            <w:vAlign w:val="center"/>
            <w:hideMark/>
          </w:tcPr>
          <w:p w14:paraId="6D5407DB"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tcPr>
          <w:p w14:paraId="4BBE5797"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559" w:type="dxa"/>
            <w:shd w:val="clear" w:color="auto" w:fill="FFFF00"/>
            <w:vAlign w:val="center"/>
          </w:tcPr>
          <w:p w14:paraId="60331F95"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2025</w:t>
            </w:r>
          </w:p>
        </w:tc>
        <w:tc>
          <w:tcPr>
            <w:tcW w:w="1417" w:type="dxa"/>
            <w:shd w:val="clear" w:color="auto" w:fill="FFFFFF"/>
            <w:vAlign w:val="center"/>
          </w:tcPr>
          <w:p w14:paraId="244F8E44"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c>
          <w:tcPr>
            <w:tcW w:w="1278" w:type="dxa"/>
            <w:shd w:val="clear" w:color="auto" w:fill="FFFFFF"/>
            <w:vAlign w:val="center"/>
          </w:tcPr>
          <w:p w14:paraId="1B119934"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2025</w:t>
            </w:r>
          </w:p>
        </w:tc>
      </w:tr>
      <w:tr w:rsidR="000E5963" w:rsidRPr="000E5963" w14:paraId="4F6D0B58" w14:textId="77777777" w:rsidTr="000E5963">
        <w:trPr>
          <w:trHeight w:val="232"/>
        </w:trPr>
        <w:tc>
          <w:tcPr>
            <w:tcW w:w="5144" w:type="dxa"/>
            <w:shd w:val="clear" w:color="auto" w:fill="FFFFFF"/>
            <w:vAlign w:val="center"/>
            <w:hideMark/>
          </w:tcPr>
          <w:p w14:paraId="61F2AFB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tcPr>
          <w:p w14:paraId="364C4272"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Carrying</w:t>
            </w:r>
          </w:p>
        </w:tc>
        <w:tc>
          <w:tcPr>
            <w:tcW w:w="1559" w:type="dxa"/>
            <w:shd w:val="clear" w:color="auto" w:fill="FFFF00"/>
            <w:vAlign w:val="center"/>
          </w:tcPr>
          <w:p w14:paraId="269DDB05"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Fair</w:t>
            </w:r>
          </w:p>
        </w:tc>
        <w:tc>
          <w:tcPr>
            <w:tcW w:w="1417" w:type="dxa"/>
            <w:shd w:val="clear" w:color="auto" w:fill="FFFFFF"/>
            <w:vAlign w:val="center"/>
          </w:tcPr>
          <w:p w14:paraId="10E80CD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Carrying</w:t>
            </w:r>
          </w:p>
        </w:tc>
        <w:tc>
          <w:tcPr>
            <w:tcW w:w="1278" w:type="dxa"/>
            <w:shd w:val="clear" w:color="auto" w:fill="FFFFFF"/>
            <w:vAlign w:val="center"/>
          </w:tcPr>
          <w:p w14:paraId="314216AF"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Fair</w:t>
            </w:r>
          </w:p>
        </w:tc>
      </w:tr>
      <w:tr w:rsidR="000E5963" w:rsidRPr="000E5963" w14:paraId="1E210F17" w14:textId="77777777" w:rsidTr="000E5963">
        <w:trPr>
          <w:trHeight w:val="232"/>
        </w:trPr>
        <w:tc>
          <w:tcPr>
            <w:tcW w:w="5144" w:type="dxa"/>
            <w:shd w:val="clear" w:color="auto" w:fill="FFFFFF"/>
            <w:vAlign w:val="center"/>
            <w:hideMark/>
          </w:tcPr>
          <w:p w14:paraId="25590BA8"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shd w:val="clear" w:color="auto" w:fill="FFFF00"/>
            <w:vAlign w:val="center"/>
          </w:tcPr>
          <w:p w14:paraId="6420F9F4"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Amount</w:t>
            </w:r>
          </w:p>
        </w:tc>
        <w:tc>
          <w:tcPr>
            <w:tcW w:w="1559" w:type="dxa"/>
            <w:shd w:val="clear" w:color="auto" w:fill="FFFF00"/>
            <w:vAlign w:val="center"/>
          </w:tcPr>
          <w:p w14:paraId="6022023F"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Value</w:t>
            </w:r>
          </w:p>
        </w:tc>
        <w:tc>
          <w:tcPr>
            <w:tcW w:w="1417" w:type="dxa"/>
            <w:shd w:val="clear" w:color="auto" w:fill="FFFFFF"/>
            <w:vAlign w:val="center"/>
          </w:tcPr>
          <w:p w14:paraId="13BD075A"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Amount</w:t>
            </w:r>
          </w:p>
        </w:tc>
        <w:tc>
          <w:tcPr>
            <w:tcW w:w="1278" w:type="dxa"/>
            <w:shd w:val="clear" w:color="auto" w:fill="FFFFFF"/>
            <w:vAlign w:val="center"/>
          </w:tcPr>
          <w:p w14:paraId="55CFC0B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Value</w:t>
            </w:r>
          </w:p>
        </w:tc>
      </w:tr>
      <w:tr w:rsidR="000E5963" w:rsidRPr="000E5963" w14:paraId="59DDB8BB" w14:textId="77777777" w:rsidTr="000E5963">
        <w:trPr>
          <w:trHeight w:val="232"/>
        </w:trPr>
        <w:tc>
          <w:tcPr>
            <w:tcW w:w="5144" w:type="dxa"/>
            <w:shd w:val="clear" w:color="auto" w:fill="FFFFFF"/>
            <w:vAlign w:val="center"/>
            <w:hideMark/>
          </w:tcPr>
          <w:p w14:paraId="754C9A54"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Non-current financial liabilities</w:t>
            </w:r>
          </w:p>
        </w:tc>
        <w:tc>
          <w:tcPr>
            <w:tcW w:w="1559" w:type="dxa"/>
            <w:tcBorders>
              <w:left w:val="nil"/>
              <w:right w:val="nil"/>
            </w:tcBorders>
            <w:shd w:val="clear" w:color="auto" w:fill="FFFF00"/>
            <w:vAlign w:val="center"/>
          </w:tcPr>
          <w:p w14:paraId="16C97278"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u w:val="single"/>
                <w:lang w:val="en-IE" w:eastAsia="en-IE"/>
              </w:rPr>
              <w:t>€M</w:t>
            </w:r>
          </w:p>
        </w:tc>
        <w:tc>
          <w:tcPr>
            <w:tcW w:w="1559" w:type="dxa"/>
            <w:tcBorders>
              <w:left w:val="nil"/>
              <w:right w:val="nil"/>
            </w:tcBorders>
            <w:shd w:val="clear" w:color="auto" w:fill="FFFF00"/>
            <w:vAlign w:val="center"/>
          </w:tcPr>
          <w:p w14:paraId="49391313"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u w:val="single"/>
                <w:lang w:val="en-IE" w:eastAsia="en-IE"/>
              </w:rPr>
              <w:t>€M</w:t>
            </w:r>
          </w:p>
        </w:tc>
        <w:tc>
          <w:tcPr>
            <w:tcW w:w="1417" w:type="dxa"/>
            <w:tcBorders>
              <w:left w:val="nil"/>
              <w:right w:val="nil"/>
            </w:tcBorders>
            <w:shd w:val="clear" w:color="auto" w:fill="FFFFFF"/>
            <w:vAlign w:val="center"/>
          </w:tcPr>
          <w:p w14:paraId="2D9DA38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u w:val="single"/>
                <w:lang w:val="en-IE" w:eastAsia="en-IE"/>
              </w:rPr>
              <w:t>€M</w:t>
            </w:r>
          </w:p>
        </w:tc>
        <w:tc>
          <w:tcPr>
            <w:tcW w:w="1278" w:type="dxa"/>
            <w:tcBorders>
              <w:left w:val="nil"/>
              <w:right w:val="nil"/>
            </w:tcBorders>
            <w:shd w:val="clear" w:color="auto" w:fill="FFFFFF"/>
            <w:vAlign w:val="center"/>
          </w:tcPr>
          <w:p w14:paraId="13986EC2"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u w:val="single"/>
                <w:lang w:val="en-IE" w:eastAsia="en-IE"/>
              </w:rPr>
              <w:t>€M</w:t>
            </w:r>
          </w:p>
        </w:tc>
      </w:tr>
      <w:tr w:rsidR="000E5963" w:rsidRPr="000E5963" w14:paraId="04785C83" w14:textId="77777777" w:rsidTr="00572228">
        <w:trPr>
          <w:trHeight w:val="232"/>
        </w:trPr>
        <w:tc>
          <w:tcPr>
            <w:tcW w:w="5144" w:type="dxa"/>
            <w:shd w:val="clear" w:color="auto" w:fill="FFFFFF"/>
            <w:vAlign w:val="center"/>
            <w:hideMark/>
          </w:tcPr>
          <w:p w14:paraId="2A04B6E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tcPr>
          <w:p w14:paraId="11E87A28"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1EA30EA6"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hideMark/>
          </w:tcPr>
          <w:p w14:paraId="7075C008" w14:textId="77777777" w:rsidR="000E5963" w:rsidRPr="000E5963" w:rsidRDefault="000E5963" w:rsidP="000E5963">
            <w:pPr>
              <w:spacing w:after="0" w:line="240" w:lineRule="auto"/>
              <w:ind w:left="-284" w:right="25"/>
              <w:jc w:val="center"/>
              <w:rPr>
                <w:rFonts w:ascii="Calibri" w:eastAsia="Calibri" w:hAnsi="Calibri" w:cs="Calibri"/>
                <w:sz w:val="21"/>
                <w:szCs w:val="21"/>
                <w:lang w:val="en-IE" w:eastAsia="en-IE"/>
              </w:rPr>
            </w:pPr>
          </w:p>
        </w:tc>
        <w:tc>
          <w:tcPr>
            <w:tcW w:w="1278" w:type="dxa"/>
            <w:shd w:val="clear" w:color="auto" w:fill="FFFFFF"/>
            <w:vAlign w:val="center"/>
            <w:hideMark/>
          </w:tcPr>
          <w:p w14:paraId="7054E8EA"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3514F3B9" w14:textId="77777777" w:rsidTr="000E5963">
        <w:trPr>
          <w:trHeight w:val="232"/>
        </w:trPr>
        <w:tc>
          <w:tcPr>
            <w:tcW w:w="5144" w:type="dxa"/>
            <w:shd w:val="clear" w:color="auto" w:fill="FFFFFF"/>
            <w:vAlign w:val="center"/>
            <w:hideMark/>
          </w:tcPr>
          <w:p w14:paraId="1881B8AD"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U.S. dollar currency forward contracts</w:t>
            </w:r>
          </w:p>
        </w:tc>
        <w:tc>
          <w:tcPr>
            <w:tcW w:w="1559" w:type="dxa"/>
            <w:shd w:val="clear" w:color="auto" w:fill="FFFF00"/>
            <w:vAlign w:val="center"/>
          </w:tcPr>
          <w:p w14:paraId="43968955" w14:textId="59BD66C8" w:rsidR="000E5963" w:rsidRPr="000E5963" w:rsidRDefault="006B617B"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74.9</w:t>
            </w:r>
          </w:p>
        </w:tc>
        <w:tc>
          <w:tcPr>
            <w:tcW w:w="1559" w:type="dxa"/>
            <w:shd w:val="clear" w:color="auto" w:fill="FFFF00"/>
            <w:vAlign w:val="center"/>
          </w:tcPr>
          <w:p w14:paraId="011F5C79" w14:textId="284E20A0" w:rsidR="000E5963" w:rsidRPr="000E5963" w:rsidRDefault="006B617B"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74.9</w:t>
            </w:r>
          </w:p>
        </w:tc>
        <w:tc>
          <w:tcPr>
            <w:tcW w:w="1417" w:type="dxa"/>
            <w:shd w:val="clear" w:color="auto" w:fill="FFFFFF"/>
            <w:vAlign w:val="center"/>
          </w:tcPr>
          <w:p w14:paraId="2B2B323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2.5</w:t>
            </w:r>
          </w:p>
        </w:tc>
        <w:tc>
          <w:tcPr>
            <w:tcW w:w="1278" w:type="dxa"/>
            <w:shd w:val="clear" w:color="auto" w:fill="FFFFFF"/>
            <w:vAlign w:val="center"/>
          </w:tcPr>
          <w:p w14:paraId="33328B40"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2.5</w:t>
            </w:r>
          </w:p>
        </w:tc>
      </w:tr>
      <w:tr w:rsidR="000E5963" w:rsidRPr="000E5963" w14:paraId="6F3F23F9" w14:textId="77777777" w:rsidTr="000E5963">
        <w:trPr>
          <w:trHeight w:val="232"/>
        </w:trPr>
        <w:tc>
          <w:tcPr>
            <w:tcW w:w="5144" w:type="dxa"/>
            <w:shd w:val="clear" w:color="auto" w:fill="FFFFFF"/>
            <w:vAlign w:val="center"/>
            <w:hideMark/>
          </w:tcPr>
          <w:p w14:paraId="7FD6DDC0"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4" w:space="0" w:color="auto"/>
              <w:left w:val="nil"/>
              <w:right w:val="nil"/>
            </w:tcBorders>
            <w:shd w:val="clear" w:color="auto" w:fill="FFFF00"/>
            <w:vAlign w:val="center"/>
          </w:tcPr>
          <w:p w14:paraId="710619A0" w14:textId="10CA4D9D" w:rsidR="000E5963" w:rsidRPr="000E5963" w:rsidRDefault="00B52309"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74.9</w:t>
            </w:r>
          </w:p>
        </w:tc>
        <w:tc>
          <w:tcPr>
            <w:tcW w:w="1559" w:type="dxa"/>
            <w:tcBorders>
              <w:top w:val="single" w:sz="4" w:space="0" w:color="auto"/>
              <w:left w:val="nil"/>
              <w:right w:val="nil"/>
            </w:tcBorders>
            <w:shd w:val="clear" w:color="auto" w:fill="FFFF00"/>
            <w:vAlign w:val="center"/>
          </w:tcPr>
          <w:p w14:paraId="121215ED" w14:textId="54D35E14" w:rsidR="000E5963" w:rsidRPr="000E5963" w:rsidRDefault="00B52309" w:rsidP="000E5963">
            <w:pPr>
              <w:spacing w:after="0" w:line="240" w:lineRule="auto"/>
              <w:ind w:left="-284" w:right="38"/>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74.9</w:t>
            </w:r>
          </w:p>
        </w:tc>
        <w:tc>
          <w:tcPr>
            <w:tcW w:w="1417" w:type="dxa"/>
            <w:tcBorders>
              <w:top w:val="single" w:sz="4" w:space="0" w:color="auto"/>
              <w:left w:val="nil"/>
              <w:right w:val="nil"/>
            </w:tcBorders>
            <w:shd w:val="clear" w:color="auto" w:fill="FFFFFF"/>
            <w:vAlign w:val="center"/>
          </w:tcPr>
          <w:p w14:paraId="5ADFCFE1"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2.5</w:t>
            </w:r>
          </w:p>
        </w:tc>
        <w:tc>
          <w:tcPr>
            <w:tcW w:w="1278" w:type="dxa"/>
            <w:tcBorders>
              <w:top w:val="single" w:sz="4" w:space="0" w:color="auto"/>
              <w:left w:val="nil"/>
              <w:right w:val="nil"/>
            </w:tcBorders>
            <w:shd w:val="clear" w:color="auto" w:fill="FFFFFF"/>
            <w:vAlign w:val="center"/>
          </w:tcPr>
          <w:p w14:paraId="5736E013"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2.5</w:t>
            </w:r>
          </w:p>
        </w:tc>
      </w:tr>
      <w:tr w:rsidR="000E5963" w:rsidRPr="000E5963" w14:paraId="0190E054" w14:textId="77777777" w:rsidTr="000E5963">
        <w:trPr>
          <w:trHeight w:val="232"/>
        </w:trPr>
        <w:tc>
          <w:tcPr>
            <w:tcW w:w="5144" w:type="dxa"/>
            <w:shd w:val="clear" w:color="auto" w:fill="FFFFFF"/>
            <w:vAlign w:val="center"/>
          </w:tcPr>
          <w:p w14:paraId="6453F6F3"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Non-current maturities of debt:</w:t>
            </w:r>
          </w:p>
        </w:tc>
        <w:tc>
          <w:tcPr>
            <w:tcW w:w="1559" w:type="dxa"/>
            <w:shd w:val="clear" w:color="auto" w:fill="FFFF00"/>
            <w:vAlign w:val="center"/>
          </w:tcPr>
          <w:p w14:paraId="0435ACE9"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1A3717F3"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4E9E8CA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shd w:val="clear" w:color="auto" w:fill="FFFFFF"/>
            <w:vAlign w:val="center"/>
          </w:tcPr>
          <w:p w14:paraId="3387F363"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7A7ADB15" w14:textId="77777777" w:rsidTr="000E5963">
        <w:trPr>
          <w:trHeight w:val="232"/>
        </w:trPr>
        <w:tc>
          <w:tcPr>
            <w:tcW w:w="5144" w:type="dxa"/>
            <w:shd w:val="clear" w:color="auto" w:fill="FFFFFF"/>
            <w:vAlign w:val="center"/>
            <w:hideMark/>
          </w:tcPr>
          <w:p w14:paraId="2DFAB54F"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Long-term debt</w:t>
            </w:r>
          </w:p>
        </w:tc>
        <w:tc>
          <w:tcPr>
            <w:tcW w:w="1559" w:type="dxa"/>
            <w:shd w:val="clear" w:color="auto" w:fill="FFFF00"/>
            <w:vAlign w:val="center"/>
          </w:tcPr>
          <w:p w14:paraId="060A536C" w14:textId="5B3B8922" w:rsidR="000E5963" w:rsidRPr="00FC67A6" w:rsidRDefault="00B52309" w:rsidP="000E5963">
            <w:pPr>
              <w:spacing w:after="0" w:line="240" w:lineRule="auto"/>
              <w:ind w:left="-284"/>
              <w:jc w:val="right"/>
              <w:rPr>
                <w:rFonts w:ascii="Calibri" w:eastAsia="Times New Roman" w:hAnsi="Calibri" w:cs="Calibri"/>
                <w:b/>
                <w:color w:val="000000"/>
                <w:sz w:val="21"/>
                <w:szCs w:val="21"/>
                <w:highlight w:val="yellow"/>
                <w:lang w:val="en-IE" w:eastAsia="en-IE"/>
              </w:rPr>
            </w:pPr>
            <w:r>
              <w:rPr>
                <w:rFonts w:ascii="Calibri" w:eastAsia="Times New Roman" w:hAnsi="Calibri" w:cs="Calibri"/>
                <w:b/>
                <w:color w:val="000000"/>
                <w:sz w:val="21"/>
                <w:szCs w:val="21"/>
                <w:highlight w:val="yellow"/>
                <w:lang w:val="en-IE" w:eastAsia="en-IE"/>
              </w:rPr>
              <w:t>147.4</w:t>
            </w:r>
          </w:p>
        </w:tc>
        <w:tc>
          <w:tcPr>
            <w:tcW w:w="1559" w:type="dxa"/>
            <w:shd w:val="clear" w:color="auto" w:fill="FFFF00"/>
            <w:vAlign w:val="center"/>
          </w:tcPr>
          <w:p w14:paraId="552F0C4B" w14:textId="5EDE031F" w:rsidR="000E5963" w:rsidRPr="00FC67A6" w:rsidRDefault="00B52309" w:rsidP="000E5963">
            <w:pPr>
              <w:spacing w:after="0" w:line="240" w:lineRule="auto"/>
              <w:ind w:left="-284" w:right="38"/>
              <w:jc w:val="right"/>
              <w:rPr>
                <w:rFonts w:ascii="Calibri" w:eastAsia="Calibri" w:hAnsi="Calibri" w:cs="Calibri"/>
                <w:b/>
                <w:sz w:val="21"/>
                <w:szCs w:val="21"/>
                <w:highlight w:val="yellow"/>
                <w:lang w:val="en-IE" w:eastAsia="en-IE"/>
              </w:rPr>
            </w:pPr>
            <w:r>
              <w:rPr>
                <w:rFonts w:ascii="Calibri" w:eastAsia="Calibri" w:hAnsi="Calibri" w:cs="Calibri"/>
                <w:b/>
                <w:sz w:val="21"/>
                <w:szCs w:val="21"/>
                <w:highlight w:val="yellow"/>
                <w:lang w:val="en-IE" w:eastAsia="en-IE"/>
              </w:rPr>
              <w:t>147.4</w:t>
            </w:r>
          </w:p>
        </w:tc>
        <w:tc>
          <w:tcPr>
            <w:tcW w:w="1417" w:type="dxa"/>
            <w:shd w:val="clear" w:color="auto" w:fill="FFFFFF"/>
            <w:vAlign w:val="center"/>
          </w:tcPr>
          <w:p w14:paraId="08F78855"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488.9</w:t>
            </w:r>
          </w:p>
        </w:tc>
        <w:tc>
          <w:tcPr>
            <w:tcW w:w="1278" w:type="dxa"/>
            <w:shd w:val="clear" w:color="auto" w:fill="FFFFFF"/>
            <w:vAlign w:val="center"/>
          </w:tcPr>
          <w:p w14:paraId="1B35D00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488.9</w:t>
            </w:r>
          </w:p>
        </w:tc>
      </w:tr>
      <w:tr w:rsidR="000E5963" w:rsidRPr="000E5963" w14:paraId="7514B624" w14:textId="77777777" w:rsidTr="000E5963">
        <w:trPr>
          <w:trHeight w:val="232"/>
        </w:trPr>
        <w:tc>
          <w:tcPr>
            <w:tcW w:w="5144" w:type="dxa"/>
            <w:shd w:val="clear" w:color="auto" w:fill="FFFFFF"/>
            <w:vAlign w:val="center"/>
            <w:hideMark/>
          </w:tcPr>
          <w:p w14:paraId="5633B175" w14:textId="20B268D3"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Bonds</w:t>
            </w:r>
            <w:r w:rsidR="002639CF">
              <w:rPr>
                <w:rFonts w:ascii="Calibri" w:eastAsia="Times New Roman" w:hAnsi="Calibri" w:cs="Calibri"/>
                <w:color w:val="000000"/>
                <w:sz w:val="21"/>
                <w:szCs w:val="21"/>
                <w:lang w:val="en-IE" w:eastAsia="en-IE"/>
              </w:rPr>
              <w:t>**</w:t>
            </w:r>
          </w:p>
        </w:tc>
        <w:tc>
          <w:tcPr>
            <w:tcW w:w="1559" w:type="dxa"/>
            <w:tcBorders>
              <w:top w:val="nil"/>
              <w:left w:val="nil"/>
              <w:bottom w:val="single" w:sz="4" w:space="0" w:color="auto"/>
              <w:right w:val="nil"/>
            </w:tcBorders>
            <w:shd w:val="clear" w:color="auto" w:fill="FFFF00"/>
            <w:vAlign w:val="center"/>
          </w:tcPr>
          <w:p w14:paraId="182BC706" w14:textId="062A9488" w:rsidR="000E5963" w:rsidRPr="00FC67A6" w:rsidRDefault="00B52309" w:rsidP="000E5963">
            <w:pPr>
              <w:spacing w:after="0" w:line="240" w:lineRule="auto"/>
              <w:ind w:left="-284"/>
              <w:jc w:val="right"/>
              <w:rPr>
                <w:rFonts w:ascii="Calibri" w:eastAsia="Times New Roman" w:hAnsi="Calibri" w:cs="Calibri"/>
                <w:b/>
                <w:color w:val="000000"/>
                <w:sz w:val="21"/>
                <w:szCs w:val="21"/>
                <w:highlight w:val="yellow"/>
                <w:lang w:val="en-IE" w:eastAsia="en-IE"/>
              </w:rPr>
            </w:pPr>
            <w:r>
              <w:rPr>
                <w:rFonts w:ascii="Calibri" w:eastAsia="Times New Roman" w:hAnsi="Calibri" w:cs="Calibri"/>
                <w:b/>
                <w:color w:val="000000"/>
                <w:sz w:val="21"/>
                <w:szCs w:val="21"/>
                <w:highlight w:val="yellow"/>
                <w:lang w:val="en-IE" w:eastAsia="en-IE"/>
              </w:rPr>
              <w:t>-</w:t>
            </w:r>
          </w:p>
        </w:tc>
        <w:tc>
          <w:tcPr>
            <w:tcW w:w="1559" w:type="dxa"/>
            <w:tcBorders>
              <w:top w:val="nil"/>
              <w:left w:val="nil"/>
              <w:bottom w:val="single" w:sz="4" w:space="0" w:color="auto"/>
              <w:right w:val="nil"/>
            </w:tcBorders>
            <w:shd w:val="clear" w:color="auto" w:fill="FFFF00"/>
            <w:vAlign w:val="center"/>
          </w:tcPr>
          <w:p w14:paraId="627EEBC6" w14:textId="2A90D7D6" w:rsidR="000E5963" w:rsidRPr="00FC67A6" w:rsidRDefault="00B52309" w:rsidP="000E5963">
            <w:pPr>
              <w:spacing w:after="0" w:line="240" w:lineRule="auto"/>
              <w:ind w:left="-284" w:right="38"/>
              <w:jc w:val="right"/>
              <w:rPr>
                <w:rFonts w:ascii="Calibri" w:eastAsia="Calibri" w:hAnsi="Calibri" w:cs="Calibri"/>
                <w:b/>
                <w:sz w:val="21"/>
                <w:szCs w:val="21"/>
                <w:highlight w:val="yellow"/>
                <w:lang w:val="en-IE" w:eastAsia="en-IE"/>
              </w:rPr>
            </w:pPr>
            <w:r>
              <w:rPr>
                <w:rFonts w:ascii="Calibri" w:eastAsia="Calibri" w:hAnsi="Calibri" w:cs="Calibri"/>
                <w:b/>
                <w:sz w:val="21"/>
                <w:szCs w:val="21"/>
                <w:highlight w:val="yellow"/>
                <w:lang w:val="en-IE" w:eastAsia="en-IE"/>
              </w:rPr>
              <w:t>-</w:t>
            </w:r>
          </w:p>
        </w:tc>
        <w:tc>
          <w:tcPr>
            <w:tcW w:w="1417" w:type="dxa"/>
            <w:tcBorders>
              <w:top w:val="nil"/>
              <w:left w:val="nil"/>
              <w:bottom w:val="single" w:sz="4" w:space="0" w:color="auto"/>
              <w:right w:val="nil"/>
            </w:tcBorders>
            <w:shd w:val="clear" w:color="auto" w:fill="FFFFFF"/>
            <w:vAlign w:val="center"/>
          </w:tcPr>
          <w:p w14:paraId="3A27E66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1,196.3</w:t>
            </w:r>
          </w:p>
        </w:tc>
        <w:tc>
          <w:tcPr>
            <w:tcW w:w="1278" w:type="dxa"/>
            <w:tcBorders>
              <w:top w:val="nil"/>
              <w:left w:val="nil"/>
              <w:bottom w:val="single" w:sz="4" w:space="0" w:color="auto"/>
              <w:right w:val="nil"/>
            </w:tcBorders>
            <w:shd w:val="clear" w:color="auto" w:fill="FFFFFF"/>
            <w:vAlign w:val="center"/>
          </w:tcPr>
          <w:p w14:paraId="27BF6865"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1,172.5</w:t>
            </w:r>
          </w:p>
        </w:tc>
      </w:tr>
      <w:tr w:rsidR="000E5963" w:rsidRPr="000E5963" w14:paraId="32E24A9C" w14:textId="77777777" w:rsidTr="000E5963">
        <w:trPr>
          <w:trHeight w:val="232"/>
        </w:trPr>
        <w:tc>
          <w:tcPr>
            <w:tcW w:w="5144" w:type="dxa"/>
            <w:shd w:val="clear" w:color="auto" w:fill="FFFFFF"/>
            <w:vAlign w:val="center"/>
          </w:tcPr>
          <w:p w14:paraId="369C7FE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4" w:space="0" w:color="auto"/>
              <w:left w:val="nil"/>
              <w:bottom w:val="single" w:sz="4" w:space="0" w:color="auto"/>
              <w:right w:val="nil"/>
            </w:tcBorders>
            <w:shd w:val="clear" w:color="auto" w:fill="FFFF00"/>
            <w:vAlign w:val="center"/>
          </w:tcPr>
          <w:p w14:paraId="2CE3D8CD" w14:textId="7ABF0D8A" w:rsidR="000E5963" w:rsidRPr="000E5963" w:rsidRDefault="00B52309"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147.4</w:t>
            </w:r>
          </w:p>
        </w:tc>
        <w:tc>
          <w:tcPr>
            <w:tcW w:w="1559" w:type="dxa"/>
            <w:tcBorders>
              <w:top w:val="single" w:sz="4" w:space="0" w:color="auto"/>
              <w:left w:val="nil"/>
              <w:bottom w:val="single" w:sz="4" w:space="0" w:color="auto"/>
              <w:right w:val="nil"/>
            </w:tcBorders>
            <w:shd w:val="clear" w:color="auto" w:fill="FFFF00"/>
            <w:vAlign w:val="center"/>
          </w:tcPr>
          <w:p w14:paraId="3C00EB11" w14:textId="3DAF82F7" w:rsidR="000E5963" w:rsidRPr="000E5963" w:rsidRDefault="00B52309"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147.4</w:t>
            </w:r>
          </w:p>
        </w:tc>
        <w:tc>
          <w:tcPr>
            <w:tcW w:w="1417" w:type="dxa"/>
            <w:tcBorders>
              <w:top w:val="single" w:sz="4" w:space="0" w:color="auto"/>
              <w:left w:val="nil"/>
              <w:bottom w:val="single" w:sz="4" w:space="0" w:color="auto"/>
              <w:right w:val="nil"/>
            </w:tcBorders>
            <w:shd w:val="clear" w:color="auto" w:fill="FFFFFF"/>
            <w:vAlign w:val="center"/>
          </w:tcPr>
          <w:p w14:paraId="0A46C6A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1,685.2</w:t>
            </w:r>
          </w:p>
        </w:tc>
        <w:tc>
          <w:tcPr>
            <w:tcW w:w="1278" w:type="dxa"/>
            <w:tcBorders>
              <w:top w:val="single" w:sz="4" w:space="0" w:color="auto"/>
              <w:left w:val="nil"/>
              <w:bottom w:val="single" w:sz="4" w:space="0" w:color="auto"/>
              <w:right w:val="nil"/>
            </w:tcBorders>
            <w:shd w:val="clear" w:color="auto" w:fill="FFFFFF"/>
            <w:vAlign w:val="center"/>
          </w:tcPr>
          <w:p w14:paraId="58403947"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1,661.4</w:t>
            </w:r>
          </w:p>
        </w:tc>
      </w:tr>
      <w:tr w:rsidR="000E5963" w:rsidRPr="000E5963" w14:paraId="2D2AAB5D" w14:textId="77777777" w:rsidTr="000E5963">
        <w:trPr>
          <w:trHeight w:val="232"/>
        </w:trPr>
        <w:tc>
          <w:tcPr>
            <w:tcW w:w="5144" w:type="dxa"/>
            <w:shd w:val="clear" w:color="auto" w:fill="FFFFFF"/>
            <w:vAlign w:val="bottom"/>
            <w:hideMark/>
          </w:tcPr>
          <w:p w14:paraId="2E551924"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single" w:sz="4" w:space="0" w:color="auto"/>
              <w:left w:val="nil"/>
              <w:right w:val="nil"/>
            </w:tcBorders>
            <w:shd w:val="clear" w:color="auto" w:fill="FFFF00"/>
            <w:vAlign w:val="center"/>
          </w:tcPr>
          <w:p w14:paraId="11B24516" w14:textId="56D42A7C" w:rsidR="000E5963" w:rsidRPr="000E5963" w:rsidRDefault="00BA3AB8"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222.3</w:t>
            </w:r>
          </w:p>
        </w:tc>
        <w:tc>
          <w:tcPr>
            <w:tcW w:w="1559" w:type="dxa"/>
            <w:tcBorders>
              <w:top w:val="single" w:sz="4" w:space="0" w:color="auto"/>
              <w:left w:val="nil"/>
              <w:right w:val="nil"/>
            </w:tcBorders>
            <w:shd w:val="clear" w:color="auto" w:fill="FFFF00"/>
            <w:vAlign w:val="center"/>
          </w:tcPr>
          <w:p w14:paraId="7F1109A5" w14:textId="7253FC92" w:rsidR="000E5963" w:rsidRPr="000E5963" w:rsidRDefault="00BA3AB8"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222.3</w:t>
            </w:r>
          </w:p>
        </w:tc>
        <w:tc>
          <w:tcPr>
            <w:tcW w:w="1417" w:type="dxa"/>
            <w:tcBorders>
              <w:top w:val="single" w:sz="4" w:space="0" w:color="auto"/>
              <w:left w:val="nil"/>
              <w:right w:val="nil"/>
            </w:tcBorders>
            <w:shd w:val="clear" w:color="auto" w:fill="FFFFFF"/>
            <w:vAlign w:val="center"/>
          </w:tcPr>
          <w:p w14:paraId="4BAC090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1,687.7</w:t>
            </w:r>
          </w:p>
        </w:tc>
        <w:tc>
          <w:tcPr>
            <w:tcW w:w="1278" w:type="dxa"/>
            <w:tcBorders>
              <w:top w:val="single" w:sz="4" w:space="0" w:color="auto"/>
              <w:left w:val="nil"/>
              <w:right w:val="nil"/>
            </w:tcBorders>
            <w:shd w:val="clear" w:color="auto" w:fill="FFFFFF"/>
            <w:vAlign w:val="center"/>
          </w:tcPr>
          <w:p w14:paraId="21E36F1F"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1,663.9</w:t>
            </w:r>
          </w:p>
        </w:tc>
      </w:tr>
      <w:tr w:rsidR="000E5963" w:rsidRPr="000E5963" w14:paraId="1C9706D3" w14:textId="77777777" w:rsidTr="000E5963">
        <w:trPr>
          <w:trHeight w:val="232"/>
        </w:trPr>
        <w:tc>
          <w:tcPr>
            <w:tcW w:w="5144" w:type="dxa"/>
            <w:shd w:val="clear" w:color="auto" w:fill="FFFFFF"/>
            <w:vAlign w:val="bottom"/>
          </w:tcPr>
          <w:p w14:paraId="58FCE3FA"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4" w:space="0" w:color="auto"/>
              <w:left w:val="nil"/>
              <w:right w:val="nil"/>
            </w:tcBorders>
            <w:shd w:val="clear" w:color="auto" w:fill="FFFF00"/>
            <w:vAlign w:val="center"/>
          </w:tcPr>
          <w:p w14:paraId="78C2DBD0"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p>
        </w:tc>
        <w:tc>
          <w:tcPr>
            <w:tcW w:w="1559" w:type="dxa"/>
            <w:tcBorders>
              <w:top w:val="single" w:sz="4" w:space="0" w:color="auto"/>
              <w:left w:val="nil"/>
              <w:right w:val="nil"/>
            </w:tcBorders>
            <w:shd w:val="clear" w:color="auto" w:fill="FFFF00"/>
            <w:vAlign w:val="center"/>
          </w:tcPr>
          <w:p w14:paraId="6677AD47" w14:textId="77777777" w:rsidR="000E5963" w:rsidRPr="000E5963" w:rsidRDefault="000E5963" w:rsidP="000E5963">
            <w:pPr>
              <w:spacing w:after="0" w:line="240" w:lineRule="auto"/>
              <w:ind w:left="-284" w:right="38"/>
              <w:jc w:val="right"/>
              <w:rPr>
                <w:rFonts w:ascii="Calibri" w:eastAsia="Times New Roman" w:hAnsi="Calibri" w:cs="Calibri"/>
                <w:b/>
                <w:bCs/>
                <w:color w:val="000000"/>
                <w:sz w:val="21"/>
                <w:szCs w:val="21"/>
                <w:lang w:val="en-IE" w:eastAsia="en-IE"/>
              </w:rPr>
            </w:pPr>
          </w:p>
        </w:tc>
        <w:tc>
          <w:tcPr>
            <w:tcW w:w="1417" w:type="dxa"/>
            <w:tcBorders>
              <w:top w:val="single" w:sz="4" w:space="0" w:color="auto"/>
              <w:left w:val="nil"/>
              <w:right w:val="nil"/>
            </w:tcBorders>
            <w:shd w:val="clear" w:color="auto" w:fill="FFFFFF"/>
            <w:vAlign w:val="center"/>
          </w:tcPr>
          <w:p w14:paraId="183F5A3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tcBorders>
              <w:top w:val="single" w:sz="4" w:space="0" w:color="auto"/>
              <w:left w:val="nil"/>
              <w:right w:val="nil"/>
            </w:tcBorders>
            <w:shd w:val="clear" w:color="auto" w:fill="FFFFFF"/>
            <w:vAlign w:val="center"/>
          </w:tcPr>
          <w:p w14:paraId="51755051"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4945BA41" w14:textId="77777777" w:rsidTr="000E5963">
        <w:trPr>
          <w:trHeight w:val="232"/>
        </w:trPr>
        <w:tc>
          <w:tcPr>
            <w:tcW w:w="5144" w:type="dxa"/>
            <w:shd w:val="clear" w:color="auto" w:fill="FFFFFF"/>
            <w:vAlign w:val="center"/>
            <w:hideMark/>
          </w:tcPr>
          <w:p w14:paraId="68ED867F" w14:textId="77777777" w:rsidR="000E5963" w:rsidRPr="000E5963" w:rsidRDefault="000E5963" w:rsidP="000E5963">
            <w:pPr>
              <w:spacing w:after="0" w:line="240" w:lineRule="auto"/>
              <w:ind w:left="210" w:right="-2"/>
              <w:rPr>
                <w:rFonts w:ascii="Calibri" w:eastAsia="Times New Roman" w:hAnsi="Calibri" w:cs="Calibri"/>
                <w:b/>
                <w:bCs/>
                <w:color w:val="000000"/>
                <w:sz w:val="21"/>
                <w:szCs w:val="21"/>
                <w:lang w:val="en-IE" w:eastAsia="en-IE"/>
              </w:rPr>
            </w:pPr>
            <w:r w:rsidRPr="000E5963">
              <w:rPr>
                <w:rFonts w:ascii="Calibri" w:eastAsia="Times New Roman" w:hAnsi="Calibri" w:cs="Calibri"/>
                <w:b/>
                <w:bCs/>
                <w:color w:val="000000"/>
                <w:sz w:val="21"/>
                <w:szCs w:val="21"/>
                <w:lang w:val="en-IE" w:eastAsia="en-IE"/>
              </w:rPr>
              <w:t>Current financial liabilities</w:t>
            </w:r>
          </w:p>
        </w:tc>
        <w:tc>
          <w:tcPr>
            <w:tcW w:w="1559" w:type="dxa"/>
            <w:shd w:val="clear" w:color="auto" w:fill="FFFF00"/>
            <w:vAlign w:val="center"/>
          </w:tcPr>
          <w:p w14:paraId="7B4D98AA" w14:textId="77777777" w:rsidR="000E5963" w:rsidRPr="000E5963" w:rsidRDefault="000E5963" w:rsidP="000E5963">
            <w:pPr>
              <w:spacing w:after="0" w:line="240" w:lineRule="auto"/>
              <w:ind w:left="-284"/>
              <w:jc w:val="right"/>
              <w:rPr>
                <w:rFonts w:ascii="Calibri" w:eastAsia="Times New Roman" w:hAnsi="Calibri" w:cs="Calibri"/>
                <w:b/>
                <w:bCs/>
                <w:color w:val="000000"/>
                <w:sz w:val="21"/>
                <w:szCs w:val="21"/>
                <w:lang w:val="en-IE" w:eastAsia="en-IE"/>
              </w:rPr>
            </w:pPr>
          </w:p>
        </w:tc>
        <w:tc>
          <w:tcPr>
            <w:tcW w:w="1559" w:type="dxa"/>
            <w:shd w:val="clear" w:color="auto" w:fill="FFFF00"/>
            <w:vAlign w:val="center"/>
          </w:tcPr>
          <w:p w14:paraId="6AE6AC7D"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2E7425A2"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shd w:val="clear" w:color="auto" w:fill="FFFFFF"/>
            <w:vAlign w:val="center"/>
          </w:tcPr>
          <w:p w14:paraId="38D472D2"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009B739C" w14:textId="77777777" w:rsidTr="000E5963">
        <w:trPr>
          <w:trHeight w:val="232"/>
        </w:trPr>
        <w:tc>
          <w:tcPr>
            <w:tcW w:w="5144" w:type="dxa"/>
            <w:shd w:val="clear" w:color="auto" w:fill="FFFFFF"/>
            <w:vAlign w:val="center"/>
            <w:hideMark/>
          </w:tcPr>
          <w:p w14:paraId="130732E5"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Derivative financial instruments:</w:t>
            </w:r>
          </w:p>
        </w:tc>
        <w:tc>
          <w:tcPr>
            <w:tcW w:w="1559" w:type="dxa"/>
            <w:shd w:val="clear" w:color="auto" w:fill="FFFF00"/>
            <w:vAlign w:val="center"/>
          </w:tcPr>
          <w:p w14:paraId="16384885"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0842DB2E"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07DF246B" w14:textId="77777777" w:rsidR="000E5963" w:rsidRPr="000E5963" w:rsidRDefault="000E5963" w:rsidP="000E5963">
            <w:pPr>
              <w:spacing w:after="0" w:line="240" w:lineRule="auto"/>
              <w:ind w:left="-284" w:right="25"/>
              <w:jc w:val="right"/>
              <w:rPr>
                <w:rFonts w:ascii="Calibri" w:eastAsia="Calibri" w:hAnsi="Calibri" w:cs="Calibri"/>
                <w:sz w:val="21"/>
                <w:szCs w:val="21"/>
                <w:lang w:val="en-IE" w:eastAsia="en-IE"/>
              </w:rPr>
            </w:pPr>
          </w:p>
        </w:tc>
        <w:tc>
          <w:tcPr>
            <w:tcW w:w="1278" w:type="dxa"/>
            <w:shd w:val="clear" w:color="auto" w:fill="FFFFFF"/>
            <w:vAlign w:val="center"/>
          </w:tcPr>
          <w:p w14:paraId="1684D2E6"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0D51A21E" w14:textId="77777777" w:rsidTr="000E5963">
        <w:trPr>
          <w:trHeight w:val="232"/>
        </w:trPr>
        <w:tc>
          <w:tcPr>
            <w:tcW w:w="5144" w:type="dxa"/>
            <w:shd w:val="clear" w:color="auto" w:fill="FFFFFF"/>
            <w:vAlign w:val="center"/>
            <w:hideMark/>
          </w:tcPr>
          <w:p w14:paraId="66AEE80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Jet fuel &amp; carbon derivative contracts</w:t>
            </w:r>
          </w:p>
        </w:tc>
        <w:tc>
          <w:tcPr>
            <w:tcW w:w="1559" w:type="dxa"/>
            <w:shd w:val="clear" w:color="auto" w:fill="FFFF00"/>
            <w:vAlign w:val="center"/>
          </w:tcPr>
          <w:p w14:paraId="5F087C3B" w14:textId="76ADA94B" w:rsidR="000E5963" w:rsidRPr="000E5963" w:rsidRDefault="00BA3AB8"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89.0</w:t>
            </w:r>
          </w:p>
        </w:tc>
        <w:tc>
          <w:tcPr>
            <w:tcW w:w="1559" w:type="dxa"/>
            <w:shd w:val="clear" w:color="auto" w:fill="FFFF00"/>
            <w:vAlign w:val="center"/>
          </w:tcPr>
          <w:p w14:paraId="6392DC5E" w14:textId="52E73247" w:rsidR="000E5963" w:rsidRPr="000E5963" w:rsidRDefault="00BA3AB8"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89.0</w:t>
            </w:r>
          </w:p>
        </w:tc>
        <w:tc>
          <w:tcPr>
            <w:tcW w:w="1417" w:type="dxa"/>
            <w:shd w:val="clear" w:color="auto" w:fill="FFFFFF"/>
            <w:vAlign w:val="center"/>
          </w:tcPr>
          <w:p w14:paraId="141CE26F"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224.5</w:t>
            </w:r>
          </w:p>
        </w:tc>
        <w:tc>
          <w:tcPr>
            <w:tcW w:w="1278" w:type="dxa"/>
            <w:shd w:val="clear" w:color="auto" w:fill="FFFFFF"/>
            <w:vAlign w:val="center"/>
          </w:tcPr>
          <w:p w14:paraId="33277F7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224.5</w:t>
            </w:r>
          </w:p>
        </w:tc>
      </w:tr>
      <w:tr w:rsidR="000E5963" w:rsidRPr="000E5963" w14:paraId="3AF8C927" w14:textId="77777777" w:rsidTr="000E5963">
        <w:trPr>
          <w:trHeight w:val="232"/>
        </w:trPr>
        <w:tc>
          <w:tcPr>
            <w:tcW w:w="5144" w:type="dxa"/>
            <w:shd w:val="clear" w:color="auto" w:fill="FFFFFF"/>
            <w:vAlign w:val="center"/>
          </w:tcPr>
          <w:p w14:paraId="0FC520FC"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U.S. dollar currency forward contracts</w:t>
            </w:r>
          </w:p>
        </w:tc>
        <w:tc>
          <w:tcPr>
            <w:tcW w:w="1559" w:type="dxa"/>
            <w:shd w:val="clear" w:color="auto" w:fill="FFFF00"/>
            <w:vAlign w:val="center"/>
          </w:tcPr>
          <w:p w14:paraId="188F0CFC" w14:textId="6D61BA29" w:rsidR="000E5963" w:rsidRPr="000E5963" w:rsidRDefault="00BA3AB8"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193.2</w:t>
            </w:r>
          </w:p>
        </w:tc>
        <w:tc>
          <w:tcPr>
            <w:tcW w:w="1559" w:type="dxa"/>
            <w:shd w:val="clear" w:color="auto" w:fill="FFFF00"/>
            <w:vAlign w:val="center"/>
          </w:tcPr>
          <w:p w14:paraId="42F1E42E" w14:textId="11535981" w:rsidR="000E5963" w:rsidRPr="000E5963" w:rsidRDefault="00BA3AB8"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193.2</w:t>
            </w:r>
          </w:p>
        </w:tc>
        <w:tc>
          <w:tcPr>
            <w:tcW w:w="1417" w:type="dxa"/>
            <w:shd w:val="clear" w:color="auto" w:fill="FFFFFF"/>
            <w:vAlign w:val="center"/>
          </w:tcPr>
          <w:p w14:paraId="54CBA13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0.2</w:t>
            </w:r>
          </w:p>
        </w:tc>
        <w:tc>
          <w:tcPr>
            <w:tcW w:w="1278" w:type="dxa"/>
            <w:shd w:val="clear" w:color="auto" w:fill="FFFFFF"/>
            <w:vAlign w:val="center"/>
          </w:tcPr>
          <w:p w14:paraId="22F5638C"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0.2</w:t>
            </w:r>
          </w:p>
        </w:tc>
      </w:tr>
      <w:tr w:rsidR="000E5963" w:rsidRPr="000E5963" w14:paraId="362A27AE" w14:textId="77777777" w:rsidTr="000E5963">
        <w:trPr>
          <w:trHeight w:val="232"/>
        </w:trPr>
        <w:tc>
          <w:tcPr>
            <w:tcW w:w="5144" w:type="dxa"/>
            <w:shd w:val="clear" w:color="auto" w:fill="FFFFFF"/>
            <w:vAlign w:val="center"/>
            <w:hideMark/>
          </w:tcPr>
          <w:p w14:paraId="7549A818"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8" w:space="0" w:color="auto"/>
              <w:left w:val="nil"/>
              <w:bottom w:val="nil"/>
              <w:right w:val="nil"/>
            </w:tcBorders>
            <w:shd w:val="clear" w:color="auto" w:fill="FFFF00"/>
            <w:vAlign w:val="center"/>
          </w:tcPr>
          <w:p w14:paraId="25C29323" w14:textId="2034E8B0" w:rsidR="000E5963" w:rsidRPr="000E5963" w:rsidRDefault="00BA3AB8" w:rsidP="000E5963">
            <w:pPr>
              <w:spacing w:after="0" w:line="240" w:lineRule="auto"/>
              <w:ind w:left="-284"/>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282.2</w:t>
            </w:r>
          </w:p>
        </w:tc>
        <w:tc>
          <w:tcPr>
            <w:tcW w:w="1559" w:type="dxa"/>
            <w:tcBorders>
              <w:top w:val="single" w:sz="8" w:space="0" w:color="auto"/>
              <w:left w:val="nil"/>
              <w:bottom w:val="nil"/>
              <w:right w:val="nil"/>
            </w:tcBorders>
            <w:shd w:val="clear" w:color="auto" w:fill="FFFF00"/>
            <w:vAlign w:val="center"/>
          </w:tcPr>
          <w:p w14:paraId="34936747" w14:textId="14FDC418" w:rsidR="000E5963" w:rsidRPr="000E5963" w:rsidRDefault="00BA3AB8"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282.2</w:t>
            </w:r>
          </w:p>
        </w:tc>
        <w:tc>
          <w:tcPr>
            <w:tcW w:w="1417" w:type="dxa"/>
            <w:tcBorders>
              <w:top w:val="single" w:sz="8" w:space="0" w:color="auto"/>
              <w:left w:val="nil"/>
              <w:bottom w:val="nil"/>
              <w:right w:val="nil"/>
            </w:tcBorders>
            <w:shd w:val="clear" w:color="auto" w:fill="FFFFFF"/>
            <w:vAlign w:val="center"/>
          </w:tcPr>
          <w:p w14:paraId="15EDE62A"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224.7</w:t>
            </w:r>
          </w:p>
        </w:tc>
        <w:tc>
          <w:tcPr>
            <w:tcW w:w="1278" w:type="dxa"/>
            <w:tcBorders>
              <w:top w:val="single" w:sz="8" w:space="0" w:color="auto"/>
              <w:left w:val="nil"/>
              <w:bottom w:val="nil"/>
              <w:right w:val="nil"/>
            </w:tcBorders>
            <w:shd w:val="clear" w:color="auto" w:fill="FFFFFF"/>
            <w:vAlign w:val="center"/>
          </w:tcPr>
          <w:p w14:paraId="62A384C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224.7</w:t>
            </w:r>
          </w:p>
        </w:tc>
      </w:tr>
      <w:tr w:rsidR="000E5963" w:rsidRPr="000E5963" w14:paraId="3D918CDF" w14:textId="77777777" w:rsidTr="000E5963">
        <w:trPr>
          <w:trHeight w:val="232"/>
        </w:trPr>
        <w:tc>
          <w:tcPr>
            <w:tcW w:w="5144" w:type="dxa"/>
            <w:shd w:val="clear" w:color="auto" w:fill="FFFFFF"/>
            <w:vAlign w:val="center"/>
            <w:hideMark/>
          </w:tcPr>
          <w:p w14:paraId="0A410014"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shd w:val="clear" w:color="auto" w:fill="FFFF00"/>
            <w:vAlign w:val="center"/>
          </w:tcPr>
          <w:p w14:paraId="7AACA5C7"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4C60AB11"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338F9B0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shd w:val="clear" w:color="auto" w:fill="FFFFFF"/>
            <w:vAlign w:val="center"/>
          </w:tcPr>
          <w:p w14:paraId="273BD61B"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289CB4A7" w14:textId="77777777" w:rsidTr="000E5963">
        <w:trPr>
          <w:trHeight w:val="232"/>
        </w:trPr>
        <w:tc>
          <w:tcPr>
            <w:tcW w:w="5144" w:type="dxa"/>
            <w:shd w:val="clear" w:color="auto" w:fill="FFFFFF"/>
            <w:vAlign w:val="center"/>
          </w:tcPr>
          <w:p w14:paraId="13D6104B"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Current maturities of debt:</w:t>
            </w:r>
          </w:p>
        </w:tc>
        <w:tc>
          <w:tcPr>
            <w:tcW w:w="1559" w:type="dxa"/>
            <w:shd w:val="clear" w:color="auto" w:fill="FFFF00"/>
            <w:vAlign w:val="center"/>
          </w:tcPr>
          <w:p w14:paraId="163BD973" w14:textId="77777777" w:rsidR="000E5963" w:rsidRPr="000E5963" w:rsidRDefault="000E5963" w:rsidP="000E5963">
            <w:pPr>
              <w:spacing w:after="0" w:line="240" w:lineRule="auto"/>
              <w:ind w:left="-284"/>
              <w:jc w:val="right"/>
              <w:rPr>
                <w:rFonts w:ascii="Calibri" w:eastAsia="Times New Roman" w:hAnsi="Calibri" w:cs="Calibri"/>
                <w:b/>
                <w:color w:val="000000"/>
                <w:sz w:val="21"/>
                <w:szCs w:val="21"/>
                <w:lang w:val="en-IE" w:eastAsia="en-IE"/>
              </w:rPr>
            </w:pPr>
          </w:p>
        </w:tc>
        <w:tc>
          <w:tcPr>
            <w:tcW w:w="1559" w:type="dxa"/>
            <w:shd w:val="clear" w:color="auto" w:fill="FFFF00"/>
            <w:vAlign w:val="center"/>
          </w:tcPr>
          <w:p w14:paraId="1111E034"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75D2F30B"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p>
        </w:tc>
        <w:tc>
          <w:tcPr>
            <w:tcW w:w="1278" w:type="dxa"/>
            <w:shd w:val="clear" w:color="auto" w:fill="FFFFFF"/>
            <w:vAlign w:val="center"/>
          </w:tcPr>
          <w:p w14:paraId="38C2EA21"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p>
        </w:tc>
      </w:tr>
      <w:tr w:rsidR="000E5963" w:rsidRPr="000E5963" w14:paraId="6E2F5B6C" w14:textId="77777777" w:rsidTr="000E5963">
        <w:trPr>
          <w:trHeight w:val="232"/>
        </w:trPr>
        <w:tc>
          <w:tcPr>
            <w:tcW w:w="5144" w:type="dxa"/>
            <w:shd w:val="clear" w:color="auto" w:fill="FFFFFF"/>
            <w:vAlign w:val="center"/>
          </w:tcPr>
          <w:p w14:paraId="6BBE85A2" w14:textId="09DFADE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Bonds</w:t>
            </w:r>
            <w:r w:rsidR="002639CF">
              <w:rPr>
                <w:rFonts w:ascii="Calibri" w:eastAsia="Times New Roman" w:hAnsi="Calibri" w:cs="Calibri"/>
                <w:color w:val="000000"/>
                <w:sz w:val="21"/>
                <w:szCs w:val="21"/>
                <w:lang w:val="en-IE" w:eastAsia="en-IE"/>
              </w:rPr>
              <w:t>**</w:t>
            </w:r>
          </w:p>
        </w:tc>
        <w:tc>
          <w:tcPr>
            <w:tcW w:w="1559" w:type="dxa"/>
            <w:shd w:val="clear" w:color="auto" w:fill="FFFF00"/>
            <w:vAlign w:val="center"/>
          </w:tcPr>
          <w:p w14:paraId="07197AB0" w14:textId="25D80C78" w:rsidR="000E5963" w:rsidRPr="000E5963" w:rsidRDefault="00BA3AB8"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1,198.8</w:t>
            </w:r>
          </w:p>
        </w:tc>
        <w:tc>
          <w:tcPr>
            <w:tcW w:w="1559" w:type="dxa"/>
            <w:shd w:val="clear" w:color="auto" w:fill="FFFF00"/>
            <w:vAlign w:val="center"/>
          </w:tcPr>
          <w:p w14:paraId="77845586" w14:textId="3F0F3EF4" w:rsidR="000E5963" w:rsidRPr="000E5963" w:rsidRDefault="00BA3AB8"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w:t>
            </w:r>
            <w:r w:rsidR="00A54934">
              <w:rPr>
                <w:rFonts w:ascii="Calibri" w:eastAsia="Calibri" w:hAnsi="Calibri" w:cs="Calibri"/>
                <w:b/>
                <w:sz w:val="21"/>
                <w:szCs w:val="21"/>
                <w:lang w:val="en-IE" w:eastAsia="en-IE"/>
              </w:rPr>
              <w:t>189.0</w:t>
            </w:r>
          </w:p>
        </w:tc>
        <w:tc>
          <w:tcPr>
            <w:tcW w:w="1417" w:type="dxa"/>
            <w:shd w:val="clear" w:color="auto" w:fill="FFFFFF"/>
            <w:vAlign w:val="center"/>
          </w:tcPr>
          <w:p w14:paraId="2AD20099"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848.4</w:t>
            </w:r>
          </w:p>
        </w:tc>
        <w:tc>
          <w:tcPr>
            <w:tcW w:w="1278" w:type="dxa"/>
            <w:shd w:val="clear" w:color="auto" w:fill="FFFFFF"/>
            <w:vAlign w:val="center"/>
          </w:tcPr>
          <w:p w14:paraId="556DBE6E" w14:textId="77777777" w:rsidR="000E5963" w:rsidRPr="000E5963" w:rsidRDefault="000E5963" w:rsidP="000E5963">
            <w:pPr>
              <w:spacing w:after="0" w:line="240" w:lineRule="auto"/>
              <w:ind w:left="-284" w:right="39"/>
              <w:jc w:val="right"/>
              <w:rPr>
                <w:rFonts w:ascii="Calibri" w:eastAsia="Calibri" w:hAnsi="Calibri" w:cs="Calibri"/>
                <w:sz w:val="21"/>
                <w:szCs w:val="21"/>
                <w:lang w:val="en-IE" w:eastAsia="en-IE"/>
              </w:rPr>
            </w:pPr>
            <w:r w:rsidRPr="000E5963">
              <w:rPr>
                <w:rFonts w:ascii="Calibri" w:eastAsia="Calibri" w:hAnsi="Calibri" w:cs="Calibri"/>
                <w:sz w:val="21"/>
                <w:szCs w:val="21"/>
                <w:lang w:val="en-IE" w:eastAsia="en-IE"/>
              </w:rPr>
              <w:t>850.3</w:t>
            </w:r>
          </w:p>
        </w:tc>
      </w:tr>
      <w:tr w:rsidR="000E5963" w:rsidRPr="000E5963" w14:paraId="15C3A5DD" w14:textId="77777777" w:rsidTr="000E5963">
        <w:trPr>
          <w:trHeight w:val="232"/>
        </w:trPr>
        <w:tc>
          <w:tcPr>
            <w:tcW w:w="5144" w:type="dxa"/>
            <w:shd w:val="clear" w:color="auto" w:fill="FFFFFF"/>
            <w:vAlign w:val="center"/>
          </w:tcPr>
          <w:p w14:paraId="29D339CB"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p>
        </w:tc>
        <w:tc>
          <w:tcPr>
            <w:tcW w:w="1559" w:type="dxa"/>
            <w:tcBorders>
              <w:top w:val="single" w:sz="8" w:space="0" w:color="auto"/>
            </w:tcBorders>
            <w:shd w:val="clear" w:color="auto" w:fill="FFFF00"/>
            <w:vAlign w:val="center"/>
          </w:tcPr>
          <w:p w14:paraId="275CE874" w14:textId="4E1835FF" w:rsidR="000E5963" w:rsidRPr="000E5963" w:rsidRDefault="00A54934"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1</w:t>
            </w:r>
            <w:r w:rsidR="00061D9C">
              <w:rPr>
                <w:rFonts w:ascii="Calibri" w:eastAsia="Times New Roman" w:hAnsi="Calibri" w:cs="Calibri"/>
                <w:b/>
                <w:color w:val="000000"/>
                <w:sz w:val="21"/>
                <w:szCs w:val="21"/>
                <w:lang w:val="en-IE" w:eastAsia="en-IE"/>
              </w:rPr>
              <w:t>,</w:t>
            </w:r>
            <w:r>
              <w:rPr>
                <w:rFonts w:ascii="Calibri" w:eastAsia="Times New Roman" w:hAnsi="Calibri" w:cs="Calibri"/>
                <w:b/>
                <w:color w:val="000000"/>
                <w:sz w:val="21"/>
                <w:szCs w:val="21"/>
                <w:lang w:val="en-IE" w:eastAsia="en-IE"/>
              </w:rPr>
              <w:t>198.8</w:t>
            </w:r>
          </w:p>
        </w:tc>
        <w:tc>
          <w:tcPr>
            <w:tcW w:w="1559" w:type="dxa"/>
            <w:tcBorders>
              <w:top w:val="single" w:sz="8" w:space="0" w:color="auto"/>
            </w:tcBorders>
            <w:shd w:val="clear" w:color="auto" w:fill="FFFF00"/>
            <w:vAlign w:val="center"/>
          </w:tcPr>
          <w:p w14:paraId="324E7D76" w14:textId="7EF3499F" w:rsidR="000E5963" w:rsidRPr="000E5963" w:rsidRDefault="00A54934" w:rsidP="000E5963">
            <w:pPr>
              <w:spacing w:after="0" w:line="240" w:lineRule="auto"/>
              <w:ind w:left="-284" w:right="38"/>
              <w:jc w:val="right"/>
              <w:rPr>
                <w:rFonts w:ascii="Calibri" w:eastAsia="Calibri" w:hAnsi="Calibri" w:cs="Calibri"/>
                <w:b/>
                <w:sz w:val="21"/>
                <w:szCs w:val="21"/>
                <w:lang w:val="en-IE" w:eastAsia="en-IE"/>
              </w:rPr>
            </w:pPr>
            <w:r>
              <w:rPr>
                <w:rFonts w:ascii="Calibri" w:eastAsia="Calibri" w:hAnsi="Calibri" w:cs="Calibri"/>
                <w:b/>
                <w:sz w:val="21"/>
                <w:szCs w:val="21"/>
                <w:lang w:val="en-IE" w:eastAsia="en-IE"/>
              </w:rPr>
              <w:t>1,189.0</w:t>
            </w:r>
          </w:p>
        </w:tc>
        <w:tc>
          <w:tcPr>
            <w:tcW w:w="1417" w:type="dxa"/>
            <w:tcBorders>
              <w:top w:val="single" w:sz="8" w:space="0" w:color="auto"/>
            </w:tcBorders>
            <w:shd w:val="clear" w:color="auto" w:fill="FFFFFF"/>
            <w:vAlign w:val="center"/>
          </w:tcPr>
          <w:p w14:paraId="082FF11C"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848.4</w:t>
            </w:r>
          </w:p>
        </w:tc>
        <w:tc>
          <w:tcPr>
            <w:tcW w:w="1278" w:type="dxa"/>
            <w:tcBorders>
              <w:top w:val="single" w:sz="8" w:space="0" w:color="auto"/>
            </w:tcBorders>
            <w:shd w:val="clear" w:color="auto" w:fill="FFFFFF"/>
            <w:vAlign w:val="center"/>
          </w:tcPr>
          <w:p w14:paraId="32417F76"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Calibri" w:hAnsi="Calibri" w:cs="Calibri"/>
                <w:sz w:val="21"/>
                <w:szCs w:val="21"/>
                <w:lang w:val="en-IE" w:eastAsia="en-IE"/>
              </w:rPr>
              <w:t>850.3</w:t>
            </w:r>
          </w:p>
        </w:tc>
      </w:tr>
      <w:tr w:rsidR="000E5963" w:rsidRPr="000E5963" w14:paraId="14B524A8" w14:textId="77777777" w:rsidTr="000E5963">
        <w:trPr>
          <w:trHeight w:val="232"/>
        </w:trPr>
        <w:tc>
          <w:tcPr>
            <w:tcW w:w="5144" w:type="dxa"/>
            <w:shd w:val="clear" w:color="auto" w:fill="FFFFFF"/>
            <w:vAlign w:val="center"/>
            <w:hideMark/>
          </w:tcPr>
          <w:p w14:paraId="0DBEDA84"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Trade payables*</w:t>
            </w:r>
          </w:p>
        </w:tc>
        <w:tc>
          <w:tcPr>
            <w:tcW w:w="1559" w:type="dxa"/>
            <w:shd w:val="clear" w:color="auto" w:fill="FFFF00"/>
            <w:vAlign w:val="center"/>
          </w:tcPr>
          <w:p w14:paraId="6DD1BB83" w14:textId="25232BA7" w:rsidR="000E5963" w:rsidRPr="000E5963" w:rsidRDefault="00A54934" w:rsidP="000E5963">
            <w:pPr>
              <w:spacing w:after="0" w:line="240" w:lineRule="auto"/>
              <w:ind w:left="-284"/>
              <w:jc w:val="right"/>
              <w:rPr>
                <w:rFonts w:ascii="Calibri" w:eastAsia="Times New Roman" w:hAnsi="Calibri" w:cs="Calibri"/>
                <w:b/>
                <w:color w:val="000000"/>
                <w:sz w:val="21"/>
                <w:szCs w:val="21"/>
                <w:lang w:val="en-IE" w:eastAsia="en-IE"/>
              </w:rPr>
            </w:pPr>
            <w:r>
              <w:rPr>
                <w:rFonts w:ascii="Calibri" w:eastAsia="Times New Roman" w:hAnsi="Calibri" w:cs="Calibri"/>
                <w:b/>
                <w:color w:val="000000"/>
                <w:sz w:val="21"/>
                <w:szCs w:val="21"/>
                <w:lang w:val="en-IE" w:eastAsia="en-IE"/>
              </w:rPr>
              <w:t>582.4</w:t>
            </w:r>
          </w:p>
        </w:tc>
        <w:tc>
          <w:tcPr>
            <w:tcW w:w="1559" w:type="dxa"/>
            <w:shd w:val="clear" w:color="auto" w:fill="FFFF00"/>
            <w:vAlign w:val="center"/>
          </w:tcPr>
          <w:p w14:paraId="22138E52"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shd w:val="clear" w:color="auto" w:fill="FFFFFF"/>
            <w:vAlign w:val="center"/>
          </w:tcPr>
          <w:p w14:paraId="6347B1D5"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702.0</w:t>
            </w:r>
          </w:p>
        </w:tc>
        <w:tc>
          <w:tcPr>
            <w:tcW w:w="1278" w:type="dxa"/>
            <w:shd w:val="clear" w:color="auto" w:fill="FFFFFF"/>
            <w:vAlign w:val="center"/>
          </w:tcPr>
          <w:p w14:paraId="507E349C"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618ED37C" w14:textId="77777777" w:rsidTr="000E5963">
        <w:trPr>
          <w:trHeight w:val="232"/>
        </w:trPr>
        <w:tc>
          <w:tcPr>
            <w:tcW w:w="5144" w:type="dxa"/>
            <w:shd w:val="clear" w:color="auto" w:fill="FFFFFF"/>
            <w:vAlign w:val="center"/>
            <w:hideMark/>
          </w:tcPr>
          <w:p w14:paraId="044C0EA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Accrued expenses*</w:t>
            </w:r>
          </w:p>
        </w:tc>
        <w:tc>
          <w:tcPr>
            <w:tcW w:w="1559" w:type="dxa"/>
            <w:tcBorders>
              <w:top w:val="nil"/>
              <w:left w:val="nil"/>
              <w:bottom w:val="single" w:sz="8" w:space="0" w:color="auto"/>
              <w:right w:val="nil"/>
            </w:tcBorders>
            <w:shd w:val="clear" w:color="auto" w:fill="FFFF00"/>
          </w:tcPr>
          <w:p w14:paraId="74DB23C3" w14:textId="4638429C" w:rsidR="000E5963" w:rsidRPr="000E5963" w:rsidRDefault="00A54934" w:rsidP="000E5963">
            <w:pPr>
              <w:spacing w:after="0" w:line="240" w:lineRule="auto"/>
              <w:ind w:left="-284"/>
              <w:jc w:val="right"/>
              <w:rPr>
                <w:rFonts w:ascii="Calibri" w:eastAsia="Times New Roman" w:hAnsi="Calibri" w:cs="Calibri"/>
                <w:b/>
                <w:sz w:val="21"/>
                <w:szCs w:val="21"/>
                <w:lang w:val="en-IE" w:eastAsia="en-IE"/>
              </w:rPr>
            </w:pPr>
            <w:r>
              <w:rPr>
                <w:rFonts w:ascii="Calibri" w:eastAsia="Times New Roman" w:hAnsi="Calibri" w:cs="Calibri"/>
                <w:b/>
                <w:sz w:val="21"/>
                <w:szCs w:val="21"/>
                <w:lang w:val="en-IE" w:eastAsia="en-IE"/>
              </w:rPr>
              <w:t>1,7</w:t>
            </w:r>
            <w:r w:rsidR="00595D6F">
              <w:rPr>
                <w:rFonts w:ascii="Calibri" w:eastAsia="Times New Roman" w:hAnsi="Calibri" w:cs="Calibri"/>
                <w:b/>
                <w:sz w:val="21"/>
                <w:szCs w:val="21"/>
                <w:lang w:val="en-IE" w:eastAsia="en-IE"/>
              </w:rPr>
              <w:t>90.1</w:t>
            </w:r>
          </w:p>
        </w:tc>
        <w:tc>
          <w:tcPr>
            <w:tcW w:w="1559" w:type="dxa"/>
            <w:tcBorders>
              <w:top w:val="nil"/>
              <w:left w:val="nil"/>
              <w:bottom w:val="single" w:sz="8" w:space="0" w:color="auto"/>
              <w:right w:val="nil"/>
            </w:tcBorders>
            <w:shd w:val="clear" w:color="auto" w:fill="FFFF00"/>
            <w:vAlign w:val="center"/>
          </w:tcPr>
          <w:p w14:paraId="15F7DCCA" w14:textId="77777777" w:rsidR="000E5963" w:rsidRPr="000E5963" w:rsidRDefault="000E5963" w:rsidP="000E5963">
            <w:pPr>
              <w:spacing w:after="0" w:line="240" w:lineRule="auto"/>
              <w:ind w:left="-284" w:right="38"/>
              <w:jc w:val="right"/>
              <w:rPr>
                <w:rFonts w:ascii="Calibri" w:eastAsia="Calibri" w:hAnsi="Calibri" w:cs="Calibri"/>
                <w:b/>
                <w:sz w:val="21"/>
                <w:szCs w:val="21"/>
                <w:lang w:val="en-IE" w:eastAsia="en-IE"/>
              </w:rPr>
            </w:pPr>
          </w:p>
        </w:tc>
        <w:tc>
          <w:tcPr>
            <w:tcW w:w="1417" w:type="dxa"/>
            <w:tcBorders>
              <w:top w:val="nil"/>
              <w:left w:val="nil"/>
              <w:bottom w:val="single" w:sz="8" w:space="0" w:color="auto"/>
              <w:right w:val="nil"/>
            </w:tcBorders>
            <w:shd w:val="clear" w:color="auto" w:fill="FFFFFF"/>
          </w:tcPr>
          <w:p w14:paraId="60DDE90E"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sz w:val="21"/>
                <w:szCs w:val="21"/>
                <w:lang w:val="en-IE" w:eastAsia="en-IE"/>
              </w:rPr>
              <w:t>1,953.5</w:t>
            </w:r>
          </w:p>
        </w:tc>
        <w:tc>
          <w:tcPr>
            <w:tcW w:w="1278" w:type="dxa"/>
            <w:tcBorders>
              <w:top w:val="nil"/>
              <w:left w:val="nil"/>
              <w:bottom w:val="single" w:sz="8" w:space="0" w:color="auto"/>
              <w:right w:val="nil"/>
            </w:tcBorders>
            <w:shd w:val="clear" w:color="auto" w:fill="FFFFFF"/>
            <w:vAlign w:val="center"/>
          </w:tcPr>
          <w:p w14:paraId="3C42965A"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p>
        </w:tc>
      </w:tr>
      <w:tr w:rsidR="000E5963" w:rsidRPr="000E5963" w14:paraId="1B7F9777" w14:textId="77777777" w:rsidTr="000E5963">
        <w:trPr>
          <w:trHeight w:val="232"/>
        </w:trPr>
        <w:tc>
          <w:tcPr>
            <w:tcW w:w="5144" w:type="dxa"/>
            <w:shd w:val="clear" w:color="auto" w:fill="FFFFFF"/>
            <w:vAlign w:val="center"/>
            <w:hideMark/>
          </w:tcPr>
          <w:p w14:paraId="3F541F41"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 </w:t>
            </w:r>
          </w:p>
        </w:tc>
        <w:tc>
          <w:tcPr>
            <w:tcW w:w="1559" w:type="dxa"/>
            <w:tcBorders>
              <w:top w:val="nil"/>
              <w:left w:val="nil"/>
              <w:bottom w:val="single" w:sz="8" w:space="0" w:color="auto"/>
              <w:right w:val="nil"/>
            </w:tcBorders>
            <w:shd w:val="clear" w:color="auto" w:fill="FFFF00"/>
          </w:tcPr>
          <w:p w14:paraId="193FC6F9" w14:textId="02EA53A6" w:rsidR="000E5963" w:rsidRPr="000E5963" w:rsidRDefault="00A54934" w:rsidP="000E5963">
            <w:pPr>
              <w:spacing w:after="0" w:line="240" w:lineRule="auto"/>
              <w:ind w:left="-284"/>
              <w:jc w:val="right"/>
              <w:rPr>
                <w:rFonts w:ascii="Calibri" w:eastAsia="Times New Roman" w:hAnsi="Calibri" w:cs="Calibri"/>
                <w:b/>
                <w:bCs/>
                <w:sz w:val="21"/>
                <w:szCs w:val="21"/>
                <w:lang w:val="en-IE" w:eastAsia="en-IE"/>
              </w:rPr>
            </w:pPr>
            <w:r>
              <w:rPr>
                <w:rFonts w:ascii="Calibri" w:eastAsia="Times New Roman" w:hAnsi="Calibri" w:cs="Calibri"/>
                <w:b/>
                <w:bCs/>
                <w:sz w:val="21"/>
                <w:szCs w:val="21"/>
                <w:lang w:val="en-IE" w:eastAsia="en-IE"/>
              </w:rPr>
              <w:t>3,8</w:t>
            </w:r>
            <w:r w:rsidR="00CA4CF5">
              <w:rPr>
                <w:rFonts w:ascii="Calibri" w:eastAsia="Times New Roman" w:hAnsi="Calibri" w:cs="Calibri"/>
                <w:b/>
                <w:bCs/>
                <w:sz w:val="21"/>
                <w:szCs w:val="21"/>
                <w:lang w:val="en-IE" w:eastAsia="en-IE"/>
              </w:rPr>
              <w:t>5</w:t>
            </w:r>
            <w:r w:rsidR="0096612C">
              <w:rPr>
                <w:rFonts w:ascii="Calibri" w:eastAsia="Times New Roman" w:hAnsi="Calibri" w:cs="Calibri"/>
                <w:b/>
                <w:bCs/>
                <w:sz w:val="21"/>
                <w:szCs w:val="21"/>
                <w:lang w:val="en-IE" w:eastAsia="en-IE"/>
              </w:rPr>
              <w:t>3.</w:t>
            </w:r>
            <w:r w:rsidR="00120209">
              <w:rPr>
                <w:rFonts w:ascii="Calibri" w:eastAsia="Times New Roman" w:hAnsi="Calibri" w:cs="Calibri"/>
                <w:b/>
                <w:bCs/>
                <w:sz w:val="21"/>
                <w:szCs w:val="21"/>
                <w:lang w:val="en-IE" w:eastAsia="en-IE"/>
              </w:rPr>
              <w:t>5</w:t>
            </w:r>
          </w:p>
        </w:tc>
        <w:tc>
          <w:tcPr>
            <w:tcW w:w="1559" w:type="dxa"/>
            <w:tcBorders>
              <w:top w:val="nil"/>
              <w:left w:val="nil"/>
              <w:bottom w:val="single" w:sz="8" w:space="0" w:color="auto"/>
              <w:right w:val="nil"/>
            </w:tcBorders>
            <w:shd w:val="clear" w:color="auto" w:fill="FFFF00"/>
            <w:vAlign w:val="center"/>
          </w:tcPr>
          <w:p w14:paraId="3EC10770" w14:textId="1375BD28" w:rsidR="000E5963" w:rsidRPr="000E5963" w:rsidRDefault="00493C9C"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1,471.2</w:t>
            </w:r>
          </w:p>
        </w:tc>
        <w:tc>
          <w:tcPr>
            <w:tcW w:w="1417" w:type="dxa"/>
            <w:tcBorders>
              <w:top w:val="nil"/>
              <w:left w:val="nil"/>
              <w:bottom w:val="single" w:sz="8" w:space="0" w:color="auto"/>
              <w:right w:val="nil"/>
            </w:tcBorders>
            <w:shd w:val="clear" w:color="auto" w:fill="FFFFFF"/>
          </w:tcPr>
          <w:p w14:paraId="0E472A62"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sz w:val="21"/>
                <w:szCs w:val="21"/>
                <w:lang w:val="en-IE" w:eastAsia="en-IE"/>
              </w:rPr>
              <w:t>3,728.6</w:t>
            </w:r>
          </w:p>
        </w:tc>
        <w:tc>
          <w:tcPr>
            <w:tcW w:w="1278" w:type="dxa"/>
            <w:tcBorders>
              <w:top w:val="nil"/>
              <w:left w:val="nil"/>
              <w:bottom w:val="single" w:sz="8" w:space="0" w:color="auto"/>
              <w:right w:val="nil"/>
            </w:tcBorders>
            <w:shd w:val="clear" w:color="auto" w:fill="FFFFFF"/>
            <w:vAlign w:val="center"/>
          </w:tcPr>
          <w:p w14:paraId="5B31AB25"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1,075.0</w:t>
            </w:r>
          </w:p>
        </w:tc>
      </w:tr>
      <w:tr w:rsidR="000E5963" w:rsidRPr="000E5963" w14:paraId="24E99AF8" w14:textId="77777777" w:rsidTr="000E5963">
        <w:trPr>
          <w:trHeight w:val="232"/>
        </w:trPr>
        <w:tc>
          <w:tcPr>
            <w:tcW w:w="5144" w:type="dxa"/>
            <w:shd w:val="clear" w:color="auto" w:fill="FFFFFF"/>
            <w:vAlign w:val="center"/>
            <w:hideMark/>
          </w:tcPr>
          <w:p w14:paraId="08E26EB9" w14:textId="77777777" w:rsidR="000E5963" w:rsidRPr="000E5963" w:rsidRDefault="000E5963" w:rsidP="000E5963">
            <w:pPr>
              <w:spacing w:after="0" w:line="240" w:lineRule="auto"/>
              <w:ind w:left="210" w:right="-2"/>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Total financial liabilities</w:t>
            </w:r>
          </w:p>
        </w:tc>
        <w:tc>
          <w:tcPr>
            <w:tcW w:w="1559" w:type="dxa"/>
            <w:tcBorders>
              <w:top w:val="single" w:sz="8" w:space="0" w:color="auto"/>
              <w:left w:val="nil"/>
              <w:bottom w:val="single" w:sz="12" w:space="0" w:color="auto"/>
              <w:right w:val="nil"/>
            </w:tcBorders>
            <w:shd w:val="clear" w:color="auto" w:fill="FFFF00"/>
          </w:tcPr>
          <w:p w14:paraId="71BE756A" w14:textId="407E0C7F" w:rsidR="000E5963" w:rsidRPr="000E5963" w:rsidRDefault="00A54934" w:rsidP="000E5963">
            <w:pPr>
              <w:spacing w:after="0" w:line="240" w:lineRule="auto"/>
              <w:ind w:left="-284"/>
              <w:jc w:val="right"/>
              <w:rPr>
                <w:rFonts w:ascii="Calibri" w:eastAsia="Times New Roman" w:hAnsi="Calibri" w:cs="Calibri"/>
                <w:b/>
                <w:bCs/>
                <w:sz w:val="21"/>
                <w:szCs w:val="21"/>
                <w:lang w:val="en-IE" w:eastAsia="en-IE"/>
              </w:rPr>
            </w:pPr>
            <w:r>
              <w:rPr>
                <w:rFonts w:ascii="Calibri" w:eastAsia="Times New Roman" w:hAnsi="Calibri" w:cs="Calibri"/>
                <w:b/>
                <w:bCs/>
                <w:sz w:val="21"/>
                <w:szCs w:val="21"/>
                <w:lang w:val="en-IE" w:eastAsia="en-IE"/>
              </w:rPr>
              <w:t>4,0</w:t>
            </w:r>
            <w:r w:rsidR="00FB2187">
              <w:rPr>
                <w:rFonts w:ascii="Calibri" w:eastAsia="Times New Roman" w:hAnsi="Calibri" w:cs="Calibri"/>
                <w:b/>
                <w:bCs/>
                <w:sz w:val="21"/>
                <w:szCs w:val="21"/>
                <w:lang w:val="en-IE" w:eastAsia="en-IE"/>
              </w:rPr>
              <w:t>7</w:t>
            </w:r>
            <w:r w:rsidR="0096612C">
              <w:rPr>
                <w:rFonts w:ascii="Calibri" w:eastAsia="Times New Roman" w:hAnsi="Calibri" w:cs="Calibri"/>
                <w:b/>
                <w:bCs/>
                <w:sz w:val="21"/>
                <w:szCs w:val="21"/>
                <w:lang w:val="en-IE" w:eastAsia="en-IE"/>
              </w:rPr>
              <w:t>5.</w:t>
            </w:r>
            <w:r w:rsidR="00120209">
              <w:rPr>
                <w:rFonts w:ascii="Calibri" w:eastAsia="Times New Roman" w:hAnsi="Calibri" w:cs="Calibri"/>
                <w:b/>
                <w:bCs/>
                <w:sz w:val="21"/>
                <w:szCs w:val="21"/>
                <w:lang w:val="en-IE" w:eastAsia="en-IE"/>
              </w:rPr>
              <w:t>8</w:t>
            </w:r>
          </w:p>
        </w:tc>
        <w:tc>
          <w:tcPr>
            <w:tcW w:w="1559" w:type="dxa"/>
            <w:tcBorders>
              <w:top w:val="single" w:sz="8" w:space="0" w:color="auto"/>
              <w:left w:val="nil"/>
              <w:bottom w:val="single" w:sz="12" w:space="0" w:color="auto"/>
              <w:right w:val="nil"/>
            </w:tcBorders>
            <w:shd w:val="clear" w:color="auto" w:fill="FFFF00"/>
            <w:vAlign w:val="center"/>
          </w:tcPr>
          <w:p w14:paraId="32AB44EA" w14:textId="6BBE0182" w:rsidR="000E5963" w:rsidRPr="000E5963" w:rsidRDefault="00493C9C" w:rsidP="000E5963">
            <w:pPr>
              <w:spacing w:after="0" w:line="240" w:lineRule="auto"/>
              <w:ind w:left="-284" w:right="38"/>
              <w:jc w:val="right"/>
              <w:rPr>
                <w:rFonts w:ascii="Calibri" w:eastAsia="Times New Roman" w:hAnsi="Calibri" w:cs="Calibri"/>
                <w:b/>
                <w:bCs/>
                <w:color w:val="000000"/>
                <w:sz w:val="21"/>
                <w:szCs w:val="21"/>
                <w:lang w:val="en-IE" w:eastAsia="en-IE"/>
              </w:rPr>
            </w:pPr>
            <w:r>
              <w:rPr>
                <w:rFonts w:ascii="Calibri" w:eastAsia="Times New Roman" w:hAnsi="Calibri" w:cs="Calibri"/>
                <w:b/>
                <w:bCs/>
                <w:color w:val="000000"/>
                <w:sz w:val="21"/>
                <w:szCs w:val="21"/>
                <w:lang w:val="en-IE" w:eastAsia="en-IE"/>
              </w:rPr>
              <w:t>1,693.</w:t>
            </w:r>
            <w:r w:rsidR="00764297">
              <w:rPr>
                <w:rFonts w:ascii="Calibri" w:eastAsia="Times New Roman" w:hAnsi="Calibri" w:cs="Calibri"/>
                <w:b/>
                <w:bCs/>
                <w:color w:val="000000"/>
                <w:sz w:val="21"/>
                <w:szCs w:val="21"/>
                <w:lang w:val="en-IE" w:eastAsia="en-IE"/>
              </w:rPr>
              <w:t>5</w:t>
            </w:r>
          </w:p>
        </w:tc>
        <w:tc>
          <w:tcPr>
            <w:tcW w:w="1417" w:type="dxa"/>
            <w:tcBorders>
              <w:top w:val="single" w:sz="8" w:space="0" w:color="auto"/>
              <w:left w:val="nil"/>
              <w:bottom w:val="single" w:sz="12" w:space="0" w:color="auto"/>
              <w:right w:val="nil"/>
            </w:tcBorders>
            <w:shd w:val="clear" w:color="auto" w:fill="FFFFFF"/>
          </w:tcPr>
          <w:p w14:paraId="6F7FA3F0" w14:textId="77777777" w:rsidR="000E5963" w:rsidRPr="000E5963" w:rsidRDefault="000E5963" w:rsidP="000E5963">
            <w:pPr>
              <w:spacing w:after="0" w:line="240" w:lineRule="auto"/>
              <w:ind w:left="-284" w:right="25"/>
              <w:jc w:val="right"/>
              <w:rPr>
                <w:rFonts w:ascii="Calibri" w:eastAsia="Times New Roman" w:hAnsi="Calibri" w:cs="Calibri"/>
                <w:color w:val="000000"/>
                <w:sz w:val="21"/>
                <w:szCs w:val="21"/>
                <w:lang w:val="en-IE" w:eastAsia="en-IE"/>
              </w:rPr>
            </w:pPr>
            <w:r w:rsidRPr="000E5963">
              <w:rPr>
                <w:rFonts w:ascii="Calibri" w:eastAsia="Times New Roman" w:hAnsi="Calibri" w:cs="Calibri"/>
                <w:sz w:val="21"/>
                <w:szCs w:val="21"/>
                <w:lang w:val="en-IE" w:eastAsia="en-IE"/>
              </w:rPr>
              <w:t>5,416.3</w:t>
            </w:r>
          </w:p>
        </w:tc>
        <w:tc>
          <w:tcPr>
            <w:tcW w:w="1278" w:type="dxa"/>
            <w:tcBorders>
              <w:top w:val="single" w:sz="8" w:space="0" w:color="auto"/>
              <w:left w:val="nil"/>
              <w:bottom w:val="single" w:sz="12" w:space="0" w:color="auto"/>
              <w:right w:val="nil"/>
            </w:tcBorders>
            <w:shd w:val="clear" w:color="auto" w:fill="FFFFFF"/>
            <w:vAlign w:val="center"/>
          </w:tcPr>
          <w:p w14:paraId="0EC133B7" w14:textId="77777777" w:rsidR="000E5963" w:rsidRPr="000E5963" w:rsidRDefault="000E5963" w:rsidP="000E5963">
            <w:pPr>
              <w:spacing w:after="0" w:line="240" w:lineRule="auto"/>
              <w:ind w:left="-284" w:right="39"/>
              <w:jc w:val="right"/>
              <w:rPr>
                <w:rFonts w:ascii="Calibri" w:eastAsia="Times New Roman" w:hAnsi="Calibri" w:cs="Calibri"/>
                <w:color w:val="000000"/>
                <w:sz w:val="21"/>
                <w:szCs w:val="21"/>
                <w:lang w:val="en-IE" w:eastAsia="en-IE"/>
              </w:rPr>
            </w:pPr>
            <w:r w:rsidRPr="000E5963">
              <w:rPr>
                <w:rFonts w:ascii="Calibri" w:eastAsia="Times New Roman" w:hAnsi="Calibri" w:cs="Calibri"/>
                <w:color w:val="000000"/>
                <w:sz w:val="21"/>
                <w:szCs w:val="21"/>
                <w:lang w:val="en-IE" w:eastAsia="en-IE"/>
              </w:rPr>
              <w:t>2,738.9</w:t>
            </w:r>
          </w:p>
        </w:tc>
      </w:tr>
    </w:tbl>
    <w:bookmarkEnd w:id="26"/>
    <w:p w14:paraId="3F5455BB" w14:textId="77777777" w:rsidR="000E5963" w:rsidRPr="000E5963" w:rsidRDefault="000E5963" w:rsidP="000E5963">
      <w:pPr>
        <w:spacing w:after="0" w:line="240" w:lineRule="auto"/>
        <w:jc w:val="both"/>
        <w:rPr>
          <w:rFonts w:ascii="Calibri" w:eastAsia="Times New Roman" w:hAnsi="Calibri" w:cs="Calibri"/>
          <w:i/>
          <w:sz w:val="18"/>
          <w:szCs w:val="18"/>
          <w:lang w:val="en-IE" w:eastAsia="en-US"/>
        </w:rPr>
      </w:pPr>
      <w:r w:rsidRPr="000E5963">
        <w:rPr>
          <w:rFonts w:ascii="Calibri" w:eastAsia="Times New Roman" w:hAnsi="Calibri" w:cs="Calibri"/>
          <w:i/>
          <w:sz w:val="18"/>
          <w:szCs w:val="18"/>
          <w:lang w:val="en-IE" w:eastAsia="en-US"/>
        </w:rPr>
        <w:t>*The fair value of each of these financial instruments approximate their carrying values due to the short-term nature of the instruments.</w:t>
      </w:r>
    </w:p>
    <w:p w14:paraId="476C7D7E" w14:textId="4A48E9CE" w:rsidR="004145F9" w:rsidRPr="000E5963" w:rsidRDefault="002639CF" w:rsidP="000E5963">
      <w:pPr>
        <w:spacing w:after="0" w:line="240" w:lineRule="auto"/>
        <w:jc w:val="both"/>
        <w:rPr>
          <w:rFonts w:ascii="Calibri" w:eastAsia="Times New Roman" w:hAnsi="Calibri" w:cs="Calibri"/>
          <w:i/>
          <w:sz w:val="18"/>
          <w:szCs w:val="18"/>
          <w:lang w:val="en-IE" w:eastAsia="en-US"/>
        </w:rPr>
      </w:pPr>
      <w:r>
        <w:rPr>
          <w:rFonts w:ascii="Calibri" w:eastAsia="Times New Roman" w:hAnsi="Calibri" w:cs="Calibri"/>
          <w:i/>
          <w:sz w:val="18"/>
          <w:szCs w:val="18"/>
          <w:lang w:val="en-IE" w:eastAsia="en-US"/>
        </w:rPr>
        <w:t xml:space="preserve">** In September 2025 </w:t>
      </w:r>
      <w:r w:rsidR="00CF3B9D">
        <w:rPr>
          <w:rFonts w:ascii="Calibri" w:eastAsia="Times New Roman" w:hAnsi="Calibri" w:cs="Calibri"/>
          <w:i/>
          <w:sz w:val="18"/>
          <w:szCs w:val="18"/>
          <w:lang w:val="en-IE" w:eastAsia="en-US"/>
        </w:rPr>
        <w:t>the Group repaid its €850</w:t>
      </w:r>
      <w:r w:rsidR="00B20B25">
        <w:rPr>
          <w:rFonts w:ascii="Calibri" w:eastAsia="Times New Roman" w:hAnsi="Calibri" w:cs="Calibri"/>
          <w:i/>
          <w:sz w:val="18"/>
          <w:szCs w:val="18"/>
          <w:lang w:val="en-IE" w:eastAsia="en-US"/>
        </w:rPr>
        <w:t>M</w:t>
      </w:r>
      <w:r w:rsidR="00CF3B9D">
        <w:rPr>
          <w:rFonts w:ascii="Calibri" w:eastAsia="Times New Roman" w:hAnsi="Calibri" w:cs="Calibri"/>
          <w:i/>
          <w:sz w:val="18"/>
          <w:szCs w:val="18"/>
          <w:lang w:val="en-IE" w:eastAsia="en-US"/>
        </w:rPr>
        <w:t xml:space="preserve"> Eurobond</w:t>
      </w:r>
      <w:r w:rsidR="00912DCE">
        <w:rPr>
          <w:rFonts w:ascii="Calibri" w:eastAsia="Times New Roman" w:hAnsi="Calibri" w:cs="Calibri"/>
          <w:i/>
          <w:sz w:val="18"/>
          <w:szCs w:val="18"/>
          <w:lang w:val="en-IE" w:eastAsia="en-US"/>
        </w:rPr>
        <w:t>.</w:t>
      </w:r>
    </w:p>
    <w:p w14:paraId="2169C5F2" w14:textId="77777777" w:rsidR="000E5963" w:rsidRPr="000E5963" w:rsidRDefault="000E5963" w:rsidP="000E5963">
      <w:pPr>
        <w:spacing w:after="0" w:line="240" w:lineRule="auto"/>
        <w:ind w:right="283"/>
        <w:jc w:val="both"/>
        <w:rPr>
          <w:rFonts w:ascii="Calibri" w:eastAsia="Times New Roman" w:hAnsi="Calibri" w:cs="Calibri"/>
          <w:b/>
          <w:sz w:val="22"/>
          <w:szCs w:val="22"/>
          <w:lang w:val="en-IE" w:eastAsia="en-US"/>
        </w:rPr>
      </w:pPr>
      <w:r w:rsidRPr="000E5963">
        <w:rPr>
          <w:rFonts w:ascii="Calibri" w:eastAsia="Times New Roman" w:hAnsi="Calibri" w:cs="Calibri"/>
          <w:color w:val="333333"/>
          <w:sz w:val="22"/>
          <w:szCs w:val="22"/>
          <w:shd w:val="clear" w:color="auto" w:fill="FFFFFF"/>
          <w:lang w:val="en-IE" w:eastAsia="en-US"/>
        </w:rPr>
        <w:br w:type="page"/>
      </w:r>
      <w:bookmarkStart w:id="27" w:name="_Hlk170911192"/>
      <w:r w:rsidRPr="000E5963">
        <w:rPr>
          <w:rFonts w:ascii="Calibri" w:eastAsia="Times New Roman" w:hAnsi="Calibri" w:cs="Calibri"/>
          <w:b/>
          <w:sz w:val="22"/>
          <w:szCs w:val="22"/>
          <w:lang w:val="en-IE" w:eastAsia="en-US"/>
        </w:rPr>
        <w:lastRenderedPageBreak/>
        <w:t xml:space="preserve">11. </w:t>
      </w:r>
      <w:r w:rsidRPr="000E5963">
        <w:rPr>
          <w:rFonts w:ascii="Calibri" w:eastAsia="Times New Roman" w:hAnsi="Calibri" w:cs="Calibri"/>
          <w:b/>
          <w:sz w:val="22"/>
          <w:szCs w:val="22"/>
          <w:lang w:val="en-IE" w:eastAsia="en-US"/>
        </w:rPr>
        <w:tab/>
        <w:t>Shareholders’ equity and shareholders’ returns</w:t>
      </w:r>
    </w:p>
    <w:p w14:paraId="2A9C4D9C" w14:textId="77777777" w:rsidR="000E5963" w:rsidRPr="000E5963" w:rsidRDefault="000E5963" w:rsidP="000E5963">
      <w:pPr>
        <w:spacing w:after="0" w:line="240" w:lineRule="auto"/>
        <w:ind w:right="283"/>
        <w:jc w:val="both"/>
        <w:rPr>
          <w:rFonts w:ascii="Calibri" w:eastAsia="Times New Roman" w:hAnsi="Calibri" w:cs="Calibri"/>
          <w:b/>
          <w:bCs/>
          <w:color w:val="000000"/>
          <w:sz w:val="22"/>
          <w:szCs w:val="22"/>
          <w:highlight w:val="yellow"/>
          <w:lang w:eastAsia="en-US"/>
        </w:rPr>
      </w:pPr>
    </w:p>
    <w:bookmarkEnd w:id="27"/>
    <w:p w14:paraId="2D78029C" w14:textId="5617C284" w:rsidR="0088337D" w:rsidRDefault="004E1762" w:rsidP="00A8599F">
      <w:pPr>
        <w:spacing w:after="0" w:line="240" w:lineRule="auto"/>
        <w:ind w:right="283"/>
        <w:jc w:val="both"/>
        <w:rPr>
          <w:rFonts w:ascii="Calibri" w:eastAsia="Times New Roman" w:hAnsi="Calibri" w:cs="Calibri"/>
          <w:bCs/>
          <w:iCs/>
          <w:snapToGrid w:val="0"/>
          <w:sz w:val="22"/>
          <w:szCs w:val="22"/>
          <w:lang w:val="en-IE" w:eastAsia="en-US"/>
        </w:rPr>
      </w:pPr>
      <w:r w:rsidRPr="004E1762">
        <w:rPr>
          <w:rFonts w:ascii="Calibri" w:eastAsia="Times New Roman" w:hAnsi="Calibri" w:cs="Calibri"/>
          <w:bCs/>
          <w:iCs/>
          <w:snapToGrid w:val="0"/>
          <w:sz w:val="22"/>
          <w:szCs w:val="22"/>
          <w:lang w:val="en-IE" w:eastAsia="en-US"/>
        </w:rPr>
        <w:t xml:space="preserve">In line with the Group’s Dividend Policy, a </w:t>
      </w:r>
      <w:r w:rsidR="00C70B01">
        <w:rPr>
          <w:rFonts w:ascii="Calibri" w:eastAsia="Times New Roman" w:hAnsi="Calibri" w:cs="Calibri"/>
          <w:bCs/>
          <w:iCs/>
          <w:snapToGrid w:val="0"/>
          <w:sz w:val="22"/>
          <w:szCs w:val="22"/>
          <w:lang w:val="en-IE" w:eastAsia="en-US"/>
        </w:rPr>
        <w:t xml:space="preserve">FY25 </w:t>
      </w:r>
      <w:r w:rsidRPr="004E1762">
        <w:rPr>
          <w:rFonts w:ascii="Calibri" w:eastAsia="Times New Roman" w:hAnsi="Calibri" w:cs="Calibri"/>
          <w:bCs/>
          <w:iCs/>
          <w:snapToGrid w:val="0"/>
          <w:sz w:val="22"/>
          <w:szCs w:val="22"/>
          <w:lang w:val="en-IE" w:eastAsia="en-US"/>
        </w:rPr>
        <w:t>final dividend of €0.</w:t>
      </w:r>
      <w:r w:rsidR="00835A85">
        <w:rPr>
          <w:rFonts w:ascii="Calibri" w:eastAsia="Times New Roman" w:hAnsi="Calibri" w:cs="Calibri"/>
          <w:bCs/>
          <w:iCs/>
          <w:snapToGrid w:val="0"/>
          <w:sz w:val="22"/>
          <w:szCs w:val="22"/>
          <w:lang w:val="en-IE" w:eastAsia="en-US"/>
        </w:rPr>
        <w:t>227</w:t>
      </w:r>
      <w:r w:rsidRPr="004E1762">
        <w:rPr>
          <w:rFonts w:ascii="Calibri" w:eastAsia="Times New Roman" w:hAnsi="Calibri" w:cs="Calibri"/>
          <w:bCs/>
          <w:iCs/>
          <w:snapToGrid w:val="0"/>
          <w:sz w:val="22"/>
          <w:szCs w:val="22"/>
          <w:lang w:val="en-IE" w:eastAsia="en-US"/>
        </w:rPr>
        <w:t xml:space="preserve"> per share was paid </w:t>
      </w:r>
      <w:r w:rsidR="00DC5E12">
        <w:rPr>
          <w:rFonts w:ascii="Calibri" w:eastAsia="Times New Roman" w:hAnsi="Calibri" w:cs="Calibri"/>
          <w:bCs/>
          <w:iCs/>
          <w:snapToGrid w:val="0"/>
          <w:sz w:val="22"/>
          <w:szCs w:val="22"/>
          <w:lang w:val="en-IE" w:eastAsia="en-US"/>
        </w:rPr>
        <w:t>i</w:t>
      </w:r>
      <w:r w:rsidRPr="004E1762">
        <w:rPr>
          <w:rFonts w:ascii="Calibri" w:eastAsia="Times New Roman" w:hAnsi="Calibri" w:cs="Calibri"/>
          <w:bCs/>
          <w:iCs/>
          <w:snapToGrid w:val="0"/>
          <w:sz w:val="22"/>
          <w:szCs w:val="22"/>
          <w:lang w:val="en-IE" w:eastAsia="en-US"/>
        </w:rPr>
        <w:t>n September 202</w:t>
      </w:r>
      <w:r w:rsidR="00835A85">
        <w:rPr>
          <w:rFonts w:ascii="Calibri" w:eastAsia="Times New Roman" w:hAnsi="Calibri" w:cs="Calibri"/>
          <w:bCs/>
          <w:iCs/>
          <w:snapToGrid w:val="0"/>
          <w:sz w:val="22"/>
          <w:szCs w:val="22"/>
          <w:lang w:val="en-IE" w:eastAsia="en-US"/>
        </w:rPr>
        <w:t>5</w:t>
      </w:r>
      <w:r w:rsidRPr="004E1762">
        <w:rPr>
          <w:rFonts w:ascii="Calibri" w:eastAsia="Times New Roman" w:hAnsi="Calibri" w:cs="Calibri"/>
          <w:bCs/>
          <w:iCs/>
          <w:snapToGrid w:val="0"/>
          <w:sz w:val="22"/>
          <w:szCs w:val="22"/>
          <w:lang w:val="en-IE" w:eastAsia="en-US"/>
        </w:rPr>
        <w:t>.</w:t>
      </w:r>
    </w:p>
    <w:p w14:paraId="1F070064" w14:textId="77777777" w:rsidR="0088337D" w:rsidRDefault="0088337D" w:rsidP="00A8599F">
      <w:pPr>
        <w:spacing w:after="0" w:line="240" w:lineRule="auto"/>
        <w:ind w:right="283"/>
        <w:jc w:val="both"/>
        <w:rPr>
          <w:rFonts w:ascii="Calibri" w:eastAsia="Times New Roman" w:hAnsi="Calibri" w:cs="Calibri"/>
          <w:bCs/>
          <w:iCs/>
          <w:snapToGrid w:val="0"/>
          <w:sz w:val="22"/>
          <w:szCs w:val="22"/>
          <w:lang w:val="en-IE" w:eastAsia="en-US"/>
        </w:rPr>
      </w:pPr>
    </w:p>
    <w:p w14:paraId="7DD626A4" w14:textId="07051937" w:rsidR="000E5963" w:rsidRPr="00970FDE" w:rsidRDefault="000E5963" w:rsidP="00A8599F">
      <w:pPr>
        <w:spacing w:after="0" w:line="240" w:lineRule="auto"/>
        <w:ind w:right="283"/>
        <w:jc w:val="both"/>
        <w:rPr>
          <w:rFonts w:ascii="Calibri" w:eastAsia="Times New Roman" w:hAnsi="Calibri" w:cs="Calibri"/>
          <w:bCs/>
          <w:iCs/>
          <w:snapToGrid w:val="0"/>
          <w:sz w:val="22"/>
          <w:szCs w:val="22"/>
          <w:lang w:val="en-IE" w:eastAsia="en-US"/>
        </w:rPr>
      </w:pPr>
      <w:r w:rsidRPr="009F5511">
        <w:rPr>
          <w:rFonts w:ascii="Calibri" w:eastAsia="Times New Roman" w:hAnsi="Calibri" w:cs="Calibri"/>
          <w:bCs/>
          <w:iCs/>
          <w:snapToGrid w:val="0"/>
          <w:sz w:val="22"/>
          <w:szCs w:val="22"/>
          <w:lang w:val="en-IE" w:eastAsia="en-US"/>
        </w:rPr>
        <w:t xml:space="preserve">In the </w:t>
      </w:r>
      <w:r w:rsidR="00C421D6" w:rsidRPr="009F5511">
        <w:rPr>
          <w:rFonts w:ascii="Calibri" w:eastAsia="Times New Roman" w:hAnsi="Calibri" w:cs="Calibri"/>
          <w:bCs/>
          <w:iCs/>
          <w:snapToGrid w:val="0"/>
          <w:sz w:val="22"/>
          <w:szCs w:val="22"/>
          <w:lang w:val="en-IE" w:eastAsia="en-US"/>
        </w:rPr>
        <w:t>half-year</w:t>
      </w:r>
      <w:r w:rsidRPr="009F5511">
        <w:rPr>
          <w:rFonts w:ascii="Calibri" w:eastAsia="Times New Roman" w:hAnsi="Calibri" w:cs="Calibri"/>
          <w:bCs/>
          <w:iCs/>
          <w:snapToGrid w:val="0"/>
          <w:sz w:val="22"/>
          <w:szCs w:val="22"/>
          <w:lang w:val="en-IE" w:eastAsia="en-US"/>
        </w:rPr>
        <w:t xml:space="preserve"> ended </w:t>
      </w:r>
      <w:r w:rsidR="00C421D6" w:rsidRPr="009F5511">
        <w:rPr>
          <w:rFonts w:ascii="Calibri" w:eastAsia="Times New Roman" w:hAnsi="Calibri" w:cs="Calibri"/>
          <w:bCs/>
          <w:iCs/>
          <w:snapToGrid w:val="0"/>
          <w:sz w:val="22"/>
          <w:szCs w:val="22"/>
          <w:lang w:val="en-IE" w:eastAsia="en-US"/>
        </w:rPr>
        <w:t>September</w:t>
      </w:r>
      <w:r w:rsidRPr="009F5511">
        <w:rPr>
          <w:rFonts w:ascii="Calibri" w:eastAsia="Times New Roman" w:hAnsi="Calibri" w:cs="Calibri"/>
          <w:bCs/>
          <w:iCs/>
          <w:snapToGrid w:val="0"/>
          <w:sz w:val="22"/>
          <w:szCs w:val="22"/>
          <w:lang w:val="en-IE" w:eastAsia="en-US"/>
        </w:rPr>
        <w:t xml:space="preserve"> 30, 2025 the Company bought back, and cancelled, </w:t>
      </w:r>
      <w:r w:rsidR="00796197" w:rsidRPr="009F5511">
        <w:rPr>
          <w:rFonts w:ascii="Calibri" w:eastAsia="Times New Roman" w:hAnsi="Calibri" w:cs="Calibri"/>
          <w:bCs/>
          <w:iCs/>
          <w:snapToGrid w:val="0"/>
          <w:sz w:val="22"/>
          <w:szCs w:val="22"/>
          <w:lang w:val="en-IE" w:eastAsia="en-US"/>
        </w:rPr>
        <w:t>approx.</w:t>
      </w:r>
      <w:r w:rsidRPr="009F5511">
        <w:rPr>
          <w:rFonts w:ascii="Calibri" w:eastAsia="Times New Roman" w:hAnsi="Calibri" w:cs="Calibri"/>
          <w:bCs/>
          <w:iCs/>
          <w:snapToGrid w:val="0"/>
          <w:sz w:val="22"/>
          <w:szCs w:val="22"/>
          <w:lang w:val="en-IE" w:eastAsia="en-US"/>
        </w:rPr>
        <w:t xml:space="preserve"> </w:t>
      </w:r>
      <w:r w:rsidR="00E37C29" w:rsidRPr="009F5511">
        <w:rPr>
          <w:rFonts w:ascii="Calibri" w:eastAsia="Times New Roman" w:hAnsi="Calibri" w:cs="Calibri"/>
          <w:bCs/>
          <w:iCs/>
          <w:snapToGrid w:val="0"/>
          <w:sz w:val="22"/>
          <w:szCs w:val="22"/>
          <w:lang w:val="en-IE" w:eastAsia="en-US"/>
        </w:rPr>
        <w:t>8</w:t>
      </w:r>
      <w:r w:rsidRPr="009F5511">
        <w:rPr>
          <w:rFonts w:ascii="Calibri" w:eastAsia="Times New Roman" w:hAnsi="Calibri" w:cs="Calibri"/>
          <w:bCs/>
          <w:iCs/>
          <w:snapToGrid w:val="0"/>
          <w:sz w:val="22"/>
          <w:szCs w:val="22"/>
          <w:lang w:val="en-IE" w:eastAsia="en-US"/>
        </w:rPr>
        <w:t xml:space="preserve">M ordinary shares </w:t>
      </w:r>
      <w:r w:rsidR="00A84AC9" w:rsidRPr="009F5511">
        <w:rPr>
          <w:rFonts w:ascii="Calibri" w:eastAsia="Times New Roman" w:hAnsi="Calibri" w:cs="Calibri"/>
          <w:bCs/>
          <w:iCs/>
          <w:snapToGrid w:val="0"/>
          <w:sz w:val="22"/>
          <w:szCs w:val="22"/>
          <w:lang w:val="en-IE" w:eastAsia="en-US"/>
        </w:rPr>
        <w:t xml:space="preserve">at </w:t>
      </w:r>
      <w:r w:rsidRPr="009F5511">
        <w:rPr>
          <w:rFonts w:ascii="Calibri" w:eastAsia="Times New Roman" w:hAnsi="Calibri" w:cs="Calibri"/>
          <w:bCs/>
          <w:iCs/>
          <w:snapToGrid w:val="0"/>
          <w:sz w:val="22"/>
          <w:szCs w:val="22"/>
          <w:lang w:val="en-IE" w:eastAsia="en-US"/>
        </w:rPr>
        <w:t xml:space="preserve">a total cost of </w:t>
      </w:r>
      <w:r w:rsidR="00356EC9">
        <w:rPr>
          <w:rFonts w:ascii="Calibri" w:eastAsia="Times New Roman" w:hAnsi="Calibri" w:cs="Calibri"/>
          <w:bCs/>
          <w:iCs/>
          <w:snapToGrid w:val="0"/>
          <w:sz w:val="22"/>
          <w:szCs w:val="22"/>
          <w:lang w:val="en-IE" w:eastAsia="en-US"/>
        </w:rPr>
        <w:t>just over</w:t>
      </w:r>
      <w:r w:rsidR="00915AC2">
        <w:rPr>
          <w:rFonts w:ascii="Calibri" w:eastAsia="Times New Roman" w:hAnsi="Calibri" w:cs="Calibri"/>
          <w:bCs/>
          <w:iCs/>
          <w:snapToGrid w:val="0"/>
          <w:sz w:val="22"/>
          <w:szCs w:val="22"/>
          <w:lang w:val="en-IE" w:eastAsia="en-US"/>
        </w:rPr>
        <w:t xml:space="preserve"> </w:t>
      </w:r>
      <w:r w:rsidRPr="009F5511">
        <w:rPr>
          <w:rFonts w:ascii="Calibri" w:eastAsia="Times New Roman" w:hAnsi="Calibri" w:cs="Calibri"/>
          <w:bCs/>
          <w:iCs/>
          <w:snapToGrid w:val="0"/>
          <w:sz w:val="22"/>
          <w:szCs w:val="22"/>
          <w:lang w:val="en-IE" w:eastAsia="en-US"/>
        </w:rPr>
        <w:t>€</w:t>
      </w:r>
      <w:r w:rsidR="00E57918" w:rsidRPr="009F5511">
        <w:rPr>
          <w:rFonts w:ascii="Calibri" w:eastAsia="Times New Roman" w:hAnsi="Calibri" w:cs="Calibri"/>
          <w:bCs/>
          <w:iCs/>
          <w:snapToGrid w:val="0"/>
          <w:sz w:val="22"/>
          <w:szCs w:val="22"/>
          <w:lang w:val="en-IE" w:eastAsia="en-US"/>
        </w:rPr>
        <w:t>20</w:t>
      </w:r>
      <w:r w:rsidR="000E6751">
        <w:rPr>
          <w:rFonts w:ascii="Calibri" w:eastAsia="Times New Roman" w:hAnsi="Calibri" w:cs="Calibri"/>
          <w:bCs/>
          <w:iCs/>
          <w:snapToGrid w:val="0"/>
          <w:sz w:val="22"/>
          <w:szCs w:val="22"/>
          <w:lang w:val="en-IE" w:eastAsia="en-US"/>
        </w:rPr>
        <w:t>0</w:t>
      </w:r>
      <w:r w:rsidRPr="009F5511">
        <w:rPr>
          <w:rFonts w:ascii="Calibri" w:eastAsia="Times New Roman" w:hAnsi="Calibri" w:cs="Calibri"/>
          <w:bCs/>
          <w:iCs/>
          <w:snapToGrid w:val="0"/>
          <w:sz w:val="22"/>
          <w:szCs w:val="22"/>
          <w:lang w:val="en-IE" w:eastAsia="en-US"/>
        </w:rPr>
        <w:t>M</w:t>
      </w:r>
      <w:r w:rsidR="00A7170D">
        <w:rPr>
          <w:rFonts w:ascii="Calibri" w:eastAsia="Times New Roman" w:hAnsi="Calibri" w:cs="Calibri"/>
          <w:bCs/>
          <w:iCs/>
          <w:snapToGrid w:val="0"/>
          <w:sz w:val="22"/>
          <w:szCs w:val="22"/>
          <w:lang w:val="en-IE" w:eastAsia="en-US"/>
        </w:rPr>
        <w:t xml:space="preserve"> (including </w:t>
      </w:r>
      <w:r w:rsidR="00356EC9">
        <w:rPr>
          <w:rFonts w:ascii="Calibri" w:eastAsia="Times New Roman" w:hAnsi="Calibri" w:cs="Calibri"/>
          <w:bCs/>
          <w:iCs/>
          <w:snapToGrid w:val="0"/>
          <w:sz w:val="22"/>
          <w:szCs w:val="22"/>
          <w:lang w:val="en-IE" w:eastAsia="en-US"/>
        </w:rPr>
        <w:t>over 7M</w:t>
      </w:r>
      <w:r w:rsidR="00F96F0F">
        <w:rPr>
          <w:rFonts w:ascii="Calibri" w:eastAsia="Times New Roman" w:hAnsi="Calibri" w:cs="Calibri"/>
          <w:bCs/>
          <w:iCs/>
          <w:snapToGrid w:val="0"/>
          <w:sz w:val="22"/>
          <w:szCs w:val="22"/>
          <w:lang w:val="en-IE" w:eastAsia="en-US"/>
        </w:rPr>
        <w:t xml:space="preserve"> </w:t>
      </w:r>
      <w:r w:rsidR="00CD2F95">
        <w:rPr>
          <w:rFonts w:ascii="Calibri" w:eastAsia="Times New Roman" w:hAnsi="Calibri" w:cs="Calibri"/>
          <w:bCs/>
          <w:iCs/>
          <w:snapToGrid w:val="0"/>
          <w:sz w:val="22"/>
          <w:szCs w:val="22"/>
          <w:lang w:val="en-IE" w:eastAsia="en-US"/>
        </w:rPr>
        <w:t>shares purchased</w:t>
      </w:r>
      <w:r w:rsidR="005C74EA">
        <w:rPr>
          <w:rFonts w:ascii="Calibri" w:eastAsia="Times New Roman" w:hAnsi="Calibri" w:cs="Calibri"/>
          <w:bCs/>
          <w:iCs/>
          <w:snapToGrid w:val="0"/>
          <w:sz w:val="22"/>
          <w:szCs w:val="22"/>
          <w:lang w:val="en-IE" w:eastAsia="en-US"/>
        </w:rPr>
        <w:t xml:space="preserve"> under </w:t>
      </w:r>
      <w:r w:rsidR="003A244C">
        <w:rPr>
          <w:rFonts w:ascii="Calibri" w:eastAsia="Times New Roman" w:hAnsi="Calibri" w:cs="Calibri"/>
          <w:bCs/>
          <w:iCs/>
          <w:snapToGrid w:val="0"/>
          <w:sz w:val="22"/>
          <w:szCs w:val="22"/>
          <w:lang w:val="en-IE" w:eastAsia="en-US"/>
        </w:rPr>
        <w:t>the €750M</w:t>
      </w:r>
      <w:r w:rsidR="004D64D0">
        <w:rPr>
          <w:rFonts w:ascii="Calibri" w:eastAsia="Times New Roman" w:hAnsi="Calibri" w:cs="Calibri"/>
          <w:bCs/>
          <w:iCs/>
          <w:snapToGrid w:val="0"/>
          <w:sz w:val="22"/>
          <w:szCs w:val="22"/>
          <w:lang w:val="en-IE" w:eastAsia="en-US"/>
        </w:rPr>
        <w:t xml:space="preserve"> </w:t>
      </w:r>
      <w:r w:rsidR="001D10BC">
        <w:rPr>
          <w:rFonts w:ascii="Calibri" w:eastAsia="Times New Roman" w:hAnsi="Calibri" w:cs="Calibri"/>
          <w:bCs/>
          <w:iCs/>
          <w:snapToGrid w:val="0"/>
          <w:sz w:val="22"/>
          <w:szCs w:val="22"/>
          <w:lang w:val="en-IE" w:eastAsia="en-US"/>
        </w:rPr>
        <w:t>share</w:t>
      </w:r>
      <w:r w:rsidR="00BA7CD5">
        <w:rPr>
          <w:rFonts w:ascii="Calibri" w:eastAsia="Times New Roman" w:hAnsi="Calibri" w:cs="Calibri"/>
          <w:bCs/>
          <w:iCs/>
          <w:snapToGrid w:val="0"/>
          <w:sz w:val="22"/>
          <w:szCs w:val="22"/>
          <w:lang w:val="en-IE" w:eastAsia="en-US"/>
        </w:rPr>
        <w:t xml:space="preserve"> buyback </w:t>
      </w:r>
      <w:r w:rsidR="004D64D0">
        <w:rPr>
          <w:rFonts w:ascii="Calibri" w:eastAsia="Times New Roman" w:hAnsi="Calibri" w:cs="Calibri"/>
          <w:bCs/>
          <w:iCs/>
          <w:snapToGrid w:val="0"/>
          <w:sz w:val="22"/>
          <w:szCs w:val="22"/>
          <w:lang w:val="en-IE" w:eastAsia="en-US"/>
        </w:rPr>
        <w:t>programme launched in May</w:t>
      </w:r>
      <w:r w:rsidR="00016D5D">
        <w:rPr>
          <w:rFonts w:ascii="Calibri" w:eastAsia="Times New Roman" w:hAnsi="Calibri" w:cs="Calibri"/>
          <w:bCs/>
          <w:iCs/>
          <w:snapToGrid w:val="0"/>
          <w:sz w:val="22"/>
          <w:szCs w:val="22"/>
          <w:lang w:val="en-IE" w:eastAsia="en-US"/>
        </w:rPr>
        <w:t xml:space="preserve"> </w:t>
      </w:r>
      <w:r w:rsidR="004D64D0">
        <w:rPr>
          <w:rFonts w:ascii="Calibri" w:eastAsia="Times New Roman" w:hAnsi="Calibri" w:cs="Calibri"/>
          <w:bCs/>
          <w:iCs/>
          <w:snapToGrid w:val="0"/>
          <w:sz w:val="22"/>
          <w:szCs w:val="22"/>
          <w:lang w:val="en-IE" w:eastAsia="en-US"/>
        </w:rPr>
        <w:t>2025</w:t>
      </w:r>
      <w:r w:rsidR="00016D5D">
        <w:rPr>
          <w:rFonts w:ascii="Calibri" w:eastAsia="Times New Roman" w:hAnsi="Calibri" w:cs="Calibri"/>
          <w:bCs/>
          <w:iCs/>
          <w:snapToGrid w:val="0"/>
          <w:sz w:val="22"/>
          <w:szCs w:val="22"/>
          <w:lang w:val="en-IE" w:eastAsia="en-US"/>
        </w:rPr>
        <w:t>)</w:t>
      </w:r>
      <w:r w:rsidRPr="009F5511">
        <w:rPr>
          <w:rFonts w:ascii="Calibri" w:eastAsia="Times New Roman" w:hAnsi="Calibri" w:cs="Calibri"/>
          <w:bCs/>
          <w:iCs/>
          <w:snapToGrid w:val="0"/>
          <w:sz w:val="22"/>
          <w:szCs w:val="22"/>
          <w:lang w:val="en-IE" w:eastAsia="en-US"/>
        </w:rPr>
        <w:t>. As a result of the</w:t>
      </w:r>
      <w:r w:rsidR="00C600BC" w:rsidRPr="009F5511">
        <w:rPr>
          <w:rFonts w:ascii="Calibri" w:eastAsia="Times New Roman" w:hAnsi="Calibri" w:cs="Calibri"/>
          <w:bCs/>
          <w:iCs/>
          <w:snapToGrid w:val="0"/>
          <w:sz w:val="22"/>
          <w:szCs w:val="22"/>
          <w:lang w:val="en-IE" w:eastAsia="en-US"/>
        </w:rPr>
        <w:t>se</w:t>
      </w:r>
      <w:r w:rsidRPr="009F5511">
        <w:rPr>
          <w:rFonts w:ascii="Calibri" w:eastAsia="Times New Roman" w:hAnsi="Calibri" w:cs="Calibri"/>
          <w:bCs/>
          <w:iCs/>
          <w:snapToGrid w:val="0"/>
          <w:sz w:val="22"/>
          <w:szCs w:val="22"/>
          <w:lang w:val="en-IE" w:eastAsia="en-US"/>
        </w:rPr>
        <w:t xml:space="preserve"> share</w:t>
      </w:r>
      <w:r w:rsidR="005406C0" w:rsidRPr="009F5511">
        <w:rPr>
          <w:rFonts w:ascii="Calibri" w:eastAsia="Times New Roman" w:hAnsi="Calibri" w:cs="Calibri"/>
          <w:bCs/>
          <w:iCs/>
          <w:snapToGrid w:val="0"/>
          <w:sz w:val="22"/>
          <w:szCs w:val="22"/>
          <w:lang w:val="en-IE" w:eastAsia="en-US"/>
        </w:rPr>
        <w:t xml:space="preserve"> buybacks</w:t>
      </w:r>
      <w:r w:rsidRPr="009F5511">
        <w:rPr>
          <w:rFonts w:ascii="Calibri" w:eastAsia="Times New Roman" w:hAnsi="Calibri" w:cs="Calibri"/>
          <w:bCs/>
          <w:iCs/>
          <w:snapToGrid w:val="0"/>
          <w:sz w:val="22"/>
          <w:szCs w:val="22"/>
          <w:lang w:val="en-IE" w:eastAsia="en-US"/>
        </w:rPr>
        <w:t xml:space="preserve">, share capital decreased by </w:t>
      </w:r>
      <w:r w:rsidR="00796197" w:rsidRPr="009F5511">
        <w:rPr>
          <w:rFonts w:ascii="Calibri" w:eastAsia="Times New Roman" w:hAnsi="Calibri" w:cs="Calibri"/>
          <w:bCs/>
          <w:iCs/>
          <w:snapToGrid w:val="0"/>
          <w:sz w:val="22"/>
          <w:szCs w:val="22"/>
          <w:lang w:val="en-IE" w:eastAsia="en-US"/>
        </w:rPr>
        <w:t>approx.</w:t>
      </w:r>
      <w:r w:rsidRPr="009F5511">
        <w:rPr>
          <w:rFonts w:ascii="Calibri" w:eastAsia="Times New Roman" w:hAnsi="Calibri" w:cs="Calibri"/>
          <w:bCs/>
          <w:iCs/>
          <w:snapToGrid w:val="0"/>
          <w:sz w:val="22"/>
          <w:szCs w:val="22"/>
          <w:lang w:val="en-IE" w:eastAsia="en-US"/>
        </w:rPr>
        <w:t xml:space="preserve"> </w:t>
      </w:r>
      <w:r w:rsidR="00470CEF" w:rsidRPr="009F5511">
        <w:rPr>
          <w:rFonts w:ascii="Calibri" w:eastAsia="Times New Roman" w:hAnsi="Calibri" w:cs="Calibri"/>
          <w:bCs/>
          <w:iCs/>
          <w:snapToGrid w:val="0"/>
          <w:sz w:val="22"/>
          <w:szCs w:val="22"/>
          <w:lang w:val="en-IE" w:eastAsia="en-US"/>
        </w:rPr>
        <w:t>8</w:t>
      </w:r>
      <w:r w:rsidRPr="009F5511">
        <w:rPr>
          <w:rFonts w:ascii="Calibri" w:eastAsia="Times New Roman" w:hAnsi="Calibri" w:cs="Calibri"/>
          <w:bCs/>
          <w:iCs/>
          <w:snapToGrid w:val="0"/>
          <w:sz w:val="22"/>
          <w:szCs w:val="22"/>
          <w:lang w:val="en-IE" w:eastAsia="en-US"/>
        </w:rPr>
        <w:t>M ordinary shares</w:t>
      </w:r>
      <w:r w:rsidR="00AE2716" w:rsidRPr="009F5511">
        <w:rPr>
          <w:rFonts w:ascii="Calibri" w:eastAsia="Times New Roman" w:hAnsi="Calibri" w:cs="Calibri"/>
          <w:bCs/>
          <w:iCs/>
          <w:snapToGrid w:val="0"/>
          <w:sz w:val="22"/>
          <w:szCs w:val="22"/>
          <w:lang w:val="en-IE" w:eastAsia="en-US"/>
        </w:rPr>
        <w:t xml:space="preserve"> (equivalent </w:t>
      </w:r>
      <w:r w:rsidR="00571EEE" w:rsidRPr="009F5511">
        <w:rPr>
          <w:rFonts w:ascii="Calibri" w:eastAsia="Times New Roman" w:hAnsi="Calibri" w:cs="Calibri"/>
          <w:bCs/>
          <w:iCs/>
          <w:snapToGrid w:val="0"/>
          <w:sz w:val="22"/>
          <w:szCs w:val="22"/>
          <w:lang w:val="en-IE" w:eastAsia="en-US"/>
        </w:rPr>
        <w:t xml:space="preserve">to </w:t>
      </w:r>
      <w:r w:rsidR="00796197" w:rsidRPr="009F5511">
        <w:rPr>
          <w:rFonts w:ascii="Calibri" w:eastAsia="Times New Roman" w:hAnsi="Calibri" w:cs="Calibri"/>
          <w:bCs/>
          <w:iCs/>
          <w:snapToGrid w:val="0"/>
          <w:sz w:val="22"/>
          <w:szCs w:val="22"/>
          <w:lang w:val="en-IE" w:eastAsia="en-US"/>
        </w:rPr>
        <w:t>approx.</w:t>
      </w:r>
      <w:r w:rsidR="00571EEE" w:rsidRPr="009F5511">
        <w:rPr>
          <w:rFonts w:ascii="Calibri" w:eastAsia="Times New Roman" w:hAnsi="Calibri" w:cs="Calibri"/>
          <w:bCs/>
          <w:iCs/>
          <w:snapToGrid w:val="0"/>
          <w:sz w:val="22"/>
          <w:szCs w:val="22"/>
          <w:lang w:val="en-IE" w:eastAsia="en-US"/>
        </w:rPr>
        <w:t xml:space="preserve"> 0.</w:t>
      </w:r>
      <w:r w:rsidR="00C9138D" w:rsidRPr="009F5511">
        <w:rPr>
          <w:rFonts w:ascii="Calibri" w:eastAsia="Times New Roman" w:hAnsi="Calibri" w:cs="Calibri"/>
          <w:bCs/>
          <w:iCs/>
          <w:snapToGrid w:val="0"/>
          <w:sz w:val="22"/>
          <w:szCs w:val="22"/>
          <w:lang w:val="en-IE" w:eastAsia="en-US"/>
        </w:rPr>
        <w:t>1</w:t>
      </w:r>
      <w:r w:rsidR="00571EEE" w:rsidRPr="009F5511">
        <w:rPr>
          <w:rFonts w:ascii="Calibri" w:eastAsia="Times New Roman" w:hAnsi="Calibri" w:cs="Calibri"/>
          <w:bCs/>
          <w:iCs/>
          <w:snapToGrid w:val="0"/>
          <w:sz w:val="22"/>
          <w:szCs w:val="22"/>
          <w:lang w:val="en-IE" w:eastAsia="en-US"/>
        </w:rPr>
        <w:t xml:space="preserve">% of the Company’s issued </w:t>
      </w:r>
      <w:r w:rsidR="000E30C4" w:rsidRPr="009F5511">
        <w:rPr>
          <w:rFonts w:ascii="Calibri" w:eastAsia="Times New Roman" w:hAnsi="Calibri" w:cs="Calibri"/>
          <w:bCs/>
          <w:iCs/>
          <w:snapToGrid w:val="0"/>
          <w:sz w:val="22"/>
          <w:szCs w:val="22"/>
          <w:lang w:val="en-IE" w:eastAsia="en-US"/>
        </w:rPr>
        <w:t>share capital at March 31, 2025).</w:t>
      </w:r>
    </w:p>
    <w:p w14:paraId="2E3910BE" w14:textId="77777777" w:rsidR="005118DF" w:rsidRDefault="005118DF" w:rsidP="005118DF">
      <w:pPr>
        <w:spacing w:after="0" w:line="240" w:lineRule="auto"/>
        <w:ind w:right="283"/>
        <w:jc w:val="both"/>
        <w:rPr>
          <w:rFonts w:ascii="Calibri" w:eastAsia="Times New Roman" w:hAnsi="Calibri" w:cs="Calibri"/>
          <w:b/>
          <w:sz w:val="22"/>
          <w:szCs w:val="22"/>
          <w:lang w:val="en-IE" w:eastAsia="en-US"/>
        </w:rPr>
      </w:pPr>
      <w:bookmarkStart w:id="28" w:name="_Hlk181344203"/>
      <w:bookmarkEnd w:id="9"/>
    </w:p>
    <w:p w14:paraId="02B4048C" w14:textId="3BBBC9CA" w:rsidR="005118DF" w:rsidRPr="005118DF" w:rsidRDefault="005118DF" w:rsidP="005118DF">
      <w:pPr>
        <w:spacing w:after="0" w:line="240" w:lineRule="auto"/>
        <w:ind w:right="283"/>
        <w:jc w:val="both"/>
        <w:rPr>
          <w:rFonts w:ascii="Calibri" w:eastAsia="Times New Roman" w:hAnsi="Calibri" w:cs="Calibri"/>
          <w:b/>
          <w:sz w:val="22"/>
          <w:szCs w:val="22"/>
          <w:lang w:val="en-IE" w:eastAsia="en-US"/>
        </w:rPr>
      </w:pPr>
      <w:r w:rsidRPr="005118DF">
        <w:rPr>
          <w:rFonts w:ascii="Calibri" w:eastAsia="Times New Roman" w:hAnsi="Calibri" w:cs="Calibri"/>
          <w:b/>
          <w:sz w:val="22"/>
          <w:szCs w:val="22"/>
          <w:lang w:val="en-IE" w:eastAsia="en-US"/>
        </w:rPr>
        <w:t>12.</w:t>
      </w:r>
      <w:r w:rsidRPr="005118DF">
        <w:rPr>
          <w:rFonts w:ascii="Calibri" w:eastAsia="Times New Roman" w:hAnsi="Calibri" w:cs="Calibri"/>
          <w:b/>
          <w:sz w:val="22"/>
          <w:szCs w:val="22"/>
          <w:lang w:val="en-IE" w:eastAsia="en-US"/>
        </w:rPr>
        <w:tab/>
        <w:t xml:space="preserve">Post balance sheet events </w:t>
      </w:r>
    </w:p>
    <w:p w14:paraId="4F1F2AF4" w14:textId="77777777" w:rsidR="005118DF" w:rsidRPr="005118DF" w:rsidRDefault="005118DF" w:rsidP="005118DF">
      <w:pPr>
        <w:spacing w:after="0" w:line="240" w:lineRule="auto"/>
        <w:ind w:left="-284" w:right="283" w:firstLine="284"/>
        <w:jc w:val="both"/>
        <w:rPr>
          <w:rFonts w:ascii="Calibri" w:eastAsia="Times New Roman" w:hAnsi="Calibri" w:cs="Calibri"/>
          <w:sz w:val="22"/>
          <w:szCs w:val="22"/>
          <w:lang w:val="en-IE" w:eastAsia="en-US"/>
        </w:rPr>
      </w:pPr>
    </w:p>
    <w:p w14:paraId="79BFA00A" w14:textId="2B157BD7" w:rsidR="005118DF" w:rsidRPr="001956A3" w:rsidRDefault="005118DF" w:rsidP="005118DF">
      <w:pPr>
        <w:spacing w:after="0" w:line="240" w:lineRule="auto"/>
        <w:ind w:right="283"/>
        <w:jc w:val="both"/>
        <w:rPr>
          <w:rFonts w:ascii="Calibri" w:eastAsia="Times New Roman" w:hAnsi="Calibri" w:cs="Calibri"/>
          <w:color w:val="000000"/>
          <w:sz w:val="22"/>
          <w:szCs w:val="22"/>
          <w:lang w:eastAsia="en-US"/>
        </w:rPr>
      </w:pPr>
      <w:r w:rsidRPr="001956A3">
        <w:rPr>
          <w:rFonts w:ascii="Calibri" w:eastAsia="Times New Roman" w:hAnsi="Calibri" w:cs="Calibri"/>
          <w:color w:val="000000"/>
          <w:sz w:val="22"/>
          <w:szCs w:val="22"/>
          <w:lang w:eastAsia="en-US"/>
        </w:rPr>
        <w:t>Between October 1, 202</w:t>
      </w:r>
      <w:r w:rsidR="00A469E0" w:rsidRPr="001956A3">
        <w:rPr>
          <w:rFonts w:ascii="Calibri" w:eastAsia="Times New Roman" w:hAnsi="Calibri" w:cs="Calibri"/>
          <w:color w:val="000000"/>
          <w:sz w:val="22"/>
          <w:szCs w:val="22"/>
          <w:lang w:eastAsia="en-US"/>
        </w:rPr>
        <w:t>5</w:t>
      </w:r>
      <w:r w:rsidRPr="001956A3">
        <w:rPr>
          <w:rFonts w:ascii="Calibri" w:eastAsia="Times New Roman" w:hAnsi="Calibri" w:cs="Calibri"/>
          <w:color w:val="000000"/>
          <w:sz w:val="22"/>
          <w:szCs w:val="22"/>
          <w:lang w:eastAsia="en-US"/>
        </w:rPr>
        <w:t xml:space="preserve"> and October 3</w:t>
      </w:r>
      <w:r w:rsidR="00A469E0" w:rsidRPr="001956A3">
        <w:rPr>
          <w:rFonts w:ascii="Calibri" w:eastAsia="Times New Roman" w:hAnsi="Calibri" w:cs="Calibri"/>
          <w:color w:val="000000"/>
          <w:sz w:val="22"/>
          <w:szCs w:val="22"/>
          <w:lang w:eastAsia="en-US"/>
        </w:rPr>
        <w:t>0</w:t>
      </w:r>
      <w:r w:rsidRPr="001956A3">
        <w:rPr>
          <w:rFonts w:ascii="Calibri" w:eastAsia="Times New Roman" w:hAnsi="Calibri" w:cs="Calibri"/>
          <w:color w:val="000000"/>
          <w:sz w:val="22"/>
          <w:szCs w:val="22"/>
          <w:lang w:eastAsia="en-US"/>
        </w:rPr>
        <w:t>, 202</w:t>
      </w:r>
      <w:r w:rsidR="00A469E0" w:rsidRPr="001956A3">
        <w:rPr>
          <w:rFonts w:ascii="Calibri" w:eastAsia="Times New Roman" w:hAnsi="Calibri" w:cs="Calibri"/>
          <w:color w:val="000000"/>
          <w:sz w:val="22"/>
          <w:szCs w:val="22"/>
          <w:lang w:eastAsia="en-US"/>
        </w:rPr>
        <w:t>5</w:t>
      </w:r>
      <w:r w:rsidRPr="001956A3">
        <w:rPr>
          <w:rFonts w:ascii="Calibri" w:eastAsia="Times New Roman" w:hAnsi="Calibri" w:cs="Calibri"/>
          <w:color w:val="000000"/>
          <w:sz w:val="22"/>
          <w:szCs w:val="22"/>
          <w:lang w:eastAsia="en-US"/>
        </w:rPr>
        <w:t xml:space="preserve"> the Company bought back </w:t>
      </w:r>
      <w:r w:rsidR="003514EA" w:rsidRPr="001956A3">
        <w:rPr>
          <w:rFonts w:ascii="Calibri" w:eastAsia="Times New Roman" w:hAnsi="Calibri" w:cs="Calibri"/>
          <w:color w:val="000000"/>
          <w:sz w:val="22"/>
          <w:szCs w:val="22"/>
          <w:lang w:eastAsia="en-US"/>
        </w:rPr>
        <w:t>approx.</w:t>
      </w:r>
      <w:r w:rsidRPr="001956A3">
        <w:rPr>
          <w:rFonts w:ascii="Calibri" w:eastAsia="Times New Roman" w:hAnsi="Calibri" w:cs="Calibri"/>
          <w:color w:val="000000"/>
          <w:sz w:val="22"/>
          <w:szCs w:val="22"/>
          <w:lang w:eastAsia="en-US"/>
        </w:rPr>
        <w:t xml:space="preserve"> </w:t>
      </w:r>
      <w:r w:rsidR="00006C94">
        <w:rPr>
          <w:rFonts w:ascii="Calibri" w:eastAsia="Times New Roman" w:hAnsi="Calibri" w:cs="Calibri"/>
          <w:color w:val="000000"/>
          <w:sz w:val="22"/>
          <w:szCs w:val="22"/>
          <w:lang w:eastAsia="en-US"/>
        </w:rPr>
        <w:t>3</w:t>
      </w:r>
      <w:r w:rsidRPr="001956A3">
        <w:rPr>
          <w:rFonts w:ascii="Calibri" w:eastAsia="Times New Roman" w:hAnsi="Calibri" w:cs="Calibri"/>
          <w:color w:val="000000"/>
          <w:sz w:val="22"/>
          <w:szCs w:val="22"/>
          <w:lang w:eastAsia="en-US"/>
        </w:rPr>
        <w:t xml:space="preserve">M ordinary shares at a total cost of </w:t>
      </w:r>
      <w:r w:rsidR="003514EA" w:rsidRPr="001956A3">
        <w:rPr>
          <w:rFonts w:ascii="Calibri" w:eastAsia="Times New Roman" w:hAnsi="Calibri" w:cs="Calibri"/>
          <w:color w:val="000000"/>
          <w:sz w:val="22"/>
          <w:szCs w:val="22"/>
          <w:lang w:eastAsia="en-US"/>
        </w:rPr>
        <w:t>approx.</w:t>
      </w:r>
      <w:r w:rsidRPr="001956A3">
        <w:rPr>
          <w:rFonts w:ascii="Calibri" w:eastAsia="Times New Roman" w:hAnsi="Calibri" w:cs="Calibri"/>
          <w:color w:val="000000"/>
          <w:sz w:val="22"/>
          <w:szCs w:val="22"/>
          <w:lang w:eastAsia="en-US"/>
        </w:rPr>
        <w:t xml:space="preserve"> €</w:t>
      </w:r>
      <w:r w:rsidR="00A42FA6">
        <w:rPr>
          <w:rFonts w:ascii="Calibri" w:eastAsia="Times New Roman" w:hAnsi="Calibri" w:cs="Calibri"/>
          <w:color w:val="000000"/>
          <w:sz w:val="22"/>
          <w:szCs w:val="22"/>
          <w:lang w:eastAsia="en-US"/>
        </w:rPr>
        <w:t>82</w:t>
      </w:r>
      <w:r w:rsidRPr="001956A3">
        <w:rPr>
          <w:rFonts w:ascii="Calibri" w:eastAsia="Times New Roman" w:hAnsi="Calibri" w:cs="Calibri"/>
          <w:color w:val="000000"/>
          <w:sz w:val="22"/>
          <w:szCs w:val="22"/>
          <w:lang w:eastAsia="en-US"/>
        </w:rPr>
        <w:t xml:space="preserve">M under its ongoing share buyback </w:t>
      </w:r>
      <w:proofErr w:type="spellStart"/>
      <w:r w:rsidRPr="001956A3">
        <w:rPr>
          <w:rFonts w:ascii="Calibri" w:eastAsia="Times New Roman" w:hAnsi="Calibri" w:cs="Calibri"/>
          <w:color w:val="000000"/>
          <w:sz w:val="22"/>
          <w:szCs w:val="22"/>
          <w:lang w:eastAsia="en-US"/>
        </w:rPr>
        <w:t>programme</w:t>
      </w:r>
      <w:proofErr w:type="spellEnd"/>
      <w:r w:rsidRPr="001956A3">
        <w:rPr>
          <w:rFonts w:ascii="Calibri" w:eastAsia="Times New Roman" w:hAnsi="Calibri" w:cs="Calibri"/>
          <w:color w:val="000000"/>
          <w:sz w:val="22"/>
          <w:szCs w:val="22"/>
          <w:lang w:eastAsia="en-US"/>
        </w:rPr>
        <w:t xml:space="preserve">. This brought total spend </w:t>
      </w:r>
      <w:r w:rsidR="00857C03">
        <w:rPr>
          <w:rFonts w:ascii="Calibri" w:eastAsia="Times New Roman" w:hAnsi="Calibri" w:cs="Calibri"/>
          <w:color w:val="000000"/>
          <w:sz w:val="22"/>
          <w:szCs w:val="22"/>
          <w:lang w:eastAsia="en-US"/>
        </w:rPr>
        <w:t>in FY26 to just under</w:t>
      </w:r>
      <w:r w:rsidRPr="001956A3">
        <w:rPr>
          <w:rFonts w:ascii="Calibri" w:eastAsia="Times New Roman" w:hAnsi="Calibri" w:cs="Calibri"/>
          <w:color w:val="000000"/>
          <w:sz w:val="22"/>
          <w:szCs w:val="22"/>
          <w:lang w:eastAsia="en-US"/>
        </w:rPr>
        <w:t xml:space="preserve"> €</w:t>
      </w:r>
      <w:r w:rsidR="000A209C">
        <w:rPr>
          <w:rFonts w:ascii="Calibri" w:eastAsia="Times New Roman" w:hAnsi="Calibri" w:cs="Calibri"/>
          <w:color w:val="000000"/>
          <w:sz w:val="22"/>
          <w:szCs w:val="22"/>
          <w:lang w:eastAsia="en-US"/>
        </w:rPr>
        <w:t>2</w:t>
      </w:r>
      <w:r w:rsidR="00857C03">
        <w:rPr>
          <w:rFonts w:ascii="Calibri" w:eastAsia="Times New Roman" w:hAnsi="Calibri" w:cs="Calibri"/>
          <w:color w:val="000000"/>
          <w:sz w:val="22"/>
          <w:szCs w:val="22"/>
          <w:lang w:eastAsia="en-US"/>
        </w:rPr>
        <w:t>9</w:t>
      </w:r>
      <w:r w:rsidR="000A209C">
        <w:rPr>
          <w:rFonts w:ascii="Calibri" w:eastAsia="Times New Roman" w:hAnsi="Calibri" w:cs="Calibri"/>
          <w:color w:val="000000"/>
          <w:sz w:val="22"/>
          <w:szCs w:val="22"/>
          <w:lang w:eastAsia="en-US"/>
        </w:rPr>
        <w:t>0</w:t>
      </w:r>
      <w:r w:rsidRPr="001956A3">
        <w:rPr>
          <w:rFonts w:ascii="Calibri" w:eastAsia="Times New Roman" w:hAnsi="Calibri" w:cs="Calibri"/>
          <w:color w:val="000000"/>
          <w:sz w:val="22"/>
          <w:szCs w:val="22"/>
          <w:lang w:eastAsia="en-US"/>
        </w:rPr>
        <w:t>M.</w:t>
      </w:r>
    </w:p>
    <w:bookmarkEnd w:id="28"/>
    <w:p w14:paraId="3F16B834" w14:textId="77777777" w:rsidR="000335F3" w:rsidRPr="001956A3" w:rsidRDefault="000335F3" w:rsidP="00177DB2">
      <w:pPr>
        <w:spacing w:after="0" w:line="240" w:lineRule="auto"/>
        <w:ind w:right="283"/>
        <w:jc w:val="both"/>
        <w:rPr>
          <w:rFonts w:ascii="Calibri" w:eastAsia="Times New Roman" w:hAnsi="Calibri" w:cs="Calibri"/>
          <w:color w:val="000000"/>
          <w:sz w:val="22"/>
          <w:szCs w:val="22"/>
          <w:lang w:eastAsia="en-US"/>
        </w:rPr>
      </w:pPr>
    </w:p>
    <w:p w14:paraId="571A68AD" w14:textId="2A0BC347" w:rsidR="008F4C45" w:rsidRDefault="00EF31A0" w:rsidP="00177DB2">
      <w:pPr>
        <w:spacing w:after="0" w:line="240" w:lineRule="auto"/>
        <w:ind w:right="283"/>
        <w:jc w:val="both"/>
        <w:rPr>
          <w:rFonts w:ascii="Calibri" w:eastAsia="Times New Roman" w:hAnsi="Calibri" w:cs="Calibri"/>
          <w:color w:val="000000"/>
          <w:sz w:val="22"/>
          <w:szCs w:val="22"/>
          <w:lang w:eastAsia="en-US"/>
        </w:rPr>
      </w:pPr>
      <w:r w:rsidRPr="001956A3">
        <w:rPr>
          <w:rFonts w:ascii="Calibri" w:eastAsia="Times New Roman" w:hAnsi="Calibri" w:cs="Calibri"/>
          <w:color w:val="000000"/>
          <w:sz w:val="22"/>
          <w:szCs w:val="22"/>
          <w:lang w:eastAsia="en-US"/>
        </w:rPr>
        <w:t xml:space="preserve">The Company has declared a </w:t>
      </w:r>
      <w:r w:rsidR="00B336A7" w:rsidRPr="001956A3">
        <w:rPr>
          <w:rFonts w:ascii="Calibri" w:eastAsia="Times New Roman" w:hAnsi="Calibri" w:cs="Calibri"/>
          <w:color w:val="000000"/>
          <w:sz w:val="22"/>
          <w:szCs w:val="22"/>
          <w:lang w:eastAsia="en-US"/>
        </w:rPr>
        <w:t>€0.</w:t>
      </w:r>
      <w:r w:rsidR="00B8560C" w:rsidRPr="001956A3">
        <w:rPr>
          <w:rFonts w:ascii="Calibri" w:eastAsia="Times New Roman" w:hAnsi="Calibri" w:cs="Calibri"/>
          <w:color w:val="000000"/>
          <w:sz w:val="22"/>
          <w:szCs w:val="22"/>
          <w:lang w:eastAsia="en-US"/>
        </w:rPr>
        <w:t>193</w:t>
      </w:r>
      <w:r w:rsidR="001A28D9" w:rsidRPr="001956A3">
        <w:rPr>
          <w:rFonts w:ascii="Calibri" w:eastAsia="Times New Roman" w:hAnsi="Calibri" w:cs="Calibri"/>
          <w:color w:val="000000"/>
          <w:sz w:val="22"/>
          <w:szCs w:val="22"/>
          <w:lang w:eastAsia="en-US"/>
        </w:rPr>
        <w:t xml:space="preserve"> interim dividend per share payable in late February 2026.</w:t>
      </w:r>
    </w:p>
    <w:p w14:paraId="7C8F8015" w14:textId="76F75441" w:rsidR="00BE6F1C" w:rsidRPr="008F4C45" w:rsidRDefault="008F4C45" w:rsidP="008F4C45">
      <w:pP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br w:type="page"/>
      </w:r>
    </w:p>
    <w:p w14:paraId="55B7B909" w14:textId="4E99C7B6" w:rsidR="000335F3" w:rsidRPr="000335F3" w:rsidRDefault="000335F3" w:rsidP="000335F3">
      <w:pPr>
        <w:spacing w:after="0" w:line="240" w:lineRule="auto"/>
        <w:ind w:right="283"/>
        <w:jc w:val="center"/>
        <w:rPr>
          <w:rFonts w:ascii="Calibri" w:eastAsia="Times New Roman" w:hAnsi="Calibri" w:cs="Calibri"/>
          <w:lang w:eastAsia="en-US"/>
        </w:rPr>
      </w:pPr>
      <w:r w:rsidRPr="000335F3">
        <w:rPr>
          <w:rFonts w:ascii="Calibri" w:eastAsia="Times New Roman" w:hAnsi="Calibri" w:cs="Calibri"/>
          <w:b/>
          <w:lang w:eastAsia="en-US"/>
        </w:rPr>
        <w:lastRenderedPageBreak/>
        <w:t>Ryanair Holdings plc and Subsidiaries</w:t>
      </w:r>
    </w:p>
    <w:p w14:paraId="04426351" w14:textId="77777777" w:rsidR="000335F3" w:rsidRPr="000335F3" w:rsidRDefault="000335F3" w:rsidP="000335F3">
      <w:pPr>
        <w:spacing w:after="0" w:line="240" w:lineRule="auto"/>
        <w:ind w:right="283"/>
        <w:jc w:val="center"/>
        <w:rPr>
          <w:rFonts w:ascii="Calibri" w:eastAsia="Times New Roman" w:hAnsi="Calibri" w:cs="Calibri"/>
          <w:b/>
          <w:lang w:eastAsia="en-US"/>
        </w:rPr>
      </w:pPr>
      <w:r w:rsidRPr="000335F3">
        <w:rPr>
          <w:rFonts w:ascii="Calibri" w:eastAsia="Times New Roman" w:hAnsi="Calibri" w:cs="Calibri"/>
          <w:b/>
          <w:lang w:eastAsia="en-US"/>
        </w:rPr>
        <w:t>Responsibility Statement</w:t>
      </w:r>
    </w:p>
    <w:p w14:paraId="01E8D420" w14:textId="77777777" w:rsidR="000335F3" w:rsidRPr="000335F3" w:rsidRDefault="000335F3" w:rsidP="000335F3">
      <w:pPr>
        <w:spacing w:after="0" w:line="240" w:lineRule="auto"/>
        <w:ind w:right="283"/>
        <w:jc w:val="both"/>
        <w:rPr>
          <w:rFonts w:ascii="Calibri" w:eastAsia="Times New Roman" w:hAnsi="Calibri" w:cs="Calibri"/>
          <w:b/>
          <w:sz w:val="22"/>
          <w:lang w:val="en-IE" w:eastAsia="en-US"/>
        </w:rPr>
      </w:pPr>
    </w:p>
    <w:p w14:paraId="5C1E7DDB" w14:textId="77777777" w:rsidR="000335F3" w:rsidRPr="000335F3" w:rsidRDefault="000335F3" w:rsidP="000335F3">
      <w:pPr>
        <w:spacing w:after="0" w:line="240" w:lineRule="auto"/>
        <w:ind w:right="283"/>
        <w:jc w:val="both"/>
        <w:rPr>
          <w:rFonts w:ascii="Calibri" w:eastAsia="Times New Roman" w:hAnsi="Calibri" w:cs="Calibri"/>
          <w:b/>
          <w:sz w:val="22"/>
          <w:lang w:val="en-IE" w:eastAsia="en-US"/>
        </w:rPr>
      </w:pPr>
    </w:p>
    <w:p w14:paraId="18CF172D" w14:textId="77777777" w:rsidR="000335F3" w:rsidRPr="000335F3" w:rsidRDefault="000335F3" w:rsidP="000335F3">
      <w:pPr>
        <w:autoSpaceDE w:val="0"/>
        <w:autoSpaceDN w:val="0"/>
        <w:adjustRightInd w:val="0"/>
        <w:spacing w:after="0" w:line="300" w:lineRule="exact"/>
        <w:ind w:right="283"/>
        <w:jc w:val="both"/>
        <w:rPr>
          <w:rFonts w:ascii="Calibri" w:eastAsia="Times New Roman" w:hAnsi="Calibri" w:cs="Calibri"/>
          <w:b/>
          <w:sz w:val="22"/>
          <w:szCs w:val="22"/>
          <w:lang w:val="en-IE" w:eastAsia="en-US"/>
        </w:rPr>
      </w:pPr>
      <w:r w:rsidRPr="000335F3">
        <w:rPr>
          <w:rFonts w:ascii="Calibri" w:eastAsia="Times New Roman" w:hAnsi="Calibri" w:cs="Calibri"/>
          <w:b/>
          <w:sz w:val="22"/>
          <w:szCs w:val="22"/>
          <w:lang w:val="en-IE" w:eastAsia="en-US"/>
        </w:rPr>
        <w:t>Statement of the Directors in respect of the interim financial report</w:t>
      </w:r>
    </w:p>
    <w:p w14:paraId="5BB8D0F1" w14:textId="77777777" w:rsidR="000335F3" w:rsidRPr="000335F3" w:rsidRDefault="000335F3" w:rsidP="000335F3">
      <w:pPr>
        <w:autoSpaceDE w:val="0"/>
        <w:autoSpaceDN w:val="0"/>
        <w:adjustRightInd w:val="0"/>
        <w:spacing w:after="0" w:line="300" w:lineRule="exact"/>
        <w:ind w:right="283"/>
        <w:jc w:val="both"/>
        <w:rPr>
          <w:rFonts w:ascii="Calibri" w:eastAsia="Times New Roman" w:hAnsi="Calibri" w:cs="Calibri"/>
          <w:sz w:val="22"/>
          <w:lang w:val="en-IE" w:eastAsia="en-US"/>
        </w:rPr>
      </w:pPr>
    </w:p>
    <w:p w14:paraId="5C34A536"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The Directors are responsible for preparing the half-yearly financial report in accordance with the Transparency (Directive 2004/109/EC) Regulations 2007 (“Transparency Directive”), and the Central Bank (Investment Market Conduct) Rules 2019.</w:t>
      </w:r>
    </w:p>
    <w:p w14:paraId="6AB2E587"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p>
    <w:p w14:paraId="6C1C4EDF"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In preparing the condensed set of consolidated interim financial statements included within the half-yearly financial report, the Directors are required to:</w:t>
      </w:r>
    </w:p>
    <w:p w14:paraId="150AB142" w14:textId="77777777" w:rsidR="000335F3" w:rsidRPr="000335F3" w:rsidRDefault="000335F3" w:rsidP="00BF6486">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 xml:space="preserve">prepare and present the condensed set of financial statements in accordance with IAS 34 </w:t>
      </w:r>
      <w:r w:rsidRPr="000335F3">
        <w:rPr>
          <w:rFonts w:ascii="Calibri" w:eastAsia="Times New Roman" w:hAnsi="Calibri" w:cs="Calibri"/>
          <w:i/>
          <w:iCs/>
          <w:sz w:val="22"/>
          <w:szCs w:val="22"/>
          <w:lang w:val="en-IE" w:eastAsia="en-US"/>
        </w:rPr>
        <w:t xml:space="preserve">Interim Financial Reporting </w:t>
      </w:r>
      <w:r w:rsidRPr="000335F3">
        <w:rPr>
          <w:rFonts w:ascii="Calibri" w:eastAsia="Times New Roman" w:hAnsi="Calibri" w:cs="Calibri"/>
          <w:sz w:val="22"/>
          <w:szCs w:val="22"/>
          <w:lang w:val="en-IE" w:eastAsia="en-US"/>
        </w:rPr>
        <w:t>as adopted by the EU, the Transparency Directive and the Central Bank (Investment Market Conduct) Rules 2019;</w:t>
      </w:r>
    </w:p>
    <w:p w14:paraId="563EE859" w14:textId="77777777" w:rsidR="000335F3" w:rsidRPr="000335F3" w:rsidRDefault="000335F3" w:rsidP="000335F3">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ensure the condensed set of financial statements has adequate disclosures;</w:t>
      </w:r>
    </w:p>
    <w:p w14:paraId="46648116" w14:textId="77777777" w:rsidR="000335F3" w:rsidRPr="000335F3" w:rsidRDefault="000335F3" w:rsidP="000335F3">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select and apply appropriate accounting policies; and</w:t>
      </w:r>
    </w:p>
    <w:p w14:paraId="18B91245" w14:textId="77777777" w:rsidR="000335F3" w:rsidRPr="000335F3" w:rsidRDefault="000335F3" w:rsidP="000335F3">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 xml:space="preserve">make accounting estimates that are reasonable in the circumstances. </w:t>
      </w:r>
    </w:p>
    <w:p w14:paraId="0EFE9C6A"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p>
    <w:p w14:paraId="58C33C96"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 xml:space="preserve">The Directors are responsible for designing, implementing and maintaining such internal controls as they determine is necessary to enable the preparation of the condensed set of financial statements that is free from material misstatement whether due to fraud or error. </w:t>
      </w:r>
    </w:p>
    <w:p w14:paraId="54F83B87"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p>
    <w:p w14:paraId="52109F9B"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We confirm that to the best of our knowledge:</w:t>
      </w:r>
    </w:p>
    <w:p w14:paraId="62C7D6EC"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p>
    <w:p w14:paraId="278CFEDE" w14:textId="497B11FF" w:rsidR="000335F3" w:rsidRPr="000335F3" w:rsidRDefault="000335F3" w:rsidP="000335F3">
      <w:pPr>
        <w:numPr>
          <w:ilvl w:val="0"/>
          <w:numId w:val="15"/>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the condensed set of consolidated interim financial statements included within the half-yearly financial report of Ryanair Holdings plc for the six months ended September 30, 202</w:t>
      </w:r>
      <w:r>
        <w:rPr>
          <w:rFonts w:ascii="Calibri" w:eastAsia="Times New Roman" w:hAnsi="Calibri" w:cs="Calibri"/>
          <w:sz w:val="22"/>
          <w:szCs w:val="22"/>
          <w:lang w:val="en-IE" w:eastAsia="en-US"/>
        </w:rPr>
        <w:t>5</w:t>
      </w:r>
      <w:r w:rsidRPr="000335F3">
        <w:rPr>
          <w:rFonts w:ascii="Calibri" w:eastAsia="Times New Roman" w:hAnsi="Calibri" w:cs="Calibri"/>
          <w:sz w:val="22"/>
          <w:szCs w:val="22"/>
          <w:lang w:val="en-IE" w:eastAsia="en-US"/>
        </w:rPr>
        <w:t xml:space="preserve"> (“the interim financial information”) which comprises the condensed consolidated interim balance sheet, the condensed consolidated interim income statement, the condensed consolidated interim statement of comprehensive income, the condensed consolidated interim statement of cash flows and the condensed consolidated interim statement of changes in shareholders’ equity and the related explanatory notes, have been presented and prepared in accordance with IAS 34 </w:t>
      </w:r>
      <w:r w:rsidRPr="000335F3">
        <w:rPr>
          <w:rFonts w:ascii="Calibri" w:eastAsia="Times New Roman" w:hAnsi="Calibri" w:cs="Calibri"/>
          <w:i/>
          <w:iCs/>
          <w:sz w:val="22"/>
          <w:szCs w:val="22"/>
          <w:lang w:val="en-IE" w:eastAsia="en-US"/>
        </w:rPr>
        <w:t>Interim Financial Reporting</w:t>
      </w:r>
      <w:r w:rsidRPr="000335F3">
        <w:rPr>
          <w:rFonts w:ascii="Calibri" w:eastAsia="Times New Roman" w:hAnsi="Calibri" w:cs="Calibri"/>
          <w:sz w:val="22"/>
          <w:szCs w:val="22"/>
          <w:lang w:val="en-IE" w:eastAsia="en-US"/>
        </w:rPr>
        <w:t>, as adopted by the EU, the Transparency Directive and the Central Bank (Investment Market Conduct) Rules 2019.</w:t>
      </w:r>
    </w:p>
    <w:p w14:paraId="671A4A09" w14:textId="77777777" w:rsidR="000335F3" w:rsidRPr="000335F3" w:rsidRDefault="000335F3" w:rsidP="000335F3">
      <w:pPr>
        <w:autoSpaceDE w:val="0"/>
        <w:autoSpaceDN w:val="0"/>
        <w:adjustRightInd w:val="0"/>
        <w:spacing w:after="0" w:line="240" w:lineRule="auto"/>
        <w:ind w:left="720" w:right="283"/>
        <w:contextualSpacing/>
        <w:jc w:val="both"/>
        <w:rPr>
          <w:rFonts w:ascii="Calibri" w:eastAsia="Times New Roman" w:hAnsi="Calibri" w:cs="Calibri"/>
          <w:sz w:val="22"/>
          <w:szCs w:val="22"/>
          <w:lang w:val="en-IE" w:eastAsia="en-US"/>
        </w:rPr>
      </w:pPr>
    </w:p>
    <w:p w14:paraId="76972EBB" w14:textId="77777777" w:rsidR="000335F3" w:rsidRPr="000335F3" w:rsidRDefault="000335F3" w:rsidP="000335F3">
      <w:pPr>
        <w:numPr>
          <w:ilvl w:val="0"/>
          <w:numId w:val="15"/>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 xml:space="preserve">The interim financial information presented, as required by the Transparency Directive, includes: </w:t>
      </w:r>
    </w:p>
    <w:p w14:paraId="20E8B89E" w14:textId="77777777" w:rsidR="000335F3" w:rsidRPr="000335F3" w:rsidRDefault="000335F3" w:rsidP="000335F3">
      <w:pPr>
        <w:numPr>
          <w:ilvl w:val="1"/>
          <w:numId w:val="15"/>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an indication of important events that have occurred during the first 6 months of the financial year, and their impact on the condensed set of consolidated interim financial statements;</w:t>
      </w:r>
    </w:p>
    <w:p w14:paraId="1AFF4278" w14:textId="77777777" w:rsidR="000335F3" w:rsidRPr="000335F3" w:rsidRDefault="000335F3" w:rsidP="000335F3">
      <w:pPr>
        <w:numPr>
          <w:ilvl w:val="1"/>
          <w:numId w:val="15"/>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a description of the principal risks and uncertainties for the remaining 6 months of the financial year;</w:t>
      </w:r>
    </w:p>
    <w:p w14:paraId="4DA5AA7E" w14:textId="77777777" w:rsidR="000335F3" w:rsidRPr="000335F3" w:rsidRDefault="000335F3" w:rsidP="000335F3">
      <w:pPr>
        <w:numPr>
          <w:ilvl w:val="1"/>
          <w:numId w:val="15"/>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related parties’ transactions that have taken place in the first 6 months of the current financial year and that have materially affected the financial position or the performance of the enterprise during that period; and</w:t>
      </w:r>
    </w:p>
    <w:p w14:paraId="678A86C0" w14:textId="77777777" w:rsidR="000335F3" w:rsidRPr="000335F3" w:rsidRDefault="000335F3" w:rsidP="000335F3">
      <w:pPr>
        <w:numPr>
          <w:ilvl w:val="1"/>
          <w:numId w:val="15"/>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any changes in the related parties’ transactions described in the last annual report that could have a material effect on the financial position or performance of the enterprise in the first 6 months of the current financial year.</w:t>
      </w:r>
    </w:p>
    <w:p w14:paraId="486071EE" w14:textId="77777777" w:rsidR="000335F3" w:rsidRPr="000335F3" w:rsidRDefault="000335F3" w:rsidP="000335F3">
      <w:pPr>
        <w:autoSpaceDE w:val="0"/>
        <w:autoSpaceDN w:val="0"/>
        <w:adjustRightInd w:val="0"/>
        <w:spacing w:after="0" w:line="240" w:lineRule="auto"/>
        <w:ind w:left="-600" w:right="283"/>
        <w:jc w:val="both"/>
        <w:rPr>
          <w:rFonts w:ascii="Calibri" w:eastAsia="Times New Roman" w:hAnsi="Calibri" w:cs="Calibri"/>
          <w:sz w:val="22"/>
          <w:szCs w:val="22"/>
          <w:lang w:val="en-IE" w:eastAsia="en-US"/>
        </w:rPr>
      </w:pPr>
    </w:p>
    <w:p w14:paraId="36FF8CCE"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szCs w:val="22"/>
          <w:lang w:val="en-IE" w:eastAsia="en-US"/>
        </w:rPr>
      </w:pPr>
      <w:r w:rsidRPr="000335F3">
        <w:rPr>
          <w:rFonts w:ascii="Calibri" w:eastAsia="Times New Roman" w:hAnsi="Calibri" w:cs="Calibri"/>
          <w:sz w:val="22"/>
          <w:szCs w:val="22"/>
          <w:lang w:val="en-IE" w:eastAsia="en-US"/>
        </w:rPr>
        <w:t>On behalf of the Board</w:t>
      </w:r>
    </w:p>
    <w:p w14:paraId="04C99068"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lang w:val="en-IE" w:eastAsia="en-US"/>
        </w:rPr>
      </w:pPr>
    </w:p>
    <w:p w14:paraId="43B5A9E4"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lang w:val="en-IE" w:eastAsia="en-US"/>
        </w:rPr>
      </w:pPr>
    </w:p>
    <w:p w14:paraId="2B436DF1"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lang w:val="en-IE" w:eastAsia="en-US"/>
        </w:rPr>
      </w:pPr>
      <w:r w:rsidRPr="000335F3">
        <w:rPr>
          <w:rFonts w:ascii="Calibri" w:eastAsia="Times New Roman" w:hAnsi="Calibri" w:cs="Calibri"/>
          <w:sz w:val="22"/>
          <w:lang w:val="en-IE" w:eastAsia="en-US"/>
        </w:rPr>
        <w:t>Stan McCarthy</w:t>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t>Michael O’Leary</w:t>
      </w:r>
    </w:p>
    <w:p w14:paraId="54DD6F6C"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lang w:val="en-IE" w:eastAsia="en-US"/>
        </w:rPr>
      </w:pPr>
      <w:r w:rsidRPr="000335F3">
        <w:rPr>
          <w:rFonts w:ascii="Calibri" w:eastAsia="Times New Roman" w:hAnsi="Calibri" w:cs="Calibri"/>
          <w:sz w:val="22"/>
          <w:lang w:val="en-IE" w:eastAsia="en-US"/>
        </w:rPr>
        <w:t>Chairman</w:t>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r>
      <w:r w:rsidRPr="000335F3">
        <w:rPr>
          <w:rFonts w:ascii="Calibri" w:eastAsia="Times New Roman" w:hAnsi="Calibri" w:cs="Calibri"/>
          <w:sz w:val="22"/>
          <w:lang w:val="en-IE" w:eastAsia="en-US"/>
        </w:rPr>
        <w:tab/>
        <w:t>Chief Executive</w:t>
      </w:r>
    </w:p>
    <w:p w14:paraId="4E0856E7" w14:textId="77777777"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lang w:val="en-IE" w:eastAsia="en-US"/>
        </w:rPr>
      </w:pPr>
    </w:p>
    <w:p w14:paraId="30FABF80" w14:textId="506E5E3A" w:rsidR="000335F3" w:rsidRPr="000335F3" w:rsidRDefault="000335F3" w:rsidP="000335F3">
      <w:pPr>
        <w:autoSpaceDE w:val="0"/>
        <w:autoSpaceDN w:val="0"/>
        <w:adjustRightInd w:val="0"/>
        <w:spacing w:after="0" w:line="240" w:lineRule="auto"/>
        <w:ind w:right="283"/>
        <w:jc w:val="both"/>
        <w:rPr>
          <w:rFonts w:ascii="Calibri" w:eastAsia="Times New Roman" w:hAnsi="Calibri" w:cs="Calibri"/>
          <w:sz w:val="22"/>
          <w:lang w:val="en-IE" w:eastAsia="en-US"/>
        </w:rPr>
      </w:pPr>
      <w:r>
        <w:rPr>
          <w:rFonts w:ascii="Calibri" w:eastAsia="Times New Roman" w:hAnsi="Calibri" w:cs="Calibri"/>
          <w:sz w:val="22"/>
          <w:lang w:val="en-IE" w:eastAsia="en-US"/>
        </w:rPr>
        <w:t>October</w:t>
      </w:r>
      <w:r w:rsidRPr="000335F3">
        <w:rPr>
          <w:rFonts w:ascii="Calibri" w:eastAsia="Times New Roman" w:hAnsi="Calibri" w:cs="Calibri"/>
          <w:sz w:val="22"/>
          <w:lang w:val="en-IE" w:eastAsia="en-US"/>
        </w:rPr>
        <w:t xml:space="preserve"> </w:t>
      </w:r>
      <w:r>
        <w:rPr>
          <w:rFonts w:ascii="Calibri" w:eastAsia="Times New Roman" w:hAnsi="Calibri" w:cs="Calibri"/>
          <w:sz w:val="22"/>
          <w:lang w:val="en-IE" w:eastAsia="en-US"/>
        </w:rPr>
        <w:t>3</w:t>
      </w:r>
      <w:r w:rsidRPr="000335F3">
        <w:rPr>
          <w:rFonts w:ascii="Calibri" w:eastAsia="Times New Roman" w:hAnsi="Calibri" w:cs="Calibri"/>
          <w:sz w:val="22"/>
          <w:lang w:val="en-IE" w:eastAsia="en-US"/>
        </w:rPr>
        <w:t>1, 202</w:t>
      </w:r>
      <w:r>
        <w:rPr>
          <w:rFonts w:ascii="Calibri" w:eastAsia="Times New Roman" w:hAnsi="Calibri" w:cs="Calibri"/>
          <w:sz w:val="22"/>
          <w:lang w:val="en-IE" w:eastAsia="en-US"/>
        </w:rPr>
        <w:t>5</w:t>
      </w:r>
    </w:p>
    <w:p w14:paraId="4B74AD6E" w14:textId="5AFE664F" w:rsidR="006D60EC" w:rsidRDefault="006D60EC">
      <w:pPr>
        <w:rPr>
          <w:rFonts w:ascii="Calibri" w:eastAsia="Times New Roman" w:hAnsi="Calibri" w:cs="Calibri"/>
          <w:sz w:val="22"/>
          <w:lang w:val="en-IE" w:eastAsia="en-US"/>
        </w:rPr>
      </w:pPr>
      <w:r>
        <w:rPr>
          <w:rFonts w:ascii="Calibri" w:eastAsia="Times New Roman" w:hAnsi="Calibri" w:cs="Calibri"/>
          <w:sz w:val="22"/>
          <w:lang w:val="en-IE" w:eastAsia="en-US"/>
        </w:rPr>
        <w:br w:type="page"/>
      </w:r>
    </w:p>
    <w:p w14:paraId="2A882AF5" w14:textId="77777777" w:rsidR="00930C52" w:rsidRPr="003B1E97" w:rsidRDefault="00930C52" w:rsidP="00930C52">
      <w:pPr>
        <w:spacing w:after="0" w:line="240" w:lineRule="auto"/>
        <w:ind w:right="283"/>
        <w:jc w:val="both"/>
        <w:rPr>
          <w:rFonts w:ascii="Calibri" w:eastAsia="Times New Roman" w:hAnsi="Calibri" w:cs="Calibri"/>
          <w:b/>
          <w:bCs/>
          <w:sz w:val="22"/>
          <w:szCs w:val="22"/>
          <w:lang w:val="en-GB" w:eastAsia="en-US"/>
        </w:rPr>
      </w:pPr>
      <w:r w:rsidRPr="003B1E97">
        <w:rPr>
          <w:rFonts w:ascii="Calibri" w:eastAsia="Times New Roman" w:hAnsi="Calibri" w:cs="Calibri"/>
          <w:b/>
          <w:bCs/>
          <w:sz w:val="22"/>
          <w:szCs w:val="22"/>
          <w:lang w:val="en-GB" w:eastAsia="en-US"/>
        </w:rPr>
        <w:lastRenderedPageBreak/>
        <w:t>Independent review report to Ryanair Holdings plc</w:t>
      </w:r>
    </w:p>
    <w:p w14:paraId="44E4C488" w14:textId="77777777" w:rsidR="00930C52" w:rsidRPr="003B1E97" w:rsidRDefault="00930C52" w:rsidP="00930C52">
      <w:pPr>
        <w:spacing w:after="0" w:line="240" w:lineRule="auto"/>
        <w:ind w:right="283"/>
        <w:jc w:val="both"/>
        <w:rPr>
          <w:rFonts w:ascii="Calibri" w:eastAsia="Times New Roman" w:hAnsi="Calibri" w:cs="Calibri"/>
          <w:b/>
          <w:bCs/>
          <w:sz w:val="22"/>
          <w:szCs w:val="22"/>
          <w:lang w:val="en-GB" w:eastAsia="en-US"/>
        </w:rPr>
      </w:pPr>
      <w:r w:rsidRPr="003B1E97">
        <w:rPr>
          <w:rFonts w:ascii="Calibri" w:eastAsia="Times New Roman" w:hAnsi="Calibri" w:cs="Calibri"/>
          <w:b/>
          <w:bCs/>
          <w:sz w:val="22"/>
          <w:szCs w:val="22"/>
          <w:lang w:val="en-GB" w:eastAsia="en-US"/>
        </w:rPr>
        <w:t>Report on the condensed consolidated interim financial statements</w:t>
      </w:r>
    </w:p>
    <w:p w14:paraId="5F6EA5A4" w14:textId="77777777" w:rsidR="00E23D4F" w:rsidRPr="003B1E97" w:rsidRDefault="00E23D4F" w:rsidP="00E23D4F">
      <w:pPr>
        <w:pBdr>
          <w:bottom w:val="single" w:sz="12" w:space="1" w:color="auto"/>
        </w:pBdr>
        <w:spacing w:after="0" w:line="240" w:lineRule="auto"/>
        <w:ind w:right="283"/>
        <w:jc w:val="both"/>
        <w:rPr>
          <w:rFonts w:ascii="Calibri" w:eastAsia="Times New Roman" w:hAnsi="Calibri" w:cs="Calibri"/>
          <w:sz w:val="22"/>
          <w:szCs w:val="22"/>
          <w:lang w:val="en-GB" w:eastAsia="en-US"/>
        </w:rPr>
      </w:pPr>
    </w:p>
    <w:p w14:paraId="1DC68F5A" w14:textId="77777777" w:rsidR="00930C52" w:rsidRPr="003B1E97" w:rsidRDefault="00930C52" w:rsidP="00930C52">
      <w:pPr>
        <w:spacing w:after="0" w:line="240" w:lineRule="auto"/>
        <w:ind w:right="283"/>
        <w:jc w:val="both"/>
        <w:rPr>
          <w:rFonts w:ascii="Calibri" w:eastAsia="Times New Roman" w:hAnsi="Calibri" w:cs="Calibri"/>
          <w:b/>
          <w:bCs/>
          <w:sz w:val="22"/>
          <w:szCs w:val="22"/>
          <w:lang w:val="en-GB" w:eastAsia="en-US"/>
        </w:rPr>
      </w:pPr>
      <w:r w:rsidRPr="003B1E97">
        <w:rPr>
          <w:rFonts w:ascii="Calibri" w:eastAsia="Times New Roman" w:hAnsi="Calibri" w:cs="Calibri"/>
          <w:b/>
          <w:bCs/>
          <w:sz w:val="22"/>
          <w:szCs w:val="22"/>
          <w:lang w:val="en-GB" w:eastAsia="en-US"/>
        </w:rPr>
        <w:t>Our conclusion</w:t>
      </w:r>
    </w:p>
    <w:p w14:paraId="65764317"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 xml:space="preserve">We have reviewed Ryanair Holdings plc’s Condensed Consolidated Interim Financial Statements (the “interim financial statements”) in the Half-Yearly Financial Report of Ryanair Holdings plc for the period ended September 30, 2025 (the “period”). </w:t>
      </w:r>
    </w:p>
    <w:p w14:paraId="04F8A991"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528DDBD8"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Based on our review, nothing has come to our attention that causes us to believe that the interim financial statements are not prepared, in all material respects, in accordance with International Accounting Standard 34, ‘Interim Financial Reporting’, as adopted by the European Union and the Transparency (Directive 2004/109/EC) Regulations 2007 and the Central Bank (Investment Market Conduct) Rules 2019.</w:t>
      </w:r>
    </w:p>
    <w:p w14:paraId="2737C1D7"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21141CD0"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The interim financial statements comprise:</w:t>
      </w:r>
    </w:p>
    <w:p w14:paraId="1BA22AE3" w14:textId="77777777" w:rsidR="00930C52" w:rsidRPr="003B1E97" w:rsidRDefault="00930C52" w:rsidP="00930C52">
      <w:pPr>
        <w:autoSpaceDE w:val="0"/>
        <w:autoSpaceDN w:val="0"/>
        <w:adjustRightInd w:val="0"/>
        <w:spacing w:after="0" w:line="240" w:lineRule="auto"/>
        <w:ind w:left="720" w:right="283"/>
        <w:contextualSpacing/>
        <w:jc w:val="both"/>
        <w:rPr>
          <w:rFonts w:ascii="Calibri" w:eastAsia="Times New Roman" w:hAnsi="Calibri" w:cs="Calibri"/>
          <w:sz w:val="22"/>
          <w:szCs w:val="22"/>
          <w:lang w:val="en-IE" w:eastAsia="en-US"/>
        </w:rPr>
      </w:pPr>
    </w:p>
    <w:p w14:paraId="3753F958"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3B1E97">
        <w:rPr>
          <w:rFonts w:ascii="Calibri" w:eastAsia="Times New Roman" w:hAnsi="Calibri" w:cs="Calibri"/>
          <w:sz w:val="22"/>
          <w:szCs w:val="22"/>
          <w:lang w:val="en-IE" w:eastAsia="en-US"/>
        </w:rPr>
        <w:t>the Condensed Consolidated Interim Balance Sheet as at September 30, 2025 on page 1;</w:t>
      </w:r>
    </w:p>
    <w:p w14:paraId="2B916542"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3B1E97">
        <w:rPr>
          <w:rFonts w:ascii="Calibri" w:eastAsia="Times New Roman" w:hAnsi="Calibri" w:cs="Calibri"/>
          <w:sz w:val="22"/>
          <w:szCs w:val="22"/>
          <w:lang w:val="en-IE" w:eastAsia="en-US"/>
        </w:rPr>
        <w:t>the Condensed Consolidated Interim Income Statement and Condensed Consolidated Interim Statement of Comprehensive Income for the Half-Year then ended on pages 2 and 4;</w:t>
      </w:r>
    </w:p>
    <w:p w14:paraId="03E668FA"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3B1E97">
        <w:rPr>
          <w:rFonts w:ascii="Calibri" w:eastAsia="Times New Roman" w:hAnsi="Calibri" w:cs="Calibri"/>
          <w:sz w:val="22"/>
          <w:szCs w:val="22"/>
          <w:lang w:val="en-IE" w:eastAsia="en-US"/>
        </w:rPr>
        <w:t>the Condensed Consolidated Interim Income Statement and Condensed Consolidated Interim Statement of Comprehensive Income for the Quarter then ended on pages 3 and 4;</w:t>
      </w:r>
    </w:p>
    <w:p w14:paraId="3955E3B0"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3B1E97">
        <w:rPr>
          <w:rFonts w:ascii="Calibri" w:eastAsia="Times New Roman" w:hAnsi="Calibri" w:cs="Calibri"/>
          <w:sz w:val="22"/>
          <w:szCs w:val="22"/>
          <w:lang w:val="en-IE" w:eastAsia="en-US"/>
        </w:rPr>
        <w:t>the Condensed Consolidated Interim Statement of Cash Flows for the Half-Year ended September 30, 2025 on page 5;</w:t>
      </w:r>
    </w:p>
    <w:p w14:paraId="2F0C9880"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3B1E97">
        <w:rPr>
          <w:rFonts w:ascii="Calibri" w:eastAsia="Times New Roman" w:hAnsi="Calibri" w:cs="Calibri"/>
          <w:sz w:val="22"/>
          <w:szCs w:val="22"/>
          <w:lang w:val="en-IE" w:eastAsia="en-US"/>
        </w:rPr>
        <w:t>the Condensed Consolidated Interim Statement of Changes in Shareholders’ Equity for the Half-Year ended September 30, 2025 on page 6; and</w:t>
      </w:r>
    </w:p>
    <w:p w14:paraId="11433DDF"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22"/>
          <w:szCs w:val="22"/>
          <w:lang w:val="en-IE" w:eastAsia="en-US"/>
        </w:rPr>
      </w:pPr>
      <w:r w:rsidRPr="003B1E97">
        <w:rPr>
          <w:rFonts w:ascii="Calibri" w:eastAsia="Times New Roman" w:hAnsi="Calibri" w:cs="Calibri"/>
          <w:sz w:val="22"/>
          <w:szCs w:val="22"/>
          <w:lang w:val="en-IE" w:eastAsia="en-US"/>
        </w:rPr>
        <w:t>the Notes forming part of the Condensed Consolidated Interim Financial Statements on pages 12 to 20.</w:t>
      </w:r>
    </w:p>
    <w:p w14:paraId="5BA93F8B"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06F7A5CB"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The MD&amp;A Half-Year Ended September 30, 2025 on pages 7 to 8, the MD&amp;A Quarter Ended September 30, 2025 on page 9 and the Interim Management Report on pages 10 to 11 do not form part of the interim financial statements.</w:t>
      </w:r>
    </w:p>
    <w:p w14:paraId="65A01E9B"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4AC3138C"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The interim financial statements included in the Half-Yearly Financial Report have been prepared in accordance with International Accounting Standard 34, ‘Interim Financial Reporting’, as adopted by the European Union and the Transparency (Directive 2004/109/EC) Regulations 2007 and the Central Bank (Investment Market Conduct) Rules 2019.</w:t>
      </w:r>
    </w:p>
    <w:p w14:paraId="38D1C9A3"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63313BA5"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 xml:space="preserve">As disclosed in note 1 to the interim financial statements, the financial reporting framework that has been applied in the preparation of the full annual financial statements of the Group is applicable law,      International Financial Reporting Standards (IFRSs) as adopted by the European Union and IFRS Accounting standards as issued by the International Accounting Standards Board.  </w:t>
      </w:r>
    </w:p>
    <w:p w14:paraId="250CA84F" w14:textId="77777777" w:rsidR="00E23D4F" w:rsidRPr="003B1E97" w:rsidRDefault="00E23D4F" w:rsidP="00E23D4F">
      <w:pPr>
        <w:pBdr>
          <w:bottom w:val="single" w:sz="12" w:space="1" w:color="auto"/>
        </w:pBdr>
        <w:spacing w:after="0" w:line="240" w:lineRule="auto"/>
        <w:ind w:right="283"/>
        <w:jc w:val="both"/>
        <w:rPr>
          <w:rFonts w:ascii="Calibri" w:eastAsia="Times New Roman" w:hAnsi="Calibri" w:cs="Calibri"/>
          <w:sz w:val="22"/>
          <w:szCs w:val="22"/>
          <w:lang w:val="en-GB" w:eastAsia="en-US"/>
        </w:rPr>
      </w:pPr>
    </w:p>
    <w:p w14:paraId="4AE503CF" w14:textId="77777777" w:rsidR="00930C52" w:rsidRPr="003B1E97" w:rsidRDefault="00930C52" w:rsidP="00930C52">
      <w:pPr>
        <w:spacing w:after="0" w:line="240" w:lineRule="auto"/>
        <w:ind w:right="283"/>
        <w:jc w:val="both"/>
        <w:rPr>
          <w:rFonts w:ascii="Calibri" w:eastAsia="Times New Roman" w:hAnsi="Calibri" w:cs="Calibri"/>
          <w:b/>
          <w:bCs/>
          <w:sz w:val="22"/>
          <w:szCs w:val="22"/>
          <w:lang w:val="en-GB" w:eastAsia="en-US"/>
        </w:rPr>
      </w:pPr>
      <w:r w:rsidRPr="003B1E97">
        <w:rPr>
          <w:rFonts w:ascii="Calibri" w:eastAsia="Times New Roman" w:hAnsi="Calibri" w:cs="Calibri"/>
          <w:b/>
          <w:bCs/>
          <w:sz w:val="22"/>
          <w:szCs w:val="22"/>
          <w:lang w:val="en-GB" w:eastAsia="en-US"/>
        </w:rPr>
        <w:t>Basis for conclusion</w:t>
      </w:r>
    </w:p>
    <w:p w14:paraId="4ED00B9E"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 xml:space="preserve">We conducted our review in accordance with International Standard on Review Engagements (Ireland) 2410, ‘Review of Interim Financial Information Performed by the Independent Auditor of the Entity’ (“ISRE (Ireland) 2410”) issued for use in Ireland. A review of interim financial information consists of making enquiries, primarily of persons responsible for financial and accounting matters, and applying analytical and other review procedures. </w:t>
      </w:r>
    </w:p>
    <w:p w14:paraId="1E5A8A10"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126F3D3D"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A review is substantially less in scope than an audit conducted in accordance with International Standards on Auditing (Ireland) and, consequently, does not enable us to obtain assurance that we would become aware of all significant matters that might be identified in an audit. Accordingly, we do not express an audit opinion.</w:t>
      </w:r>
    </w:p>
    <w:p w14:paraId="508D1431"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1700E3EB" w14:textId="23E0BEB9" w:rsidR="009C6593" w:rsidRDefault="00930C52" w:rsidP="00930C52">
      <w:pPr>
        <w:pBdr>
          <w:bottom w:val="single" w:sz="12" w:space="1" w:color="auto"/>
        </w:pBd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We have read the other information contained in the Half-Yearly Financial Report and considered whether it contains any apparent misstatements or material inconsistencies with the information in the interim financial statements.</w:t>
      </w:r>
    </w:p>
    <w:p w14:paraId="000175C2" w14:textId="77777777" w:rsidR="001E25B2" w:rsidRDefault="001E25B2" w:rsidP="00930C52">
      <w:pPr>
        <w:pBdr>
          <w:bottom w:val="single" w:sz="12" w:space="1" w:color="auto"/>
        </w:pBdr>
        <w:spacing w:after="0" w:line="240" w:lineRule="auto"/>
        <w:ind w:right="283"/>
        <w:jc w:val="both"/>
        <w:rPr>
          <w:rFonts w:ascii="Calibri" w:eastAsia="Times New Roman" w:hAnsi="Calibri" w:cs="Calibri"/>
          <w:sz w:val="22"/>
          <w:szCs w:val="22"/>
          <w:lang w:val="en-GB" w:eastAsia="en-US"/>
        </w:rPr>
      </w:pPr>
    </w:p>
    <w:p w14:paraId="16B0E45A" w14:textId="45BE5B5F" w:rsidR="00930C52" w:rsidRPr="003B1E97" w:rsidRDefault="001147B9" w:rsidP="001147B9">
      <w:pPr>
        <w:rPr>
          <w:rFonts w:ascii="Calibri" w:eastAsia="Times New Roman" w:hAnsi="Calibri" w:cs="Calibri"/>
          <w:b/>
          <w:bCs/>
          <w:sz w:val="22"/>
          <w:szCs w:val="22"/>
          <w:lang w:val="en-GB" w:eastAsia="en-US"/>
        </w:rPr>
      </w:pPr>
      <w:r>
        <w:rPr>
          <w:rFonts w:ascii="Calibri" w:eastAsia="Times New Roman" w:hAnsi="Calibri" w:cs="Calibri"/>
          <w:b/>
          <w:bCs/>
          <w:sz w:val="22"/>
          <w:szCs w:val="22"/>
          <w:lang w:val="en-GB" w:eastAsia="en-US"/>
        </w:rPr>
        <w:br w:type="page"/>
      </w:r>
      <w:r w:rsidR="00930C52" w:rsidRPr="003B1E97">
        <w:rPr>
          <w:rFonts w:ascii="Calibri" w:eastAsia="Times New Roman" w:hAnsi="Calibri" w:cs="Calibri"/>
          <w:b/>
          <w:bCs/>
          <w:sz w:val="22"/>
          <w:szCs w:val="22"/>
          <w:lang w:val="en-GB" w:eastAsia="en-US"/>
        </w:rPr>
        <w:lastRenderedPageBreak/>
        <w:t>Conclusions relating to going concern</w:t>
      </w:r>
    </w:p>
    <w:p w14:paraId="5C18FBB7" w14:textId="544A7009" w:rsidR="00930C52"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 xml:space="preserve">Based on our review procedures, which are less extensive than those performed in an audit as described in the Basis for conclusion section of this report, nothing has come to our attention to suggest that the Directors have inappropriately adopted the going concern basis of accounting or that the Directors have identified material uncertainties relating to going concern that are not appropriately disclosed. </w:t>
      </w:r>
    </w:p>
    <w:p w14:paraId="46B8EBA6" w14:textId="77777777" w:rsidR="001147B9" w:rsidRPr="003B1E97" w:rsidRDefault="001147B9" w:rsidP="00930C52">
      <w:pPr>
        <w:spacing w:after="0" w:line="240" w:lineRule="auto"/>
        <w:ind w:right="283"/>
        <w:jc w:val="both"/>
        <w:rPr>
          <w:rFonts w:ascii="Calibri" w:eastAsia="Times New Roman" w:hAnsi="Calibri" w:cs="Calibri"/>
          <w:sz w:val="22"/>
          <w:szCs w:val="22"/>
          <w:lang w:val="en-GB" w:eastAsia="en-US"/>
        </w:rPr>
      </w:pPr>
    </w:p>
    <w:p w14:paraId="457D83C8"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This conclusion is based on the review procedures performed in accordance with ISRE (Ireland) 2410. However future events or conditions may cause the Group to cease to continue as a going concern.</w:t>
      </w:r>
    </w:p>
    <w:p w14:paraId="1C79A63A" w14:textId="77777777" w:rsidR="00E23D4F" w:rsidRPr="003B1E97" w:rsidRDefault="00E23D4F" w:rsidP="00E23D4F">
      <w:pPr>
        <w:pBdr>
          <w:bottom w:val="single" w:sz="12" w:space="1" w:color="auto"/>
        </w:pBdr>
        <w:spacing w:after="0" w:line="240" w:lineRule="auto"/>
        <w:ind w:right="283"/>
        <w:jc w:val="both"/>
        <w:rPr>
          <w:rFonts w:ascii="Calibri" w:eastAsia="Times New Roman" w:hAnsi="Calibri" w:cs="Calibri"/>
          <w:sz w:val="22"/>
          <w:szCs w:val="22"/>
          <w:lang w:val="en-GB" w:eastAsia="en-US"/>
        </w:rPr>
      </w:pPr>
    </w:p>
    <w:p w14:paraId="4A370928" w14:textId="77777777" w:rsidR="00930C52" w:rsidRPr="003B1E97" w:rsidRDefault="00930C52" w:rsidP="00930C52">
      <w:pPr>
        <w:spacing w:after="0" w:line="240" w:lineRule="auto"/>
        <w:ind w:right="283"/>
        <w:jc w:val="both"/>
        <w:rPr>
          <w:rFonts w:ascii="Calibri" w:eastAsia="Times New Roman" w:hAnsi="Calibri" w:cs="Calibri"/>
          <w:b/>
          <w:bCs/>
          <w:sz w:val="22"/>
          <w:szCs w:val="22"/>
          <w:lang w:val="en-GB" w:eastAsia="en-US"/>
        </w:rPr>
      </w:pPr>
      <w:r w:rsidRPr="003B1E97">
        <w:rPr>
          <w:rFonts w:ascii="Calibri" w:eastAsia="Times New Roman" w:hAnsi="Calibri" w:cs="Calibri"/>
          <w:b/>
          <w:bCs/>
          <w:sz w:val="22"/>
          <w:szCs w:val="22"/>
          <w:lang w:val="en-GB" w:eastAsia="en-US"/>
        </w:rPr>
        <w:t>Responsibilities for the interim financial statements and the review</w:t>
      </w:r>
    </w:p>
    <w:p w14:paraId="3C670D7C"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587D3299" w14:textId="77777777" w:rsidR="00930C52" w:rsidRPr="006D7404" w:rsidRDefault="00930C52" w:rsidP="00930C52">
      <w:pPr>
        <w:spacing w:after="0" w:line="240" w:lineRule="auto"/>
        <w:ind w:right="283"/>
        <w:jc w:val="both"/>
        <w:rPr>
          <w:rFonts w:ascii="Calibri" w:eastAsia="Times New Roman" w:hAnsi="Calibri" w:cs="Calibri"/>
          <w:i/>
          <w:iCs/>
          <w:sz w:val="22"/>
          <w:szCs w:val="22"/>
          <w:lang w:val="en-GB" w:eastAsia="en-US"/>
        </w:rPr>
      </w:pPr>
      <w:r w:rsidRPr="006D7404">
        <w:rPr>
          <w:rFonts w:ascii="Calibri" w:eastAsia="Times New Roman" w:hAnsi="Calibri" w:cs="Calibri"/>
          <w:i/>
          <w:iCs/>
          <w:sz w:val="22"/>
          <w:szCs w:val="22"/>
          <w:lang w:val="en-GB" w:eastAsia="en-US"/>
        </w:rPr>
        <w:t>Our responsibilities and those of the Directors</w:t>
      </w:r>
    </w:p>
    <w:p w14:paraId="560B0EA4"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013D9B79"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 xml:space="preserve">The Half-Yearly Financial Report, including the interim financial statements, is the responsibility of, and has been approved by, the Directors. The Directors are responsible for preparing the half-yearly financial report in accordance with the Transparency (Directive 2004/109/EC) Regulations 2007 and the Central Bank (Investment Market Conduct) Rules 2019. In preparing the Half-Yearly Financial Report including the interim financial statements, the Directors are responsible for assessing the Group’s ability to continue as a going concern, disclosing, as applicable, matters related to going concern and using the going concern basis of accounting unless the Directors either intend to liquidate the Group or to cease operations, or have no realistic alternative but to do so. </w:t>
      </w:r>
    </w:p>
    <w:p w14:paraId="33822808"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234681CB"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Our responsibility is to express a conclusion on the interim financial statements in the Half-Yearly Financial Report based on our review. Our conclusion, including our Conclusions relating to going concern, is based on procedures that are less extensive than audit procedures, as described in the Basis for conclusion paragraph of this report. This report, including the conclusion, has been prepared for and only for the company for the purpose of complying with the Transparency (Directive 2004/109/EC) Regulations 2007 and the Central Bank (Investment Market Conduct) Rules 2019 and for no other purpose. We do not, in giving this conclusion, accept or assume responsibility for any other purpose or to any other person to whom this report is shown or into whose hands it may come save where expressly agreed by our prior consent in writing.</w:t>
      </w:r>
    </w:p>
    <w:p w14:paraId="62EE0147"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5FB3EFA6"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14FD9637"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5F786677"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28FFBCB2"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 xml:space="preserve">PricewaterhouseCoopers </w:t>
      </w:r>
    </w:p>
    <w:p w14:paraId="75F6CDDB"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Chartered Accountants</w:t>
      </w:r>
    </w:p>
    <w:p w14:paraId="1844388E"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Pr>
          <w:rFonts w:ascii="Calibri" w:eastAsia="Times New Roman" w:hAnsi="Calibri" w:cs="Calibri"/>
          <w:sz w:val="22"/>
          <w:szCs w:val="22"/>
          <w:lang w:val="en-GB" w:eastAsia="en-US"/>
        </w:rPr>
        <w:t>October 31</w:t>
      </w:r>
      <w:r w:rsidRPr="003B1E97">
        <w:rPr>
          <w:rFonts w:ascii="Calibri" w:eastAsia="Times New Roman" w:hAnsi="Calibri" w:cs="Calibri"/>
          <w:sz w:val="22"/>
          <w:szCs w:val="22"/>
          <w:lang w:val="en-GB" w:eastAsia="en-US"/>
        </w:rPr>
        <w:t>, 2025</w:t>
      </w:r>
    </w:p>
    <w:p w14:paraId="0C3A6BF1"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r w:rsidRPr="003B1E97">
        <w:rPr>
          <w:rFonts w:ascii="Calibri" w:eastAsia="Times New Roman" w:hAnsi="Calibri" w:cs="Calibri"/>
          <w:sz w:val="22"/>
          <w:szCs w:val="22"/>
          <w:lang w:val="en-GB" w:eastAsia="en-US"/>
        </w:rPr>
        <w:t>Dublin</w:t>
      </w:r>
    </w:p>
    <w:p w14:paraId="384BB38D"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4B33E823" w14:textId="77777777" w:rsidR="00930C52" w:rsidRPr="003B1E97" w:rsidRDefault="00930C52" w:rsidP="00930C52">
      <w:pPr>
        <w:spacing w:after="0" w:line="240" w:lineRule="auto"/>
        <w:ind w:right="283"/>
        <w:jc w:val="both"/>
        <w:rPr>
          <w:rFonts w:ascii="Calibri" w:eastAsia="Times New Roman" w:hAnsi="Calibri" w:cs="Calibri"/>
          <w:sz w:val="22"/>
          <w:szCs w:val="22"/>
          <w:lang w:val="en-GB" w:eastAsia="en-US"/>
        </w:rPr>
      </w:pPr>
    </w:p>
    <w:p w14:paraId="215D5E3C"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18"/>
          <w:szCs w:val="18"/>
          <w:lang w:val="en-IE" w:eastAsia="en-US"/>
        </w:rPr>
      </w:pPr>
      <w:r w:rsidRPr="003B1E97">
        <w:rPr>
          <w:rFonts w:ascii="Calibri" w:eastAsia="Times New Roman" w:hAnsi="Calibri" w:cs="Calibri"/>
          <w:sz w:val="18"/>
          <w:szCs w:val="18"/>
          <w:lang w:val="en-IE" w:eastAsia="en-US"/>
        </w:rPr>
        <w:t>The maintenance and integrity of the Ryanair Holdings plc website is the responsibility of the Directors; the work carried out by the auditors does not involve consideration of these matters and, accordingly, the auditors accept no responsibility for any changes that may have occurred to the financial statements since they were initially presented on the website.</w:t>
      </w:r>
    </w:p>
    <w:p w14:paraId="15F4DD45" w14:textId="77777777" w:rsidR="00930C52" w:rsidRPr="003B1E97" w:rsidRDefault="00930C52" w:rsidP="00930C52">
      <w:pPr>
        <w:numPr>
          <w:ilvl w:val="0"/>
          <w:numId w:val="14"/>
        </w:numPr>
        <w:autoSpaceDE w:val="0"/>
        <w:autoSpaceDN w:val="0"/>
        <w:adjustRightInd w:val="0"/>
        <w:spacing w:after="0" w:line="240" w:lineRule="auto"/>
        <w:ind w:right="283"/>
        <w:contextualSpacing/>
        <w:jc w:val="both"/>
        <w:rPr>
          <w:rFonts w:ascii="Calibri" w:eastAsia="Times New Roman" w:hAnsi="Calibri" w:cs="Calibri"/>
          <w:sz w:val="18"/>
          <w:szCs w:val="18"/>
          <w:lang w:val="en-IE" w:eastAsia="en-US"/>
        </w:rPr>
      </w:pPr>
      <w:r w:rsidRPr="003B1E97">
        <w:rPr>
          <w:rFonts w:ascii="Calibri" w:eastAsia="Times New Roman" w:hAnsi="Calibri" w:cs="Calibri"/>
          <w:sz w:val="18"/>
          <w:szCs w:val="18"/>
          <w:lang w:val="en-IE" w:eastAsia="en-US"/>
        </w:rPr>
        <w:t>Legislation in the Republic of Ireland governing the preparation and dissemination of financial statements may differ from legislation in other jurisdictions.</w:t>
      </w:r>
    </w:p>
    <w:p w14:paraId="6CA7DB3C" w14:textId="77777777" w:rsidR="000335F3" w:rsidRPr="00D57B08" w:rsidRDefault="000335F3" w:rsidP="00177DB2">
      <w:pPr>
        <w:spacing w:after="0" w:line="240" w:lineRule="auto"/>
        <w:ind w:right="283"/>
        <w:jc w:val="both"/>
        <w:rPr>
          <w:rFonts w:ascii="Calibri" w:eastAsia="Times New Roman" w:hAnsi="Calibri" w:cs="Calibri"/>
          <w:sz w:val="22"/>
          <w:lang w:val="en-GB" w:eastAsia="en-US"/>
        </w:rPr>
      </w:pPr>
    </w:p>
    <w:sectPr w:rsidR="000335F3" w:rsidRPr="00D57B08" w:rsidSect="000E5963">
      <w:footerReference w:type="default" r:id="rId12"/>
      <w:pgSz w:w="11906" w:h="16838" w:code="9"/>
      <w:pgMar w:top="567" w:right="425" w:bottom="992" w:left="567" w:header="284"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6B4A" w14:textId="77777777" w:rsidR="00ED5E61" w:rsidRDefault="00ED5E61" w:rsidP="00D265E3">
      <w:pPr>
        <w:spacing w:after="0" w:line="240" w:lineRule="auto"/>
      </w:pPr>
      <w:r>
        <w:separator/>
      </w:r>
    </w:p>
  </w:endnote>
  <w:endnote w:type="continuationSeparator" w:id="0">
    <w:p w14:paraId="56ABCF5A" w14:textId="77777777" w:rsidR="00ED5E61" w:rsidRDefault="00ED5E61" w:rsidP="00D265E3">
      <w:pPr>
        <w:spacing w:after="0" w:line="240" w:lineRule="auto"/>
      </w:pPr>
      <w:r>
        <w:continuationSeparator/>
      </w:r>
    </w:p>
  </w:endnote>
  <w:endnote w:type="continuationNotice" w:id="1">
    <w:p w14:paraId="36007279" w14:textId="77777777" w:rsidR="00ED5E61" w:rsidRDefault="00ED5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5A65" w14:textId="77777777" w:rsidR="000E5963" w:rsidRPr="007A408F" w:rsidRDefault="000E5963">
    <w:pPr>
      <w:pStyle w:val="Footer"/>
      <w:jc w:val="center"/>
      <w:rPr>
        <w:rFonts w:ascii="Calibri" w:hAnsi="Calibri" w:cs="Calibri"/>
        <w:sz w:val="21"/>
        <w:szCs w:val="21"/>
      </w:rPr>
    </w:pPr>
    <w:r w:rsidRPr="007A408F">
      <w:rPr>
        <w:rFonts w:ascii="Calibri" w:hAnsi="Calibri" w:cs="Calibri"/>
        <w:sz w:val="21"/>
        <w:szCs w:val="21"/>
      </w:rPr>
      <w:fldChar w:fldCharType="begin"/>
    </w:r>
    <w:r w:rsidRPr="007A408F">
      <w:rPr>
        <w:rFonts w:ascii="Calibri" w:hAnsi="Calibri" w:cs="Calibri"/>
        <w:sz w:val="21"/>
        <w:szCs w:val="21"/>
      </w:rPr>
      <w:instrText xml:space="preserve"> PAGE   \* MERGEFORMAT </w:instrText>
    </w:r>
    <w:r w:rsidRPr="007A408F">
      <w:rPr>
        <w:rFonts w:ascii="Calibri" w:hAnsi="Calibri" w:cs="Calibri"/>
        <w:sz w:val="21"/>
        <w:szCs w:val="21"/>
      </w:rPr>
      <w:fldChar w:fldCharType="separate"/>
    </w:r>
    <w:r w:rsidRPr="007A408F">
      <w:rPr>
        <w:rFonts w:ascii="Calibri" w:hAnsi="Calibri" w:cs="Calibri"/>
        <w:noProof/>
        <w:sz w:val="21"/>
        <w:szCs w:val="21"/>
      </w:rPr>
      <w:t>2</w:t>
    </w:r>
    <w:r w:rsidRPr="007A408F">
      <w:rPr>
        <w:rFonts w:ascii="Calibri" w:hAnsi="Calibri" w:cs="Calibri"/>
        <w:noProof/>
        <w:sz w:val="21"/>
        <w:szCs w:val="21"/>
      </w:rPr>
      <w:fldChar w:fldCharType="end"/>
    </w:r>
  </w:p>
  <w:p w14:paraId="3235B5BA" w14:textId="77777777" w:rsidR="000E5963" w:rsidRPr="00DB7576" w:rsidRDefault="000E5963" w:rsidP="000E5963">
    <w:pPr>
      <w:pStyle w:val="Footer"/>
      <w:jc w:val="center"/>
      <w:rPr>
        <w:rFonts w:ascii="Calibri" w:hAnsi="Calibri" w:cs="Calibri"/>
        <w:sz w:val="21"/>
        <w:szCs w:val="21"/>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0684" w14:textId="77777777" w:rsidR="00ED5E61" w:rsidRDefault="00ED5E61" w:rsidP="00D265E3">
      <w:pPr>
        <w:spacing w:after="0" w:line="240" w:lineRule="auto"/>
      </w:pPr>
      <w:r>
        <w:separator/>
      </w:r>
    </w:p>
  </w:footnote>
  <w:footnote w:type="continuationSeparator" w:id="0">
    <w:p w14:paraId="34C8171B" w14:textId="77777777" w:rsidR="00ED5E61" w:rsidRDefault="00ED5E61" w:rsidP="00D265E3">
      <w:pPr>
        <w:spacing w:after="0" w:line="240" w:lineRule="auto"/>
      </w:pPr>
      <w:r>
        <w:continuationSeparator/>
      </w:r>
    </w:p>
  </w:footnote>
  <w:footnote w:type="continuationNotice" w:id="1">
    <w:p w14:paraId="42F35DB8" w14:textId="77777777" w:rsidR="00ED5E61" w:rsidRDefault="00ED5E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94B"/>
    <w:multiLevelType w:val="hybridMultilevel"/>
    <w:tmpl w:val="881875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A24CCD"/>
    <w:multiLevelType w:val="hybridMultilevel"/>
    <w:tmpl w:val="3B22DE28"/>
    <w:lvl w:ilvl="0" w:tplc="C81C71EE">
      <w:start w:val="2"/>
      <w:numFmt w:val="bullet"/>
      <w:lvlText w:val="-"/>
      <w:lvlJc w:val="left"/>
      <w:pPr>
        <w:ind w:left="570" w:hanging="360"/>
      </w:pPr>
      <w:rPr>
        <w:rFonts w:ascii="Calibri" w:eastAsia="Times New Roman" w:hAnsi="Calibri" w:cs="Calibri" w:hint="default"/>
      </w:rPr>
    </w:lvl>
    <w:lvl w:ilvl="1" w:tplc="18090003" w:tentative="1">
      <w:start w:val="1"/>
      <w:numFmt w:val="bullet"/>
      <w:lvlText w:val="o"/>
      <w:lvlJc w:val="left"/>
      <w:pPr>
        <w:ind w:left="1290" w:hanging="360"/>
      </w:pPr>
      <w:rPr>
        <w:rFonts w:ascii="Courier New" w:hAnsi="Courier New" w:cs="Courier New" w:hint="default"/>
      </w:rPr>
    </w:lvl>
    <w:lvl w:ilvl="2" w:tplc="18090005" w:tentative="1">
      <w:start w:val="1"/>
      <w:numFmt w:val="bullet"/>
      <w:lvlText w:val=""/>
      <w:lvlJc w:val="left"/>
      <w:pPr>
        <w:ind w:left="2010" w:hanging="360"/>
      </w:pPr>
      <w:rPr>
        <w:rFonts w:ascii="Wingdings" w:hAnsi="Wingdings" w:hint="default"/>
      </w:rPr>
    </w:lvl>
    <w:lvl w:ilvl="3" w:tplc="18090001" w:tentative="1">
      <w:start w:val="1"/>
      <w:numFmt w:val="bullet"/>
      <w:lvlText w:val=""/>
      <w:lvlJc w:val="left"/>
      <w:pPr>
        <w:ind w:left="2730" w:hanging="360"/>
      </w:pPr>
      <w:rPr>
        <w:rFonts w:ascii="Symbol" w:hAnsi="Symbol" w:hint="default"/>
      </w:rPr>
    </w:lvl>
    <w:lvl w:ilvl="4" w:tplc="18090003" w:tentative="1">
      <w:start w:val="1"/>
      <w:numFmt w:val="bullet"/>
      <w:lvlText w:val="o"/>
      <w:lvlJc w:val="left"/>
      <w:pPr>
        <w:ind w:left="3450" w:hanging="360"/>
      </w:pPr>
      <w:rPr>
        <w:rFonts w:ascii="Courier New" w:hAnsi="Courier New" w:cs="Courier New" w:hint="default"/>
      </w:rPr>
    </w:lvl>
    <w:lvl w:ilvl="5" w:tplc="18090005" w:tentative="1">
      <w:start w:val="1"/>
      <w:numFmt w:val="bullet"/>
      <w:lvlText w:val=""/>
      <w:lvlJc w:val="left"/>
      <w:pPr>
        <w:ind w:left="4170" w:hanging="360"/>
      </w:pPr>
      <w:rPr>
        <w:rFonts w:ascii="Wingdings" w:hAnsi="Wingdings" w:hint="default"/>
      </w:rPr>
    </w:lvl>
    <w:lvl w:ilvl="6" w:tplc="18090001" w:tentative="1">
      <w:start w:val="1"/>
      <w:numFmt w:val="bullet"/>
      <w:lvlText w:val=""/>
      <w:lvlJc w:val="left"/>
      <w:pPr>
        <w:ind w:left="4890" w:hanging="360"/>
      </w:pPr>
      <w:rPr>
        <w:rFonts w:ascii="Symbol" w:hAnsi="Symbol" w:hint="default"/>
      </w:rPr>
    </w:lvl>
    <w:lvl w:ilvl="7" w:tplc="18090003" w:tentative="1">
      <w:start w:val="1"/>
      <w:numFmt w:val="bullet"/>
      <w:lvlText w:val="o"/>
      <w:lvlJc w:val="left"/>
      <w:pPr>
        <w:ind w:left="5610" w:hanging="360"/>
      </w:pPr>
      <w:rPr>
        <w:rFonts w:ascii="Courier New" w:hAnsi="Courier New" w:cs="Courier New" w:hint="default"/>
      </w:rPr>
    </w:lvl>
    <w:lvl w:ilvl="8" w:tplc="18090005" w:tentative="1">
      <w:start w:val="1"/>
      <w:numFmt w:val="bullet"/>
      <w:lvlText w:val=""/>
      <w:lvlJc w:val="left"/>
      <w:pPr>
        <w:ind w:left="6330" w:hanging="360"/>
      </w:pPr>
      <w:rPr>
        <w:rFonts w:ascii="Wingdings" w:hAnsi="Wingdings" w:hint="default"/>
      </w:rPr>
    </w:lvl>
  </w:abstractNum>
  <w:abstractNum w:abstractNumId="2" w15:restartNumberingAfterBreak="0">
    <w:nsid w:val="06AE700C"/>
    <w:multiLevelType w:val="hybridMultilevel"/>
    <w:tmpl w:val="5D4698C2"/>
    <w:lvl w:ilvl="0" w:tplc="7AD0D956">
      <w:start w:val="3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E47D69"/>
    <w:multiLevelType w:val="hybridMultilevel"/>
    <w:tmpl w:val="13060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642A33"/>
    <w:multiLevelType w:val="hybridMultilevel"/>
    <w:tmpl w:val="59D83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09A0607"/>
    <w:multiLevelType w:val="multilevel"/>
    <w:tmpl w:val="44A284A6"/>
    <w:lvl w:ilvl="0">
      <w:start w:val="1"/>
      <w:numFmt w:val="decimal"/>
      <w:lvlText w:val="%1."/>
      <w:lvlJc w:val="left"/>
      <w:pPr>
        <w:tabs>
          <w:tab w:val="num" w:pos="2705"/>
        </w:tabs>
        <w:ind w:left="1985" w:firstLine="0"/>
      </w:pPr>
      <w:rPr>
        <w:rFonts w:hint="default"/>
        <w:b/>
        <w:i w:val="0"/>
        <w:caps w:val="0"/>
        <w:smallCaps w:val="0"/>
        <w:strike w:val="0"/>
        <w:dstrike w:val="0"/>
        <w:vanish w:val="0"/>
        <w:color w:val="auto"/>
        <w:u w:val="none"/>
        <w:effect w:val="none"/>
        <w:vertAlign w:val="baseline"/>
      </w:rPr>
    </w:lvl>
    <w:lvl w:ilvl="1">
      <w:start w:val="1"/>
      <w:numFmt w:val="lowerLetter"/>
      <w:lvlText w:val="(%2)"/>
      <w:lvlJc w:val="left"/>
      <w:pPr>
        <w:tabs>
          <w:tab w:val="num" w:pos="-839"/>
        </w:tabs>
        <w:ind w:left="-839" w:hanging="720"/>
      </w:pPr>
      <w:rPr>
        <w:rFonts w:hint="default"/>
        <w:b/>
        <w:i w:val="0"/>
        <w:caps w:val="0"/>
        <w:strike w:val="0"/>
        <w:dstrike w:val="0"/>
        <w:vanish w:val="0"/>
        <w:color w:val="auto"/>
        <w:u w:val="none"/>
        <w:effect w:val="none"/>
        <w:vertAlign w:val="baseline"/>
      </w:rPr>
    </w:lvl>
    <w:lvl w:ilvl="2">
      <w:start w:val="1"/>
      <w:numFmt w:val="lowerRoman"/>
      <w:lvlText w:val="(%3)"/>
      <w:lvlJc w:val="left"/>
      <w:pPr>
        <w:tabs>
          <w:tab w:val="num" w:pos="601"/>
        </w:tabs>
        <w:ind w:left="601" w:hanging="720"/>
      </w:pPr>
      <w:rPr>
        <w:rFonts w:hint="default"/>
        <w:b w:val="0"/>
        <w:i w:val="0"/>
        <w:caps w:val="0"/>
        <w:strike w:val="0"/>
        <w:dstrike w:val="0"/>
        <w:vanish w:val="0"/>
        <w:color w:val="auto"/>
        <w:sz w:val="20"/>
        <w:u w:val="none"/>
        <w:effect w:val="none"/>
        <w:vertAlign w:val="baseline"/>
      </w:rPr>
    </w:lvl>
    <w:lvl w:ilvl="3">
      <w:start w:val="1"/>
      <w:numFmt w:val="lowerRoman"/>
      <w:lvlText w:val="(%4)"/>
      <w:lvlJc w:val="left"/>
      <w:pPr>
        <w:tabs>
          <w:tab w:val="num" w:pos="-119"/>
        </w:tabs>
        <w:ind w:left="-119" w:hanging="720"/>
      </w:pPr>
      <w:rPr>
        <w:rFonts w:hint="default"/>
        <w:b w:val="0"/>
        <w:i w:val="0"/>
        <w:caps w:val="0"/>
        <w:strike w:val="0"/>
        <w:dstrike w:val="0"/>
        <w:vanish w:val="0"/>
        <w:color w:val="auto"/>
        <w:u w:val="none"/>
        <w:effect w:val="none"/>
        <w:vertAlign w:val="baseline"/>
      </w:rPr>
    </w:lvl>
    <w:lvl w:ilvl="4">
      <w:start w:val="1"/>
      <w:numFmt w:val="lowerLetter"/>
      <w:lvlText w:val="(%5)"/>
      <w:lvlJc w:val="left"/>
      <w:pPr>
        <w:tabs>
          <w:tab w:val="num" w:pos="-119"/>
        </w:tabs>
        <w:ind w:left="-119" w:hanging="720"/>
      </w:pPr>
      <w:rPr>
        <w:rFonts w:hint="default"/>
        <w:b w:val="0"/>
        <w:i w:val="0"/>
        <w:caps w:val="0"/>
        <w:color w:val="auto"/>
        <w:u w:val="none"/>
      </w:rPr>
    </w:lvl>
    <w:lvl w:ilvl="5">
      <w:start w:val="1"/>
      <w:numFmt w:val="lowerRoman"/>
      <w:lvlText w:val="(%6)"/>
      <w:lvlJc w:val="left"/>
      <w:pPr>
        <w:tabs>
          <w:tab w:val="num" w:pos="601"/>
        </w:tabs>
        <w:ind w:left="601" w:hanging="360"/>
      </w:pPr>
      <w:rPr>
        <w:rFonts w:hint="default"/>
      </w:rPr>
    </w:lvl>
    <w:lvl w:ilvl="6">
      <w:start w:val="1"/>
      <w:numFmt w:val="decimal"/>
      <w:lvlText w:val="%7."/>
      <w:lvlJc w:val="left"/>
      <w:pPr>
        <w:tabs>
          <w:tab w:val="num" w:pos="961"/>
        </w:tabs>
        <w:ind w:left="961" w:hanging="360"/>
      </w:pPr>
      <w:rPr>
        <w:rFonts w:hint="default"/>
      </w:rPr>
    </w:lvl>
    <w:lvl w:ilvl="7">
      <w:start w:val="1"/>
      <w:numFmt w:val="lowerLetter"/>
      <w:lvlText w:val="%8."/>
      <w:lvlJc w:val="left"/>
      <w:pPr>
        <w:tabs>
          <w:tab w:val="num" w:pos="1321"/>
        </w:tabs>
        <w:ind w:left="1321" w:hanging="360"/>
      </w:pPr>
      <w:rPr>
        <w:rFonts w:hint="default"/>
      </w:rPr>
    </w:lvl>
    <w:lvl w:ilvl="8">
      <w:start w:val="1"/>
      <w:numFmt w:val="lowerRoman"/>
      <w:lvlText w:val="%9."/>
      <w:lvlJc w:val="left"/>
      <w:pPr>
        <w:tabs>
          <w:tab w:val="num" w:pos="1681"/>
        </w:tabs>
        <w:ind w:left="1681" w:hanging="360"/>
      </w:pPr>
      <w:rPr>
        <w:rFonts w:hint="default"/>
      </w:rPr>
    </w:lvl>
  </w:abstractNum>
  <w:abstractNum w:abstractNumId="6" w15:restartNumberingAfterBreak="0">
    <w:nsid w:val="14A527D3"/>
    <w:multiLevelType w:val="multilevel"/>
    <w:tmpl w:val="2C54F186"/>
    <w:lvl w:ilvl="0">
      <w:start w:val="1"/>
      <w:numFmt w:val="bullet"/>
      <w:lvlText w:val="●"/>
      <w:lvlJc w:val="left"/>
      <w:pPr>
        <w:ind w:left="1077" w:hanging="360"/>
      </w:pPr>
      <w:rPr>
        <w:rFonts w:ascii="Calibri" w:eastAsia="Calibri" w:hAnsi="Calibri" w:cs="Calibri"/>
        <w:i w:val="0"/>
        <w:sz w:val="22"/>
        <w:szCs w:val="22"/>
      </w:rPr>
    </w:lvl>
    <w:lvl w:ilvl="1">
      <w:start w:val="1"/>
      <w:numFmt w:val="bullet"/>
      <w:lvlText w:val="o"/>
      <w:lvlJc w:val="left"/>
      <w:pPr>
        <w:ind w:left="1797" w:hanging="360"/>
      </w:pPr>
    </w:lvl>
    <w:lvl w:ilvl="2">
      <w:start w:val="1"/>
      <w:numFmt w:val="bullet"/>
      <w:lvlText w:val="§"/>
      <w:lvlJc w:val="left"/>
      <w:pPr>
        <w:ind w:left="2517" w:hanging="360"/>
      </w:pPr>
    </w:lvl>
    <w:lvl w:ilvl="3">
      <w:start w:val="1"/>
      <w:numFmt w:val="bullet"/>
      <w:lvlText w:val="·"/>
      <w:lvlJc w:val="left"/>
      <w:pPr>
        <w:ind w:left="3237" w:hanging="360"/>
      </w:pPr>
    </w:lvl>
    <w:lvl w:ilvl="4">
      <w:start w:val="1"/>
      <w:numFmt w:val="bullet"/>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7"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8"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280749DB"/>
    <w:multiLevelType w:val="hybridMultilevel"/>
    <w:tmpl w:val="4B345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6629A8"/>
    <w:multiLevelType w:val="hybridMultilevel"/>
    <w:tmpl w:val="0C600FBC"/>
    <w:lvl w:ilvl="0" w:tplc="13F29E24">
      <w:start w:val="1"/>
      <w:numFmt w:val="bullet"/>
      <w:lvlText w:val=""/>
      <w:lvlJc w:val="left"/>
      <w:pPr>
        <w:ind w:left="720" w:hanging="360"/>
      </w:pPr>
      <w:rPr>
        <w:rFonts w:ascii="Symbol" w:hAnsi="Symbol" w:hint="default"/>
      </w:rPr>
    </w:lvl>
    <w:lvl w:ilvl="1" w:tplc="5AE0DBE0">
      <w:start w:val="1"/>
      <w:numFmt w:val="bullet"/>
      <w:lvlText w:val="o"/>
      <w:lvlJc w:val="left"/>
      <w:pPr>
        <w:ind w:left="1440" w:hanging="360"/>
      </w:pPr>
      <w:rPr>
        <w:rFonts w:ascii="Courier New" w:hAnsi="Courier New" w:hint="default"/>
      </w:rPr>
    </w:lvl>
    <w:lvl w:ilvl="2" w:tplc="B624134E">
      <w:start w:val="1"/>
      <w:numFmt w:val="bullet"/>
      <w:lvlText w:val=""/>
      <w:lvlJc w:val="left"/>
      <w:pPr>
        <w:ind w:left="2160" w:hanging="360"/>
      </w:pPr>
      <w:rPr>
        <w:rFonts w:ascii="Wingdings" w:hAnsi="Wingdings" w:hint="default"/>
      </w:rPr>
    </w:lvl>
    <w:lvl w:ilvl="3" w:tplc="F58E0ECA">
      <w:start w:val="1"/>
      <w:numFmt w:val="bullet"/>
      <w:lvlText w:val=""/>
      <w:lvlJc w:val="left"/>
      <w:pPr>
        <w:ind w:left="2880" w:hanging="360"/>
      </w:pPr>
      <w:rPr>
        <w:rFonts w:ascii="Symbol" w:hAnsi="Symbol" w:hint="default"/>
      </w:rPr>
    </w:lvl>
    <w:lvl w:ilvl="4" w:tplc="A5729712">
      <w:start w:val="1"/>
      <w:numFmt w:val="bullet"/>
      <w:lvlText w:val="o"/>
      <w:lvlJc w:val="left"/>
      <w:pPr>
        <w:ind w:left="3600" w:hanging="360"/>
      </w:pPr>
      <w:rPr>
        <w:rFonts w:ascii="Courier New" w:hAnsi="Courier New" w:hint="default"/>
      </w:rPr>
    </w:lvl>
    <w:lvl w:ilvl="5" w:tplc="1C74FC1A">
      <w:start w:val="1"/>
      <w:numFmt w:val="bullet"/>
      <w:lvlText w:val=""/>
      <w:lvlJc w:val="left"/>
      <w:pPr>
        <w:ind w:left="4320" w:hanging="360"/>
      </w:pPr>
      <w:rPr>
        <w:rFonts w:ascii="Wingdings" w:hAnsi="Wingdings" w:hint="default"/>
      </w:rPr>
    </w:lvl>
    <w:lvl w:ilvl="6" w:tplc="19F678D4">
      <w:start w:val="1"/>
      <w:numFmt w:val="bullet"/>
      <w:lvlText w:val=""/>
      <w:lvlJc w:val="left"/>
      <w:pPr>
        <w:ind w:left="5040" w:hanging="360"/>
      </w:pPr>
      <w:rPr>
        <w:rFonts w:ascii="Symbol" w:hAnsi="Symbol" w:hint="default"/>
      </w:rPr>
    </w:lvl>
    <w:lvl w:ilvl="7" w:tplc="C172DA44">
      <w:start w:val="1"/>
      <w:numFmt w:val="bullet"/>
      <w:lvlText w:val="o"/>
      <w:lvlJc w:val="left"/>
      <w:pPr>
        <w:ind w:left="5760" w:hanging="360"/>
      </w:pPr>
      <w:rPr>
        <w:rFonts w:ascii="Courier New" w:hAnsi="Courier New" w:hint="default"/>
      </w:rPr>
    </w:lvl>
    <w:lvl w:ilvl="8" w:tplc="E790301A">
      <w:start w:val="1"/>
      <w:numFmt w:val="bullet"/>
      <w:lvlText w:val=""/>
      <w:lvlJc w:val="left"/>
      <w:pPr>
        <w:ind w:left="6480" w:hanging="360"/>
      </w:pPr>
      <w:rPr>
        <w:rFonts w:ascii="Wingdings" w:hAnsi="Wingdings" w:hint="default"/>
      </w:rPr>
    </w:lvl>
  </w:abstractNum>
  <w:abstractNum w:abstractNumId="11" w15:restartNumberingAfterBreak="0">
    <w:nsid w:val="2DB11349"/>
    <w:multiLevelType w:val="hybridMultilevel"/>
    <w:tmpl w:val="11AEBFC8"/>
    <w:lvl w:ilvl="0" w:tplc="7AD0D956">
      <w:start w:val="3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A6775"/>
    <w:multiLevelType w:val="hybridMultilevel"/>
    <w:tmpl w:val="8E524DAC"/>
    <w:lvl w:ilvl="0" w:tplc="E736B5E2">
      <w:start w:val="1"/>
      <w:numFmt w:val="bullet"/>
      <w:lvlText w:val=""/>
      <w:lvlJc w:val="left"/>
      <w:pPr>
        <w:ind w:left="720" w:hanging="360"/>
      </w:pPr>
      <w:rPr>
        <w:rFonts w:ascii="Symbol" w:hAnsi="Symbol" w:hint="default"/>
        <w:color w:val="auto"/>
        <w:sz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1CE685F"/>
    <w:multiLevelType w:val="hybridMultilevel"/>
    <w:tmpl w:val="8F30A3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62072F"/>
    <w:multiLevelType w:val="hybridMultilevel"/>
    <w:tmpl w:val="58F87C8E"/>
    <w:lvl w:ilvl="0" w:tplc="E80259AA">
      <w:start w:val="53"/>
      <w:numFmt w:val="bullet"/>
      <w:lvlText w:val="-"/>
      <w:lvlJc w:val="left"/>
      <w:pPr>
        <w:ind w:left="255" w:hanging="360"/>
      </w:pPr>
      <w:rPr>
        <w:rFonts w:ascii="Calibri" w:eastAsia="Times New Roman" w:hAnsi="Calibri" w:cs="Calibri" w:hint="default"/>
      </w:rPr>
    </w:lvl>
    <w:lvl w:ilvl="1" w:tplc="18090003" w:tentative="1">
      <w:start w:val="1"/>
      <w:numFmt w:val="bullet"/>
      <w:lvlText w:val="o"/>
      <w:lvlJc w:val="left"/>
      <w:pPr>
        <w:ind w:left="975" w:hanging="360"/>
      </w:pPr>
      <w:rPr>
        <w:rFonts w:ascii="Courier New" w:hAnsi="Courier New" w:cs="Courier New" w:hint="default"/>
      </w:rPr>
    </w:lvl>
    <w:lvl w:ilvl="2" w:tplc="18090005" w:tentative="1">
      <w:start w:val="1"/>
      <w:numFmt w:val="bullet"/>
      <w:lvlText w:val=""/>
      <w:lvlJc w:val="left"/>
      <w:pPr>
        <w:ind w:left="1695" w:hanging="360"/>
      </w:pPr>
      <w:rPr>
        <w:rFonts w:ascii="Wingdings" w:hAnsi="Wingdings" w:hint="default"/>
      </w:rPr>
    </w:lvl>
    <w:lvl w:ilvl="3" w:tplc="18090001" w:tentative="1">
      <w:start w:val="1"/>
      <w:numFmt w:val="bullet"/>
      <w:lvlText w:val=""/>
      <w:lvlJc w:val="left"/>
      <w:pPr>
        <w:ind w:left="2415" w:hanging="360"/>
      </w:pPr>
      <w:rPr>
        <w:rFonts w:ascii="Symbol" w:hAnsi="Symbol" w:hint="default"/>
      </w:rPr>
    </w:lvl>
    <w:lvl w:ilvl="4" w:tplc="18090003" w:tentative="1">
      <w:start w:val="1"/>
      <w:numFmt w:val="bullet"/>
      <w:lvlText w:val="o"/>
      <w:lvlJc w:val="left"/>
      <w:pPr>
        <w:ind w:left="3135" w:hanging="360"/>
      </w:pPr>
      <w:rPr>
        <w:rFonts w:ascii="Courier New" w:hAnsi="Courier New" w:cs="Courier New" w:hint="default"/>
      </w:rPr>
    </w:lvl>
    <w:lvl w:ilvl="5" w:tplc="18090005" w:tentative="1">
      <w:start w:val="1"/>
      <w:numFmt w:val="bullet"/>
      <w:lvlText w:val=""/>
      <w:lvlJc w:val="left"/>
      <w:pPr>
        <w:ind w:left="3855" w:hanging="360"/>
      </w:pPr>
      <w:rPr>
        <w:rFonts w:ascii="Wingdings" w:hAnsi="Wingdings" w:hint="default"/>
      </w:rPr>
    </w:lvl>
    <w:lvl w:ilvl="6" w:tplc="18090001" w:tentative="1">
      <w:start w:val="1"/>
      <w:numFmt w:val="bullet"/>
      <w:lvlText w:val=""/>
      <w:lvlJc w:val="left"/>
      <w:pPr>
        <w:ind w:left="4575" w:hanging="360"/>
      </w:pPr>
      <w:rPr>
        <w:rFonts w:ascii="Symbol" w:hAnsi="Symbol" w:hint="default"/>
      </w:rPr>
    </w:lvl>
    <w:lvl w:ilvl="7" w:tplc="18090003" w:tentative="1">
      <w:start w:val="1"/>
      <w:numFmt w:val="bullet"/>
      <w:lvlText w:val="o"/>
      <w:lvlJc w:val="left"/>
      <w:pPr>
        <w:ind w:left="5295" w:hanging="360"/>
      </w:pPr>
      <w:rPr>
        <w:rFonts w:ascii="Courier New" w:hAnsi="Courier New" w:cs="Courier New" w:hint="default"/>
      </w:rPr>
    </w:lvl>
    <w:lvl w:ilvl="8" w:tplc="18090005" w:tentative="1">
      <w:start w:val="1"/>
      <w:numFmt w:val="bullet"/>
      <w:lvlText w:val=""/>
      <w:lvlJc w:val="left"/>
      <w:pPr>
        <w:ind w:left="6015" w:hanging="360"/>
      </w:pPr>
      <w:rPr>
        <w:rFonts w:ascii="Wingdings" w:hAnsi="Wingdings" w:hint="default"/>
      </w:rPr>
    </w:lvl>
  </w:abstractNum>
  <w:abstractNum w:abstractNumId="17"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839"/>
        </w:tabs>
        <w:ind w:left="-839"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601"/>
        </w:tabs>
        <w:ind w:left="601"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19"/>
        </w:tabs>
        <w:ind w:left="-119"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19"/>
        </w:tabs>
        <w:ind w:left="-119" w:hanging="720"/>
      </w:pPr>
      <w:rPr>
        <w:b w:val="0"/>
        <w:i w:val="0"/>
        <w:caps w:val="0"/>
        <w:color w:val="auto"/>
        <w:u w:val="none"/>
      </w:rPr>
    </w:lvl>
    <w:lvl w:ilvl="5">
      <w:start w:val="1"/>
      <w:numFmt w:val="lowerRoman"/>
      <w:lvlText w:val="(%6)"/>
      <w:lvlJc w:val="left"/>
      <w:pPr>
        <w:tabs>
          <w:tab w:val="num" w:pos="601"/>
        </w:tabs>
        <w:ind w:left="601" w:hanging="360"/>
      </w:pPr>
    </w:lvl>
    <w:lvl w:ilvl="6">
      <w:start w:val="1"/>
      <w:numFmt w:val="decimal"/>
      <w:lvlText w:val="%7."/>
      <w:lvlJc w:val="left"/>
      <w:pPr>
        <w:tabs>
          <w:tab w:val="num" w:pos="961"/>
        </w:tabs>
        <w:ind w:left="961" w:hanging="360"/>
      </w:pPr>
    </w:lvl>
    <w:lvl w:ilvl="7">
      <w:start w:val="1"/>
      <w:numFmt w:val="lowerLetter"/>
      <w:lvlText w:val="%8."/>
      <w:lvlJc w:val="left"/>
      <w:pPr>
        <w:tabs>
          <w:tab w:val="num" w:pos="1321"/>
        </w:tabs>
        <w:ind w:left="1321" w:hanging="360"/>
      </w:pPr>
    </w:lvl>
    <w:lvl w:ilvl="8">
      <w:start w:val="1"/>
      <w:numFmt w:val="lowerRoman"/>
      <w:lvlText w:val="%9."/>
      <w:lvlJc w:val="left"/>
      <w:pPr>
        <w:tabs>
          <w:tab w:val="num" w:pos="1681"/>
        </w:tabs>
        <w:ind w:left="1681" w:hanging="360"/>
      </w:pPr>
    </w:lvl>
  </w:abstractNum>
  <w:abstractNum w:abstractNumId="18"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4D46C0"/>
    <w:multiLevelType w:val="hybridMultilevel"/>
    <w:tmpl w:val="04D0E6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60C4783"/>
    <w:multiLevelType w:val="hybridMultilevel"/>
    <w:tmpl w:val="A33258B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728BA1"/>
    <w:multiLevelType w:val="hybridMultilevel"/>
    <w:tmpl w:val="3AE82564"/>
    <w:lvl w:ilvl="0" w:tplc="E4180C16">
      <w:start w:val="1"/>
      <w:numFmt w:val="decimal"/>
      <w:lvlText w:val="%1."/>
      <w:lvlJc w:val="left"/>
      <w:pPr>
        <w:ind w:left="720" w:hanging="360"/>
      </w:pPr>
    </w:lvl>
    <w:lvl w:ilvl="1" w:tplc="FF32D850">
      <w:start w:val="1"/>
      <w:numFmt w:val="lowerLetter"/>
      <w:lvlText w:val="%2."/>
      <w:lvlJc w:val="left"/>
      <w:pPr>
        <w:ind w:left="1440" w:hanging="360"/>
      </w:pPr>
    </w:lvl>
    <w:lvl w:ilvl="2" w:tplc="2B1AD6E8">
      <w:start w:val="1"/>
      <w:numFmt w:val="lowerRoman"/>
      <w:lvlText w:val="%3."/>
      <w:lvlJc w:val="right"/>
      <w:pPr>
        <w:ind w:left="2160" w:hanging="180"/>
      </w:pPr>
    </w:lvl>
    <w:lvl w:ilvl="3" w:tplc="3146A936">
      <w:start w:val="1"/>
      <w:numFmt w:val="decimal"/>
      <w:lvlText w:val="%4."/>
      <w:lvlJc w:val="left"/>
      <w:pPr>
        <w:ind w:left="2880" w:hanging="360"/>
      </w:pPr>
    </w:lvl>
    <w:lvl w:ilvl="4" w:tplc="144876EC">
      <w:start w:val="1"/>
      <w:numFmt w:val="lowerLetter"/>
      <w:lvlText w:val="%5."/>
      <w:lvlJc w:val="left"/>
      <w:pPr>
        <w:ind w:left="3600" w:hanging="360"/>
      </w:pPr>
    </w:lvl>
    <w:lvl w:ilvl="5" w:tplc="DAD24D70">
      <w:start w:val="1"/>
      <w:numFmt w:val="lowerRoman"/>
      <w:lvlText w:val="%6."/>
      <w:lvlJc w:val="right"/>
      <w:pPr>
        <w:ind w:left="4320" w:hanging="180"/>
      </w:pPr>
    </w:lvl>
    <w:lvl w:ilvl="6" w:tplc="4CEA436E">
      <w:start w:val="1"/>
      <w:numFmt w:val="decimal"/>
      <w:lvlText w:val="%7."/>
      <w:lvlJc w:val="left"/>
      <w:pPr>
        <w:ind w:left="5040" w:hanging="360"/>
      </w:pPr>
    </w:lvl>
    <w:lvl w:ilvl="7" w:tplc="2F80CA36">
      <w:start w:val="1"/>
      <w:numFmt w:val="lowerLetter"/>
      <w:lvlText w:val="%8."/>
      <w:lvlJc w:val="left"/>
      <w:pPr>
        <w:ind w:left="5760" w:hanging="360"/>
      </w:pPr>
    </w:lvl>
    <w:lvl w:ilvl="8" w:tplc="04AE0284">
      <w:start w:val="1"/>
      <w:numFmt w:val="lowerRoman"/>
      <w:lvlText w:val="%9."/>
      <w:lvlJc w:val="right"/>
      <w:pPr>
        <w:ind w:left="6480" w:hanging="180"/>
      </w:pPr>
    </w:lvl>
  </w:abstractNum>
  <w:abstractNum w:abstractNumId="22" w15:restartNumberingAfterBreak="0">
    <w:nsid w:val="57164097"/>
    <w:multiLevelType w:val="hybridMultilevel"/>
    <w:tmpl w:val="42982BA4"/>
    <w:lvl w:ilvl="0" w:tplc="8DD223BE">
      <w:start w:val="1"/>
      <w:numFmt w:val="bullet"/>
      <w:lvlText w:val="·"/>
      <w:lvlJc w:val="left"/>
      <w:pPr>
        <w:ind w:left="720" w:hanging="360"/>
      </w:pPr>
      <w:rPr>
        <w:rFonts w:ascii="Symbol" w:hAnsi="Symbol" w:hint="default"/>
      </w:rPr>
    </w:lvl>
    <w:lvl w:ilvl="1" w:tplc="8C5C36BA">
      <w:start w:val="1"/>
      <w:numFmt w:val="bullet"/>
      <w:lvlText w:val="o"/>
      <w:lvlJc w:val="left"/>
      <w:pPr>
        <w:ind w:left="1440" w:hanging="360"/>
      </w:pPr>
      <w:rPr>
        <w:rFonts w:ascii="Courier New" w:hAnsi="Courier New" w:hint="default"/>
      </w:rPr>
    </w:lvl>
    <w:lvl w:ilvl="2" w:tplc="F9DE50C0">
      <w:start w:val="1"/>
      <w:numFmt w:val="bullet"/>
      <w:lvlText w:val=""/>
      <w:lvlJc w:val="left"/>
      <w:pPr>
        <w:ind w:left="2160" w:hanging="360"/>
      </w:pPr>
      <w:rPr>
        <w:rFonts w:ascii="Wingdings" w:hAnsi="Wingdings" w:hint="default"/>
      </w:rPr>
    </w:lvl>
    <w:lvl w:ilvl="3" w:tplc="3146D21C">
      <w:start w:val="1"/>
      <w:numFmt w:val="bullet"/>
      <w:lvlText w:val=""/>
      <w:lvlJc w:val="left"/>
      <w:pPr>
        <w:ind w:left="2880" w:hanging="360"/>
      </w:pPr>
      <w:rPr>
        <w:rFonts w:ascii="Symbol" w:hAnsi="Symbol" w:hint="default"/>
      </w:rPr>
    </w:lvl>
    <w:lvl w:ilvl="4" w:tplc="FFC2571A">
      <w:start w:val="1"/>
      <w:numFmt w:val="bullet"/>
      <w:lvlText w:val="o"/>
      <w:lvlJc w:val="left"/>
      <w:pPr>
        <w:ind w:left="3600" w:hanging="360"/>
      </w:pPr>
      <w:rPr>
        <w:rFonts w:ascii="Courier New" w:hAnsi="Courier New" w:hint="default"/>
      </w:rPr>
    </w:lvl>
    <w:lvl w:ilvl="5" w:tplc="182A6CAC">
      <w:start w:val="1"/>
      <w:numFmt w:val="bullet"/>
      <w:lvlText w:val=""/>
      <w:lvlJc w:val="left"/>
      <w:pPr>
        <w:ind w:left="4320" w:hanging="360"/>
      </w:pPr>
      <w:rPr>
        <w:rFonts w:ascii="Wingdings" w:hAnsi="Wingdings" w:hint="default"/>
      </w:rPr>
    </w:lvl>
    <w:lvl w:ilvl="6" w:tplc="9094FA86">
      <w:start w:val="1"/>
      <w:numFmt w:val="bullet"/>
      <w:lvlText w:val=""/>
      <w:lvlJc w:val="left"/>
      <w:pPr>
        <w:ind w:left="5040" w:hanging="360"/>
      </w:pPr>
      <w:rPr>
        <w:rFonts w:ascii="Symbol" w:hAnsi="Symbol" w:hint="default"/>
      </w:rPr>
    </w:lvl>
    <w:lvl w:ilvl="7" w:tplc="ADA048BC">
      <w:start w:val="1"/>
      <w:numFmt w:val="bullet"/>
      <w:lvlText w:val="o"/>
      <w:lvlJc w:val="left"/>
      <w:pPr>
        <w:ind w:left="5760" w:hanging="360"/>
      </w:pPr>
      <w:rPr>
        <w:rFonts w:ascii="Courier New" w:hAnsi="Courier New" w:hint="default"/>
      </w:rPr>
    </w:lvl>
    <w:lvl w:ilvl="8" w:tplc="C27E16FA">
      <w:start w:val="1"/>
      <w:numFmt w:val="bullet"/>
      <w:lvlText w:val=""/>
      <w:lvlJc w:val="left"/>
      <w:pPr>
        <w:ind w:left="6480" w:hanging="360"/>
      </w:pPr>
      <w:rPr>
        <w:rFonts w:ascii="Wingdings" w:hAnsi="Wingdings" w:hint="default"/>
      </w:rPr>
    </w:lvl>
  </w:abstractNum>
  <w:abstractNum w:abstractNumId="23" w15:restartNumberingAfterBreak="0">
    <w:nsid w:val="592D4645"/>
    <w:multiLevelType w:val="hybridMultilevel"/>
    <w:tmpl w:val="1E08A4BA"/>
    <w:lvl w:ilvl="0" w:tplc="F27C0046">
      <w:start w:val="1"/>
      <w:numFmt w:val="bullet"/>
      <w:lvlText w:val="·"/>
      <w:lvlJc w:val="left"/>
      <w:pPr>
        <w:ind w:left="720" w:hanging="360"/>
      </w:pPr>
      <w:rPr>
        <w:rFonts w:ascii="Symbol" w:hAnsi="Symbol" w:hint="default"/>
      </w:rPr>
    </w:lvl>
    <w:lvl w:ilvl="1" w:tplc="D1F2BDE8">
      <w:start w:val="1"/>
      <w:numFmt w:val="bullet"/>
      <w:lvlText w:val="o"/>
      <w:lvlJc w:val="left"/>
      <w:pPr>
        <w:ind w:left="1440" w:hanging="360"/>
      </w:pPr>
      <w:rPr>
        <w:rFonts w:ascii="Courier New" w:hAnsi="Courier New" w:hint="default"/>
      </w:rPr>
    </w:lvl>
    <w:lvl w:ilvl="2" w:tplc="E53AA1B6">
      <w:start w:val="1"/>
      <w:numFmt w:val="bullet"/>
      <w:lvlText w:val=""/>
      <w:lvlJc w:val="left"/>
      <w:pPr>
        <w:ind w:left="2160" w:hanging="360"/>
      </w:pPr>
      <w:rPr>
        <w:rFonts w:ascii="Wingdings" w:hAnsi="Wingdings" w:hint="default"/>
      </w:rPr>
    </w:lvl>
    <w:lvl w:ilvl="3" w:tplc="4C188F54">
      <w:start w:val="1"/>
      <w:numFmt w:val="bullet"/>
      <w:lvlText w:val=""/>
      <w:lvlJc w:val="left"/>
      <w:pPr>
        <w:ind w:left="2880" w:hanging="360"/>
      </w:pPr>
      <w:rPr>
        <w:rFonts w:ascii="Symbol" w:hAnsi="Symbol" w:hint="default"/>
      </w:rPr>
    </w:lvl>
    <w:lvl w:ilvl="4" w:tplc="2D927E94">
      <w:start w:val="1"/>
      <w:numFmt w:val="bullet"/>
      <w:lvlText w:val="o"/>
      <w:lvlJc w:val="left"/>
      <w:pPr>
        <w:ind w:left="3600" w:hanging="360"/>
      </w:pPr>
      <w:rPr>
        <w:rFonts w:ascii="Courier New" w:hAnsi="Courier New" w:hint="default"/>
      </w:rPr>
    </w:lvl>
    <w:lvl w:ilvl="5" w:tplc="93BAC6DC">
      <w:start w:val="1"/>
      <w:numFmt w:val="bullet"/>
      <w:lvlText w:val=""/>
      <w:lvlJc w:val="left"/>
      <w:pPr>
        <w:ind w:left="4320" w:hanging="360"/>
      </w:pPr>
      <w:rPr>
        <w:rFonts w:ascii="Wingdings" w:hAnsi="Wingdings" w:hint="default"/>
      </w:rPr>
    </w:lvl>
    <w:lvl w:ilvl="6" w:tplc="78A6DCA2">
      <w:start w:val="1"/>
      <w:numFmt w:val="bullet"/>
      <w:lvlText w:val=""/>
      <w:lvlJc w:val="left"/>
      <w:pPr>
        <w:ind w:left="5040" w:hanging="360"/>
      </w:pPr>
      <w:rPr>
        <w:rFonts w:ascii="Symbol" w:hAnsi="Symbol" w:hint="default"/>
      </w:rPr>
    </w:lvl>
    <w:lvl w:ilvl="7" w:tplc="D6120BD2">
      <w:start w:val="1"/>
      <w:numFmt w:val="bullet"/>
      <w:lvlText w:val="o"/>
      <w:lvlJc w:val="left"/>
      <w:pPr>
        <w:ind w:left="5760" w:hanging="360"/>
      </w:pPr>
      <w:rPr>
        <w:rFonts w:ascii="Courier New" w:hAnsi="Courier New" w:hint="default"/>
      </w:rPr>
    </w:lvl>
    <w:lvl w:ilvl="8" w:tplc="C90A111A">
      <w:start w:val="1"/>
      <w:numFmt w:val="bullet"/>
      <w:lvlText w:val=""/>
      <w:lvlJc w:val="left"/>
      <w:pPr>
        <w:ind w:left="6480" w:hanging="360"/>
      </w:pPr>
      <w:rPr>
        <w:rFonts w:ascii="Wingdings" w:hAnsi="Wingdings" w:hint="default"/>
      </w:rPr>
    </w:lvl>
  </w:abstractNum>
  <w:abstractNum w:abstractNumId="24" w15:restartNumberingAfterBreak="0">
    <w:nsid w:val="621B60C2"/>
    <w:multiLevelType w:val="hybridMultilevel"/>
    <w:tmpl w:val="9D8C9F92"/>
    <w:lvl w:ilvl="0" w:tplc="E2C688D2">
      <w:start w:val="1"/>
      <w:numFmt w:val="bullet"/>
      <w:lvlText w:val=""/>
      <w:lvlJc w:val="left"/>
      <w:pPr>
        <w:ind w:left="720" w:hanging="360"/>
      </w:pPr>
      <w:rPr>
        <w:rFonts w:ascii="Symbol" w:hAnsi="Symbol" w:hint="default"/>
        <w:color w:val="00000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4334578"/>
    <w:multiLevelType w:val="hybridMultilevel"/>
    <w:tmpl w:val="7A827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4E73E98"/>
    <w:multiLevelType w:val="hybridMultilevel"/>
    <w:tmpl w:val="6E8A3C1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9E9555B"/>
    <w:multiLevelType w:val="hybridMultilevel"/>
    <w:tmpl w:val="B18848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8" w15:restartNumberingAfterBreak="0">
    <w:nsid w:val="6A4DFB5C"/>
    <w:multiLevelType w:val="hybridMultilevel"/>
    <w:tmpl w:val="EDFED5D6"/>
    <w:lvl w:ilvl="0" w:tplc="F208D566">
      <w:start w:val="1"/>
      <w:numFmt w:val="bullet"/>
      <w:lvlText w:val="·"/>
      <w:lvlJc w:val="left"/>
      <w:pPr>
        <w:ind w:left="720" w:hanging="360"/>
      </w:pPr>
      <w:rPr>
        <w:rFonts w:ascii="Symbol" w:hAnsi="Symbol" w:hint="default"/>
      </w:rPr>
    </w:lvl>
    <w:lvl w:ilvl="1" w:tplc="3126FC32">
      <w:start w:val="1"/>
      <w:numFmt w:val="bullet"/>
      <w:lvlText w:val="o"/>
      <w:lvlJc w:val="left"/>
      <w:pPr>
        <w:ind w:left="1440" w:hanging="360"/>
      </w:pPr>
      <w:rPr>
        <w:rFonts w:ascii="Courier New" w:hAnsi="Courier New" w:hint="default"/>
      </w:rPr>
    </w:lvl>
    <w:lvl w:ilvl="2" w:tplc="95DA5716">
      <w:start w:val="1"/>
      <w:numFmt w:val="bullet"/>
      <w:lvlText w:val=""/>
      <w:lvlJc w:val="left"/>
      <w:pPr>
        <w:ind w:left="2160" w:hanging="360"/>
      </w:pPr>
      <w:rPr>
        <w:rFonts w:ascii="Wingdings" w:hAnsi="Wingdings" w:hint="default"/>
      </w:rPr>
    </w:lvl>
    <w:lvl w:ilvl="3" w:tplc="51082036">
      <w:start w:val="1"/>
      <w:numFmt w:val="bullet"/>
      <w:lvlText w:val=""/>
      <w:lvlJc w:val="left"/>
      <w:pPr>
        <w:ind w:left="2880" w:hanging="360"/>
      </w:pPr>
      <w:rPr>
        <w:rFonts w:ascii="Symbol" w:hAnsi="Symbol" w:hint="default"/>
      </w:rPr>
    </w:lvl>
    <w:lvl w:ilvl="4" w:tplc="32E4DBBA">
      <w:start w:val="1"/>
      <w:numFmt w:val="bullet"/>
      <w:lvlText w:val="o"/>
      <w:lvlJc w:val="left"/>
      <w:pPr>
        <w:ind w:left="3600" w:hanging="360"/>
      </w:pPr>
      <w:rPr>
        <w:rFonts w:ascii="Courier New" w:hAnsi="Courier New" w:hint="default"/>
      </w:rPr>
    </w:lvl>
    <w:lvl w:ilvl="5" w:tplc="EE245B54">
      <w:start w:val="1"/>
      <w:numFmt w:val="bullet"/>
      <w:lvlText w:val=""/>
      <w:lvlJc w:val="left"/>
      <w:pPr>
        <w:ind w:left="4320" w:hanging="360"/>
      </w:pPr>
      <w:rPr>
        <w:rFonts w:ascii="Wingdings" w:hAnsi="Wingdings" w:hint="default"/>
      </w:rPr>
    </w:lvl>
    <w:lvl w:ilvl="6" w:tplc="0692566C">
      <w:start w:val="1"/>
      <w:numFmt w:val="bullet"/>
      <w:lvlText w:val=""/>
      <w:lvlJc w:val="left"/>
      <w:pPr>
        <w:ind w:left="5040" w:hanging="360"/>
      </w:pPr>
      <w:rPr>
        <w:rFonts w:ascii="Symbol" w:hAnsi="Symbol" w:hint="default"/>
      </w:rPr>
    </w:lvl>
    <w:lvl w:ilvl="7" w:tplc="FF8674FA">
      <w:start w:val="1"/>
      <w:numFmt w:val="bullet"/>
      <w:lvlText w:val="o"/>
      <w:lvlJc w:val="left"/>
      <w:pPr>
        <w:ind w:left="5760" w:hanging="360"/>
      </w:pPr>
      <w:rPr>
        <w:rFonts w:ascii="Courier New" w:hAnsi="Courier New" w:hint="default"/>
      </w:rPr>
    </w:lvl>
    <w:lvl w:ilvl="8" w:tplc="2A6CE0EE">
      <w:start w:val="1"/>
      <w:numFmt w:val="bullet"/>
      <w:lvlText w:val=""/>
      <w:lvlJc w:val="left"/>
      <w:pPr>
        <w:ind w:left="6480" w:hanging="360"/>
      </w:pPr>
      <w:rPr>
        <w:rFonts w:ascii="Wingdings" w:hAnsi="Wingdings" w:hint="default"/>
      </w:rPr>
    </w:lvl>
  </w:abstractNum>
  <w:abstractNum w:abstractNumId="29" w15:restartNumberingAfterBreak="0">
    <w:nsid w:val="6AC00838"/>
    <w:multiLevelType w:val="multilevel"/>
    <w:tmpl w:val="8E4A1446"/>
    <w:lvl w:ilvl="0">
      <w:start w:val="1"/>
      <w:numFmt w:val="bullet"/>
      <w:lvlText w:val="●"/>
      <w:lvlJc w:val="left"/>
      <w:pPr>
        <w:ind w:left="720" w:hanging="360"/>
      </w:pPr>
      <w:rPr>
        <w:rFonts w:ascii="Calibri" w:hAnsi="Calibri" w:cs="Calibri" w:hint="default"/>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DBBCB0"/>
    <w:multiLevelType w:val="hybridMultilevel"/>
    <w:tmpl w:val="04766BC8"/>
    <w:lvl w:ilvl="0" w:tplc="53E86B44">
      <w:start w:val="1"/>
      <w:numFmt w:val="bullet"/>
      <w:lvlText w:val=""/>
      <w:lvlJc w:val="left"/>
      <w:pPr>
        <w:ind w:left="720" w:hanging="360"/>
      </w:pPr>
      <w:rPr>
        <w:rFonts w:ascii="Symbol" w:hAnsi="Symbol" w:hint="default"/>
      </w:rPr>
    </w:lvl>
    <w:lvl w:ilvl="1" w:tplc="723287DC">
      <w:start w:val="1"/>
      <w:numFmt w:val="bullet"/>
      <w:lvlText w:val="o"/>
      <w:lvlJc w:val="left"/>
      <w:pPr>
        <w:ind w:left="1440" w:hanging="360"/>
      </w:pPr>
      <w:rPr>
        <w:rFonts w:ascii="Courier New" w:hAnsi="Courier New" w:hint="default"/>
      </w:rPr>
    </w:lvl>
    <w:lvl w:ilvl="2" w:tplc="997484C4">
      <w:start w:val="1"/>
      <w:numFmt w:val="bullet"/>
      <w:lvlText w:val=""/>
      <w:lvlJc w:val="left"/>
      <w:pPr>
        <w:ind w:left="2160" w:hanging="360"/>
      </w:pPr>
      <w:rPr>
        <w:rFonts w:ascii="Wingdings" w:hAnsi="Wingdings" w:hint="default"/>
      </w:rPr>
    </w:lvl>
    <w:lvl w:ilvl="3" w:tplc="B42A4ADC">
      <w:start w:val="1"/>
      <w:numFmt w:val="bullet"/>
      <w:lvlText w:val=""/>
      <w:lvlJc w:val="left"/>
      <w:pPr>
        <w:ind w:left="2880" w:hanging="360"/>
      </w:pPr>
      <w:rPr>
        <w:rFonts w:ascii="Symbol" w:hAnsi="Symbol" w:hint="default"/>
      </w:rPr>
    </w:lvl>
    <w:lvl w:ilvl="4" w:tplc="67CC93A6">
      <w:start w:val="1"/>
      <w:numFmt w:val="bullet"/>
      <w:lvlText w:val="o"/>
      <w:lvlJc w:val="left"/>
      <w:pPr>
        <w:ind w:left="3600" w:hanging="360"/>
      </w:pPr>
      <w:rPr>
        <w:rFonts w:ascii="Courier New" w:hAnsi="Courier New" w:hint="default"/>
      </w:rPr>
    </w:lvl>
    <w:lvl w:ilvl="5" w:tplc="DE24A11C">
      <w:start w:val="1"/>
      <w:numFmt w:val="bullet"/>
      <w:lvlText w:val=""/>
      <w:lvlJc w:val="left"/>
      <w:pPr>
        <w:ind w:left="4320" w:hanging="360"/>
      </w:pPr>
      <w:rPr>
        <w:rFonts w:ascii="Wingdings" w:hAnsi="Wingdings" w:hint="default"/>
      </w:rPr>
    </w:lvl>
    <w:lvl w:ilvl="6" w:tplc="497225EA">
      <w:start w:val="1"/>
      <w:numFmt w:val="bullet"/>
      <w:lvlText w:val=""/>
      <w:lvlJc w:val="left"/>
      <w:pPr>
        <w:ind w:left="5040" w:hanging="360"/>
      </w:pPr>
      <w:rPr>
        <w:rFonts w:ascii="Symbol" w:hAnsi="Symbol" w:hint="default"/>
      </w:rPr>
    </w:lvl>
    <w:lvl w:ilvl="7" w:tplc="F01641D6">
      <w:start w:val="1"/>
      <w:numFmt w:val="bullet"/>
      <w:lvlText w:val="o"/>
      <w:lvlJc w:val="left"/>
      <w:pPr>
        <w:ind w:left="5760" w:hanging="360"/>
      </w:pPr>
      <w:rPr>
        <w:rFonts w:ascii="Courier New" w:hAnsi="Courier New" w:hint="default"/>
      </w:rPr>
    </w:lvl>
    <w:lvl w:ilvl="8" w:tplc="3AFA1BFA">
      <w:start w:val="1"/>
      <w:numFmt w:val="bullet"/>
      <w:lvlText w:val=""/>
      <w:lvlJc w:val="left"/>
      <w:pPr>
        <w:ind w:left="6480" w:hanging="360"/>
      </w:pPr>
      <w:rPr>
        <w:rFonts w:ascii="Wingdings" w:hAnsi="Wingdings" w:hint="default"/>
      </w:rPr>
    </w:lvl>
  </w:abstractNum>
  <w:abstractNum w:abstractNumId="31" w15:restartNumberingAfterBreak="0">
    <w:nsid w:val="6C4B4B0B"/>
    <w:multiLevelType w:val="hybridMultilevel"/>
    <w:tmpl w:val="023E6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A788D4"/>
    <w:multiLevelType w:val="hybridMultilevel"/>
    <w:tmpl w:val="3DE83F26"/>
    <w:lvl w:ilvl="0" w:tplc="E22AEA28">
      <w:start w:val="2"/>
      <w:numFmt w:val="decimal"/>
      <w:lvlText w:val="%1."/>
      <w:lvlJc w:val="left"/>
      <w:pPr>
        <w:ind w:left="720" w:hanging="360"/>
      </w:pPr>
    </w:lvl>
    <w:lvl w:ilvl="1" w:tplc="C0E22014">
      <w:start w:val="1"/>
      <w:numFmt w:val="lowerLetter"/>
      <w:lvlText w:val="%2."/>
      <w:lvlJc w:val="left"/>
      <w:pPr>
        <w:ind w:left="1440" w:hanging="360"/>
      </w:pPr>
    </w:lvl>
    <w:lvl w:ilvl="2" w:tplc="0A8CD6CA">
      <w:start w:val="1"/>
      <w:numFmt w:val="lowerRoman"/>
      <w:lvlText w:val="%3."/>
      <w:lvlJc w:val="right"/>
      <w:pPr>
        <w:ind w:left="2160" w:hanging="180"/>
      </w:pPr>
    </w:lvl>
    <w:lvl w:ilvl="3" w:tplc="C3B0BAFE">
      <w:start w:val="1"/>
      <w:numFmt w:val="decimal"/>
      <w:lvlText w:val="%4."/>
      <w:lvlJc w:val="left"/>
      <w:pPr>
        <w:ind w:left="2880" w:hanging="360"/>
      </w:pPr>
    </w:lvl>
    <w:lvl w:ilvl="4" w:tplc="1BAA87E6">
      <w:start w:val="1"/>
      <w:numFmt w:val="lowerLetter"/>
      <w:lvlText w:val="%5."/>
      <w:lvlJc w:val="left"/>
      <w:pPr>
        <w:ind w:left="3600" w:hanging="360"/>
      </w:pPr>
    </w:lvl>
    <w:lvl w:ilvl="5" w:tplc="0832CA0E">
      <w:start w:val="1"/>
      <w:numFmt w:val="lowerRoman"/>
      <w:lvlText w:val="%6."/>
      <w:lvlJc w:val="right"/>
      <w:pPr>
        <w:ind w:left="4320" w:hanging="180"/>
      </w:pPr>
    </w:lvl>
    <w:lvl w:ilvl="6" w:tplc="2BE4167C">
      <w:start w:val="1"/>
      <w:numFmt w:val="decimal"/>
      <w:lvlText w:val="%7."/>
      <w:lvlJc w:val="left"/>
      <w:pPr>
        <w:ind w:left="5040" w:hanging="360"/>
      </w:pPr>
    </w:lvl>
    <w:lvl w:ilvl="7" w:tplc="02888156">
      <w:start w:val="1"/>
      <w:numFmt w:val="lowerLetter"/>
      <w:lvlText w:val="%8."/>
      <w:lvlJc w:val="left"/>
      <w:pPr>
        <w:ind w:left="5760" w:hanging="360"/>
      </w:pPr>
    </w:lvl>
    <w:lvl w:ilvl="8" w:tplc="413E3B22">
      <w:start w:val="1"/>
      <w:numFmt w:val="lowerRoman"/>
      <w:lvlText w:val="%9."/>
      <w:lvlJc w:val="right"/>
      <w:pPr>
        <w:ind w:left="6480" w:hanging="180"/>
      </w:pPr>
    </w:lvl>
  </w:abstractNum>
  <w:abstractNum w:abstractNumId="33" w15:restartNumberingAfterBreak="0">
    <w:nsid w:val="76D93D50"/>
    <w:multiLevelType w:val="hybridMultilevel"/>
    <w:tmpl w:val="0AB885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6FED40C"/>
    <w:multiLevelType w:val="hybridMultilevel"/>
    <w:tmpl w:val="D458AE92"/>
    <w:lvl w:ilvl="0" w:tplc="917608CC">
      <w:start w:val="1"/>
      <w:numFmt w:val="bullet"/>
      <w:lvlText w:val="·"/>
      <w:lvlJc w:val="left"/>
      <w:pPr>
        <w:ind w:left="720" w:hanging="360"/>
      </w:pPr>
      <w:rPr>
        <w:rFonts w:ascii="Symbol" w:hAnsi="Symbol" w:hint="default"/>
      </w:rPr>
    </w:lvl>
    <w:lvl w:ilvl="1" w:tplc="E8A49472">
      <w:start w:val="1"/>
      <w:numFmt w:val="bullet"/>
      <w:lvlText w:val="o"/>
      <w:lvlJc w:val="left"/>
      <w:pPr>
        <w:ind w:left="1440" w:hanging="360"/>
      </w:pPr>
      <w:rPr>
        <w:rFonts w:ascii="Courier New" w:hAnsi="Courier New" w:hint="default"/>
      </w:rPr>
    </w:lvl>
    <w:lvl w:ilvl="2" w:tplc="6A30522A">
      <w:start w:val="1"/>
      <w:numFmt w:val="bullet"/>
      <w:lvlText w:val=""/>
      <w:lvlJc w:val="left"/>
      <w:pPr>
        <w:ind w:left="2160" w:hanging="360"/>
      </w:pPr>
      <w:rPr>
        <w:rFonts w:ascii="Wingdings" w:hAnsi="Wingdings" w:hint="default"/>
      </w:rPr>
    </w:lvl>
    <w:lvl w:ilvl="3" w:tplc="66CADD36">
      <w:start w:val="1"/>
      <w:numFmt w:val="bullet"/>
      <w:lvlText w:val=""/>
      <w:lvlJc w:val="left"/>
      <w:pPr>
        <w:ind w:left="2880" w:hanging="360"/>
      </w:pPr>
      <w:rPr>
        <w:rFonts w:ascii="Symbol" w:hAnsi="Symbol" w:hint="default"/>
      </w:rPr>
    </w:lvl>
    <w:lvl w:ilvl="4" w:tplc="0A8ACA8C">
      <w:start w:val="1"/>
      <w:numFmt w:val="bullet"/>
      <w:lvlText w:val="o"/>
      <w:lvlJc w:val="left"/>
      <w:pPr>
        <w:ind w:left="3600" w:hanging="360"/>
      </w:pPr>
      <w:rPr>
        <w:rFonts w:ascii="Courier New" w:hAnsi="Courier New" w:hint="default"/>
      </w:rPr>
    </w:lvl>
    <w:lvl w:ilvl="5" w:tplc="150E1CEE">
      <w:start w:val="1"/>
      <w:numFmt w:val="bullet"/>
      <w:lvlText w:val=""/>
      <w:lvlJc w:val="left"/>
      <w:pPr>
        <w:ind w:left="4320" w:hanging="360"/>
      </w:pPr>
      <w:rPr>
        <w:rFonts w:ascii="Wingdings" w:hAnsi="Wingdings" w:hint="default"/>
      </w:rPr>
    </w:lvl>
    <w:lvl w:ilvl="6" w:tplc="5600BBE0">
      <w:start w:val="1"/>
      <w:numFmt w:val="bullet"/>
      <w:lvlText w:val=""/>
      <w:lvlJc w:val="left"/>
      <w:pPr>
        <w:ind w:left="5040" w:hanging="360"/>
      </w:pPr>
      <w:rPr>
        <w:rFonts w:ascii="Symbol" w:hAnsi="Symbol" w:hint="default"/>
      </w:rPr>
    </w:lvl>
    <w:lvl w:ilvl="7" w:tplc="0484A306">
      <w:start w:val="1"/>
      <w:numFmt w:val="bullet"/>
      <w:lvlText w:val="o"/>
      <w:lvlJc w:val="left"/>
      <w:pPr>
        <w:ind w:left="5760" w:hanging="360"/>
      </w:pPr>
      <w:rPr>
        <w:rFonts w:ascii="Courier New" w:hAnsi="Courier New" w:hint="default"/>
      </w:rPr>
    </w:lvl>
    <w:lvl w:ilvl="8" w:tplc="869A51C8">
      <w:start w:val="1"/>
      <w:numFmt w:val="bullet"/>
      <w:lvlText w:val=""/>
      <w:lvlJc w:val="left"/>
      <w:pPr>
        <w:ind w:left="6480" w:hanging="360"/>
      </w:pPr>
      <w:rPr>
        <w:rFonts w:ascii="Wingdings" w:hAnsi="Wingdings" w:hint="default"/>
      </w:rPr>
    </w:lvl>
  </w:abstractNum>
  <w:abstractNum w:abstractNumId="35" w15:restartNumberingAfterBreak="0">
    <w:nsid w:val="78C6B02B"/>
    <w:multiLevelType w:val="hybridMultilevel"/>
    <w:tmpl w:val="C7F0000A"/>
    <w:lvl w:ilvl="0" w:tplc="BB009FD2">
      <w:start w:val="1"/>
      <w:numFmt w:val="bullet"/>
      <w:lvlText w:val=""/>
      <w:lvlJc w:val="left"/>
      <w:pPr>
        <w:ind w:left="720" w:hanging="360"/>
      </w:pPr>
      <w:rPr>
        <w:rFonts w:ascii="Symbol" w:hAnsi="Symbol" w:hint="default"/>
      </w:rPr>
    </w:lvl>
    <w:lvl w:ilvl="1" w:tplc="CA18A2E6">
      <w:start w:val="1"/>
      <w:numFmt w:val="bullet"/>
      <w:lvlText w:val="o"/>
      <w:lvlJc w:val="left"/>
      <w:pPr>
        <w:ind w:left="1440" w:hanging="360"/>
      </w:pPr>
      <w:rPr>
        <w:rFonts w:ascii="Courier New" w:hAnsi="Courier New" w:hint="default"/>
      </w:rPr>
    </w:lvl>
    <w:lvl w:ilvl="2" w:tplc="EEE4319A">
      <w:start w:val="1"/>
      <w:numFmt w:val="bullet"/>
      <w:lvlText w:val=""/>
      <w:lvlJc w:val="left"/>
      <w:pPr>
        <w:ind w:left="2160" w:hanging="360"/>
      </w:pPr>
      <w:rPr>
        <w:rFonts w:ascii="Wingdings" w:hAnsi="Wingdings" w:hint="default"/>
      </w:rPr>
    </w:lvl>
    <w:lvl w:ilvl="3" w:tplc="2BD62984">
      <w:start w:val="1"/>
      <w:numFmt w:val="bullet"/>
      <w:lvlText w:val=""/>
      <w:lvlJc w:val="left"/>
      <w:pPr>
        <w:ind w:left="2880" w:hanging="360"/>
      </w:pPr>
      <w:rPr>
        <w:rFonts w:ascii="Symbol" w:hAnsi="Symbol" w:hint="default"/>
      </w:rPr>
    </w:lvl>
    <w:lvl w:ilvl="4" w:tplc="1BC83C7C">
      <w:start w:val="1"/>
      <w:numFmt w:val="bullet"/>
      <w:lvlText w:val="o"/>
      <w:lvlJc w:val="left"/>
      <w:pPr>
        <w:ind w:left="3600" w:hanging="360"/>
      </w:pPr>
      <w:rPr>
        <w:rFonts w:ascii="Courier New" w:hAnsi="Courier New" w:hint="default"/>
      </w:rPr>
    </w:lvl>
    <w:lvl w:ilvl="5" w:tplc="E3D644CE">
      <w:start w:val="1"/>
      <w:numFmt w:val="bullet"/>
      <w:lvlText w:val=""/>
      <w:lvlJc w:val="left"/>
      <w:pPr>
        <w:ind w:left="4320" w:hanging="360"/>
      </w:pPr>
      <w:rPr>
        <w:rFonts w:ascii="Wingdings" w:hAnsi="Wingdings" w:hint="default"/>
      </w:rPr>
    </w:lvl>
    <w:lvl w:ilvl="6" w:tplc="273ED014">
      <w:start w:val="1"/>
      <w:numFmt w:val="bullet"/>
      <w:lvlText w:val=""/>
      <w:lvlJc w:val="left"/>
      <w:pPr>
        <w:ind w:left="5040" w:hanging="360"/>
      </w:pPr>
      <w:rPr>
        <w:rFonts w:ascii="Symbol" w:hAnsi="Symbol" w:hint="default"/>
      </w:rPr>
    </w:lvl>
    <w:lvl w:ilvl="7" w:tplc="4FB43950">
      <w:start w:val="1"/>
      <w:numFmt w:val="bullet"/>
      <w:lvlText w:val="o"/>
      <w:lvlJc w:val="left"/>
      <w:pPr>
        <w:ind w:left="5760" w:hanging="360"/>
      </w:pPr>
      <w:rPr>
        <w:rFonts w:ascii="Courier New" w:hAnsi="Courier New" w:hint="default"/>
      </w:rPr>
    </w:lvl>
    <w:lvl w:ilvl="8" w:tplc="1EB09128">
      <w:start w:val="1"/>
      <w:numFmt w:val="bullet"/>
      <w:lvlText w:val=""/>
      <w:lvlJc w:val="left"/>
      <w:pPr>
        <w:ind w:left="6480" w:hanging="360"/>
      </w:pPr>
      <w:rPr>
        <w:rFonts w:ascii="Wingdings" w:hAnsi="Wingdings" w:hint="default"/>
      </w:rPr>
    </w:lvl>
  </w:abstractNum>
  <w:abstractNum w:abstractNumId="36" w15:restartNumberingAfterBreak="0">
    <w:nsid w:val="79F15BCE"/>
    <w:multiLevelType w:val="hybridMultilevel"/>
    <w:tmpl w:val="5714F0FC"/>
    <w:lvl w:ilvl="0" w:tplc="F32449B0">
      <w:start w:val="2"/>
      <w:numFmt w:val="bullet"/>
      <w:lvlText w:val="-"/>
      <w:lvlJc w:val="left"/>
      <w:pPr>
        <w:ind w:left="930" w:hanging="360"/>
      </w:pPr>
      <w:rPr>
        <w:rFonts w:ascii="Calibri" w:eastAsia="Times New Roman" w:hAnsi="Calibri" w:cs="Calibri"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37" w15:restartNumberingAfterBreak="0">
    <w:nsid w:val="7EE864C6"/>
    <w:multiLevelType w:val="multilevel"/>
    <w:tmpl w:val="19C62E62"/>
    <w:lvl w:ilvl="0">
      <w:start w:val="1"/>
      <w:numFmt w:val="bullet"/>
      <w:lvlText w:val="●"/>
      <w:lvlJc w:val="left"/>
      <w:pPr>
        <w:ind w:left="1077" w:hanging="360"/>
      </w:pPr>
      <w:rPr>
        <w:rFonts w:ascii="Calibri Light" w:eastAsia="Noto Sans" w:hAnsi="Calibri Light" w:cs="Calibri Light" w:hint="default"/>
        <w:i w:val="0"/>
        <w:sz w:val="22"/>
        <w:szCs w:val="22"/>
      </w:rPr>
    </w:lvl>
    <w:lvl w:ilvl="1">
      <w:start w:val="1"/>
      <w:numFmt w:val="bullet"/>
      <w:pStyle w:val="ListBullet2"/>
      <w:lvlText w:val="o"/>
      <w:lvlJc w:val="left"/>
      <w:pPr>
        <w:ind w:left="1797" w:hanging="360"/>
      </w:pPr>
    </w:lvl>
    <w:lvl w:ilvl="2">
      <w:start w:val="1"/>
      <w:numFmt w:val="bullet"/>
      <w:pStyle w:val="ListBullet3"/>
      <w:lvlText w:val="§"/>
      <w:lvlJc w:val="left"/>
      <w:pPr>
        <w:ind w:left="2517" w:hanging="360"/>
      </w:pPr>
    </w:lvl>
    <w:lvl w:ilvl="3">
      <w:start w:val="1"/>
      <w:numFmt w:val="bullet"/>
      <w:pStyle w:val="ListBullet4"/>
      <w:lvlText w:val="·"/>
      <w:lvlJc w:val="left"/>
      <w:pPr>
        <w:ind w:left="3237" w:hanging="360"/>
      </w:pPr>
    </w:lvl>
    <w:lvl w:ilvl="4">
      <w:start w:val="1"/>
      <w:numFmt w:val="bullet"/>
      <w:pStyle w:val="ListBullet5"/>
      <w:lvlText w:val="o"/>
      <w:lvlJc w:val="left"/>
      <w:pPr>
        <w:ind w:left="3957" w:hanging="360"/>
      </w:pPr>
    </w:lvl>
    <w:lvl w:ilvl="5">
      <w:start w:val="1"/>
      <w:numFmt w:val="bullet"/>
      <w:lvlText w:val="§"/>
      <w:lvlJc w:val="left"/>
      <w:pPr>
        <w:ind w:left="4677" w:hanging="360"/>
      </w:pPr>
    </w:lvl>
    <w:lvl w:ilvl="6">
      <w:start w:val="1"/>
      <w:numFmt w:val="bullet"/>
      <w:lvlText w:val="·"/>
      <w:lvlJc w:val="left"/>
      <w:pPr>
        <w:ind w:left="5397" w:hanging="360"/>
      </w:pPr>
    </w:lvl>
    <w:lvl w:ilvl="7">
      <w:start w:val="1"/>
      <w:numFmt w:val="bullet"/>
      <w:lvlText w:val="o"/>
      <w:lvlJc w:val="left"/>
      <w:pPr>
        <w:ind w:left="6117" w:hanging="360"/>
      </w:pPr>
    </w:lvl>
    <w:lvl w:ilvl="8">
      <w:start w:val="1"/>
      <w:numFmt w:val="bullet"/>
      <w:lvlText w:val="§"/>
      <w:lvlJc w:val="left"/>
      <w:pPr>
        <w:ind w:left="6837" w:hanging="360"/>
      </w:pPr>
    </w:lvl>
  </w:abstractNum>
  <w:abstractNum w:abstractNumId="38"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2584205">
    <w:abstractNumId w:val="28"/>
  </w:num>
  <w:num w:numId="2" w16cid:durableId="1736970964">
    <w:abstractNumId w:val="34"/>
  </w:num>
  <w:num w:numId="3" w16cid:durableId="1117258990">
    <w:abstractNumId w:val="32"/>
  </w:num>
  <w:num w:numId="4" w16cid:durableId="420377184">
    <w:abstractNumId w:val="30"/>
  </w:num>
  <w:num w:numId="5" w16cid:durableId="661279794">
    <w:abstractNumId w:val="35"/>
  </w:num>
  <w:num w:numId="6" w16cid:durableId="1247880990">
    <w:abstractNumId w:val="21"/>
  </w:num>
  <w:num w:numId="7" w16cid:durableId="400056552">
    <w:abstractNumId w:val="10"/>
  </w:num>
  <w:num w:numId="8" w16cid:durableId="2075812549">
    <w:abstractNumId w:val="23"/>
  </w:num>
  <w:num w:numId="9" w16cid:durableId="1570770562">
    <w:abstractNumId w:val="22"/>
  </w:num>
  <w:num w:numId="10" w16cid:durableId="1506439525">
    <w:abstractNumId w:val="17"/>
  </w:num>
  <w:num w:numId="11" w16cid:durableId="149441940">
    <w:abstractNumId w:val="7"/>
  </w:num>
  <w:num w:numId="12" w16cid:durableId="1968197617">
    <w:abstractNumId w:val="8"/>
  </w:num>
  <w:num w:numId="13" w16cid:durableId="285086399">
    <w:abstractNumId w:val="38"/>
  </w:num>
  <w:num w:numId="14" w16cid:durableId="1522626424">
    <w:abstractNumId w:val="18"/>
  </w:num>
  <w:num w:numId="15" w16cid:durableId="458960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1617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2974512">
    <w:abstractNumId w:val="27"/>
  </w:num>
  <w:num w:numId="18" w16cid:durableId="1373532048">
    <w:abstractNumId w:val="4"/>
  </w:num>
  <w:num w:numId="19" w16cid:durableId="1082986913">
    <w:abstractNumId w:val="33"/>
  </w:num>
  <w:num w:numId="20" w16cid:durableId="45031102">
    <w:abstractNumId w:val="24"/>
  </w:num>
  <w:num w:numId="21" w16cid:durableId="1903757066">
    <w:abstractNumId w:val="13"/>
  </w:num>
  <w:num w:numId="22" w16cid:durableId="130052402">
    <w:abstractNumId w:val="37"/>
  </w:num>
  <w:num w:numId="23" w16cid:durableId="1516386244">
    <w:abstractNumId w:val="29"/>
  </w:num>
  <w:num w:numId="24" w16cid:durableId="647394079">
    <w:abstractNumId w:val="15"/>
  </w:num>
  <w:num w:numId="25" w16cid:durableId="1050690958">
    <w:abstractNumId w:val="25"/>
  </w:num>
  <w:num w:numId="26" w16cid:durableId="749811986">
    <w:abstractNumId w:val="31"/>
  </w:num>
  <w:num w:numId="27" w16cid:durableId="753357699">
    <w:abstractNumId w:val="5"/>
  </w:num>
  <w:num w:numId="28" w16cid:durableId="574705404">
    <w:abstractNumId w:val="6"/>
  </w:num>
  <w:num w:numId="29" w16cid:durableId="1837846252">
    <w:abstractNumId w:val="12"/>
  </w:num>
  <w:num w:numId="30" w16cid:durableId="1812021552">
    <w:abstractNumId w:val="19"/>
  </w:num>
  <w:num w:numId="31" w16cid:durableId="20477287">
    <w:abstractNumId w:val="2"/>
  </w:num>
  <w:num w:numId="32" w16cid:durableId="878511341">
    <w:abstractNumId w:val="3"/>
  </w:num>
  <w:num w:numId="33" w16cid:durableId="945045675">
    <w:abstractNumId w:val="11"/>
  </w:num>
  <w:num w:numId="34" w16cid:durableId="392234780">
    <w:abstractNumId w:val="20"/>
  </w:num>
  <w:num w:numId="35" w16cid:durableId="1624116004">
    <w:abstractNumId w:val="16"/>
  </w:num>
  <w:num w:numId="36" w16cid:durableId="313685126">
    <w:abstractNumId w:val="14"/>
  </w:num>
  <w:num w:numId="37" w16cid:durableId="165443566">
    <w:abstractNumId w:val="0"/>
  </w:num>
  <w:num w:numId="38" w16cid:durableId="1091970114">
    <w:abstractNumId w:val="9"/>
  </w:num>
  <w:num w:numId="39" w16cid:durableId="1367289138">
    <w:abstractNumId w:val="27"/>
  </w:num>
  <w:num w:numId="40" w16cid:durableId="527986714">
    <w:abstractNumId w:val="13"/>
  </w:num>
  <w:num w:numId="41" w16cid:durableId="729691055">
    <w:abstractNumId w:val="26"/>
  </w:num>
  <w:num w:numId="42" w16cid:durableId="18433247">
    <w:abstractNumId w:val="1"/>
  </w:num>
  <w:num w:numId="43" w16cid:durableId="11822818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D2352"/>
    <w:rsid w:val="000002EF"/>
    <w:rsid w:val="000015BD"/>
    <w:rsid w:val="0000169F"/>
    <w:rsid w:val="00002050"/>
    <w:rsid w:val="00003CCE"/>
    <w:rsid w:val="00003FCE"/>
    <w:rsid w:val="00004D96"/>
    <w:rsid w:val="0000544C"/>
    <w:rsid w:val="00005752"/>
    <w:rsid w:val="000057FA"/>
    <w:rsid w:val="0000616D"/>
    <w:rsid w:val="00006209"/>
    <w:rsid w:val="00006AFE"/>
    <w:rsid w:val="00006C94"/>
    <w:rsid w:val="00006EFF"/>
    <w:rsid w:val="00010226"/>
    <w:rsid w:val="00010930"/>
    <w:rsid w:val="00010CB1"/>
    <w:rsid w:val="00011C29"/>
    <w:rsid w:val="00011D96"/>
    <w:rsid w:val="00011DA6"/>
    <w:rsid w:val="00011F8F"/>
    <w:rsid w:val="000122CE"/>
    <w:rsid w:val="00012CD8"/>
    <w:rsid w:val="00012F13"/>
    <w:rsid w:val="0001320F"/>
    <w:rsid w:val="00013C11"/>
    <w:rsid w:val="00014544"/>
    <w:rsid w:val="00014AC7"/>
    <w:rsid w:val="00014CB9"/>
    <w:rsid w:val="000153EE"/>
    <w:rsid w:val="0001568C"/>
    <w:rsid w:val="00016AE9"/>
    <w:rsid w:val="00016D5D"/>
    <w:rsid w:val="000176DA"/>
    <w:rsid w:val="00020343"/>
    <w:rsid w:val="000203CD"/>
    <w:rsid w:val="00020F09"/>
    <w:rsid w:val="00022435"/>
    <w:rsid w:val="00022C6A"/>
    <w:rsid w:val="000255DC"/>
    <w:rsid w:val="00026ECB"/>
    <w:rsid w:val="000274CE"/>
    <w:rsid w:val="000275A5"/>
    <w:rsid w:val="000335F3"/>
    <w:rsid w:val="0003391A"/>
    <w:rsid w:val="00033E77"/>
    <w:rsid w:val="00034113"/>
    <w:rsid w:val="000352F7"/>
    <w:rsid w:val="00035E24"/>
    <w:rsid w:val="0003681B"/>
    <w:rsid w:val="000371D7"/>
    <w:rsid w:val="00037406"/>
    <w:rsid w:val="00037F1C"/>
    <w:rsid w:val="00040040"/>
    <w:rsid w:val="00040440"/>
    <w:rsid w:val="00040485"/>
    <w:rsid w:val="0004188C"/>
    <w:rsid w:val="00041FD3"/>
    <w:rsid w:val="0004214B"/>
    <w:rsid w:val="00042220"/>
    <w:rsid w:val="00044C31"/>
    <w:rsid w:val="00044DA1"/>
    <w:rsid w:val="000465E1"/>
    <w:rsid w:val="000469C9"/>
    <w:rsid w:val="00046A81"/>
    <w:rsid w:val="00046CAE"/>
    <w:rsid w:val="00046D15"/>
    <w:rsid w:val="00046F92"/>
    <w:rsid w:val="00050398"/>
    <w:rsid w:val="000506B3"/>
    <w:rsid w:val="000515A4"/>
    <w:rsid w:val="00051833"/>
    <w:rsid w:val="00051862"/>
    <w:rsid w:val="00052724"/>
    <w:rsid w:val="00052817"/>
    <w:rsid w:val="0005288C"/>
    <w:rsid w:val="00052906"/>
    <w:rsid w:val="00053E04"/>
    <w:rsid w:val="000561A7"/>
    <w:rsid w:val="00057582"/>
    <w:rsid w:val="000576D9"/>
    <w:rsid w:val="0005774E"/>
    <w:rsid w:val="00060077"/>
    <w:rsid w:val="00060403"/>
    <w:rsid w:val="00060E99"/>
    <w:rsid w:val="0006154F"/>
    <w:rsid w:val="00061D9C"/>
    <w:rsid w:val="00065375"/>
    <w:rsid w:val="00065D86"/>
    <w:rsid w:val="000667BE"/>
    <w:rsid w:val="00066E79"/>
    <w:rsid w:val="00066FAD"/>
    <w:rsid w:val="000677C7"/>
    <w:rsid w:val="00067AEF"/>
    <w:rsid w:val="00070E18"/>
    <w:rsid w:val="00071552"/>
    <w:rsid w:val="00071647"/>
    <w:rsid w:val="0007178C"/>
    <w:rsid w:val="0007195A"/>
    <w:rsid w:val="000719FC"/>
    <w:rsid w:val="00071CE9"/>
    <w:rsid w:val="00071F6E"/>
    <w:rsid w:val="000720B5"/>
    <w:rsid w:val="00072650"/>
    <w:rsid w:val="00073E4D"/>
    <w:rsid w:val="0007409A"/>
    <w:rsid w:val="0007560A"/>
    <w:rsid w:val="00075D08"/>
    <w:rsid w:val="00076B39"/>
    <w:rsid w:val="00077049"/>
    <w:rsid w:val="00080028"/>
    <w:rsid w:val="00081074"/>
    <w:rsid w:val="00081A49"/>
    <w:rsid w:val="0008209B"/>
    <w:rsid w:val="00082431"/>
    <w:rsid w:val="0008276F"/>
    <w:rsid w:val="000829C3"/>
    <w:rsid w:val="00082B79"/>
    <w:rsid w:val="00082EF9"/>
    <w:rsid w:val="000849BD"/>
    <w:rsid w:val="00084CEB"/>
    <w:rsid w:val="00085442"/>
    <w:rsid w:val="000858D0"/>
    <w:rsid w:val="00085E4B"/>
    <w:rsid w:val="00086780"/>
    <w:rsid w:val="000868D8"/>
    <w:rsid w:val="00086955"/>
    <w:rsid w:val="00087624"/>
    <w:rsid w:val="00087E37"/>
    <w:rsid w:val="00090E37"/>
    <w:rsid w:val="000912BD"/>
    <w:rsid w:val="00091C38"/>
    <w:rsid w:val="00091EA9"/>
    <w:rsid w:val="00092176"/>
    <w:rsid w:val="00092E1E"/>
    <w:rsid w:val="0009326D"/>
    <w:rsid w:val="00093CCE"/>
    <w:rsid w:val="00093D48"/>
    <w:rsid w:val="0009474A"/>
    <w:rsid w:val="000948FB"/>
    <w:rsid w:val="00095845"/>
    <w:rsid w:val="00095E78"/>
    <w:rsid w:val="00096D55"/>
    <w:rsid w:val="00096F57"/>
    <w:rsid w:val="000A0A20"/>
    <w:rsid w:val="000A15A3"/>
    <w:rsid w:val="000A209C"/>
    <w:rsid w:val="000A20BD"/>
    <w:rsid w:val="000A23F6"/>
    <w:rsid w:val="000A256C"/>
    <w:rsid w:val="000A2B23"/>
    <w:rsid w:val="000A2E0E"/>
    <w:rsid w:val="000A2F12"/>
    <w:rsid w:val="000A4074"/>
    <w:rsid w:val="000A4353"/>
    <w:rsid w:val="000A4894"/>
    <w:rsid w:val="000A4D05"/>
    <w:rsid w:val="000A68E4"/>
    <w:rsid w:val="000A6BD9"/>
    <w:rsid w:val="000A6C6E"/>
    <w:rsid w:val="000B000F"/>
    <w:rsid w:val="000B0335"/>
    <w:rsid w:val="000B0F92"/>
    <w:rsid w:val="000B1134"/>
    <w:rsid w:val="000B1994"/>
    <w:rsid w:val="000B1F18"/>
    <w:rsid w:val="000B2B13"/>
    <w:rsid w:val="000B394D"/>
    <w:rsid w:val="000B3C57"/>
    <w:rsid w:val="000B4718"/>
    <w:rsid w:val="000B4789"/>
    <w:rsid w:val="000B49CA"/>
    <w:rsid w:val="000B4FD7"/>
    <w:rsid w:val="000B4FF0"/>
    <w:rsid w:val="000B68CA"/>
    <w:rsid w:val="000B6FA7"/>
    <w:rsid w:val="000B7430"/>
    <w:rsid w:val="000B7A8C"/>
    <w:rsid w:val="000B7FA0"/>
    <w:rsid w:val="000C0B5B"/>
    <w:rsid w:val="000C247F"/>
    <w:rsid w:val="000C2903"/>
    <w:rsid w:val="000C2DD6"/>
    <w:rsid w:val="000C462A"/>
    <w:rsid w:val="000C4863"/>
    <w:rsid w:val="000C4AAA"/>
    <w:rsid w:val="000C55E8"/>
    <w:rsid w:val="000C5999"/>
    <w:rsid w:val="000C5C41"/>
    <w:rsid w:val="000C5FA3"/>
    <w:rsid w:val="000C6C17"/>
    <w:rsid w:val="000C73D1"/>
    <w:rsid w:val="000D0B54"/>
    <w:rsid w:val="000D1072"/>
    <w:rsid w:val="000D1B43"/>
    <w:rsid w:val="000D1B8D"/>
    <w:rsid w:val="000D1DF6"/>
    <w:rsid w:val="000D21E5"/>
    <w:rsid w:val="000D21F1"/>
    <w:rsid w:val="000D2681"/>
    <w:rsid w:val="000D2E55"/>
    <w:rsid w:val="000D35B2"/>
    <w:rsid w:val="000D3897"/>
    <w:rsid w:val="000D47AA"/>
    <w:rsid w:val="000D611C"/>
    <w:rsid w:val="000D6B94"/>
    <w:rsid w:val="000E0DDA"/>
    <w:rsid w:val="000E1B06"/>
    <w:rsid w:val="000E20D3"/>
    <w:rsid w:val="000E2208"/>
    <w:rsid w:val="000E30C4"/>
    <w:rsid w:val="000E34C0"/>
    <w:rsid w:val="000E40A5"/>
    <w:rsid w:val="000E509A"/>
    <w:rsid w:val="000E55F0"/>
    <w:rsid w:val="000E5690"/>
    <w:rsid w:val="000E5963"/>
    <w:rsid w:val="000E5A18"/>
    <w:rsid w:val="000E6751"/>
    <w:rsid w:val="000E7264"/>
    <w:rsid w:val="000E73F3"/>
    <w:rsid w:val="000E7F1C"/>
    <w:rsid w:val="000F0CE1"/>
    <w:rsid w:val="000F1409"/>
    <w:rsid w:val="000F15AC"/>
    <w:rsid w:val="000F20B1"/>
    <w:rsid w:val="000F2B8A"/>
    <w:rsid w:val="000F3498"/>
    <w:rsid w:val="000F35F6"/>
    <w:rsid w:val="000F4C20"/>
    <w:rsid w:val="000F5E9B"/>
    <w:rsid w:val="000F5EC1"/>
    <w:rsid w:val="000F631E"/>
    <w:rsid w:val="000F66DF"/>
    <w:rsid w:val="000F66FF"/>
    <w:rsid w:val="000F71EC"/>
    <w:rsid w:val="000F7A5E"/>
    <w:rsid w:val="001000F5"/>
    <w:rsid w:val="00100223"/>
    <w:rsid w:val="00100741"/>
    <w:rsid w:val="001008F9"/>
    <w:rsid w:val="00100AC1"/>
    <w:rsid w:val="00100E73"/>
    <w:rsid w:val="00101015"/>
    <w:rsid w:val="0010175E"/>
    <w:rsid w:val="0010284F"/>
    <w:rsid w:val="00102E5B"/>
    <w:rsid w:val="001030CC"/>
    <w:rsid w:val="0010404E"/>
    <w:rsid w:val="00104FF3"/>
    <w:rsid w:val="0010514B"/>
    <w:rsid w:val="0010526D"/>
    <w:rsid w:val="00105692"/>
    <w:rsid w:val="00105747"/>
    <w:rsid w:val="001063DC"/>
    <w:rsid w:val="001065E8"/>
    <w:rsid w:val="00106BEB"/>
    <w:rsid w:val="00107040"/>
    <w:rsid w:val="00107246"/>
    <w:rsid w:val="0010725B"/>
    <w:rsid w:val="00110F65"/>
    <w:rsid w:val="001113B7"/>
    <w:rsid w:val="001121D0"/>
    <w:rsid w:val="001124CA"/>
    <w:rsid w:val="00112549"/>
    <w:rsid w:val="001126E2"/>
    <w:rsid w:val="00113095"/>
    <w:rsid w:val="00113658"/>
    <w:rsid w:val="00113B49"/>
    <w:rsid w:val="00114486"/>
    <w:rsid w:val="001146C5"/>
    <w:rsid w:val="001147B9"/>
    <w:rsid w:val="00114A41"/>
    <w:rsid w:val="00115006"/>
    <w:rsid w:val="00115E02"/>
    <w:rsid w:val="001168F3"/>
    <w:rsid w:val="0011750F"/>
    <w:rsid w:val="00117DBA"/>
    <w:rsid w:val="00117F0A"/>
    <w:rsid w:val="00120099"/>
    <w:rsid w:val="00120209"/>
    <w:rsid w:val="001203F7"/>
    <w:rsid w:val="00120F49"/>
    <w:rsid w:val="001212E2"/>
    <w:rsid w:val="00121A6F"/>
    <w:rsid w:val="00121AA4"/>
    <w:rsid w:val="001237A3"/>
    <w:rsid w:val="0012412A"/>
    <w:rsid w:val="0012418A"/>
    <w:rsid w:val="00124596"/>
    <w:rsid w:val="0012565B"/>
    <w:rsid w:val="0012707D"/>
    <w:rsid w:val="0012714D"/>
    <w:rsid w:val="001303B1"/>
    <w:rsid w:val="001304B3"/>
    <w:rsid w:val="00130AD3"/>
    <w:rsid w:val="00131020"/>
    <w:rsid w:val="00131154"/>
    <w:rsid w:val="00131EB9"/>
    <w:rsid w:val="001331EE"/>
    <w:rsid w:val="0013346E"/>
    <w:rsid w:val="00134338"/>
    <w:rsid w:val="00135DB9"/>
    <w:rsid w:val="00136027"/>
    <w:rsid w:val="00136101"/>
    <w:rsid w:val="00137007"/>
    <w:rsid w:val="00140D7C"/>
    <w:rsid w:val="00141132"/>
    <w:rsid w:val="001423C8"/>
    <w:rsid w:val="00143111"/>
    <w:rsid w:val="00143507"/>
    <w:rsid w:val="001436C8"/>
    <w:rsid w:val="0014439D"/>
    <w:rsid w:val="001444B8"/>
    <w:rsid w:val="00145343"/>
    <w:rsid w:val="001454AC"/>
    <w:rsid w:val="00145B06"/>
    <w:rsid w:val="00145FA0"/>
    <w:rsid w:val="0014701E"/>
    <w:rsid w:val="00147D68"/>
    <w:rsid w:val="00150096"/>
    <w:rsid w:val="0015017D"/>
    <w:rsid w:val="0015048F"/>
    <w:rsid w:val="001505E7"/>
    <w:rsid w:val="001508BB"/>
    <w:rsid w:val="00151016"/>
    <w:rsid w:val="001526B5"/>
    <w:rsid w:val="00152F06"/>
    <w:rsid w:val="001540D5"/>
    <w:rsid w:val="00154C97"/>
    <w:rsid w:val="00155DBE"/>
    <w:rsid w:val="00156060"/>
    <w:rsid w:val="001567AD"/>
    <w:rsid w:val="00156D47"/>
    <w:rsid w:val="0015720D"/>
    <w:rsid w:val="001573FC"/>
    <w:rsid w:val="00161111"/>
    <w:rsid w:val="001619B5"/>
    <w:rsid w:val="00161B35"/>
    <w:rsid w:val="00162452"/>
    <w:rsid w:val="00162952"/>
    <w:rsid w:val="00163351"/>
    <w:rsid w:val="00163B3D"/>
    <w:rsid w:val="00163E18"/>
    <w:rsid w:val="0016428F"/>
    <w:rsid w:val="001642ED"/>
    <w:rsid w:val="00164345"/>
    <w:rsid w:val="00165B46"/>
    <w:rsid w:val="001666DF"/>
    <w:rsid w:val="00166F76"/>
    <w:rsid w:val="00167BB1"/>
    <w:rsid w:val="00170E43"/>
    <w:rsid w:val="00171256"/>
    <w:rsid w:val="00171274"/>
    <w:rsid w:val="001718DF"/>
    <w:rsid w:val="00171C5F"/>
    <w:rsid w:val="001720DD"/>
    <w:rsid w:val="00172AA6"/>
    <w:rsid w:val="00172D6D"/>
    <w:rsid w:val="00173A86"/>
    <w:rsid w:val="0017466C"/>
    <w:rsid w:val="00174929"/>
    <w:rsid w:val="001749B0"/>
    <w:rsid w:val="00174C4F"/>
    <w:rsid w:val="00174EEF"/>
    <w:rsid w:val="00175B3A"/>
    <w:rsid w:val="0017614A"/>
    <w:rsid w:val="0017641C"/>
    <w:rsid w:val="00176461"/>
    <w:rsid w:val="00176DD4"/>
    <w:rsid w:val="001774AB"/>
    <w:rsid w:val="001774F7"/>
    <w:rsid w:val="00177ACC"/>
    <w:rsid w:val="00177C12"/>
    <w:rsid w:val="00177DB2"/>
    <w:rsid w:val="0018095F"/>
    <w:rsid w:val="0018151E"/>
    <w:rsid w:val="00181B87"/>
    <w:rsid w:val="00182F7B"/>
    <w:rsid w:val="001834CD"/>
    <w:rsid w:val="00183980"/>
    <w:rsid w:val="00184F8E"/>
    <w:rsid w:val="00185594"/>
    <w:rsid w:val="00186CA6"/>
    <w:rsid w:val="00187242"/>
    <w:rsid w:val="001914A4"/>
    <w:rsid w:val="001919B7"/>
    <w:rsid w:val="00191B18"/>
    <w:rsid w:val="00192050"/>
    <w:rsid w:val="001938B3"/>
    <w:rsid w:val="001944D3"/>
    <w:rsid w:val="001956A3"/>
    <w:rsid w:val="00196143"/>
    <w:rsid w:val="001962DE"/>
    <w:rsid w:val="001A0106"/>
    <w:rsid w:val="001A01E7"/>
    <w:rsid w:val="001A0B91"/>
    <w:rsid w:val="001A28D9"/>
    <w:rsid w:val="001A2E5F"/>
    <w:rsid w:val="001A3661"/>
    <w:rsid w:val="001A5564"/>
    <w:rsid w:val="001A67F9"/>
    <w:rsid w:val="001A7E21"/>
    <w:rsid w:val="001B050B"/>
    <w:rsid w:val="001B1055"/>
    <w:rsid w:val="001B1E84"/>
    <w:rsid w:val="001B2372"/>
    <w:rsid w:val="001B2495"/>
    <w:rsid w:val="001B3CBA"/>
    <w:rsid w:val="001B3CE8"/>
    <w:rsid w:val="001B3F07"/>
    <w:rsid w:val="001B4AB7"/>
    <w:rsid w:val="001B4E94"/>
    <w:rsid w:val="001B57DB"/>
    <w:rsid w:val="001B58D1"/>
    <w:rsid w:val="001B614F"/>
    <w:rsid w:val="001B75AF"/>
    <w:rsid w:val="001C0528"/>
    <w:rsid w:val="001C0F1E"/>
    <w:rsid w:val="001C112A"/>
    <w:rsid w:val="001C1425"/>
    <w:rsid w:val="001C196C"/>
    <w:rsid w:val="001C1EC9"/>
    <w:rsid w:val="001C23C9"/>
    <w:rsid w:val="001C2658"/>
    <w:rsid w:val="001C29E8"/>
    <w:rsid w:val="001C2FDC"/>
    <w:rsid w:val="001C3366"/>
    <w:rsid w:val="001C3C6A"/>
    <w:rsid w:val="001C46BE"/>
    <w:rsid w:val="001C48C8"/>
    <w:rsid w:val="001C4F39"/>
    <w:rsid w:val="001C554E"/>
    <w:rsid w:val="001C55F9"/>
    <w:rsid w:val="001C56BB"/>
    <w:rsid w:val="001C5BAE"/>
    <w:rsid w:val="001C5FB6"/>
    <w:rsid w:val="001C6097"/>
    <w:rsid w:val="001C6521"/>
    <w:rsid w:val="001C6B1C"/>
    <w:rsid w:val="001C6D43"/>
    <w:rsid w:val="001C7F91"/>
    <w:rsid w:val="001D10BC"/>
    <w:rsid w:val="001D12DD"/>
    <w:rsid w:val="001D24E4"/>
    <w:rsid w:val="001D2F69"/>
    <w:rsid w:val="001D34AE"/>
    <w:rsid w:val="001D38F5"/>
    <w:rsid w:val="001D5243"/>
    <w:rsid w:val="001D5298"/>
    <w:rsid w:val="001D582B"/>
    <w:rsid w:val="001D5CFC"/>
    <w:rsid w:val="001D61CB"/>
    <w:rsid w:val="001D6A71"/>
    <w:rsid w:val="001D6C92"/>
    <w:rsid w:val="001D7063"/>
    <w:rsid w:val="001D769A"/>
    <w:rsid w:val="001D7D27"/>
    <w:rsid w:val="001D7D6F"/>
    <w:rsid w:val="001E000F"/>
    <w:rsid w:val="001E115F"/>
    <w:rsid w:val="001E1431"/>
    <w:rsid w:val="001E25B2"/>
    <w:rsid w:val="001E2751"/>
    <w:rsid w:val="001E3125"/>
    <w:rsid w:val="001E3B58"/>
    <w:rsid w:val="001E411B"/>
    <w:rsid w:val="001E4A2C"/>
    <w:rsid w:val="001E4D0D"/>
    <w:rsid w:val="001E50FC"/>
    <w:rsid w:val="001E5748"/>
    <w:rsid w:val="001E6AF7"/>
    <w:rsid w:val="001E7E9A"/>
    <w:rsid w:val="001F0F62"/>
    <w:rsid w:val="001F0FF1"/>
    <w:rsid w:val="001F2898"/>
    <w:rsid w:val="001F2BC4"/>
    <w:rsid w:val="001F2DC6"/>
    <w:rsid w:val="001F3264"/>
    <w:rsid w:val="001F33C4"/>
    <w:rsid w:val="001F3AA0"/>
    <w:rsid w:val="001F3F9D"/>
    <w:rsid w:val="001F41EE"/>
    <w:rsid w:val="001F44AC"/>
    <w:rsid w:val="001F4C62"/>
    <w:rsid w:val="001F50DA"/>
    <w:rsid w:val="001F5B64"/>
    <w:rsid w:val="001F6352"/>
    <w:rsid w:val="001F6565"/>
    <w:rsid w:val="001F67B6"/>
    <w:rsid w:val="001F6F02"/>
    <w:rsid w:val="001F6F1B"/>
    <w:rsid w:val="001F6F2D"/>
    <w:rsid w:val="001F713E"/>
    <w:rsid w:val="001F780E"/>
    <w:rsid w:val="00202870"/>
    <w:rsid w:val="00202B15"/>
    <w:rsid w:val="002039B1"/>
    <w:rsid w:val="00203A85"/>
    <w:rsid w:val="00204440"/>
    <w:rsid w:val="00204AC4"/>
    <w:rsid w:val="00205D7C"/>
    <w:rsid w:val="002077A6"/>
    <w:rsid w:val="002108AD"/>
    <w:rsid w:val="002111BC"/>
    <w:rsid w:val="00211ACF"/>
    <w:rsid w:val="00212327"/>
    <w:rsid w:val="00213CCA"/>
    <w:rsid w:val="00214554"/>
    <w:rsid w:val="002146E6"/>
    <w:rsid w:val="00214B1A"/>
    <w:rsid w:val="00214F29"/>
    <w:rsid w:val="00215B55"/>
    <w:rsid w:val="00216784"/>
    <w:rsid w:val="0022128B"/>
    <w:rsid w:val="00221811"/>
    <w:rsid w:val="00221CB6"/>
    <w:rsid w:val="002223D0"/>
    <w:rsid w:val="0022312E"/>
    <w:rsid w:val="00224238"/>
    <w:rsid w:val="00224BFF"/>
    <w:rsid w:val="00224C52"/>
    <w:rsid w:val="00226E56"/>
    <w:rsid w:val="002277D3"/>
    <w:rsid w:val="00227938"/>
    <w:rsid w:val="00230D09"/>
    <w:rsid w:val="00231DBC"/>
    <w:rsid w:val="002326ED"/>
    <w:rsid w:val="00232E30"/>
    <w:rsid w:val="00232FC1"/>
    <w:rsid w:val="002334F5"/>
    <w:rsid w:val="00233693"/>
    <w:rsid w:val="002345CA"/>
    <w:rsid w:val="00234BF4"/>
    <w:rsid w:val="00236B82"/>
    <w:rsid w:val="0023760B"/>
    <w:rsid w:val="00240206"/>
    <w:rsid w:val="0024057D"/>
    <w:rsid w:val="002409EB"/>
    <w:rsid w:val="00241509"/>
    <w:rsid w:val="00241622"/>
    <w:rsid w:val="00241A29"/>
    <w:rsid w:val="00242226"/>
    <w:rsid w:val="00242D78"/>
    <w:rsid w:val="002430E1"/>
    <w:rsid w:val="0024345F"/>
    <w:rsid w:val="00244434"/>
    <w:rsid w:val="00244471"/>
    <w:rsid w:val="002445BB"/>
    <w:rsid w:val="002452E4"/>
    <w:rsid w:val="0024551F"/>
    <w:rsid w:val="002455BE"/>
    <w:rsid w:val="002468A4"/>
    <w:rsid w:val="00247001"/>
    <w:rsid w:val="00247B7E"/>
    <w:rsid w:val="002500CD"/>
    <w:rsid w:val="0025088B"/>
    <w:rsid w:val="00250E18"/>
    <w:rsid w:val="0025127A"/>
    <w:rsid w:val="00251531"/>
    <w:rsid w:val="00251DBA"/>
    <w:rsid w:val="00251FC5"/>
    <w:rsid w:val="00253F9B"/>
    <w:rsid w:val="0025470E"/>
    <w:rsid w:val="00254C80"/>
    <w:rsid w:val="00254CFB"/>
    <w:rsid w:val="00255997"/>
    <w:rsid w:val="00255C02"/>
    <w:rsid w:val="00256D63"/>
    <w:rsid w:val="00256E63"/>
    <w:rsid w:val="00257DF3"/>
    <w:rsid w:val="00260CFF"/>
    <w:rsid w:val="00261065"/>
    <w:rsid w:val="002617D0"/>
    <w:rsid w:val="00261A28"/>
    <w:rsid w:val="00261BA0"/>
    <w:rsid w:val="00261D93"/>
    <w:rsid w:val="002627AB"/>
    <w:rsid w:val="00262E13"/>
    <w:rsid w:val="002639CF"/>
    <w:rsid w:val="00263B08"/>
    <w:rsid w:val="0026447B"/>
    <w:rsid w:val="00264DF4"/>
    <w:rsid w:val="00264F08"/>
    <w:rsid w:val="0026567F"/>
    <w:rsid w:val="00265BE9"/>
    <w:rsid w:val="00266B85"/>
    <w:rsid w:val="00267233"/>
    <w:rsid w:val="00267585"/>
    <w:rsid w:val="00267DAD"/>
    <w:rsid w:val="002715F1"/>
    <w:rsid w:val="00271F9D"/>
    <w:rsid w:val="00272159"/>
    <w:rsid w:val="002746E6"/>
    <w:rsid w:val="00275EDA"/>
    <w:rsid w:val="002761A0"/>
    <w:rsid w:val="00276A28"/>
    <w:rsid w:val="00276B94"/>
    <w:rsid w:val="00276EDA"/>
    <w:rsid w:val="00277D8D"/>
    <w:rsid w:val="002815C2"/>
    <w:rsid w:val="002820D0"/>
    <w:rsid w:val="002824DB"/>
    <w:rsid w:val="00284A7A"/>
    <w:rsid w:val="002852DF"/>
    <w:rsid w:val="00285379"/>
    <w:rsid w:val="00285496"/>
    <w:rsid w:val="00285520"/>
    <w:rsid w:val="00285909"/>
    <w:rsid w:val="0028699D"/>
    <w:rsid w:val="0028771B"/>
    <w:rsid w:val="00287794"/>
    <w:rsid w:val="00287CEA"/>
    <w:rsid w:val="002901E6"/>
    <w:rsid w:val="0029024E"/>
    <w:rsid w:val="002905BC"/>
    <w:rsid w:val="00291082"/>
    <w:rsid w:val="00291286"/>
    <w:rsid w:val="002922AB"/>
    <w:rsid w:val="002930C6"/>
    <w:rsid w:val="002933C5"/>
    <w:rsid w:val="002936E5"/>
    <w:rsid w:val="00293D91"/>
    <w:rsid w:val="002952C5"/>
    <w:rsid w:val="0029541A"/>
    <w:rsid w:val="0029653E"/>
    <w:rsid w:val="00296AA6"/>
    <w:rsid w:val="00296FDB"/>
    <w:rsid w:val="00297092"/>
    <w:rsid w:val="002A0B1D"/>
    <w:rsid w:val="002A1159"/>
    <w:rsid w:val="002A11A7"/>
    <w:rsid w:val="002A1892"/>
    <w:rsid w:val="002A1FA4"/>
    <w:rsid w:val="002A280D"/>
    <w:rsid w:val="002A2ADD"/>
    <w:rsid w:val="002A31F8"/>
    <w:rsid w:val="002A3403"/>
    <w:rsid w:val="002A39E4"/>
    <w:rsid w:val="002A3AB2"/>
    <w:rsid w:val="002A4F29"/>
    <w:rsid w:val="002A4FAA"/>
    <w:rsid w:val="002A5766"/>
    <w:rsid w:val="002A689E"/>
    <w:rsid w:val="002A75EF"/>
    <w:rsid w:val="002A7CE2"/>
    <w:rsid w:val="002B02AB"/>
    <w:rsid w:val="002B07FD"/>
    <w:rsid w:val="002B0E47"/>
    <w:rsid w:val="002B119E"/>
    <w:rsid w:val="002B1374"/>
    <w:rsid w:val="002B257C"/>
    <w:rsid w:val="002B27A3"/>
    <w:rsid w:val="002B2EAA"/>
    <w:rsid w:val="002B3D0E"/>
    <w:rsid w:val="002B3E8C"/>
    <w:rsid w:val="002B454A"/>
    <w:rsid w:val="002B4BEE"/>
    <w:rsid w:val="002B5A53"/>
    <w:rsid w:val="002B60E9"/>
    <w:rsid w:val="002B634E"/>
    <w:rsid w:val="002B648A"/>
    <w:rsid w:val="002B6CED"/>
    <w:rsid w:val="002B71AB"/>
    <w:rsid w:val="002C029E"/>
    <w:rsid w:val="002C06B5"/>
    <w:rsid w:val="002C1062"/>
    <w:rsid w:val="002C1B2E"/>
    <w:rsid w:val="002C2E0A"/>
    <w:rsid w:val="002C2EA2"/>
    <w:rsid w:val="002C36FF"/>
    <w:rsid w:val="002C4F8D"/>
    <w:rsid w:val="002C5E0C"/>
    <w:rsid w:val="002C74FF"/>
    <w:rsid w:val="002C7F8E"/>
    <w:rsid w:val="002D0AAD"/>
    <w:rsid w:val="002D0B43"/>
    <w:rsid w:val="002D0E5F"/>
    <w:rsid w:val="002D1367"/>
    <w:rsid w:val="002D2F54"/>
    <w:rsid w:val="002D3191"/>
    <w:rsid w:val="002D36D1"/>
    <w:rsid w:val="002D47DC"/>
    <w:rsid w:val="002D5CD7"/>
    <w:rsid w:val="002D5D0D"/>
    <w:rsid w:val="002D6030"/>
    <w:rsid w:val="002D60D8"/>
    <w:rsid w:val="002D6373"/>
    <w:rsid w:val="002D71E6"/>
    <w:rsid w:val="002E0FA9"/>
    <w:rsid w:val="002E1764"/>
    <w:rsid w:val="002E2625"/>
    <w:rsid w:val="002E2C9F"/>
    <w:rsid w:val="002E3F4A"/>
    <w:rsid w:val="002E402C"/>
    <w:rsid w:val="002E46D0"/>
    <w:rsid w:val="002E4A75"/>
    <w:rsid w:val="002E4F6C"/>
    <w:rsid w:val="002E5C97"/>
    <w:rsid w:val="002E6F52"/>
    <w:rsid w:val="002E7108"/>
    <w:rsid w:val="002E7CAB"/>
    <w:rsid w:val="002F0410"/>
    <w:rsid w:val="002F05BB"/>
    <w:rsid w:val="002F08C9"/>
    <w:rsid w:val="002F10F2"/>
    <w:rsid w:val="002F1D97"/>
    <w:rsid w:val="002F271B"/>
    <w:rsid w:val="002F2A11"/>
    <w:rsid w:val="002F37E1"/>
    <w:rsid w:val="002F390C"/>
    <w:rsid w:val="002F3DD9"/>
    <w:rsid w:val="002F45AB"/>
    <w:rsid w:val="002F47EA"/>
    <w:rsid w:val="002F4C5E"/>
    <w:rsid w:val="002F4CE5"/>
    <w:rsid w:val="002F5A09"/>
    <w:rsid w:val="002F5B46"/>
    <w:rsid w:val="002F5F12"/>
    <w:rsid w:val="002F6730"/>
    <w:rsid w:val="002F6B57"/>
    <w:rsid w:val="002F7804"/>
    <w:rsid w:val="002F790D"/>
    <w:rsid w:val="003004B5"/>
    <w:rsid w:val="0030099D"/>
    <w:rsid w:val="003009E3"/>
    <w:rsid w:val="00300BDC"/>
    <w:rsid w:val="00301073"/>
    <w:rsid w:val="00301F3E"/>
    <w:rsid w:val="003023C1"/>
    <w:rsid w:val="00303455"/>
    <w:rsid w:val="00303818"/>
    <w:rsid w:val="00303BD0"/>
    <w:rsid w:val="00303BEE"/>
    <w:rsid w:val="00303F83"/>
    <w:rsid w:val="0030401A"/>
    <w:rsid w:val="003043B6"/>
    <w:rsid w:val="00304A96"/>
    <w:rsid w:val="00305151"/>
    <w:rsid w:val="00305C2F"/>
    <w:rsid w:val="00305C6F"/>
    <w:rsid w:val="003061BB"/>
    <w:rsid w:val="003065F9"/>
    <w:rsid w:val="00307B48"/>
    <w:rsid w:val="00307F05"/>
    <w:rsid w:val="0031091F"/>
    <w:rsid w:val="0031094D"/>
    <w:rsid w:val="00311AE5"/>
    <w:rsid w:val="00311BAD"/>
    <w:rsid w:val="003137CF"/>
    <w:rsid w:val="00313D14"/>
    <w:rsid w:val="00314145"/>
    <w:rsid w:val="003143A0"/>
    <w:rsid w:val="00314B84"/>
    <w:rsid w:val="00314FBB"/>
    <w:rsid w:val="003150ED"/>
    <w:rsid w:val="0031537D"/>
    <w:rsid w:val="003158DC"/>
    <w:rsid w:val="00315AFC"/>
    <w:rsid w:val="003163B1"/>
    <w:rsid w:val="00316880"/>
    <w:rsid w:val="00316BBE"/>
    <w:rsid w:val="00316D68"/>
    <w:rsid w:val="00317312"/>
    <w:rsid w:val="00317455"/>
    <w:rsid w:val="0031755B"/>
    <w:rsid w:val="00317F8B"/>
    <w:rsid w:val="00317FBD"/>
    <w:rsid w:val="003200F5"/>
    <w:rsid w:val="00320B2E"/>
    <w:rsid w:val="00321B25"/>
    <w:rsid w:val="00322496"/>
    <w:rsid w:val="00323730"/>
    <w:rsid w:val="00323A61"/>
    <w:rsid w:val="003258B0"/>
    <w:rsid w:val="0032644D"/>
    <w:rsid w:val="00326555"/>
    <w:rsid w:val="003265C7"/>
    <w:rsid w:val="00327A87"/>
    <w:rsid w:val="003302A1"/>
    <w:rsid w:val="00330CB5"/>
    <w:rsid w:val="00330DEB"/>
    <w:rsid w:val="003311DB"/>
    <w:rsid w:val="00331896"/>
    <w:rsid w:val="00331D51"/>
    <w:rsid w:val="003320F8"/>
    <w:rsid w:val="0033273E"/>
    <w:rsid w:val="0033280D"/>
    <w:rsid w:val="0033312E"/>
    <w:rsid w:val="00333DAA"/>
    <w:rsid w:val="00333EC4"/>
    <w:rsid w:val="00334708"/>
    <w:rsid w:val="00334AA0"/>
    <w:rsid w:val="00334C79"/>
    <w:rsid w:val="00335407"/>
    <w:rsid w:val="00335AEC"/>
    <w:rsid w:val="00335B50"/>
    <w:rsid w:val="00335F33"/>
    <w:rsid w:val="003364AC"/>
    <w:rsid w:val="003366BA"/>
    <w:rsid w:val="003373EF"/>
    <w:rsid w:val="00337549"/>
    <w:rsid w:val="00337906"/>
    <w:rsid w:val="003404CF"/>
    <w:rsid w:val="0034128C"/>
    <w:rsid w:val="003423AE"/>
    <w:rsid w:val="003427CB"/>
    <w:rsid w:val="00342C62"/>
    <w:rsid w:val="00342F14"/>
    <w:rsid w:val="00343836"/>
    <w:rsid w:val="00344127"/>
    <w:rsid w:val="0034474E"/>
    <w:rsid w:val="0034519F"/>
    <w:rsid w:val="00345645"/>
    <w:rsid w:val="003476B2"/>
    <w:rsid w:val="00347880"/>
    <w:rsid w:val="00347A76"/>
    <w:rsid w:val="00350556"/>
    <w:rsid w:val="003509B9"/>
    <w:rsid w:val="003514EA"/>
    <w:rsid w:val="003519DF"/>
    <w:rsid w:val="00351F64"/>
    <w:rsid w:val="00353044"/>
    <w:rsid w:val="00354553"/>
    <w:rsid w:val="00355945"/>
    <w:rsid w:val="00356048"/>
    <w:rsid w:val="0035691F"/>
    <w:rsid w:val="00356C4A"/>
    <w:rsid w:val="00356EC9"/>
    <w:rsid w:val="00357ECC"/>
    <w:rsid w:val="003607B7"/>
    <w:rsid w:val="0036086B"/>
    <w:rsid w:val="00360F90"/>
    <w:rsid w:val="00362279"/>
    <w:rsid w:val="00362682"/>
    <w:rsid w:val="00362850"/>
    <w:rsid w:val="0036291B"/>
    <w:rsid w:val="00362CEF"/>
    <w:rsid w:val="00362D12"/>
    <w:rsid w:val="003630CD"/>
    <w:rsid w:val="00364026"/>
    <w:rsid w:val="00366654"/>
    <w:rsid w:val="00366BF5"/>
    <w:rsid w:val="003676CE"/>
    <w:rsid w:val="00367A6A"/>
    <w:rsid w:val="00367BF8"/>
    <w:rsid w:val="00370C1A"/>
    <w:rsid w:val="003721BA"/>
    <w:rsid w:val="00373534"/>
    <w:rsid w:val="00373E7C"/>
    <w:rsid w:val="003741BD"/>
    <w:rsid w:val="0037533A"/>
    <w:rsid w:val="00376E60"/>
    <w:rsid w:val="0037711D"/>
    <w:rsid w:val="00377968"/>
    <w:rsid w:val="00377AC8"/>
    <w:rsid w:val="003808B1"/>
    <w:rsid w:val="00380CC5"/>
    <w:rsid w:val="00380E39"/>
    <w:rsid w:val="00381A28"/>
    <w:rsid w:val="00381AFB"/>
    <w:rsid w:val="00381B48"/>
    <w:rsid w:val="00381D0A"/>
    <w:rsid w:val="0038286F"/>
    <w:rsid w:val="00383316"/>
    <w:rsid w:val="0038368F"/>
    <w:rsid w:val="003843B8"/>
    <w:rsid w:val="00384E8D"/>
    <w:rsid w:val="00384EEA"/>
    <w:rsid w:val="0038625B"/>
    <w:rsid w:val="00386F87"/>
    <w:rsid w:val="00387753"/>
    <w:rsid w:val="003904F4"/>
    <w:rsid w:val="003907D0"/>
    <w:rsid w:val="00390DA1"/>
    <w:rsid w:val="00391622"/>
    <w:rsid w:val="00391DDC"/>
    <w:rsid w:val="00392344"/>
    <w:rsid w:val="00392873"/>
    <w:rsid w:val="003932A3"/>
    <w:rsid w:val="003933D4"/>
    <w:rsid w:val="003936FC"/>
    <w:rsid w:val="00394102"/>
    <w:rsid w:val="00394577"/>
    <w:rsid w:val="00394BA8"/>
    <w:rsid w:val="00394C07"/>
    <w:rsid w:val="00394C74"/>
    <w:rsid w:val="00396E25"/>
    <w:rsid w:val="00396F4D"/>
    <w:rsid w:val="003972F3"/>
    <w:rsid w:val="003977A7"/>
    <w:rsid w:val="003A0891"/>
    <w:rsid w:val="003A1128"/>
    <w:rsid w:val="003A11E4"/>
    <w:rsid w:val="003A244C"/>
    <w:rsid w:val="003A2F5D"/>
    <w:rsid w:val="003A3D23"/>
    <w:rsid w:val="003A45FA"/>
    <w:rsid w:val="003A482F"/>
    <w:rsid w:val="003A675F"/>
    <w:rsid w:val="003A7089"/>
    <w:rsid w:val="003A7B4D"/>
    <w:rsid w:val="003B078B"/>
    <w:rsid w:val="003B08EE"/>
    <w:rsid w:val="003B30F3"/>
    <w:rsid w:val="003B354B"/>
    <w:rsid w:val="003B3DE0"/>
    <w:rsid w:val="003B3F93"/>
    <w:rsid w:val="003B4830"/>
    <w:rsid w:val="003B5C5C"/>
    <w:rsid w:val="003B67F2"/>
    <w:rsid w:val="003B6C9F"/>
    <w:rsid w:val="003C03E2"/>
    <w:rsid w:val="003C0435"/>
    <w:rsid w:val="003C0C94"/>
    <w:rsid w:val="003C1169"/>
    <w:rsid w:val="003C118D"/>
    <w:rsid w:val="003C1577"/>
    <w:rsid w:val="003C16A0"/>
    <w:rsid w:val="003C21DF"/>
    <w:rsid w:val="003C3ED5"/>
    <w:rsid w:val="003C4D98"/>
    <w:rsid w:val="003C5236"/>
    <w:rsid w:val="003C52AB"/>
    <w:rsid w:val="003C53EF"/>
    <w:rsid w:val="003C5435"/>
    <w:rsid w:val="003C577E"/>
    <w:rsid w:val="003C5A7D"/>
    <w:rsid w:val="003C5D7F"/>
    <w:rsid w:val="003C5E87"/>
    <w:rsid w:val="003C6D96"/>
    <w:rsid w:val="003C7261"/>
    <w:rsid w:val="003C746F"/>
    <w:rsid w:val="003C7586"/>
    <w:rsid w:val="003C7682"/>
    <w:rsid w:val="003C7B56"/>
    <w:rsid w:val="003D2C95"/>
    <w:rsid w:val="003D2F40"/>
    <w:rsid w:val="003D383E"/>
    <w:rsid w:val="003D4A10"/>
    <w:rsid w:val="003D4A5E"/>
    <w:rsid w:val="003D51DB"/>
    <w:rsid w:val="003D58E0"/>
    <w:rsid w:val="003D5CDA"/>
    <w:rsid w:val="003D712E"/>
    <w:rsid w:val="003D715B"/>
    <w:rsid w:val="003D7601"/>
    <w:rsid w:val="003D7AE4"/>
    <w:rsid w:val="003E0CEF"/>
    <w:rsid w:val="003E0F38"/>
    <w:rsid w:val="003E16EC"/>
    <w:rsid w:val="003E2297"/>
    <w:rsid w:val="003E2907"/>
    <w:rsid w:val="003E294B"/>
    <w:rsid w:val="003E3AF5"/>
    <w:rsid w:val="003E4056"/>
    <w:rsid w:val="003E44EA"/>
    <w:rsid w:val="003E4C5C"/>
    <w:rsid w:val="003E5509"/>
    <w:rsid w:val="003E572F"/>
    <w:rsid w:val="003E5B32"/>
    <w:rsid w:val="003E5E50"/>
    <w:rsid w:val="003E6503"/>
    <w:rsid w:val="003E7271"/>
    <w:rsid w:val="003E79D7"/>
    <w:rsid w:val="003F0277"/>
    <w:rsid w:val="003F062E"/>
    <w:rsid w:val="003F07B5"/>
    <w:rsid w:val="003F0912"/>
    <w:rsid w:val="003F2376"/>
    <w:rsid w:val="003F2443"/>
    <w:rsid w:val="003F26CA"/>
    <w:rsid w:val="003F2A1F"/>
    <w:rsid w:val="003F3144"/>
    <w:rsid w:val="003F3866"/>
    <w:rsid w:val="003F3B16"/>
    <w:rsid w:val="003F3F1B"/>
    <w:rsid w:val="003F4844"/>
    <w:rsid w:val="003F529C"/>
    <w:rsid w:val="003F558C"/>
    <w:rsid w:val="003F5B58"/>
    <w:rsid w:val="003F6042"/>
    <w:rsid w:val="003F633E"/>
    <w:rsid w:val="003F6740"/>
    <w:rsid w:val="003F7B9A"/>
    <w:rsid w:val="0040039C"/>
    <w:rsid w:val="00400FF7"/>
    <w:rsid w:val="004017AE"/>
    <w:rsid w:val="00401AEC"/>
    <w:rsid w:val="00402C85"/>
    <w:rsid w:val="00402F1C"/>
    <w:rsid w:val="004034BC"/>
    <w:rsid w:val="00403B92"/>
    <w:rsid w:val="00404A68"/>
    <w:rsid w:val="00405080"/>
    <w:rsid w:val="004052C6"/>
    <w:rsid w:val="00405577"/>
    <w:rsid w:val="00405CC4"/>
    <w:rsid w:val="0040628A"/>
    <w:rsid w:val="00406348"/>
    <w:rsid w:val="00406534"/>
    <w:rsid w:val="00406FD8"/>
    <w:rsid w:val="004073E3"/>
    <w:rsid w:val="00407D83"/>
    <w:rsid w:val="00410BC1"/>
    <w:rsid w:val="0041138C"/>
    <w:rsid w:val="004114F7"/>
    <w:rsid w:val="00412602"/>
    <w:rsid w:val="00412A2F"/>
    <w:rsid w:val="00412D8A"/>
    <w:rsid w:val="00412DC1"/>
    <w:rsid w:val="00412E02"/>
    <w:rsid w:val="00413567"/>
    <w:rsid w:val="0041372C"/>
    <w:rsid w:val="00413AB7"/>
    <w:rsid w:val="004145F9"/>
    <w:rsid w:val="00414D7F"/>
    <w:rsid w:val="0041510B"/>
    <w:rsid w:val="0041558A"/>
    <w:rsid w:val="00415E94"/>
    <w:rsid w:val="0041677B"/>
    <w:rsid w:val="00416BA5"/>
    <w:rsid w:val="00416EC4"/>
    <w:rsid w:val="00417201"/>
    <w:rsid w:val="00417651"/>
    <w:rsid w:val="004177D9"/>
    <w:rsid w:val="00417814"/>
    <w:rsid w:val="004218FB"/>
    <w:rsid w:val="00421A4A"/>
    <w:rsid w:val="00422358"/>
    <w:rsid w:val="0042262C"/>
    <w:rsid w:val="004229CE"/>
    <w:rsid w:val="00422E74"/>
    <w:rsid w:val="00423CF2"/>
    <w:rsid w:val="00424156"/>
    <w:rsid w:val="004257D9"/>
    <w:rsid w:val="00426515"/>
    <w:rsid w:val="00426835"/>
    <w:rsid w:val="00426DC4"/>
    <w:rsid w:val="00426DF7"/>
    <w:rsid w:val="0042788B"/>
    <w:rsid w:val="00427C09"/>
    <w:rsid w:val="00427E37"/>
    <w:rsid w:val="00427E7C"/>
    <w:rsid w:val="0043040F"/>
    <w:rsid w:val="004306EF"/>
    <w:rsid w:val="00430800"/>
    <w:rsid w:val="00430884"/>
    <w:rsid w:val="00430A46"/>
    <w:rsid w:val="004335DD"/>
    <w:rsid w:val="00433729"/>
    <w:rsid w:val="0043545F"/>
    <w:rsid w:val="0043546E"/>
    <w:rsid w:val="00436026"/>
    <w:rsid w:val="00436C76"/>
    <w:rsid w:val="0043750A"/>
    <w:rsid w:val="004401BA"/>
    <w:rsid w:val="00440504"/>
    <w:rsid w:val="00440B13"/>
    <w:rsid w:val="00440EA2"/>
    <w:rsid w:val="004413EC"/>
    <w:rsid w:val="00441FDA"/>
    <w:rsid w:val="00442A6B"/>
    <w:rsid w:val="00443EBC"/>
    <w:rsid w:val="00445103"/>
    <w:rsid w:val="0044557F"/>
    <w:rsid w:val="0044592D"/>
    <w:rsid w:val="00445B25"/>
    <w:rsid w:val="00445E0C"/>
    <w:rsid w:val="00445ED9"/>
    <w:rsid w:val="00445FDD"/>
    <w:rsid w:val="004469DE"/>
    <w:rsid w:val="00451411"/>
    <w:rsid w:val="00452054"/>
    <w:rsid w:val="00452762"/>
    <w:rsid w:val="00452A0A"/>
    <w:rsid w:val="00453152"/>
    <w:rsid w:val="00453BC9"/>
    <w:rsid w:val="00453FFE"/>
    <w:rsid w:val="00454CA7"/>
    <w:rsid w:val="00456165"/>
    <w:rsid w:val="00456476"/>
    <w:rsid w:val="00457162"/>
    <w:rsid w:val="00457800"/>
    <w:rsid w:val="0046001E"/>
    <w:rsid w:val="0046012A"/>
    <w:rsid w:val="00460A8C"/>
    <w:rsid w:val="00460EBD"/>
    <w:rsid w:val="00461632"/>
    <w:rsid w:val="004619DF"/>
    <w:rsid w:val="00462E13"/>
    <w:rsid w:val="00464277"/>
    <w:rsid w:val="0046497C"/>
    <w:rsid w:val="00465808"/>
    <w:rsid w:val="00465F9B"/>
    <w:rsid w:val="00466022"/>
    <w:rsid w:val="0046644A"/>
    <w:rsid w:val="0046655F"/>
    <w:rsid w:val="0046795D"/>
    <w:rsid w:val="00467A1E"/>
    <w:rsid w:val="00467D3A"/>
    <w:rsid w:val="00467E42"/>
    <w:rsid w:val="00467E83"/>
    <w:rsid w:val="00470368"/>
    <w:rsid w:val="00470CEF"/>
    <w:rsid w:val="0047145B"/>
    <w:rsid w:val="00471F6D"/>
    <w:rsid w:val="0047228C"/>
    <w:rsid w:val="004727F4"/>
    <w:rsid w:val="00472A91"/>
    <w:rsid w:val="00472C74"/>
    <w:rsid w:val="00473828"/>
    <w:rsid w:val="00473B76"/>
    <w:rsid w:val="00473EC5"/>
    <w:rsid w:val="00474062"/>
    <w:rsid w:val="004742B2"/>
    <w:rsid w:val="00474544"/>
    <w:rsid w:val="00474641"/>
    <w:rsid w:val="004749A5"/>
    <w:rsid w:val="00474D59"/>
    <w:rsid w:val="00474FF4"/>
    <w:rsid w:val="00475627"/>
    <w:rsid w:val="00475755"/>
    <w:rsid w:val="00475CB6"/>
    <w:rsid w:val="00476AF9"/>
    <w:rsid w:val="00477423"/>
    <w:rsid w:val="00477D0C"/>
    <w:rsid w:val="0048042E"/>
    <w:rsid w:val="00480B81"/>
    <w:rsid w:val="00480C78"/>
    <w:rsid w:val="0048102C"/>
    <w:rsid w:val="0048122E"/>
    <w:rsid w:val="00481467"/>
    <w:rsid w:val="00482277"/>
    <w:rsid w:val="00482975"/>
    <w:rsid w:val="0048312A"/>
    <w:rsid w:val="004837C7"/>
    <w:rsid w:val="00483E6B"/>
    <w:rsid w:val="00484CD6"/>
    <w:rsid w:val="00484E10"/>
    <w:rsid w:val="00485365"/>
    <w:rsid w:val="00487073"/>
    <w:rsid w:val="004870DE"/>
    <w:rsid w:val="0048711A"/>
    <w:rsid w:val="00487696"/>
    <w:rsid w:val="00487717"/>
    <w:rsid w:val="004877AF"/>
    <w:rsid w:val="0049002D"/>
    <w:rsid w:val="0049091D"/>
    <w:rsid w:val="00490985"/>
    <w:rsid w:val="00490BB5"/>
    <w:rsid w:val="00490E67"/>
    <w:rsid w:val="0049135C"/>
    <w:rsid w:val="0049185C"/>
    <w:rsid w:val="00491DE9"/>
    <w:rsid w:val="00492560"/>
    <w:rsid w:val="0049295A"/>
    <w:rsid w:val="00492AF1"/>
    <w:rsid w:val="0049321C"/>
    <w:rsid w:val="0049366D"/>
    <w:rsid w:val="00493A5D"/>
    <w:rsid w:val="00493C9C"/>
    <w:rsid w:val="00493FDA"/>
    <w:rsid w:val="00494109"/>
    <w:rsid w:val="0049448A"/>
    <w:rsid w:val="0049477E"/>
    <w:rsid w:val="0049486F"/>
    <w:rsid w:val="00494D29"/>
    <w:rsid w:val="00496010"/>
    <w:rsid w:val="004961B6"/>
    <w:rsid w:val="00496743"/>
    <w:rsid w:val="0049693A"/>
    <w:rsid w:val="00496966"/>
    <w:rsid w:val="00496EDF"/>
    <w:rsid w:val="0049784F"/>
    <w:rsid w:val="00497DC8"/>
    <w:rsid w:val="004A0871"/>
    <w:rsid w:val="004A0C22"/>
    <w:rsid w:val="004A1017"/>
    <w:rsid w:val="004A16FE"/>
    <w:rsid w:val="004A1C32"/>
    <w:rsid w:val="004A24D8"/>
    <w:rsid w:val="004A2D94"/>
    <w:rsid w:val="004A2E62"/>
    <w:rsid w:val="004A456D"/>
    <w:rsid w:val="004A526B"/>
    <w:rsid w:val="004A5739"/>
    <w:rsid w:val="004A5AD6"/>
    <w:rsid w:val="004A5C1A"/>
    <w:rsid w:val="004A5C66"/>
    <w:rsid w:val="004A62B8"/>
    <w:rsid w:val="004A6C96"/>
    <w:rsid w:val="004A7F01"/>
    <w:rsid w:val="004B0177"/>
    <w:rsid w:val="004B0657"/>
    <w:rsid w:val="004B0B0A"/>
    <w:rsid w:val="004B0C75"/>
    <w:rsid w:val="004B0CF2"/>
    <w:rsid w:val="004B16F0"/>
    <w:rsid w:val="004B1727"/>
    <w:rsid w:val="004B2E55"/>
    <w:rsid w:val="004B2FD4"/>
    <w:rsid w:val="004B38B7"/>
    <w:rsid w:val="004B4509"/>
    <w:rsid w:val="004B5989"/>
    <w:rsid w:val="004B5AE4"/>
    <w:rsid w:val="004B6008"/>
    <w:rsid w:val="004C034B"/>
    <w:rsid w:val="004C0466"/>
    <w:rsid w:val="004C08E9"/>
    <w:rsid w:val="004C0C06"/>
    <w:rsid w:val="004C1535"/>
    <w:rsid w:val="004C16F7"/>
    <w:rsid w:val="004C2405"/>
    <w:rsid w:val="004C2455"/>
    <w:rsid w:val="004C28F5"/>
    <w:rsid w:val="004C294B"/>
    <w:rsid w:val="004C2E6D"/>
    <w:rsid w:val="004C3AB6"/>
    <w:rsid w:val="004C3F65"/>
    <w:rsid w:val="004C41CB"/>
    <w:rsid w:val="004C42D8"/>
    <w:rsid w:val="004C588B"/>
    <w:rsid w:val="004C5D10"/>
    <w:rsid w:val="004C61FD"/>
    <w:rsid w:val="004C7808"/>
    <w:rsid w:val="004D02CE"/>
    <w:rsid w:val="004D0568"/>
    <w:rsid w:val="004D07DD"/>
    <w:rsid w:val="004D0C33"/>
    <w:rsid w:val="004D0EDF"/>
    <w:rsid w:val="004D1744"/>
    <w:rsid w:val="004D35FF"/>
    <w:rsid w:val="004D3FFD"/>
    <w:rsid w:val="004D404B"/>
    <w:rsid w:val="004D4605"/>
    <w:rsid w:val="004D48E9"/>
    <w:rsid w:val="004D4D64"/>
    <w:rsid w:val="004D5F0E"/>
    <w:rsid w:val="004D6153"/>
    <w:rsid w:val="004D64D0"/>
    <w:rsid w:val="004D69AF"/>
    <w:rsid w:val="004D6C74"/>
    <w:rsid w:val="004D7B31"/>
    <w:rsid w:val="004E1762"/>
    <w:rsid w:val="004E2154"/>
    <w:rsid w:val="004E2321"/>
    <w:rsid w:val="004E349B"/>
    <w:rsid w:val="004E4A27"/>
    <w:rsid w:val="004E5423"/>
    <w:rsid w:val="004E6849"/>
    <w:rsid w:val="004E6884"/>
    <w:rsid w:val="004E6DE1"/>
    <w:rsid w:val="004E6E9C"/>
    <w:rsid w:val="004E73B9"/>
    <w:rsid w:val="004E7FBE"/>
    <w:rsid w:val="004F05B0"/>
    <w:rsid w:val="004F1003"/>
    <w:rsid w:val="004F1750"/>
    <w:rsid w:val="004F1B22"/>
    <w:rsid w:val="004F254B"/>
    <w:rsid w:val="004F3DD9"/>
    <w:rsid w:val="004F47C4"/>
    <w:rsid w:val="004F4909"/>
    <w:rsid w:val="004F58AD"/>
    <w:rsid w:val="004F5CA0"/>
    <w:rsid w:val="004F61F7"/>
    <w:rsid w:val="004F69D7"/>
    <w:rsid w:val="004F6BBF"/>
    <w:rsid w:val="004F7343"/>
    <w:rsid w:val="004F76B3"/>
    <w:rsid w:val="004F7B57"/>
    <w:rsid w:val="005009F6"/>
    <w:rsid w:val="00501016"/>
    <w:rsid w:val="00501319"/>
    <w:rsid w:val="00502D26"/>
    <w:rsid w:val="00503484"/>
    <w:rsid w:val="00504D69"/>
    <w:rsid w:val="00504D6C"/>
    <w:rsid w:val="005056C6"/>
    <w:rsid w:val="00505C69"/>
    <w:rsid w:val="0050625C"/>
    <w:rsid w:val="005071D8"/>
    <w:rsid w:val="005109DB"/>
    <w:rsid w:val="005118DF"/>
    <w:rsid w:val="00511D5C"/>
    <w:rsid w:val="00511FA6"/>
    <w:rsid w:val="0051230B"/>
    <w:rsid w:val="005132E0"/>
    <w:rsid w:val="005134B8"/>
    <w:rsid w:val="00513CAB"/>
    <w:rsid w:val="00513DCC"/>
    <w:rsid w:val="00513FD3"/>
    <w:rsid w:val="00514438"/>
    <w:rsid w:val="00515236"/>
    <w:rsid w:val="005153D1"/>
    <w:rsid w:val="00515F9A"/>
    <w:rsid w:val="00516637"/>
    <w:rsid w:val="005172BC"/>
    <w:rsid w:val="00517856"/>
    <w:rsid w:val="00520E6E"/>
    <w:rsid w:val="00521584"/>
    <w:rsid w:val="0052184B"/>
    <w:rsid w:val="00521A3E"/>
    <w:rsid w:val="00521BCD"/>
    <w:rsid w:val="00521D53"/>
    <w:rsid w:val="00521E67"/>
    <w:rsid w:val="00521FFB"/>
    <w:rsid w:val="0052250C"/>
    <w:rsid w:val="005226F7"/>
    <w:rsid w:val="00522AF8"/>
    <w:rsid w:val="00522B3F"/>
    <w:rsid w:val="0052372A"/>
    <w:rsid w:val="005237DB"/>
    <w:rsid w:val="00523849"/>
    <w:rsid w:val="00523B59"/>
    <w:rsid w:val="00524059"/>
    <w:rsid w:val="005260CA"/>
    <w:rsid w:val="00526B9A"/>
    <w:rsid w:val="00527360"/>
    <w:rsid w:val="005273F3"/>
    <w:rsid w:val="005278F4"/>
    <w:rsid w:val="005300C2"/>
    <w:rsid w:val="00530149"/>
    <w:rsid w:val="00530510"/>
    <w:rsid w:val="00530CCE"/>
    <w:rsid w:val="00530F73"/>
    <w:rsid w:val="00532434"/>
    <w:rsid w:val="0053248E"/>
    <w:rsid w:val="00532529"/>
    <w:rsid w:val="00534131"/>
    <w:rsid w:val="005345AC"/>
    <w:rsid w:val="00534C15"/>
    <w:rsid w:val="00535397"/>
    <w:rsid w:val="00535A34"/>
    <w:rsid w:val="00535C70"/>
    <w:rsid w:val="00536531"/>
    <w:rsid w:val="005366D7"/>
    <w:rsid w:val="00537532"/>
    <w:rsid w:val="005377E6"/>
    <w:rsid w:val="00537F72"/>
    <w:rsid w:val="005406C0"/>
    <w:rsid w:val="00540ADC"/>
    <w:rsid w:val="00543308"/>
    <w:rsid w:val="00543E0D"/>
    <w:rsid w:val="00545AA8"/>
    <w:rsid w:val="00547229"/>
    <w:rsid w:val="0054746D"/>
    <w:rsid w:val="0055026B"/>
    <w:rsid w:val="005515FC"/>
    <w:rsid w:val="00551969"/>
    <w:rsid w:val="005520EC"/>
    <w:rsid w:val="005522BF"/>
    <w:rsid w:val="005524A5"/>
    <w:rsid w:val="00553392"/>
    <w:rsid w:val="00553749"/>
    <w:rsid w:val="00554872"/>
    <w:rsid w:val="00554C92"/>
    <w:rsid w:val="00555085"/>
    <w:rsid w:val="00555414"/>
    <w:rsid w:val="005558F1"/>
    <w:rsid w:val="005562AB"/>
    <w:rsid w:val="005571CC"/>
    <w:rsid w:val="005574AE"/>
    <w:rsid w:val="00557514"/>
    <w:rsid w:val="00560817"/>
    <w:rsid w:val="00560D8B"/>
    <w:rsid w:val="00560FD3"/>
    <w:rsid w:val="00561001"/>
    <w:rsid w:val="00561AAF"/>
    <w:rsid w:val="005626A2"/>
    <w:rsid w:val="00562DFB"/>
    <w:rsid w:val="00563415"/>
    <w:rsid w:val="005638E7"/>
    <w:rsid w:val="00563ED8"/>
    <w:rsid w:val="00563EF1"/>
    <w:rsid w:val="00564247"/>
    <w:rsid w:val="00565B53"/>
    <w:rsid w:val="00565D5D"/>
    <w:rsid w:val="00566B38"/>
    <w:rsid w:val="00566CA1"/>
    <w:rsid w:val="00567151"/>
    <w:rsid w:val="00567839"/>
    <w:rsid w:val="005701E0"/>
    <w:rsid w:val="0057049B"/>
    <w:rsid w:val="00570D3A"/>
    <w:rsid w:val="005716BA"/>
    <w:rsid w:val="00571889"/>
    <w:rsid w:val="00571DC0"/>
    <w:rsid w:val="00571EEE"/>
    <w:rsid w:val="005720D4"/>
    <w:rsid w:val="00572228"/>
    <w:rsid w:val="005726FE"/>
    <w:rsid w:val="00572A36"/>
    <w:rsid w:val="00572E25"/>
    <w:rsid w:val="005734F4"/>
    <w:rsid w:val="00573F6D"/>
    <w:rsid w:val="0057491B"/>
    <w:rsid w:val="00575C81"/>
    <w:rsid w:val="00575CCA"/>
    <w:rsid w:val="00576E8F"/>
    <w:rsid w:val="0057730E"/>
    <w:rsid w:val="005778F7"/>
    <w:rsid w:val="00580145"/>
    <w:rsid w:val="00580E4D"/>
    <w:rsid w:val="00581958"/>
    <w:rsid w:val="00581CB3"/>
    <w:rsid w:val="00582D92"/>
    <w:rsid w:val="00583249"/>
    <w:rsid w:val="005839F4"/>
    <w:rsid w:val="0058425E"/>
    <w:rsid w:val="005842BA"/>
    <w:rsid w:val="00584C15"/>
    <w:rsid w:val="00585073"/>
    <w:rsid w:val="0058545A"/>
    <w:rsid w:val="0058548E"/>
    <w:rsid w:val="00585511"/>
    <w:rsid w:val="0058561E"/>
    <w:rsid w:val="0058625E"/>
    <w:rsid w:val="005870B0"/>
    <w:rsid w:val="00590BDB"/>
    <w:rsid w:val="0059148F"/>
    <w:rsid w:val="005919D2"/>
    <w:rsid w:val="00591B81"/>
    <w:rsid w:val="0059201C"/>
    <w:rsid w:val="00592769"/>
    <w:rsid w:val="00592E91"/>
    <w:rsid w:val="00593042"/>
    <w:rsid w:val="00593D14"/>
    <w:rsid w:val="00595C9E"/>
    <w:rsid w:val="00595D6F"/>
    <w:rsid w:val="00595DA3"/>
    <w:rsid w:val="00595E0B"/>
    <w:rsid w:val="005964E0"/>
    <w:rsid w:val="00596D6F"/>
    <w:rsid w:val="005974F3"/>
    <w:rsid w:val="005A0304"/>
    <w:rsid w:val="005A07C3"/>
    <w:rsid w:val="005A08CD"/>
    <w:rsid w:val="005A0F40"/>
    <w:rsid w:val="005A0FBF"/>
    <w:rsid w:val="005A14F0"/>
    <w:rsid w:val="005A1887"/>
    <w:rsid w:val="005A19C3"/>
    <w:rsid w:val="005A2B94"/>
    <w:rsid w:val="005A30DA"/>
    <w:rsid w:val="005A31BC"/>
    <w:rsid w:val="005A34A7"/>
    <w:rsid w:val="005A3C90"/>
    <w:rsid w:val="005A442E"/>
    <w:rsid w:val="005A453E"/>
    <w:rsid w:val="005A46E2"/>
    <w:rsid w:val="005A5172"/>
    <w:rsid w:val="005A52FB"/>
    <w:rsid w:val="005A6121"/>
    <w:rsid w:val="005A6D99"/>
    <w:rsid w:val="005A6F2A"/>
    <w:rsid w:val="005A6FE2"/>
    <w:rsid w:val="005B0091"/>
    <w:rsid w:val="005B00EB"/>
    <w:rsid w:val="005B02F8"/>
    <w:rsid w:val="005B0377"/>
    <w:rsid w:val="005B0477"/>
    <w:rsid w:val="005B0511"/>
    <w:rsid w:val="005B0DFF"/>
    <w:rsid w:val="005B0EEC"/>
    <w:rsid w:val="005B262F"/>
    <w:rsid w:val="005B27B2"/>
    <w:rsid w:val="005B3021"/>
    <w:rsid w:val="005B3C4D"/>
    <w:rsid w:val="005B4721"/>
    <w:rsid w:val="005B4953"/>
    <w:rsid w:val="005B4C5C"/>
    <w:rsid w:val="005B5890"/>
    <w:rsid w:val="005B646F"/>
    <w:rsid w:val="005B67EC"/>
    <w:rsid w:val="005B6E5F"/>
    <w:rsid w:val="005B7183"/>
    <w:rsid w:val="005B7414"/>
    <w:rsid w:val="005C06CC"/>
    <w:rsid w:val="005C0B3E"/>
    <w:rsid w:val="005C13E2"/>
    <w:rsid w:val="005C2130"/>
    <w:rsid w:val="005C2F6B"/>
    <w:rsid w:val="005C33DB"/>
    <w:rsid w:val="005C365F"/>
    <w:rsid w:val="005C46B7"/>
    <w:rsid w:val="005C48DA"/>
    <w:rsid w:val="005C59D9"/>
    <w:rsid w:val="005C5DB9"/>
    <w:rsid w:val="005C63A3"/>
    <w:rsid w:val="005C6756"/>
    <w:rsid w:val="005C6EEB"/>
    <w:rsid w:val="005C73BC"/>
    <w:rsid w:val="005C7439"/>
    <w:rsid w:val="005C74EA"/>
    <w:rsid w:val="005C75CD"/>
    <w:rsid w:val="005D132D"/>
    <w:rsid w:val="005D19BF"/>
    <w:rsid w:val="005D1AA0"/>
    <w:rsid w:val="005D1EE6"/>
    <w:rsid w:val="005D2595"/>
    <w:rsid w:val="005D2DE7"/>
    <w:rsid w:val="005D3B6B"/>
    <w:rsid w:val="005D3EBB"/>
    <w:rsid w:val="005D49E7"/>
    <w:rsid w:val="005D6C95"/>
    <w:rsid w:val="005D77DC"/>
    <w:rsid w:val="005D7E6D"/>
    <w:rsid w:val="005E03B0"/>
    <w:rsid w:val="005E1690"/>
    <w:rsid w:val="005E18F5"/>
    <w:rsid w:val="005E2369"/>
    <w:rsid w:val="005E2663"/>
    <w:rsid w:val="005E2A68"/>
    <w:rsid w:val="005E3469"/>
    <w:rsid w:val="005E364E"/>
    <w:rsid w:val="005E3A0C"/>
    <w:rsid w:val="005E52EF"/>
    <w:rsid w:val="005E60D2"/>
    <w:rsid w:val="005E7286"/>
    <w:rsid w:val="005E7612"/>
    <w:rsid w:val="005F02C5"/>
    <w:rsid w:val="005F1017"/>
    <w:rsid w:val="005F2065"/>
    <w:rsid w:val="005F208F"/>
    <w:rsid w:val="005F2593"/>
    <w:rsid w:val="005F345A"/>
    <w:rsid w:val="005F3A94"/>
    <w:rsid w:val="005F4383"/>
    <w:rsid w:val="005F5FFB"/>
    <w:rsid w:val="005F7B57"/>
    <w:rsid w:val="005F7B80"/>
    <w:rsid w:val="005F7FB7"/>
    <w:rsid w:val="0060017A"/>
    <w:rsid w:val="0060054A"/>
    <w:rsid w:val="00600BD9"/>
    <w:rsid w:val="00601647"/>
    <w:rsid w:val="00601DC2"/>
    <w:rsid w:val="0060217C"/>
    <w:rsid w:val="00602500"/>
    <w:rsid w:val="0060297D"/>
    <w:rsid w:val="00602FA8"/>
    <w:rsid w:val="00603022"/>
    <w:rsid w:val="006037F7"/>
    <w:rsid w:val="00603BE6"/>
    <w:rsid w:val="00603CC4"/>
    <w:rsid w:val="00604002"/>
    <w:rsid w:val="00604DCB"/>
    <w:rsid w:val="00605060"/>
    <w:rsid w:val="006053B3"/>
    <w:rsid w:val="00606AB4"/>
    <w:rsid w:val="00606AD2"/>
    <w:rsid w:val="00606BB1"/>
    <w:rsid w:val="006074AA"/>
    <w:rsid w:val="00607BE1"/>
    <w:rsid w:val="00607D21"/>
    <w:rsid w:val="006100D5"/>
    <w:rsid w:val="00611311"/>
    <w:rsid w:val="006113F3"/>
    <w:rsid w:val="00611BD3"/>
    <w:rsid w:val="00612767"/>
    <w:rsid w:val="00613001"/>
    <w:rsid w:val="006132C9"/>
    <w:rsid w:val="00614A23"/>
    <w:rsid w:val="00614F27"/>
    <w:rsid w:val="00616588"/>
    <w:rsid w:val="006165DD"/>
    <w:rsid w:val="00616E6C"/>
    <w:rsid w:val="0062035B"/>
    <w:rsid w:val="00620FBF"/>
    <w:rsid w:val="00621B03"/>
    <w:rsid w:val="00621B30"/>
    <w:rsid w:val="006222C6"/>
    <w:rsid w:val="006242A8"/>
    <w:rsid w:val="006259ED"/>
    <w:rsid w:val="00625B5D"/>
    <w:rsid w:val="00625D10"/>
    <w:rsid w:val="00626AAF"/>
    <w:rsid w:val="006271DC"/>
    <w:rsid w:val="00627E80"/>
    <w:rsid w:val="00630F12"/>
    <w:rsid w:val="006314E7"/>
    <w:rsid w:val="0063161D"/>
    <w:rsid w:val="00631978"/>
    <w:rsid w:val="00632010"/>
    <w:rsid w:val="00632664"/>
    <w:rsid w:val="00632A8D"/>
    <w:rsid w:val="00632C92"/>
    <w:rsid w:val="00634046"/>
    <w:rsid w:val="00634491"/>
    <w:rsid w:val="006362E0"/>
    <w:rsid w:val="00636CD8"/>
    <w:rsid w:val="006372E8"/>
    <w:rsid w:val="006377E7"/>
    <w:rsid w:val="00637C7C"/>
    <w:rsid w:val="00640D42"/>
    <w:rsid w:val="006415C4"/>
    <w:rsid w:val="00641771"/>
    <w:rsid w:val="00641A2F"/>
    <w:rsid w:val="00641A83"/>
    <w:rsid w:val="00641B3F"/>
    <w:rsid w:val="006424A8"/>
    <w:rsid w:val="00642809"/>
    <w:rsid w:val="00643409"/>
    <w:rsid w:val="00643696"/>
    <w:rsid w:val="00644289"/>
    <w:rsid w:val="00644587"/>
    <w:rsid w:val="00644767"/>
    <w:rsid w:val="006449F3"/>
    <w:rsid w:val="006456BF"/>
    <w:rsid w:val="00645DDF"/>
    <w:rsid w:val="006460B7"/>
    <w:rsid w:val="0064696A"/>
    <w:rsid w:val="0064773C"/>
    <w:rsid w:val="006477A3"/>
    <w:rsid w:val="0064787E"/>
    <w:rsid w:val="006479DA"/>
    <w:rsid w:val="00647D55"/>
    <w:rsid w:val="006505FC"/>
    <w:rsid w:val="00650F92"/>
    <w:rsid w:val="0065107A"/>
    <w:rsid w:val="006511CE"/>
    <w:rsid w:val="0065149A"/>
    <w:rsid w:val="006515E6"/>
    <w:rsid w:val="006516E4"/>
    <w:rsid w:val="006531D9"/>
    <w:rsid w:val="006535DD"/>
    <w:rsid w:val="0065365E"/>
    <w:rsid w:val="00653804"/>
    <w:rsid w:val="006547B7"/>
    <w:rsid w:val="006555B5"/>
    <w:rsid w:val="0065644B"/>
    <w:rsid w:val="006564AE"/>
    <w:rsid w:val="006567CD"/>
    <w:rsid w:val="00656FAA"/>
    <w:rsid w:val="00657208"/>
    <w:rsid w:val="00657734"/>
    <w:rsid w:val="006579B7"/>
    <w:rsid w:val="00657D7F"/>
    <w:rsid w:val="00657EB6"/>
    <w:rsid w:val="006601B0"/>
    <w:rsid w:val="00660454"/>
    <w:rsid w:val="00660965"/>
    <w:rsid w:val="00661771"/>
    <w:rsid w:val="00661D3D"/>
    <w:rsid w:val="00662221"/>
    <w:rsid w:val="00662421"/>
    <w:rsid w:val="006630C5"/>
    <w:rsid w:val="0066337F"/>
    <w:rsid w:val="006641C0"/>
    <w:rsid w:val="00665717"/>
    <w:rsid w:val="00665945"/>
    <w:rsid w:val="00665D7B"/>
    <w:rsid w:val="00665F83"/>
    <w:rsid w:val="00666013"/>
    <w:rsid w:val="0066644B"/>
    <w:rsid w:val="006669FC"/>
    <w:rsid w:val="006702B0"/>
    <w:rsid w:val="006704DC"/>
    <w:rsid w:val="00671E5B"/>
    <w:rsid w:val="00671F26"/>
    <w:rsid w:val="00671FC9"/>
    <w:rsid w:val="0067288E"/>
    <w:rsid w:val="00672E40"/>
    <w:rsid w:val="0067331B"/>
    <w:rsid w:val="00673676"/>
    <w:rsid w:val="00673FBC"/>
    <w:rsid w:val="0067435C"/>
    <w:rsid w:val="00674D4C"/>
    <w:rsid w:val="00674D93"/>
    <w:rsid w:val="00674ED0"/>
    <w:rsid w:val="00675225"/>
    <w:rsid w:val="0067548F"/>
    <w:rsid w:val="006754DD"/>
    <w:rsid w:val="00675E86"/>
    <w:rsid w:val="00675E9D"/>
    <w:rsid w:val="00676698"/>
    <w:rsid w:val="0067690D"/>
    <w:rsid w:val="00676C69"/>
    <w:rsid w:val="00676ED2"/>
    <w:rsid w:val="00677E16"/>
    <w:rsid w:val="00677FD5"/>
    <w:rsid w:val="0068096E"/>
    <w:rsid w:val="00680A64"/>
    <w:rsid w:val="006815EE"/>
    <w:rsid w:val="0068182B"/>
    <w:rsid w:val="006820AD"/>
    <w:rsid w:val="00682695"/>
    <w:rsid w:val="00682A79"/>
    <w:rsid w:val="00684335"/>
    <w:rsid w:val="006849DB"/>
    <w:rsid w:val="0068553D"/>
    <w:rsid w:val="00685ED8"/>
    <w:rsid w:val="00685FE1"/>
    <w:rsid w:val="00686CBA"/>
    <w:rsid w:val="00686EA8"/>
    <w:rsid w:val="00686EE2"/>
    <w:rsid w:val="00686F5E"/>
    <w:rsid w:val="00687218"/>
    <w:rsid w:val="00687653"/>
    <w:rsid w:val="00691107"/>
    <w:rsid w:val="00691449"/>
    <w:rsid w:val="00691580"/>
    <w:rsid w:val="00691D01"/>
    <w:rsid w:val="00692037"/>
    <w:rsid w:val="00692210"/>
    <w:rsid w:val="00692D76"/>
    <w:rsid w:val="0069363E"/>
    <w:rsid w:val="00693705"/>
    <w:rsid w:val="00693EB0"/>
    <w:rsid w:val="006940A5"/>
    <w:rsid w:val="006941A6"/>
    <w:rsid w:val="0069446B"/>
    <w:rsid w:val="00694570"/>
    <w:rsid w:val="006946B3"/>
    <w:rsid w:val="006947BE"/>
    <w:rsid w:val="006954D4"/>
    <w:rsid w:val="00695AD3"/>
    <w:rsid w:val="0069619C"/>
    <w:rsid w:val="00697438"/>
    <w:rsid w:val="006A1706"/>
    <w:rsid w:val="006A1941"/>
    <w:rsid w:val="006A2F47"/>
    <w:rsid w:val="006A35CB"/>
    <w:rsid w:val="006A37F8"/>
    <w:rsid w:val="006A3E3C"/>
    <w:rsid w:val="006A442D"/>
    <w:rsid w:val="006A5158"/>
    <w:rsid w:val="006A55BB"/>
    <w:rsid w:val="006A5B85"/>
    <w:rsid w:val="006A5B94"/>
    <w:rsid w:val="006A5B96"/>
    <w:rsid w:val="006A5BD6"/>
    <w:rsid w:val="006A61D9"/>
    <w:rsid w:val="006A6865"/>
    <w:rsid w:val="006A7E09"/>
    <w:rsid w:val="006A7FA1"/>
    <w:rsid w:val="006B0D9A"/>
    <w:rsid w:val="006B114B"/>
    <w:rsid w:val="006B1AD5"/>
    <w:rsid w:val="006B1E2A"/>
    <w:rsid w:val="006B2798"/>
    <w:rsid w:val="006B4130"/>
    <w:rsid w:val="006B44C1"/>
    <w:rsid w:val="006B4A3C"/>
    <w:rsid w:val="006B4D10"/>
    <w:rsid w:val="006B5C37"/>
    <w:rsid w:val="006B5E5D"/>
    <w:rsid w:val="006B617B"/>
    <w:rsid w:val="006B7311"/>
    <w:rsid w:val="006B77F6"/>
    <w:rsid w:val="006B7B07"/>
    <w:rsid w:val="006C0E76"/>
    <w:rsid w:val="006C1B0B"/>
    <w:rsid w:val="006C2740"/>
    <w:rsid w:val="006C356C"/>
    <w:rsid w:val="006C37F2"/>
    <w:rsid w:val="006C3942"/>
    <w:rsid w:val="006C430D"/>
    <w:rsid w:val="006C47D9"/>
    <w:rsid w:val="006C5E8D"/>
    <w:rsid w:val="006C6BEF"/>
    <w:rsid w:val="006C6BFA"/>
    <w:rsid w:val="006C6C3A"/>
    <w:rsid w:val="006C75B6"/>
    <w:rsid w:val="006D0500"/>
    <w:rsid w:val="006D07E0"/>
    <w:rsid w:val="006D09C2"/>
    <w:rsid w:val="006D0F9E"/>
    <w:rsid w:val="006D1BC6"/>
    <w:rsid w:val="006D1EFA"/>
    <w:rsid w:val="006D2A0E"/>
    <w:rsid w:val="006D2CC7"/>
    <w:rsid w:val="006D3378"/>
    <w:rsid w:val="006D36FE"/>
    <w:rsid w:val="006D39D6"/>
    <w:rsid w:val="006D422A"/>
    <w:rsid w:val="006D5CE0"/>
    <w:rsid w:val="006D5EB7"/>
    <w:rsid w:val="006D5F88"/>
    <w:rsid w:val="006D60EC"/>
    <w:rsid w:val="006D63C5"/>
    <w:rsid w:val="006D6783"/>
    <w:rsid w:val="006D6BD1"/>
    <w:rsid w:val="006E0CF0"/>
    <w:rsid w:val="006E13D3"/>
    <w:rsid w:val="006E1752"/>
    <w:rsid w:val="006E1815"/>
    <w:rsid w:val="006E1A3D"/>
    <w:rsid w:val="006E1B13"/>
    <w:rsid w:val="006E25E3"/>
    <w:rsid w:val="006E30E9"/>
    <w:rsid w:val="006E3B9D"/>
    <w:rsid w:val="006E410E"/>
    <w:rsid w:val="006E43CC"/>
    <w:rsid w:val="006E4A77"/>
    <w:rsid w:val="006E4C25"/>
    <w:rsid w:val="006E51E6"/>
    <w:rsid w:val="006E5D8F"/>
    <w:rsid w:val="006E5E30"/>
    <w:rsid w:val="006E62AD"/>
    <w:rsid w:val="006E738F"/>
    <w:rsid w:val="006E7DDC"/>
    <w:rsid w:val="006E7FE6"/>
    <w:rsid w:val="006F0498"/>
    <w:rsid w:val="006F05F5"/>
    <w:rsid w:val="006F2750"/>
    <w:rsid w:val="006F2C26"/>
    <w:rsid w:val="006F395A"/>
    <w:rsid w:val="006F3BF8"/>
    <w:rsid w:val="006F3C94"/>
    <w:rsid w:val="006F4336"/>
    <w:rsid w:val="006F4960"/>
    <w:rsid w:val="006F54FB"/>
    <w:rsid w:val="006F55C0"/>
    <w:rsid w:val="006F64A1"/>
    <w:rsid w:val="006F6EEA"/>
    <w:rsid w:val="006F73C5"/>
    <w:rsid w:val="006F7584"/>
    <w:rsid w:val="007004E1"/>
    <w:rsid w:val="007009FD"/>
    <w:rsid w:val="0070109E"/>
    <w:rsid w:val="00701191"/>
    <w:rsid w:val="00701522"/>
    <w:rsid w:val="00701EB9"/>
    <w:rsid w:val="00703684"/>
    <w:rsid w:val="007039C7"/>
    <w:rsid w:val="00703DD3"/>
    <w:rsid w:val="00703E37"/>
    <w:rsid w:val="0070432D"/>
    <w:rsid w:val="00704686"/>
    <w:rsid w:val="00706180"/>
    <w:rsid w:val="007062FD"/>
    <w:rsid w:val="007063DE"/>
    <w:rsid w:val="0070642F"/>
    <w:rsid w:val="007076DB"/>
    <w:rsid w:val="00707F47"/>
    <w:rsid w:val="00710B06"/>
    <w:rsid w:val="00710C54"/>
    <w:rsid w:val="00711B02"/>
    <w:rsid w:val="007124C9"/>
    <w:rsid w:val="00713763"/>
    <w:rsid w:val="00713F20"/>
    <w:rsid w:val="00714D13"/>
    <w:rsid w:val="00714D60"/>
    <w:rsid w:val="00715016"/>
    <w:rsid w:val="007151F7"/>
    <w:rsid w:val="00715E8B"/>
    <w:rsid w:val="0071625D"/>
    <w:rsid w:val="00717176"/>
    <w:rsid w:val="0071742B"/>
    <w:rsid w:val="0071747F"/>
    <w:rsid w:val="007201F8"/>
    <w:rsid w:val="0072041E"/>
    <w:rsid w:val="007210B6"/>
    <w:rsid w:val="0072123D"/>
    <w:rsid w:val="00721ECA"/>
    <w:rsid w:val="007220EC"/>
    <w:rsid w:val="00722307"/>
    <w:rsid w:val="00723B32"/>
    <w:rsid w:val="00723C02"/>
    <w:rsid w:val="00723F00"/>
    <w:rsid w:val="00724C48"/>
    <w:rsid w:val="00724FE1"/>
    <w:rsid w:val="007258D6"/>
    <w:rsid w:val="00725EAE"/>
    <w:rsid w:val="00726324"/>
    <w:rsid w:val="00726802"/>
    <w:rsid w:val="00726A23"/>
    <w:rsid w:val="00726A44"/>
    <w:rsid w:val="007276B6"/>
    <w:rsid w:val="00727C41"/>
    <w:rsid w:val="00731017"/>
    <w:rsid w:val="00731A1D"/>
    <w:rsid w:val="007320E6"/>
    <w:rsid w:val="007322C9"/>
    <w:rsid w:val="0073268B"/>
    <w:rsid w:val="0073289E"/>
    <w:rsid w:val="00733605"/>
    <w:rsid w:val="007344BA"/>
    <w:rsid w:val="007346D3"/>
    <w:rsid w:val="00734851"/>
    <w:rsid w:val="0073675E"/>
    <w:rsid w:val="00736E5D"/>
    <w:rsid w:val="00737CCE"/>
    <w:rsid w:val="007424E5"/>
    <w:rsid w:val="00742690"/>
    <w:rsid w:val="00742E05"/>
    <w:rsid w:val="0074339C"/>
    <w:rsid w:val="00743428"/>
    <w:rsid w:val="00743492"/>
    <w:rsid w:val="00743882"/>
    <w:rsid w:val="00743A13"/>
    <w:rsid w:val="00744A29"/>
    <w:rsid w:val="00746098"/>
    <w:rsid w:val="00746711"/>
    <w:rsid w:val="0074685A"/>
    <w:rsid w:val="00747AFB"/>
    <w:rsid w:val="00747F1D"/>
    <w:rsid w:val="007505DE"/>
    <w:rsid w:val="00750D54"/>
    <w:rsid w:val="00750F44"/>
    <w:rsid w:val="0075106D"/>
    <w:rsid w:val="0075186C"/>
    <w:rsid w:val="00751969"/>
    <w:rsid w:val="00751DD5"/>
    <w:rsid w:val="007520F8"/>
    <w:rsid w:val="007522CA"/>
    <w:rsid w:val="007539AB"/>
    <w:rsid w:val="00753CFB"/>
    <w:rsid w:val="00754648"/>
    <w:rsid w:val="00755F41"/>
    <w:rsid w:val="007561D3"/>
    <w:rsid w:val="007611BB"/>
    <w:rsid w:val="00762683"/>
    <w:rsid w:val="00762C51"/>
    <w:rsid w:val="00763491"/>
    <w:rsid w:val="00763656"/>
    <w:rsid w:val="00763D30"/>
    <w:rsid w:val="00763E36"/>
    <w:rsid w:val="00764297"/>
    <w:rsid w:val="00764CA1"/>
    <w:rsid w:val="00764CD6"/>
    <w:rsid w:val="007650C4"/>
    <w:rsid w:val="0076519C"/>
    <w:rsid w:val="007653A3"/>
    <w:rsid w:val="00766059"/>
    <w:rsid w:val="00766477"/>
    <w:rsid w:val="007664EC"/>
    <w:rsid w:val="00766736"/>
    <w:rsid w:val="00766CB0"/>
    <w:rsid w:val="007701DA"/>
    <w:rsid w:val="007706BA"/>
    <w:rsid w:val="00771DA3"/>
    <w:rsid w:val="007732EE"/>
    <w:rsid w:val="00774BCF"/>
    <w:rsid w:val="00774F20"/>
    <w:rsid w:val="0077511F"/>
    <w:rsid w:val="0077535A"/>
    <w:rsid w:val="0077584A"/>
    <w:rsid w:val="00775CD4"/>
    <w:rsid w:val="00775DE6"/>
    <w:rsid w:val="00775E1C"/>
    <w:rsid w:val="00776F42"/>
    <w:rsid w:val="00776F5F"/>
    <w:rsid w:val="00777753"/>
    <w:rsid w:val="00777C19"/>
    <w:rsid w:val="007804E1"/>
    <w:rsid w:val="007804F6"/>
    <w:rsid w:val="00780F7D"/>
    <w:rsid w:val="00782019"/>
    <w:rsid w:val="0078240D"/>
    <w:rsid w:val="00783AAB"/>
    <w:rsid w:val="00784899"/>
    <w:rsid w:val="00785C55"/>
    <w:rsid w:val="00785E47"/>
    <w:rsid w:val="00785F88"/>
    <w:rsid w:val="007868F0"/>
    <w:rsid w:val="00786A24"/>
    <w:rsid w:val="007878D5"/>
    <w:rsid w:val="00787B4E"/>
    <w:rsid w:val="0079141D"/>
    <w:rsid w:val="00791558"/>
    <w:rsid w:val="007920CF"/>
    <w:rsid w:val="007927D9"/>
    <w:rsid w:val="00792A0F"/>
    <w:rsid w:val="00792B54"/>
    <w:rsid w:val="00793307"/>
    <w:rsid w:val="00793DF8"/>
    <w:rsid w:val="00794A7F"/>
    <w:rsid w:val="00795C1D"/>
    <w:rsid w:val="00795F7C"/>
    <w:rsid w:val="00796197"/>
    <w:rsid w:val="007963F3"/>
    <w:rsid w:val="00796E46"/>
    <w:rsid w:val="007972ED"/>
    <w:rsid w:val="007A0BC3"/>
    <w:rsid w:val="007A0C13"/>
    <w:rsid w:val="007A0F4A"/>
    <w:rsid w:val="007A1420"/>
    <w:rsid w:val="007A15E8"/>
    <w:rsid w:val="007A1708"/>
    <w:rsid w:val="007A17EC"/>
    <w:rsid w:val="007A2C36"/>
    <w:rsid w:val="007A30A4"/>
    <w:rsid w:val="007A31AC"/>
    <w:rsid w:val="007A370C"/>
    <w:rsid w:val="007A3D64"/>
    <w:rsid w:val="007A3FCA"/>
    <w:rsid w:val="007A468B"/>
    <w:rsid w:val="007A4FCF"/>
    <w:rsid w:val="007A52F0"/>
    <w:rsid w:val="007A6041"/>
    <w:rsid w:val="007A6E60"/>
    <w:rsid w:val="007A706E"/>
    <w:rsid w:val="007A71BE"/>
    <w:rsid w:val="007B0AA5"/>
    <w:rsid w:val="007B1249"/>
    <w:rsid w:val="007B1B9B"/>
    <w:rsid w:val="007B1C09"/>
    <w:rsid w:val="007B1F89"/>
    <w:rsid w:val="007B2125"/>
    <w:rsid w:val="007B30F2"/>
    <w:rsid w:val="007B363A"/>
    <w:rsid w:val="007B3929"/>
    <w:rsid w:val="007B42CE"/>
    <w:rsid w:val="007B468A"/>
    <w:rsid w:val="007B5055"/>
    <w:rsid w:val="007B5421"/>
    <w:rsid w:val="007B6523"/>
    <w:rsid w:val="007B6B1F"/>
    <w:rsid w:val="007B6B2E"/>
    <w:rsid w:val="007B7008"/>
    <w:rsid w:val="007B73D6"/>
    <w:rsid w:val="007B7BE8"/>
    <w:rsid w:val="007B7CC6"/>
    <w:rsid w:val="007B7F79"/>
    <w:rsid w:val="007C093A"/>
    <w:rsid w:val="007C0AB8"/>
    <w:rsid w:val="007C128F"/>
    <w:rsid w:val="007C1FB0"/>
    <w:rsid w:val="007C35A2"/>
    <w:rsid w:val="007C3606"/>
    <w:rsid w:val="007C3647"/>
    <w:rsid w:val="007C3F12"/>
    <w:rsid w:val="007C50B8"/>
    <w:rsid w:val="007C5197"/>
    <w:rsid w:val="007C546C"/>
    <w:rsid w:val="007C7913"/>
    <w:rsid w:val="007C7A8A"/>
    <w:rsid w:val="007C7B46"/>
    <w:rsid w:val="007D0A6A"/>
    <w:rsid w:val="007D1FDC"/>
    <w:rsid w:val="007D28ED"/>
    <w:rsid w:val="007D2B49"/>
    <w:rsid w:val="007D2E33"/>
    <w:rsid w:val="007D30A9"/>
    <w:rsid w:val="007D4020"/>
    <w:rsid w:val="007D5608"/>
    <w:rsid w:val="007D72A1"/>
    <w:rsid w:val="007E255A"/>
    <w:rsid w:val="007E31C5"/>
    <w:rsid w:val="007E35D7"/>
    <w:rsid w:val="007E388F"/>
    <w:rsid w:val="007E469B"/>
    <w:rsid w:val="007E53CC"/>
    <w:rsid w:val="007E5A8B"/>
    <w:rsid w:val="007E5AE1"/>
    <w:rsid w:val="007E5FF6"/>
    <w:rsid w:val="007E64FC"/>
    <w:rsid w:val="007E651A"/>
    <w:rsid w:val="007E6545"/>
    <w:rsid w:val="007F1AC7"/>
    <w:rsid w:val="007F263C"/>
    <w:rsid w:val="007F2A8A"/>
    <w:rsid w:val="007F3399"/>
    <w:rsid w:val="007F35E7"/>
    <w:rsid w:val="007F3E51"/>
    <w:rsid w:val="007F4A1A"/>
    <w:rsid w:val="007F4EAE"/>
    <w:rsid w:val="007F68F1"/>
    <w:rsid w:val="007F6E4F"/>
    <w:rsid w:val="007F6EB9"/>
    <w:rsid w:val="007F70B2"/>
    <w:rsid w:val="007F794E"/>
    <w:rsid w:val="00800625"/>
    <w:rsid w:val="00800792"/>
    <w:rsid w:val="00800A6E"/>
    <w:rsid w:val="00800E44"/>
    <w:rsid w:val="00800F8C"/>
    <w:rsid w:val="00801C3A"/>
    <w:rsid w:val="00801E10"/>
    <w:rsid w:val="00802912"/>
    <w:rsid w:val="00802C6B"/>
    <w:rsid w:val="00803625"/>
    <w:rsid w:val="0080369A"/>
    <w:rsid w:val="00803937"/>
    <w:rsid w:val="00803D6B"/>
    <w:rsid w:val="00804676"/>
    <w:rsid w:val="0080520B"/>
    <w:rsid w:val="008056D2"/>
    <w:rsid w:val="00805F58"/>
    <w:rsid w:val="00806272"/>
    <w:rsid w:val="0080654A"/>
    <w:rsid w:val="00806C66"/>
    <w:rsid w:val="00807910"/>
    <w:rsid w:val="008113B3"/>
    <w:rsid w:val="00811693"/>
    <w:rsid w:val="00811F88"/>
    <w:rsid w:val="008128ED"/>
    <w:rsid w:val="00812F42"/>
    <w:rsid w:val="00813C67"/>
    <w:rsid w:val="00813E17"/>
    <w:rsid w:val="00814924"/>
    <w:rsid w:val="00814A33"/>
    <w:rsid w:val="00814A9C"/>
    <w:rsid w:val="008152D4"/>
    <w:rsid w:val="0081554F"/>
    <w:rsid w:val="00816C94"/>
    <w:rsid w:val="00817CA8"/>
    <w:rsid w:val="00820892"/>
    <w:rsid w:val="00820F04"/>
    <w:rsid w:val="00821068"/>
    <w:rsid w:val="00821528"/>
    <w:rsid w:val="008223B6"/>
    <w:rsid w:val="00822907"/>
    <w:rsid w:val="0082297D"/>
    <w:rsid w:val="00822B0D"/>
    <w:rsid w:val="00822F7A"/>
    <w:rsid w:val="008230F5"/>
    <w:rsid w:val="00823325"/>
    <w:rsid w:val="00823851"/>
    <w:rsid w:val="00823950"/>
    <w:rsid w:val="00824797"/>
    <w:rsid w:val="00824EBB"/>
    <w:rsid w:val="008256DE"/>
    <w:rsid w:val="00825CEB"/>
    <w:rsid w:val="00825EE6"/>
    <w:rsid w:val="008263C6"/>
    <w:rsid w:val="008266D4"/>
    <w:rsid w:val="00826FF9"/>
    <w:rsid w:val="00827444"/>
    <w:rsid w:val="00830613"/>
    <w:rsid w:val="0083068D"/>
    <w:rsid w:val="008315A4"/>
    <w:rsid w:val="0083187A"/>
    <w:rsid w:val="00831AB1"/>
    <w:rsid w:val="00831AE3"/>
    <w:rsid w:val="00831C03"/>
    <w:rsid w:val="008320CF"/>
    <w:rsid w:val="00832945"/>
    <w:rsid w:val="008329F6"/>
    <w:rsid w:val="00832BEE"/>
    <w:rsid w:val="00832EA1"/>
    <w:rsid w:val="00833EBB"/>
    <w:rsid w:val="008342B7"/>
    <w:rsid w:val="0083455D"/>
    <w:rsid w:val="008345F2"/>
    <w:rsid w:val="0083593E"/>
    <w:rsid w:val="00835A85"/>
    <w:rsid w:val="00835B47"/>
    <w:rsid w:val="00835D34"/>
    <w:rsid w:val="008360FD"/>
    <w:rsid w:val="00836290"/>
    <w:rsid w:val="00837040"/>
    <w:rsid w:val="008376E7"/>
    <w:rsid w:val="00837951"/>
    <w:rsid w:val="00837B19"/>
    <w:rsid w:val="00837E0F"/>
    <w:rsid w:val="00837EDD"/>
    <w:rsid w:val="008402EE"/>
    <w:rsid w:val="008406BF"/>
    <w:rsid w:val="00840C12"/>
    <w:rsid w:val="00840FAC"/>
    <w:rsid w:val="008413EC"/>
    <w:rsid w:val="00841865"/>
    <w:rsid w:val="00842345"/>
    <w:rsid w:val="00842759"/>
    <w:rsid w:val="00843187"/>
    <w:rsid w:val="00843224"/>
    <w:rsid w:val="00843760"/>
    <w:rsid w:val="0084395C"/>
    <w:rsid w:val="00844D0F"/>
    <w:rsid w:val="00844D49"/>
    <w:rsid w:val="008452F3"/>
    <w:rsid w:val="008458C7"/>
    <w:rsid w:val="00845A0F"/>
    <w:rsid w:val="008465E6"/>
    <w:rsid w:val="00846AC4"/>
    <w:rsid w:val="0085072F"/>
    <w:rsid w:val="00850DEF"/>
    <w:rsid w:val="00851043"/>
    <w:rsid w:val="00851BCF"/>
    <w:rsid w:val="00852746"/>
    <w:rsid w:val="00852E59"/>
    <w:rsid w:val="00853A56"/>
    <w:rsid w:val="00854351"/>
    <w:rsid w:val="00854946"/>
    <w:rsid w:val="00854E04"/>
    <w:rsid w:val="00855617"/>
    <w:rsid w:val="0085606C"/>
    <w:rsid w:val="00856F9D"/>
    <w:rsid w:val="008573ED"/>
    <w:rsid w:val="008578B6"/>
    <w:rsid w:val="008578E2"/>
    <w:rsid w:val="0085791C"/>
    <w:rsid w:val="00857C03"/>
    <w:rsid w:val="0086034A"/>
    <w:rsid w:val="00860365"/>
    <w:rsid w:val="00860C52"/>
    <w:rsid w:val="00860F10"/>
    <w:rsid w:val="00861890"/>
    <w:rsid w:val="0086301E"/>
    <w:rsid w:val="0086509C"/>
    <w:rsid w:val="00865603"/>
    <w:rsid w:val="00865FC9"/>
    <w:rsid w:val="00866A3E"/>
    <w:rsid w:val="00867390"/>
    <w:rsid w:val="00867418"/>
    <w:rsid w:val="00867746"/>
    <w:rsid w:val="0087007C"/>
    <w:rsid w:val="00870BE0"/>
    <w:rsid w:val="00870C4F"/>
    <w:rsid w:val="00870D67"/>
    <w:rsid w:val="00873ECB"/>
    <w:rsid w:val="0087400F"/>
    <w:rsid w:val="00874234"/>
    <w:rsid w:val="0087428A"/>
    <w:rsid w:val="00874D38"/>
    <w:rsid w:val="00875E71"/>
    <w:rsid w:val="008761F7"/>
    <w:rsid w:val="008769BA"/>
    <w:rsid w:val="00876B3F"/>
    <w:rsid w:val="00877A91"/>
    <w:rsid w:val="00877AC8"/>
    <w:rsid w:val="00881345"/>
    <w:rsid w:val="008817B9"/>
    <w:rsid w:val="00881A5B"/>
    <w:rsid w:val="008821DC"/>
    <w:rsid w:val="0088337D"/>
    <w:rsid w:val="008848DA"/>
    <w:rsid w:val="0088493C"/>
    <w:rsid w:val="00884B47"/>
    <w:rsid w:val="0088548E"/>
    <w:rsid w:val="0088555C"/>
    <w:rsid w:val="00885A12"/>
    <w:rsid w:val="008860A8"/>
    <w:rsid w:val="00886445"/>
    <w:rsid w:val="00886690"/>
    <w:rsid w:val="00886AA0"/>
    <w:rsid w:val="00886F6C"/>
    <w:rsid w:val="00887006"/>
    <w:rsid w:val="00887336"/>
    <w:rsid w:val="008876DE"/>
    <w:rsid w:val="00887F64"/>
    <w:rsid w:val="0089002E"/>
    <w:rsid w:val="008902EE"/>
    <w:rsid w:val="00890A05"/>
    <w:rsid w:val="0089130D"/>
    <w:rsid w:val="00891631"/>
    <w:rsid w:val="0089205F"/>
    <w:rsid w:val="00892969"/>
    <w:rsid w:val="00893682"/>
    <w:rsid w:val="0089463D"/>
    <w:rsid w:val="00894700"/>
    <w:rsid w:val="008952F0"/>
    <w:rsid w:val="00895ADA"/>
    <w:rsid w:val="00895BBE"/>
    <w:rsid w:val="00895EC2"/>
    <w:rsid w:val="00896561"/>
    <w:rsid w:val="0089752C"/>
    <w:rsid w:val="008A03A8"/>
    <w:rsid w:val="008A0854"/>
    <w:rsid w:val="008A241A"/>
    <w:rsid w:val="008A2545"/>
    <w:rsid w:val="008A2599"/>
    <w:rsid w:val="008A2D98"/>
    <w:rsid w:val="008A3C0B"/>
    <w:rsid w:val="008A408C"/>
    <w:rsid w:val="008A4566"/>
    <w:rsid w:val="008A48A9"/>
    <w:rsid w:val="008A5116"/>
    <w:rsid w:val="008A578D"/>
    <w:rsid w:val="008A5DD2"/>
    <w:rsid w:val="008A6043"/>
    <w:rsid w:val="008A61C1"/>
    <w:rsid w:val="008A6270"/>
    <w:rsid w:val="008A6368"/>
    <w:rsid w:val="008A649B"/>
    <w:rsid w:val="008A6E7C"/>
    <w:rsid w:val="008B0207"/>
    <w:rsid w:val="008B0728"/>
    <w:rsid w:val="008B07F0"/>
    <w:rsid w:val="008B0911"/>
    <w:rsid w:val="008B0A96"/>
    <w:rsid w:val="008B0C67"/>
    <w:rsid w:val="008B0E02"/>
    <w:rsid w:val="008B0FFA"/>
    <w:rsid w:val="008B10CA"/>
    <w:rsid w:val="008B1136"/>
    <w:rsid w:val="008B1364"/>
    <w:rsid w:val="008B14DF"/>
    <w:rsid w:val="008B190E"/>
    <w:rsid w:val="008B1A35"/>
    <w:rsid w:val="008B1B3E"/>
    <w:rsid w:val="008B2EF4"/>
    <w:rsid w:val="008B408B"/>
    <w:rsid w:val="008B5220"/>
    <w:rsid w:val="008B5310"/>
    <w:rsid w:val="008B55CC"/>
    <w:rsid w:val="008B5878"/>
    <w:rsid w:val="008B5E4A"/>
    <w:rsid w:val="008B60D2"/>
    <w:rsid w:val="008B6A06"/>
    <w:rsid w:val="008C0110"/>
    <w:rsid w:val="008C06B9"/>
    <w:rsid w:val="008C07BF"/>
    <w:rsid w:val="008C115C"/>
    <w:rsid w:val="008C1864"/>
    <w:rsid w:val="008C18DD"/>
    <w:rsid w:val="008C2D40"/>
    <w:rsid w:val="008C3715"/>
    <w:rsid w:val="008C38AB"/>
    <w:rsid w:val="008C42EC"/>
    <w:rsid w:val="008C48E3"/>
    <w:rsid w:val="008C4AAE"/>
    <w:rsid w:val="008C4D2B"/>
    <w:rsid w:val="008C4E8A"/>
    <w:rsid w:val="008C58AA"/>
    <w:rsid w:val="008C5D33"/>
    <w:rsid w:val="008C7C80"/>
    <w:rsid w:val="008C7D9E"/>
    <w:rsid w:val="008D04E0"/>
    <w:rsid w:val="008D05AF"/>
    <w:rsid w:val="008D138D"/>
    <w:rsid w:val="008D1B5C"/>
    <w:rsid w:val="008D1FFE"/>
    <w:rsid w:val="008D2BF8"/>
    <w:rsid w:val="008D3527"/>
    <w:rsid w:val="008D3827"/>
    <w:rsid w:val="008D3BBE"/>
    <w:rsid w:val="008D436F"/>
    <w:rsid w:val="008D472A"/>
    <w:rsid w:val="008D52D0"/>
    <w:rsid w:val="008D6793"/>
    <w:rsid w:val="008D69F5"/>
    <w:rsid w:val="008D6E9C"/>
    <w:rsid w:val="008D70BD"/>
    <w:rsid w:val="008D72DB"/>
    <w:rsid w:val="008E047D"/>
    <w:rsid w:val="008E08C5"/>
    <w:rsid w:val="008E1042"/>
    <w:rsid w:val="008E1212"/>
    <w:rsid w:val="008E13D1"/>
    <w:rsid w:val="008E1562"/>
    <w:rsid w:val="008E1683"/>
    <w:rsid w:val="008E1E6D"/>
    <w:rsid w:val="008E2840"/>
    <w:rsid w:val="008E2AE0"/>
    <w:rsid w:val="008E3180"/>
    <w:rsid w:val="008E3A4E"/>
    <w:rsid w:val="008E452A"/>
    <w:rsid w:val="008E515C"/>
    <w:rsid w:val="008E57D7"/>
    <w:rsid w:val="008E5AC3"/>
    <w:rsid w:val="008E6098"/>
    <w:rsid w:val="008E6136"/>
    <w:rsid w:val="008E62FF"/>
    <w:rsid w:val="008E71D1"/>
    <w:rsid w:val="008E78AF"/>
    <w:rsid w:val="008E7CB2"/>
    <w:rsid w:val="008E7F5A"/>
    <w:rsid w:val="008F0CD4"/>
    <w:rsid w:val="008F0EBD"/>
    <w:rsid w:val="008F14B0"/>
    <w:rsid w:val="008F180A"/>
    <w:rsid w:val="008F1A88"/>
    <w:rsid w:val="008F212A"/>
    <w:rsid w:val="008F215D"/>
    <w:rsid w:val="008F27E5"/>
    <w:rsid w:val="008F2CFB"/>
    <w:rsid w:val="008F3011"/>
    <w:rsid w:val="008F3379"/>
    <w:rsid w:val="008F35FA"/>
    <w:rsid w:val="008F3812"/>
    <w:rsid w:val="008F3B7E"/>
    <w:rsid w:val="008F4019"/>
    <w:rsid w:val="008F42A2"/>
    <w:rsid w:val="008F4C45"/>
    <w:rsid w:val="008F5288"/>
    <w:rsid w:val="008F59CC"/>
    <w:rsid w:val="008F5DE6"/>
    <w:rsid w:val="008F5EC1"/>
    <w:rsid w:val="008F5FFC"/>
    <w:rsid w:val="008F62A6"/>
    <w:rsid w:val="008F6464"/>
    <w:rsid w:val="008F6639"/>
    <w:rsid w:val="008F68F8"/>
    <w:rsid w:val="008F6AB0"/>
    <w:rsid w:val="00900175"/>
    <w:rsid w:val="009012D9"/>
    <w:rsid w:val="009024C7"/>
    <w:rsid w:val="009029E0"/>
    <w:rsid w:val="009029EB"/>
    <w:rsid w:val="0090433A"/>
    <w:rsid w:val="00904486"/>
    <w:rsid w:val="009048A5"/>
    <w:rsid w:val="00904A18"/>
    <w:rsid w:val="009055D8"/>
    <w:rsid w:val="00905E58"/>
    <w:rsid w:val="00906019"/>
    <w:rsid w:val="0090663D"/>
    <w:rsid w:val="00906C09"/>
    <w:rsid w:val="00910608"/>
    <w:rsid w:val="009110AC"/>
    <w:rsid w:val="0091223E"/>
    <w:rsid w:val="00912562"/>
    <w:rsid w:val="00912819"/>
    <w:rsid w:val="00912A28"/>
    <w:rsid w:val="00912DCE"/>
    <w:rsid w:val="009138C2"/>
    <w:rsid w:val="00915AC2"/>
    <w:rsid w:val="00916691"/>
    <w:rsid w:val="00917412"/>
    <w:rsid w:val="00917A2F"/>
    <w:rsid w:val="0092024A"/>
    <w:rsid w:val="0092097D"/>
    <w:rsid w:val="00920B8D"/>
    <w:rsid w:val="00920FE5"/>
    <w:rsid w:val="00921088"/>
    <w:rsid w:val="009210B4"/>
    <w:rsid w:val="00921285"/>
    <w:rsid w:val="009221E3"/>
    <w:rsid w:val="009222CE"/>
    <w:rsid w:val="00923258"/>
    <w:rsid w:val="00923963"/>
    <w:rsid w:val="00923B1A"/>
    <w:rsid w:val="009241A7"/>
    <w:rsid w:val="009241AF"/>
    <w:rsid w:val="00924392"/>
    <w:rsid w:val="00926401"/>
    <w:rsid w:val="0092673A"/>
    <w:rsid w:val="009272CB"/>
    <w:rsid w:val="00927DF7"/>
    <w:rsid w:val="009303D8"/>
    <w:rsid w:val="00930880"/>
    <w:rsid w:val="00930C4B"/>
    <w:rsid w:val="00930C52"/>
    <w:rsid w:val="00930F0F"/>
    <w:rsid w:val="009316FF"/>
    <w:rsid w:val="00931AAE"/>
    <w:rsid w:val="00931E63"/>
    <w:rsid w:val="009321CE"/>
    <w:rsid w:val="00932CC2"/>
    <w:rsid w:val="00932FF4"/>
    <w:rsid w:val="00933341"/>
    <w:rsid w:val="00933376"/>
    <w:rsid w:val="0093353D"/>
    <w:rsid w:val="009336FB"/>
    <w:rsid w:val="00934310"/>
    <w:rsid w:val="009347CE"/>
    <w:rsid w:val="009348BD"/>
    <w:rsid w:val="00934F31"/>
    <w:rsid w:val="009358FE"/>
    <w:rsid w:val="00935992"/>
    <w:rsid w:val="0093667B"/>
    <w:rsid w:val="009366FD"/>
    <w:rsid w:val="00937AEC"/>
    <w:rsid w:val="0094021D"/>
    <w:rsid w:val="009417D1"/>
    <w:rsid w:val="00942231"/>
    <w:rsid w:val="009424B2"/>
    <w:rsid w:val="00942E3E"/>
    <w:rsid w:val="00943038"/>
    <w:rsid w:val="00943AC1"/>
    <w:rsid w:val="00943C03"/>
    <w:rsid w:val="00943DE4"/>
    <w:rsid w:val="0094489C"/>
    <w:rsid w:val="00944986"/>
    <w:rsid w:val="00944D9C"/>
    <w:rsid w:val="0094536F"/>
    <w:rsid w:val="00945A54"/>
    <w:rsid w:val="00945AD9"/>
    <w:rsid w:val="00945D02"/>
    <w:rsid w:val="009461EF"/>
    <w:rsid w:val="0094627F"/>
    <w:rsid w:val="00946787"/>
    <w:rsid w:val="0094684F"/>
    <w:rsid w:val="00946A5B"/>
    <w:rsid w:val="00946C94"/>
    <w:rsid w:val="00947482"/>
    <w:rsid w:val="00947FD5"/>
    <w:rsid w:val="00950097"/>
    <w:rsid w:val="0095080B"/>
    <w:rsid w:val="00950D9E"/>
    <w:rsid w:val="00951C87"/>
    <w:rsid w:val="00951DC1"/>
    <w:rsid w:val="00952EA1"/>
    <w:rsid w:val="00953EC6"/>
    <w:rsid w:val="0095446F"/>
    <w:rsid w:val="00954A69"/>
    <w:rsid w:val="00955D2D"/>
    <w:rsid w:val="00955D71"/>
    <w:rsid w:val="00956AE7"/>
    <w:rsid w:val="00956C68"/>
    <w:rsid w:val="00957008"/>
    <w:rsid w:val="0095732E"/>
    <w:rsid w:val="00961C7D"/>
    <w:rsid w:val="00961F93"/>
    <w:rsid w:val="009621F9"/>
    <w:rsid w:val="00962205"/>
    <w:rsid w:val="0096235A"/>
    <w:rsid w:val="00962ABC"/>
    <w:rsid w:val="00962D4F"/>
    <w:rsid w:val="00962E05"/>
    <w:rsid w:val="00964657"/>
    <w:rsid w:val="00964AC7"/>
    <w:rsid w:val="00964C39"/>
    <w:rsid w:val="00964DF6"/>
    <w:rsid w:val="009657B0"/>
    <w:rsid w:val="0096612C"/>
    <w:rsid w:val="0096670E"/>
    <w:rsid w:val="00966F95"/>
    <w:rsid w:val="0096702A"/>
    <w:rsid w:val="00970051"/>
    <w:rsid w:val="009707C6"/>
    <w:rsid w:val="00970E0B"/>
    <w:rsid w:val="00970FDE"/>
    <w:rsid w:val="009710BB"/>
    <w:rsid w:val="009719EB"/>
    <w:rsid w:val="009744B9"/>
    <w:rsid w:val="009744D9"/>
    <w:rsid w:val="00975155"/>
    <w:rsid w:val="00975756"/>
    <w:rsid w:val="0097690F"/>
    <w:rsid w:val="00976A1C"/>
    <w:rsid w:val="00976EB7"/>
    <w:rsid w:val="00976F5D"/>
    <w:rsid w:val="009771A3"/>
    <w:rsid w:val="009778C1"/>
    <w:rsid w:val="00980001"/>
    <w:rsid w:val="0098029A"/>
    <w:rsid w:val="00980422"/>
    <w:rsid w:val="0098075A"/>
    <w:rsid w:val="0098130D"/>
    <w:rsid w:val="0098130E"/>
    <w:rsid w:val="009815EB"/>
    <w:rsid w:val="00982C4D"/>
    <w:rsid w:val="0098312D"/>
    <w:rsid w:val="00983766"/>
    <w:rsid w:val="00983FF7"/>
    <w:rsid w:val="009844F8"/>
    <w:rsid w:val="0098470B"/>
    <w:rsid w:val="009848CC"/>
    <w:rsid w:val="009849E4"/>
    <w:rsid w:val="00984F63"/>
    <w:rsid w:val="009853A7"/>
    <w:rsid w:val="00985CAD"/>
    <w:rsid w:val="00985FD0"/>
    <w:rsid w:val="00986593"/>
    <w:rsid w:val="009868EC"/>
    <w:rsid w:val="00987727"/>
    <w:rsid w:val="00987CFF"/>
    <w:rsid w:val="00990445"/>
    <w:rsid w:val="0099052C"/>
    <w:rsid w:val="00990ACD"/>
    <w:rsid w:val="009920BD"/>
    <w:rsid w:val="00992661"/>
    <w:rsid w:val="00992868"/>
    <w:rsid w:val="00992AF9"/>
    <w:rsid w:val="00992F06"/>
    <w:rsid w:val="00993803"/>
    <w:rsid w:val="00993BC1"/>
    <w:rsid w:val="0099496E"/>
    <w:rsid w:val="00995CF4"/>
    <w:rsid w:val="0099667A"/>
    <w:rsid w:val="00996770"/>
    <w:rsid w:val="00997574"/>
    <w:rsid w:val="00997C32"/>
    <w:rsid w:val="009A1115"/>
    <w:rsid w:val="009A1824"/>
    <w:rsid w:val="009A2717"/>
    <w:rsid w:val="009A27D0"/>
    <w:rsid w:val="009A287A"/>
    <w:rsid w:val="009A2D3D"/>
    <w:rsid w:val="009A2D57"/>
    <w:rsid w:val="009A33DC"/>
    <w:rsid w:val="009A3C36"/>
    <w:rsid w:val="009A3E83"/>
    <w:rsid w:val="009A42D2"/>
    <w:rsid w:val="009A43F8"/>
    <w:rsid w:val="009A5200"/>
    <w:rsid w:val="009A59B8"/>
    <w:rsid w:val="009A60E6"/>
    <w:rsid w:val="009A658B"/>
    <w:rsid w:val="009B080D"/>
    <w:rsid w:val="009B0C91"/>
    <w:rsid w:val="009B1ADF"/>
    <w:rsid w:val="009B1B82"/>
    <w:rsid w:val="009B1C28"/>
    <w:rsid w:val="009B25D3"/>
    <w:rsid w:val="009B2C9E"/>
    <w:rsid w:val="009B336A"/>
    <w:rsid w:val="009B3CF5"/>
    <w:rsid w:val="009B4059"/>
    <w:rsid w:val="009B44B8"/>
    <w:rsid w:val="009B4A05"/>
    <w:rsid w:val="009C0434"/>
    <w:rsid w:val="009C0A5D"/>
    <w:rsid w:val="009C0B20"/>
    <w:rsid w:val="009C109B"/>
    <w:rsid w:val="009C10F9"/>
    <w:rsid w:val="009C1622"/>
    <w:rsid w:val="009C1855"/>
    <w:rsid w:val="009C1913"/>
    <w:rsid w:val="009C196F"/>
    <w:rsid w:val="009C1A44"/>
    <w:rsid w:val="009C1C34"/>
    <w:rsid w:val="009C339A"/>
    <w:rsid w:val="009C3860"/>
    <w:rsid w:val="009C43E0"/>
    <w:rsid w:val="009C567D"/>
    <w:rsid w:val="009C5D16"/>
    <w:rsid w:val="009C5F22"/>
    <w:rsid w:val="009C6593"/>
    <w:rsid w:val="009C666B"/>
    <w:rsid w:val="009C6C67"/>
    <w:rsid w:val="009C6D1B"/>
    <w:rsid w:val="009C6E89"/>
    <w:rsid w:val="009C6F55"/>
    <w:rsid w:val="009D0360"/>
    <w:rsid w:val="009D0CEF"/>
    <w:rsid w:val="009D0FA6"/>
    <w:rsid w:val="009D14D8"/>
    <w:rsid w:val="009D1B6D"/>
    <w:rsid w:val="009D3C77"/>
    <w:rsid w:val="009D3EA2"/>
    <w:rsid w:val="009D3F79"/>
    <w:rsid w:val="009D4165"/>
    <w:rsid w:val="009D482A"/>
    <w:rsid w:val="009D5449"/>
    <w:rsid w:val="009D57DE"/>
    <w:rsid w:val="009D66B1"/>
    <w:rsid w:val="009D7BD8"/>
    <w:rsid w:val="009D7F2D"/>
    <w:rsid w:val="009E0597"/>
    <w:rsid w:val="009E0AB8"/>
    <w:rsid w:val="009E0D54"/>
    <w:rsid w:val="009E0EFE"/>
    <w:rsid w:val="009E17B2"/>
    <w:rsid w:val="009E3ACF"/>
    <w:rsid w:val="009E477F"/>
    <w:rsid w:val="009E52F4"/>
    <w:rsid w:val="009E5C68"/>
    <w:rsid w:val="009E5D1D"/>
    <w:rsid w:val="009E5FA4"/>
    <w:rsid w:val="009E5FB6"/>
    <w:rsid w:val="009E6BF7"/>
    <w:rsid w:val="009E758E"/>
    <w:rsid w:val="009E7D75"/>
    <w:rsid w:val="009F0106"/>
    <w:rsid w:val="009F1A30"/>
    <w:rsid w:val="009F1F5B"/>
    <w:rsid w:val="009F207E"/>
    <w:rsid w:val="009F2BC8"/>
    <w:rsid w:val="009F2C3D"/>
    <w:rsid w:val="009F2D69"/>
    <w:rsid w:val="009F3C69"/>
    <w:rsid w:val="009F4F0B"/>
    <w:rsid w:val="009F5511"/>
    <w:rsid w:val="009F6BE8"/>
    <w:rsid w:val="00A0021B"/>
    <w:rsid w:val="00A00766"/>
    <w:rsid w:val="00A00947"/>
    <w:rsid w:val="00A02204"/>
    <w:rsid w:val="00A0331B"/>
    <w:rsid w:val="00A03330"/>
    <w:rsid w:val="00A034F5"/>
    <w:rsid w:val="00A04B9A"/>
    <w:rsid w:val="00A05EAB"/>
    <w:rsid w:val="00A06B46"/>
    <w:rsid w:val="00A06C33"/>
    <w:rsid w:val="00A06CC5"/>
    <w:rsid w:val="00A07859"/>
    <w:rsid w:val="00A1010A"/>
    <w:rsid w:val="00A10479"/>
    <w:rsid w:val="00A10AF1"/>
    <w:rsid w:val="00A10BCE"/>
    <w:rsid w:val="00A11F38"/>
    <w:rsid w:val="00A121F5"/>
    <w:rsid w:val="00A126E9"/>
    <w:rsid w:val="00A1405F"/>
    <w:rsid w:val="00A15FEA"/>
    <w:rsid w:val="00A164D4"/>
    <w:rsid w:val="00A1680D"/>
    <w:rsid w:val="00A17404"/>
    <w:rsid w:val="00A174B6"/>
    <w:rsid w:val="00A17E5A"/>
    <w:rsid w:val="00A204B0"/>
    <w:rsid w:val="00A20623"/>
    <w:rsid w:val="00A2079D"/>
    <w:rsid w:val="00A209DE"/>
    <w:rsid w:val="00A20AA7"/>
    <w:rsid w:val="00A20C97"/>
    <w:rsid w:val="00A20E81"/>
    <w:rsid w:val="00A2159C"/>
    <w:rsid w:val="00A22229"/>
    <w:rsid w:val="00A22A44"/>
    <w:rsid w:val="00A22F99"/>
    <w:rsid w:val="00A241C5"/>
    <w:rsid w:val="00A243BD"/>
    <w:rsid w:val="00A243E4"/>
    <w:rsid w:val="00A25BA0"/>
    <w:rsid w:val="00A25E01"/>
    <w:rsid w:val="00A25E6D"/>
    <w:rsid w:val="00A2620F"/>
    <w:rsid w:val="00A2635C"/>
    <w:rsid w:val="00A26CB3"/>
    <w:rsid w:val="00A26FF6"/>
    <w:rsid w:val="00A27BCB"/>
    <w:rsid w:val="00A30715"/>
    <w:rsid w:val="00A31720"/>
    <w:rsid w:val="00A3242B"/>
    <w:rsid w:val="00A32501"/>
    <w:rsid w:val="00A32EC4"/>
    <w:rsid w:val="00A33072"/>
    <w:rsid w:val="00A33715"/>
    <w:rsid w:val="00A33A70"/>
    <w:rsid w:val="00A342BA"/>
    <w:rsid w:val="00A3446C"/>
    <w:rsid w:val="00A34E4F"/>
    <w:rsid w:val="00A35060"/>
    <w:rsid w:val="00A3522F"/>
    <w:rsid w:val="00A355A3"/>
    <w:rsid w:val="00A35825"/>
    <w:rsid w:val="00A35BBA"/>
    <w:rsid w:val="00A366AE"/>
    <w:rsid w:val="00A36F36"/>
    <w:rsid w:val="00A37D86"/>
    <w:rsid w:val="00A37D99"/>
    <w:rsid w:val="00A409D0"/>
    <w:rsid w:val="00A40EED"/>
    <w:rsid w:val="00A41033"/>
    <w:rsid w:val="00A41CCB"/>
    <w:rsid w:val="00A4259E"/>
    <w:rsid w:val="00A42768"/>
    <w:rsid w:val="00A42FA6"/>
    <w:rsid w:val="00A43F5E"/>
    <w:rsid w:val="00A4626E"/>
    <w:rsid w:val="00A469E0"/>
    <w:rsid w:val="00A46B2B"/>
    <w:rsid w:val="00A46D01"/>
    <w:rsid w:val="00A46FE0"/>
    <w:rsid w:val="00A479A1"/>
    <w:rsid w:val="00A51570"/>
    <w:rsid w:val="00A5365F"/>
    <w:rsid w:val="00A539F3"/>
    <w:rsid w:val="00A54934"/>
    <w:rsid w:val="00A55BB8"/>
    <w:rsid w:val="00A55D73"/>
    <w:rsid w:val="00A565C7"/>
    <w:rsid w:val="00A56E9A"/>
    <w:rsid w:val="00A571DD"/>
    <w:rsid w:val="00A60456"/>
    <w:rsid w:val="00A60907"/>
    <w:rsid w:val="00A60BBD"/>
    <w:rsid w:val="00A60E50"/>
    <w:rsid w:val="00A6112A"/>
    <w:rsid w:val="00A6163C"/>
    <w:rsid w:val="00A62243"/>
    <w:rsid w:val="00A643EE"/>
    <w:rsid w:val="00A64B67"/>
    <w:rsid w:val="00A64F78"/>
    <w:rsid w:val="00A659E1"/>
    <w:rsid w:val="00A65AB6"/>
    <w:rsid w:val="00A65FD6"/>
    <w:rsid w:val="00A66775"/>
    <w:rsid w:val="00A66C61"/>
    <w:rsid w:val="00A674C7"/>
    <w:rsid w:val="00A70A63"/>
    <w:rsid w:val="00A71133"/>
    <w:rsid w:val="00A715B7"/>
    <w:rsid w:val="00A715EA"/>
    <w:rsid w:val="00A7170D"/>
    <w:rsid w:val="00A725C6"/>
    <w:rsid w:val="00A729CE"/>
    <w:rsid w:val="00A72A23"/>
    <w:rsid w:val="00A73623"/>
    <w:rsid w:val="00A73BE6"/>
    <w:rsid w:val="00A74570"/>
    <w:rsid w:val="00A747A9"/>
    <w:rsid w:val="00A74A7B"/>
    <w:rsid w:val="00A753EF"/>
    <w:rsid w:val="00A761AC"/>
    <w:rsid w:val="00A77587"/>
    <w:rsid w:val="00A7765C"/>
    <w:rsid w:val="00A804A5"/>
    <w:rsid w:val="00A80C57"/>
    <w:rsid w:val="00A80DBA"/>
    <w:rsid w:val="00A810F5"/>
    <w:rsid w:val="00A81C30"/>
    <w:rsid w:val="00A822D7"/>
    <w:rsid w:val="00A83365"/>
    <w:rsid w:val="00A84AC9"/>
    <w:rsid w:val="00A84B21"/>
    <w:rsid w:val="00A85199"/>
    <w:rsid w:val="00A85278"/>
    <w:rsid w:val="00A8599F"/>
    <w:rsid w:val="00A85DAF"/>
    <w:rsid w:val="00A8638B"/>
    <w:rsid w:val="00A8663F"/>
    <w:rsid w:val="00A867CB"/>
    <w:rsid w:val="00A87C10"/>
    <w:rsid w:val="00A90371"/>
    <w:rsid w:val="00A91B2E"/>
    <w:rsid w:val="00A925F4"/>
    <w:rsid w:val="00A92906"/>
    <w:rsid w:val="00A92A26"/>
    <w:rsid w:val="00A92D7B"/>
    <w:rsid w:val="00A92DE4"/>
    <w:rsid w:val="00A942FE"/>
    <w:rsid w:val="00A9488B"/>
    <w:rsid w:val="00A955BF"/>
    <w:rsid w:val="00A95A56"/>
    <w:rsid w:val="00A95ABE"/>
    <w:rsid w:val="00A96603"/>
    <w:rsid w:val="00A97482"/>
    <w:rsid w:val="00A97EE0"/>
    <w:rsid w:val="00AA0230"/>
    <w:rsid w:val="00AA13E9"/>
    <w:rsid w:val="00AA1C3B"/>
    <w:rsid w:val="00AA2CC0"/>
    <w:rsid w:val="00AA3160"/>
    <w:rsid w:val="00AA3AC8"/>
    <w:rsid w:val="00AA4290"/>
    <w:rsid w:val="00AA4BD9"/>
    <w:rsid w:val="00AA6AC5"/>
    <w:rsid w:val="00AA6D4F"/>
    <w:rsid w:val="00AA7162"/>
    <w:rsid w:val="00AA7BB5"/>
    <w:rsid w:val="00AB0084"/>
    <w:rsid w:val="00AB053E"/>
    <w:rsid w:val="00AB0829"/>
    <w:rsid w:val="00AB0C49"/>
    <w:rsid w:val="00AB13F9"/>
    <w:rsid w:val="00AB1D57"/>
    <w:rsid w:val="00AB2182"/>
    <w:rsid w:val="00AB2E83"/>
    <w:rsid w:val="00AB2FE4"/>
    <w:rsid w:val="00AB3BCF"/>
    <w:rsid w:val="00AB419C"/>
    <w:rsid w:val="00AB48EA"/>
    <w:rsid w:val="00AB4B92"/>
    <w:rsid w:val="00AB4BAF"/>
    <w:rsid w:val="00AB4E44"/>
    <w:rsid w:val="00AB5181"/>
    <w:rsid w:val="00AB55AA"/>
    <w:rsid w:val="00AB6820"/>
    <w:rsid w:val="00AB7882"/>
    <w:rsid w:val="00AB7E00"/>
    <w:rsid w:val="00AC0C38"/>
    <w:rsid w:val="00AC1121"/>
    <w:rsid w:val="00AC15C0"/>
    <w:rsid w:val="00AC1D68"/>
    <w:rsid w:val="00AC375E"/>
    <w:rsid w:val="00AC3DE0"/>
    <w:rsid w:val="00AC4BAC"/>
    <w:rsid w:val="00AC4F2B"/>
    <w:rsid w:val="00AC569C"/>
    <w:rsid w:val="00AC5ABB"/>
    <w:rsid w:val="00AC5CE2"/>
    <w:rsid w:val="00AC604E"/>
    <w:rsid w:val="00AC6357"/>
    <w:rsid w:val="00AC6568"/>
    <w:rsid w:val="00AC688D"/>
    <w:rsid w:val="00AC6BA0"/>
    <w:rsid w:val="00AC70C7"/>
    <w:rsid w:val="00AC7845"/>
    <w:rsid w:val="00AD0305"/>
    <w:rsid w:val="00AD085D"/>
    <w:rsid w:val="00AD091B"/>
    <w:rsid w:val="00AD0D66"/>
    <w:rsid w:val="00AD1994"/>
    <w:rsid w:val="00AD1A48"/>
    <w:rsid w:val="00AD1B1E"/>
    <w:rsid w:val="00AD1C8B"/>
    <w:rsid w:val="00AD1E7D"/>
    <w:rsid w:val="00AD26A1"/>
    <w:rsid w:val="00AD2CDF"/>
    <w:rsid w:val="00AD3034"/>
    <w:rsid w:val="00AD36F4"/>
    <w:rsid w:val="00AD461F"/>
    <w:rsid w:val="00AD5FDF"/>
    <w:rsid w:val="00AD61D2"/>
    <w:rsid w:val="00AD63EA"/>
    <w:rsid w:val="00AD6792"/>
    <w:rsid w:val="00AE04B7"/>
    <w:rsid w:val="00AE0956"/>
    <w:rsid w:val="00AE0A03"/>
    <w:rsid w:val="00AE1255"/>
    <w:rsid w:val="00AE1691"/>
    <w:rsid w:val="00AE1F0B"/>
    <w:rsid w:val="00AE1F3D"/>
    <w:rsid w:val="00AE242C"/>
    <w:rsid w:val="00AE2716"/>
    <w:rsid w:val="00AE2EBB"/>
    <w:rsid w:val="00AE2F4F"/>
    <w:rsid w:val="00AE3DB1"/>
    <w:rsid w:val="00AE4212"/>
    <w:rsid w:val="00AE43D6"/>
    <w:rsid w:val="00AE4730"/>
    <w:rsid w:val="00AE487D"/>
    <w:rsid w:val="00AE515F"/>
    <w:rsid w:val="00AE52C4"/>
    <w:rsid w:val="00AE538E"/>
    <w:rsid w:val="00AE59CA"/>
    <w:rsid w:val="00AE5CAC"/>
    <w:rsid w:val="00AE5E34"/>
    <w:rsid w:val="00AE6EC9"/>
    <w:rsid w:val="00AE7D2C"/>
    <w:rsid w:val="00AF068C"/>
    <w:rsid w:val="00AF0792"/>
    <w:rsid w:val="00AF0AA2"/>
    <w:rsid w:val="00AF109B"/>
    <w:rsid w:val="00AF10B5"/>
    <w:rsid w:val="00AF1D47"/>
    <w:rsid w:val="00AF2B61"/>
    <w:rsid w:val="00AF2CD6"/>
    <w:rsid w:val="00AF3471"/>
    <w:rsid w:val="00AF4057"/>
    <w:rsid w:val="00AF543D"/>
    <w:rsid w:val="00AF642F"/>
    <w:rsid w:val="00AF6BA0"/>
    <w:rsid w:val="00AF7742"/>
    <w:rsid w:val="00AF7D01"/>
    <w:rsid w:val="00B004A0"/>
    <w:rsid w:val="00B007A8"/>
    <w:rsid w:val="00B01259"/>
    <w:rsid w:val="00B0135B"/>
    <w:rsid w:val="00B0190E"/>
    <w:rsid w:val="00B0191E"/>
    <w:rsid w:val="00B01B05"/>
    <w:rsid w:val="00B01F01"/>
    <w:rsid w:val="00B03221"/>
    <w:rsid w:val="00B0383E"/>
    <w:rsid w:val="00B04F99"/>
    <w:rsid w:val="00B0517B"/>
    <w:rsid w:val="00B05C36"/>
    <w:rsid w:val="00B06A9B"/>
    <w:rsid w:val="00B06DDF"/>
    <w:rsid w:val="00B06F1A"/>
    <w:rsid w:val="00B071DE"/>
    <w:rsid w:val="00B10891"/>
    <w:rsid w:val="00B1142E"/>
    <w:rsid w:val="00B11722"/>
    <w:rsid w:val="00B11BB7"/>
    <w:rsid w:val="00B12CE8"/>
    <w:rsid w:val="00B13797"/>
    <w:rsid w:val="00B14818"/>
    <w:rsid w:val="00B149DE"/>
    <w:rsid w:val="00B14D45"/>
    <w:rsid w:val="00B14F89"/>
    <w:rsid w:val="00B1543A"/>
    <w:rsid w:val="00B15D6D"/>
    <w:rsid w:val="00B16344"/>
    <w:rsid w:val="00B16D48"/>
    <w:rsid w:val="00B20AB8"/>
    <w:rsid w:val="00B20B25"/>
    <w:rsid w:val="00B22312"/>
    <w:rsid w:val="00B22DF2"/>
    <w:rsid w:val="00B2401F"/>
    <w:rsid w:val="00B240CC"/>
    <w:rsid w:val="00B24F6E"/>
    <w:rsid w:val="00B2565C"/>
    <w:rsid w:val="00B25B71"/>
    <w:rsid w:val="00B26005"/>
    <w:rsid w:val="00B2614D"/>
    <w:rsid w:val="00B26450"/>
    <w:rsid w:val="00B27D9F"/>
    <w:rsid w:val="00B303CD"/>
    <w:rsid w:val="00B3216F"/>
    <w:rsid w:val="00B32227"/>
    <w:rsid w:val="00B326FC"/>
    <w:rsid w:val="00B32936"/>
    <w:rsid w:val="00B336A7"/>
    <w:rsid w:val="00B33AA4"/>
    <w:rsid w:val="00B340AB"/>
    <w:rsid w:val="00B34480"/>
    <w:rsid w:val="00B34636"/>
    <w:rsid w:val="00B34DC7"/>
    <w:rsid w:val="00B34E8D"/>
    <w:rsid w:val="00B35276"/>
    <w:rsid w:val="00B353F9"/>
    <w:rsid w:val="00B36583"/>
    <w:rsid w:val="00B3682D"/>
    <w:rsid w:val="00B37995"/>
    <w:rsid w:val="00B401C0"/>
    <w:rsid w:val="00B40352"/>
    <w:rsid w:val="00B4039A"/>
    <w:rsid w:val="00B407CC"/>
    <w:rsid w:val="00B4091A"/>
    <w:rsid w:val="00B41A3B"/>
    <w:rsid w:val="00B41D0D"/>
    <w:rsid w:val="00B42087"/>
    <w:rsid w:val="00B42194"/>
    <w:rsid w:val="00B4220C"/>
    <w:rsid w:val="00B4231B"/>
    <w:rsid w:val="00B42B71"/>
    <w:rsid w:val="00B4300A"/>
    <w:rsid w:val="00B43708"/>
    <w:rsid w:val="00B4380A"/>
    <w:rsid w:val="00B43C28"/>
    <w:rsid w:val="00B43C5B"/>
    <w:rsid w:val="00B43EDB"/>
    <w:rsid w:val="00B44465"/>
    <w:rsid w:val="00B456F2"/>
    <w:rsid w:val="00B4581D"/>
    <w:rsid w:val="00B458A3"/>
    <w:rsid w:val="00B45968"/>
    <w:rsid w:val="00B476FF"/>
    <w:rsid w:val="00B47E0B"/>
    <w:rsid w:val="00B50817"/>
    <w:rsid w:val="00B508CD"/>
    <w:rsid w:val="00B50D6C"/>
    <w:rsid w:val="00B515FF"/>
    <w:rsid w:val="00B51DB9"/>
    <w:rsid w:val="00B52309"/>
    <w:rsid w:val="00B5232E"/>
    <w:rsid w:val="00B53552"/>
    <w:rsid w:val="00B540C7"/>
    <w:rsid w:val="00B559A6"/>
    <w:rsid w:val="00B55A8C"/>
    <w:rsid w:val="00B55B58"/>
    <w:rsid w:val="00B56396"/>
    <w:rsid w:val="00B57521"/>
    <w:rsid w:val="00B57C66"/>
    <w:rsid w:val="00B57ED1"/>
    <w:rsid w:val="00B57FCB"/>
    <w:rsid w:val="00B60CE1"/>
    <w:rsid w:val="00B60DFF"/>
    <w:rsid w:val="00B60F8C"/>
    <w:rsid w:val="00B62133"/>
    <w:rsid w:val="00B6277E"/>
    <w:rsid w:val="00B6290B"/>
    <w:rsid w:val="00B62F5E"/>
    <w:rsid w:val="00B63635"/>
    <w:rsid w:val="00B63713"/>
    <w:rsid w:val="00B6383D"/>
    <w:rsid w:val="00B64322"/>
    <w:rsid w:val="00B6628A"/>
    <w:rsid w:val="00B664F9"/>
    <w:rsid w:val="00B66A03"/>
    <w:rsid w:val="00B66E7A"/>
    <w:rsid w:val="00B670CA"/>
    <w:rsid w:val="00B673AE"/>
    <w:rsid w:val="00B67906"/>
    <w:rsid w:val="00B67B21"/>
    <w:rsid w:val="00B67DF0"/>
    <w:rsid w:val="00B703E4"/>
    <w:rsid w:val="00B70514"/>
    <w:rsid w:val="00B70FD5"/>
    <w:rsid w:val="00B71878"/>
    <w:rsid w:val="00B71BA4"/>
    <w:rsid w:val="00B71D5B"/>
    <w:rsid w:val="00B72254"/>
    <w:rsid w:val="00B7232A"/>
    <w:rsid w:val="00B739A6"/>
    <w:rsid w:val="00B73A3A"/>
    <w:rsid w:val="00B7417D"/>
    <w:rsid w:val="00B742D6"/>
    <w:rsid w:val="00B743C7"/>
    <w:rsid w:val="00B74A68"/>
    <w:rsid w:val="00B74CF8"/>
    <w:rsid w:val="00B76294"/>
    <w:rsid w:val="00B76334"/>
    <w:rsid w:val="00B76A97"/>
    <w:rsid w:val="00B8001B"/>
    <w:rsid w:val="00B8013A"/>
    <w:rsid w:val="00B801EB"/>
    <w:rsid w:val="00B8080B"/>
    <w:rsid w:val="00B808A1"/>
    <w:rsid w:val="00B81854"/>
    <w:rsid w:val="00B81E51"/>
    <w:rsid w:val="00B829CA"/>
    <w:rsid w:val="00B82FA2"/>
    <w:rsid w:val="00B83D67"/>
    <w:rsid w:val="00B84B18"/>
    <w:rsid w:val="00B851F7"/>
    <w:rsid w:val="00B8560C"/>
    <w:rsid w:val="00B8607C"/>
    <w:rsid w:val="00B869D1"/>
    <w:rsid w:val="00B86FF5"/>
    <w:rsid w:val="00B87192"/>
    <w:rsid w:val="00B87540"/>
    <w:rsid w:val="00B87CAE"/>
    <w:rsid w:val="00B87EC9"/>
    <w:rsid w:val="00B909AF"/>
    <w:rsid w:val="00B92004"/>
    <w:rsid w:val="00B92831"/>
    <w:rsid w:val="00B92E19"/>
    <w:rsid w:val="00B92E63"/>
    <w:rsid w:val="00B9342C"/>
    <w:rsid w:val="00B93660"/>
    <w:rsid w:val="00B93E4B"/>
    <w:rsid w:val="00B94EBA"/>
    <w:rsid w:val="00B95DF5"/>
    <w:rsid w:val="00B95F2C"/>
    <w:rsid w:val="00B961BF"/>
    <w:rsid w:val="00B963FC"/>
    <w:rsid w:val="00B966A7"/>
    <w:rsid w:val="00B97AB4"/>
    <w:rsid w:val="00BA033B"/>
    <w:rsid w:val="00BA05C2"/>
    <w:rsid w:val="00BA06E2"/>
    <w:rsid w:val="00BA1041"/>
    <w:rsid w:val="00BA1631"/>
    <w:rsid w:val="00BA2290"/>
    <w:rsid w:val="00BA24CD"/>
    <w:rsid w:val="00BA24D2"/>
    <w:rsid w:val="00BA26D3"/>
    <w:rsid w:val="00BA2B4E"/>
    <w:rsid w:val="00BA2C07"/>
    <w:rsid w:val="00BA2C98"/>
    <w:rsid w:val="00BA3915"/>
    <w:rsid w:val="00BA3AB8"/>
    <w:rsid w:val="00BA3B39"/>
    <w:rsid w:val="00BA5F03"/>
    <w:rsid w:val="00BA7538"/>
    <w:rsid w:val="00BA7C15"/>
    <w:rsid w:val="00BA7CD5"/>
    <w:rsid w:val="00BB0EED"/>
    <w:rsid w:val="00BB11BA"/>
    <w:rsid w:val="00BB168E"/>
    <w:rsid w:val="00BB16E9"/>
    <w:rsid w:val="00BB236A"/>
    <w:rsid w:val="00BB3089"/>
    <w:rsid w:val="00BB31C0"/>
    <w:rsid w:val="00BB37EF"/>
    <w:rsid w:val="00BB396D"/>
    <w:rsid w:val="00BB3C03"/>
    <w:rsid w:val="00BB3D18"/>
    <w:rsid w:val="00BB431B"/>
    <w:rsid w:val="00BB6790"/>
    <w:rsid w:val="00BB6E1E"/>
    <w:rsid w:val="00BB77E5"/>
    <w:rsid w:val="00BB7AD8"/>
    <w:rsid w:val="00BC01BE"/>
    <w:rsid w:val="00BC12C8"/>
    <w:rsid w:val="00BC1987"/>
    <w:rsid w:val="00BC258E"/>
    <w:rsid w:val="00BC2FFC"/>
    <w:rsid w:val="00BC3A23"/>
    <w:rsid w:val="00BC3F30"/>
    <w:rsid w:val="00BC3F8D"/>
    <w:rsid w:val="00BC48E5"/>
    <w:rsid w:val="00BC5A8C"/>
    <w:rsid w:val="00BC5F78"/>
    <w:rsid w:val="00BC624D"/>
    <w:rsid w:val="00BC68A6"/>
    <w:rsid w:val="00BC78CB"/>
    <w:rsid w:val="00BC79FC"/>
    <w:rsid w:val="00BD04D9"/>
    <w:rsid w:val="00BD0625"/>
    <w:rsid w:val="00BD06EC"/>
    <w:rsid w:val="00BD0C83"/>
    <w:rsid w:val="00BD1038"/>
    <w:rsid w:val="00BD2D28"/>
    <w:rsid w:val="00BD4672"/>
    <w:rsid w:val="00BD47D0"/>
    <w:rsid w:val="00BD4914"/>
    <w:rsid w:val="00BD6652"/>
    <w:rsid w:val="00BD6784"/>
    <w:rsid w:val="00BD6C78"/>
    <w:rsid w:val="00BD7E98"/>
    <w:rsid w:val="00BE10E9"/>
    <w:rsid w:val="00BE180A"/>
    <w:rsid w:val="00BE192B"/>
    <w:rsid w:val="00BE1E0F"/>
    <w:rsid w:val="00BE1F03"/>
    <w:rsid w:val="00BE24E7"/>
    <w:rsid w:val="00BE3683"/>
    <w:rsid w:val="00BE3890"/>
    <w:rsid w:val="00BE3AFB"/>
    <w:rsid w:val="00BE4638"/>
    <w:rsid w:val="00BE5394"/>
    <w:rsid w:val="00BE6074"/>
    <w:rsid w:val="00BE6320"/>
    <w:rsid w:val="00BE69F4"/>
    <w:rsid w:val="00BE6F1C"/>
    <w:rsid w:val="00BE7565"/>
    <w:rsid w:val="00BE7989"/>
    <w:rsid w:val="00BE7CBE"/>
    <w:rsid w:val="00BF064C"/>
    <w:rsid w:val="00BF07AF"/>
    <w:rsid w:val="00BF1304"/>
    <w:rsid w:val="00BF1542"/>
    <w:rsid w:val="00BF1B8E"/>
    <w:rsid w:val="00BF32E8"/>
    <w:rsid w:val="00BF3B86"/>
    <w:rsid w:val="00BF3B96"/>
    <w:rsid w:val="00BF3F0F"/>
    <w:rsid w:val="00BF470A"/>
    <w:rsid w:val="00BF5995"/>
    <w:rsid w:val="00BF5BCF"/>
    <w:rsid w:val="00BF600C"/>
    <w:rsid w:val="00BF6286"/>
    <w:rsid w:val="00BF6314"/>
    <w:rsid w:val="00BF6486"/>
    <w:rsid w:val="00BF68E9"/>
    <w:rsid w:val="00BF758C"/>
    <w:rsid w:val="00C0062B"/>
    <w:rsid w:val="00C00E3E"/>
    <w:rsid w:val="00C012D8"/>
    <w:rsid w:val="00C01ADE"/>
    <w:rsid w:val="00C0372F"/>
    <w:rsid w:val="00C03BB9"/>
    <w:rsid w:val="00C040BF"/>
    <w:rsid w:val="00C04833"/>
    <w:rsid w:val="00C048C3"/>
    <w:rsid w:val="00C05290"/>
    <w:rsid w:val="00C05319"/>
    <w:rsid w:val="00C06667"/>
    <w:rsid w:val="00C067C9"/>
    <w:rsid w:val="00C068EA"/>
    <w:rsid w:val="00C068F7"/>
    <w:rsid w:val="00C06ADF"/>
    <w:rsid w:val="00C06BEA"/>
    <w:rsid w:val="00C06C54"/>
    <w:rsid w:val="00C10906"/>
    <w:rsid w:val="00C10D70"/>
    <w:rsid w:val="00C11574"/>
    <w:rsid w:val="00C11829"/>
    <w:rsid w:val="00C11EC2"/>
    <w:rsid w:val="00C14A0B"/>
    <w:rsid w:val="00C15693"/>
    <w:rsid w:val="00C156B5"/>
    <w:rsid w:val="00C1639D"/>
    <w:rsid w:val="00C16DD2"/>
    <w:rsid w:val="00C17446"/>
    <w:rsid w:val="00C17B7B"/>
    <w:rsid w:val="00C200D4"/>
    <w:rsid w:val="00C205D4"/>
    <w:rsid w:val="00C2195A"/>
    <w:rsid w:val="00C22A3D"/>
    <w:rsid w:val="00C22F5C"/>
    <w:rsid w:val="00C231E7"/>
    <w:rsid w:val="00C2332E"/>
    <w:rsid w:val="00C23390"/>
    <w:rsid w:val="00C2344C"/>
    <w:rsid w:val="00C23EE6"/>
    <w:rsid w:val="00C241EB"/>
    <w:rsid w:val="00C24BB1"/>
    <w:rsid w:val="00C2524E"/>
    <w:rsid w:val="00C2590F"/>
    <w:rsid w:val="00C264A5"/>
    <w:rsid w:val="00C26800"/>
    <w:rsid w:val="00C26913"/>
    <w:rsid w:val="00C277CB"/>
    <w:rsid w:val="00C303A9"/>
    <w:rsid w:val="00C3185D"/>
    <w:rsid w:val="00C32A20"/>
    <w:rsid w:val="00C33531"/>
    <w:rsid w:val="00C33AE4"/>
    <w:rsid w:val="00C3462E"/>
    <w:rsid w:val="00C3538F"/>
    <w:rsid w:val="00C35C02"/>
    <w:rsid w:val="00C3681C"/>
    <w:rsid w:val="00C3695B"/>
    <w:rsid w:val="00C36AE1"/>
    <w:rsid w:val="00C379A0"/>
    <w:rsid w:val="00C37BF1"/>
    <w:rsid w:val="00C37FC2"/>
    <w:rsid w:val="00C406F8"/>
    <w:rsid w:val="00C40A6A"/>
    <w:rsid w:val="00C421D6"/>
    <w:rsid w:val="00C42538"/>
    <w:rsid w:val="00C437D3"/>
    <w:rsid w:val="00C43957"/>
    <w:rsid w:val="00C4397A"/>
    <w:rsid w:val="00C43D07"/>
    <w:rsid w:val="00C43E54"/>
    <w:rsid w:val="00C44C89"/>
    <w:rsid w:val="00C44D54"/>
    <w:rsid w:val="00C44FF1"/>
    <w:rsid w:val="00C45C55"/>
    <w:rsid w:val="00C45E94"/>
    <w:rsid w:val="00C469B8"/>
    <w:rsid w:val="00C46B28"/>
    <w:rsid w:val="00C46FC2"/>
    <w:rsid w:val="00C47044"/>
    <w:rsid w:val="00C50326"/>
    <w:rsid w:val="00C50DF6"/>
    <w:rsid w:val="00C516CA"/>
    <w:rsid w:val="00C51DF6"/>
    <w:rsid w:val="00C51E73"/>
    <w:rsid w:val="00C527EB"/>
    <w:rsid w:val="00C52912"/>
    <w:rsid w:val="00C52AC5"/>
    <w:rsid w:val="00C53CE7"/>
    <w:rsid w:val="00C54A6F"/>
    <w:rsid w:val="00C55C87"/>
    <w:rsid w:val="00C56900"/>
    <w:rsid w:val="00C56C2B"/>
    <w:rsid w:val="00C600BC"/>
    <w:rsid w:val="00C6048D"/>
    <w:rsid w:val="00C606C6"/>
    <w:rsid w:val="00C60CF5"/>
    <w:rsid w:val="00C611E0"/>
    <w:rsid w:val="00C63326"/>
    <w:rsid w:val="00C635C2"/>
    <w:rsid w:val="00C6493C"/>
    <w:rsid w:val="00C64B8C"/>
    <w:rsid w:val="00C64E2A"/>
    <w:rsid w:val="00C64E2E"/>
    <w:rsid w:val="00C65243"/>
    <w:rsid w:val="00C65603"/>
    <w:rsid w:val="00C668D2"/>
    <w:rsid w:val="00C668ED"/>
    <w:rsid w:val="00C66DAD"/>
    <w:rsid w:val="00C66EE0"/>
    <w:rsid w:val="00C67010"/>
    <w:rsid w:val="00C67866"/>
    <w:rsid w:val="00C67893"/>
    <w:rsid w:val="00C67F93"/>
    <w:rsid w:val="00C70A69"/>
    <w:rsid w:val="00C70B01"/>
    <w:rsid w:val="00C71024"/>
    <w:rsid w:val="00C71443"/>
    <w:rsid w:val="00C71FED"/>
    <w:rsid w:val="00C73155"/>
    <w:rsid w:val="00C73843"/>
    <w:rsid w:val="00C73FD2"/>
    <w:rsid w:val="00C7508C"/>
    <w:rsid w:val="00C750BA"/>
    <w:rsid w:val="00C75CDD"/>
    <w:rsid w:val="00C75EE0"/>
    <w:rsid w:val="00C76D94"/>
    <w:rsid w:val="00C77996"/>
    <w:rsid w:val="00C800A8"/>
    <w:rsid w:val="00C80421"/>
    <w:rsid w:val="00C80959"/>
    <w:rsid w:val="00C80CB8"/>
    <w:rsid w:val="00C811FF"/>
    <w:rsid w:val="00C8159F"/>
    <w:rsid w:val="00C81E17"/>
    <w:rsid w:val="00C827A4"/>
    <w:rsid w:val="00C82924"/>
    <w:rsid w:val="00C83060"/>
    <w:rsid w:val="00C83423"/>
    <w:rsid w:val="00C83478"/>
    <w:rsid w:val="00C83B1F"/>
    <w:rsid w:val="00C8448B"/>
    <w:rsid w:val="00C84B4C"/>
    <w:rsid w:val="00C85226"/>
    <w:rsid w:val="00C85E9E"/>
    <w:rsid w:val="00C86843"/>
    <w:rsid w:val="00C901B3"/>
    <w:rsid w:val="00C90465"/>
    <w:rsid w:val="00C90B27"/>
    <w:rsid w:val="00C90F0D"/>
    <w:rsid w:val="00C91297"/>
    <w:rsid w:val="00C9138D"/>
    <w:rsid w:val="00C91D5B"/>
    <w:rsid w:val="00C92BC8"/>
    <w:rsid w:val="00C9361F"/>
    <w:rsid w:val="00C93E0B"/>
    <w:rsid w:val="00C9439F"/>
    <w:rsid w:val="00C943B8"/>
    <w:rsid w:val="00C94C6B"/>
    <w:rsid w:val="00C9563C"/>
    <w:rsid w:val="00C95B56"/>
    <w:rsid w:val="00C9616A"/>
    <w:rsid w:val="00C96375"/>
    <w:rsid w:val="00C963D0"/>
    <w:rsid w:val="00C96F4A"/>
    <w:rsid w:val="00CA03C3"/>
    <w:rsid w:val="00CA08E6"/>
    <w:rsid w:val="00CA194D"/>
    <w:rsid w:val="00CA2425"/>
    <w:rsid w:val="00CA2B6A"/>
    <w:rsid w:val="00CA33DC"/>
    <w:rsid w:val="00CA35F3"/>
    <w:rsid w:val="00CA387E"/>
    <w:rsid w:val="00CA3B86"/>
    <w:rsid w:val="00CA414E"/>
    <w:rsid w:val="00CA4CF5"/>
    <w:rsid w:val="00CA4E69"/>
    <w:rsid w:val="00CA5592"/>
    <w:rsid w:val="00CA5E0B"/>
    <w:rsid w:val="00CA7633"/>
    <w:rsid w:val="00CB013F"/>
    <w:rsid w:val="00CB0FFA"/>
    <w:rsid w:val="00CB1B4B"/>
    <w:rsid w:val="00CB2033"/>
    <w:rsid w:val="00CB2F0D"/>
    <w:rsid w:val="00CB3A63"/>
    <w:rsid w:val="00CB68F3"/>
    <w:rsid w:val="00CB77D3"/>
    <w:rsid w:val="00CB7C27"/>
    <w:rsid w:val="00CC2E33"/>
    <w:rsid w:val="00CC2F00"/>
    <w:rsid w:val="00CC3C40"/>
    <w:rsid w:val="00CC3E9F"/>
    <w:rsid w:val="00CC6C43"/>
    <w:rsid w:val="00CC7AC0"/>
    <w:rsid w:val="00CD02F3"/>
    <w:rsid w:val="00CD03B6"/>
    <w:rsid w:val="00CD048F"/>
    <w:rsid w:val="00CD0590"/>
    <w:rsid w:val="00CD1C7D"/>
    <w:rsid w:val="00CD23EC"/>
    <w:rsid w:val="00CD26FF"/>
    <w:rsid w:val="00CD2F95"/>
    <w:rsid w:val="00CD3138"/>
    <w:rsid w:val="00CD354E"/>
    <w:rsid w:val="00CD3AD2"/>
    <w:rsid w:val="00CD48AC"/>
    <w:rsid w:val="00CD4C4F"/>
    <w:rsid w:val="00CD5078"/>
    <w:rsid w:val="00CD5155"/>
    <w:rsid w:val="00CD5519"/>
    <w:rsid w:val="00CD565A"/>
    <w:rsid w:val="00CD5DD5"/>
    <w:rsid w:val="00CD6082"/>
    <w:rsid w:val="00CD65D3"/>
    <w:rsid w:val="00CD6CAA"/>
    <w:rsid w:val="00CD6F3F"/>
    <w:rsid w:val="00CD7A59"/>
    <w:rsid w:val="00CD7F79"/>
    <w:rsid w:val="00CE073C"/>
    <w:rsid w:val="00CE0970"/>
    <w:rsid w:val="00CE0CB4"/>
    <w:rsid w:val="00CE0D26"/>
    <w:rsid w:val="00CE1283"/>
    <w:rsid w:val="00CE1323"/>
    <w:rsid w:val="00CE18F7"/>
    <w:rsid w:val="00CE1C4D"/>
    <w:rsid w:val="00CE30AA"/>
    <w:rsid w:val="00CE3B27"/>
    <w:rsid w:val="00CE3DED"/>
    <w:rsid w:val="00CE4657"/>
    <w:rsid w:val="00CE4C06"/>
    <w:rsid w:val="00CE4EC4"/>
    <w:rsid w:val="00CE503F"/>
    <w:rsid w:val="00CE526A"/>
    <w:rsid w:val="00CE5C4E"/>
    <w:rsid w:val="00CE5F35"/>
    <w:rsid w:val="00CE6878"/>
    <w:rsid w:val="00CE69C4"/>
    <w:rsid w:val="00CE6A6B"/>
    <w:rsid w:val="00CE6ADC"/>
    <w:rsid w:val="00CE7408"/>
    <w:rsid w:val="00CF038F"/>
    <w:rsid w:val="00CF099E"/>
    <w:rsid w:val="00CF1373"/>
    <w:rsid w:val="00CF13EE"/>
    <w:rsid w:val="00CF18C4"/>
    <w:rsid w:val="00CF19BB"/>
    <w:rsid w:val="00CF2644"/>
    <w:rsid w:val="00CF2C95"/>
    <w:rsid w:val="00CF3685"/>
    <w:rsid w:val="00CF3889"/>
    <w:rsid w:val="00CF3B9D"/>
    <w:rsid w:val="00CF3CF1"/>
    <w:rsid w:val="00CF5070"/>
    <w:rsid w:val="00CF51E1"/>
    <w:rsid w:val="00CF5EE0"/>
    <w:rsid w:val="00CF6075"/>
    <w:rsid w:val="00CF623E"/>
    <w:rsid w:val="00CF66DE"/>
    <w:rsid w:val="00CF6C4F"/>
    <w:rsid w:val="00D00A64"/>
    <w:rsid w:val="00D02208"/>
    <w:rsid w:val="00D022D9"/>
    <w:rsid w:val="00D02C20"/>
    <w:rsid w:val="00D02E37"/>
    <w:rsid w:val="00D032AC"/>
    <w:rsid w:val="00D037E4"/>
    <w:rsid w:val="00D04624"/>
    <w:rsid w:val="00D04725"/>
    <w:rsid w:val="00D04CC8"/>
    <w:rsid w:val="00D05214"/>
    <w:rsid w:val="00D0575E"/>
    <w:rsid w:val="00D058B7"/>
    <w:rsid w:val="00D07249"/>
    <w:rsid w:val="00D07757"/>
    <w:rsid w:val="00D1084F"/>
    <w:rsid w:val="00D1096D"/>
    <w:rsid w:val="00D10B40"/>
    <w:rsid w:val="00D114C3"/>
    <w:rsid w:val="00D11861"/>
    <w:rsid w:val="00D11FFC"/>
    <w:rsid w:val="00D123A7"/>
    <w:rsid w:val="00D12450"/>
    <w:rsid w:val="00D126BA"/>
    <w:rsid w:val="00D12D44"/>
    <w:rsid w:val="00D13032"/>
    <w:rsid w:val="00D1329D"/>
    <w:rsid w:val="00D134DB"/>
    <w:rsid w:val="00D13991"/>
    <w:rsid w:val="00D13A6E"/>
    <w:rsid w:val="00D14410"/>
    <w:rsid w:val="00D15FD8"/>
    <w:rsid w:val="00D16525"/>
    <w:rsid w:val="00D1699E"/>
    <w:rsid w:val="00D173B9"/>
    <w:rsid w:val="00D17C2E"/>
    <w:rsid w:val="00D17FCF"/>
    <w:rsid w:val="00D203EF"/>
    <w:rsid w:val="00D20B24"/>
    <w:rsid w:val="00D20FC5"/>
    <w:rsid w:val="00D21324"/>
    <w:rsid w:val="00D21595"/>
    <w:rsid w:val="00D219E5"/>
    <w:rsid w:val="00D22120"/>
    <w:rsid w:val="00D2288E"/>
    <w:rsid w:val="00D2292F"/>
    <w:rsid w:val="00D230F5"/>
    <w:rsid w:val="00D232D7"/>
    <w:rsid w:val="00D23CE9"/>
    <w:rsid w:val="00D24AB9"/>
    <w:rsid w:val="00D24BCD"/>
    <w:rsid w:val="00D25717"/>
    <w:rsid w:val="00D25B46"/>
    <w:rsid w:val="00D25D12"/>
    <w:rsid w:val="00D25F04"/>
    <w:rsid w:val="00D25FE0"/>
    <w:rsid w:val="00D265E3"/>
    <w:rsid w:val="00D269BD"/>
    <w:rsid w:val="00D26CE5"/>
    <w:rsid w:val="00D26F18"/>
    <w:rsid w:val="00D26F66"/>
    <w:rsid w:val="00D306DF"/>
    <w:rsid w:val="00D3133F"/>
    <w:rsid w:val="00D31B43"/>
    <w:rsid w:val="00D329C7"/>
    <w:rsid w:val="00D3347B"/>
    <w:rsid w:val="00D3402D"/>
    <w:rsid w:val="00D340C3"/>
    <w:rsid w:val="00D344C1"/>
    <w:rsid w:val="00D344FE"/>
    <w:rsid w:val="00D35D8E"/>
    <w:rsid w:val="00D37005"/>
    <w:rsid w:val="00D3724F"/>
    <w:rsid w:val="00D376E7"/>
    <w:rsid w:val="00D37A3A"/>
    <w:rsid w:val="00D37D57"/>
    <w:rsid w:val="00D407F7"/>
    <w:rsid w:val="00D41779"/>
    <w:rsid w:val="00D42937"/>
    <w:rsid w:val="00D43145"/>
    <w:rsid w:val="00D44268"/>
    <w:rsid w:val="00D44B54"/>
    <w:rsid w:val="00D44B8F"/>
    <w:rsid w:val="00D45C93"/>
    <w:rsid w:val="00D45CB2"/>
    <w:rsid w:val="00D46C92"/>
    <w:rsid w:val="00D47B10"/>
    <w:rsid w:val="00D50853"/>
    <w:rsid w:val="00D51069"/>
    <w:rsid w:val="00D51367"/>
    <w:rsid w:val="00D51F20"/>
    <w:rsid w:val="00D523A9"/>
    <w:rsid w:val="00D5244F"/>
    <w:rsid w:val="00D52A96"/>
    <w:rsid w:val="00D52CD2"/>
    <w:rsid w:val="00D5325D"/>
    <w:rsid w:val="00D5461D"/>
    <w:rsid w:val="00D54857"/>
    <w:rsid w:val="00D55032"/>
    <w:rsid w:val="00D55D30"/>
    <w:rsid w:val="00D56DA1"/>
    <w:rsid w:val="00D57B08"/>
    <w:rsid w:val="00D600BA"/>
    <w:rsid w:val="00D603EC"/>
    <w:rsid w:val="00D60F4C"/>
    <w:rsid w:val="00D61DA5"/>
    <w:rsid w:val="00D63210"/>
    <w:rsid w:val="00D63666"/>
    <w:rsid w:val="00D6369C"/>
    <w:rsid w:val="00D63982"/>
    <w:rsid w:val="00D63A1A"/>
    <w:rsid w:val="00D64543"/>
    <w:rsid w:val="00D6565C"/>
    <w:rsid w:val="00D663CC"/>
    <w:rsid w:val="00D666C0"/>
    <w:rsid w:val="00D66831"/>
    <w:rsid w:val="00D66C1A"/>
    <w:rsid w:val="00D704AA"/>
    <w:rsid w:val="00D707DF"/>
    <w:rsid w:val="00D70B61"/>
    <w:rsid w:val="00D710DF"/>
    <w:rsid w:val="00D71D89"/>
    <w:rsid w:val="00D72AAF"/>
    <w:rsid w:val="00D72AF3"/>
    <w:rsid w:val="00D72D78"/>
    <w:rsid w:val="00D738F2"/>
    <w:rsid w:val="00D742D0"/>
    <w:rsid w:val="00D750D6"/>
    <w:rsid w:val="00D76056"/>
    <w:rsid w:val="00D76127"/>
    <w:rsid w:val="00D768BF"/>
    <w:rsid w:val="00D76E5F"/>
    <w:rsid w:val="00D77310"/>
    <w:rsid w:val="00D7764B"/>
    <w:rsid w:val="00D778AD"/>
    <w:rsid w:val="00D77F6D"/>
    <w:rsid w:val="00D80ED6"/>
    <w:rsid w:val="00D80FBC"/>
    <w:rsid w:val="00D813AD"/>
    <w:rsid w:val="00D813F4"/>
    <w:rsid w:val="00D82BF0"/>
    <w:rsid w:val="00D82E71"/>
    <w:rsid w:val="00D830F3"/>
    <w:rsid w:val="00D83CC6"/>
    <w:rsid w:val="00D83E6E"/>
    <w:rsid w:val="00D847B7"/>
    <w:rsid w:val="00D84D7D"/>
    <w:rsid w:val="00D84E40"/>
    <w:rsid w:val="00D8554F"/>
    <w:rsid w:val="00D855A6"/>
    <w:rsid w:val="00D85B39"/>
    <w:rsid w:val="00D85D2A"/>
    <w:rsid w:val="00D87046"/>
    <w:rsid w:val="00D90649"/>
    <w:rsid w:val="00D90F09"/>
    <w:rsid w:val="00D91229"/>
    <w:rsid w:val="00D914AD"/>
    <w:rsid w:val="00D91B72"/>
    <w:rsid w:val="00D91D07"/>
    <w:rsid w:val="00D921D0"/>
    <w:rsid w:val="00D92D8E"/>
    <w:rsid w:val="00D9340C"/>
    <w:rsid w:val="00D93A1B"/>
    <w:rsid w:val="00D93D18"/>
    <w:rsid w:val="00D93E9C"/>
    <w:rsid w:val="00D94971"/>
    <w:rsid w:val="00D9511E"/>
    <w:rsid w:val="00D9534C"/>
    <w:rsid w:val="00D97257"/>
    <w:rsid w:val="00D9769C"/>
    <w:rsid w:val="00D976AD"/>
    <w:rsid w:val="00DA05EB"/>
    <w:rsid w:val="00DA0620"/>
    <w:rsid w:val="00DA0917"/>
    <w:rsid w:val="00DA0C96"/>
    <w:rsid w:val="00DA0F04"/>
    <w:rsid w:val="00DA1220"/>
    <w:rsid w:val="00DA16E9"/>
    <w:rsid w:val="00DA1B41"/>
    <w:rsid w:val="00DA2817"/>
    <w:rsid w:val="00DA3E79"/>
    <w:rsid w:val="00DA3EFD"/>
    <w:rsid w:val="00DA44D5"/>
    <w:rsid w:val="00DA4525"/>
    <w:rsid w:val="00DA4BD6"/>
    <w:rsid w:val="00DA4D9E"/>
    <w:rsid w:val="00DA57EC"/>
    <w:rsid w:val="00DA5F80"/>
    <w:rsid w:val="00DA6DBF"/>
    <w:rsid w:val="00DA7B93"/>
    <w:rsid w:val="00DA7E94"/>
    <w:rsid w:val="00DB0440"/>
    <w:rsid w:val="00DB08FF"/>
    <w:rsid w:val="00DB0AD5"/>
    <w:rsid w:val="00DB1F64"/>
    <w:rsid w:val="00DB22BF"/>
    <w:rsid w:val="00DB25F0"/>
    <w:rsid w:val="00DB2E19"/>
    <w:rsid w:val="00DB4174"/>
    <w:rsid w:val="00DB4C74"/>
    <w:rsid w:val="00DB4CF1"/>
    <w:rsid w:val="00DB4E75"/>
    <w:rsid w:val="00DB5016"/>
    <w:rsid w:val="00DB5381"/>
    <w:rsid w:val="00DB5D63"/>
    <w:rsid w:val="00DB5EB2"/>
    <w:rsid w:val="00DB600F"/>
    <w:rsid w:val="00DB6118"/>
    <w:rsid w:val="00DB6205"/>
    <w:rsid w:val="00DB69BA"/>
    <w:rsid w:val="00DB7574"/>
    <w:rsid w:val="00DB7C5F"/>
    <w:rsid w:val="00DC0630"/>
    <w:rsid w:val="00DC0C71"/>
    <w:rsid w:val="00DC1059"/>
    <w:rsid w:val="00DC118E"/>
    <w:rsid w:val="00DC200C"/>
    <w:rsid w:val="00DC26AF"/>
    <w:rsid w:val="00DC270A"/>
    <w:rsid w:val="00DC2A40"/>
    <w:rsid w:val="00DC2BEA"/>
    <w:rsid w:val="00DC31EA"/>
    <w:rsid w:val="00DC3A11"/>
    <w:rsid w:val="00DC3BEF"/>
    <w:rsid w:val="00DC3D22"/>
    <w:rsid w:val="00DC4AB7"/>
    <w:rsid w:val="00DC522D"/>
    <w:rsid w:val="00DC5849"/>
    <w:rsid w:val="00DC5D80"/>
    <w:rsid w:val="00DC5E12"/>
    <w:rsid w:val="00DC5F9B"/>
    <w:rsid w:val="00DC62DA"/>
    <w:rsid w:val="00DC66BF"/>
    <w:rsid w:val="00DC7AF5"/>
    <w:rsid w:val="00DC7C20"/>
    <w:rsid w:val="00DD0125"/>
    <w:rsid w:val="00DD0612"/>
    <w:rsid w:val="00DD0A1F"/>
    <w:rsid w:val="00DD2EF8"/>
    <w:rsid w:val="00DD3754"/>
    <w:rsid w:val="00DD3C5B"/>
    <w:rsid w:val="00DD3FB3"/>
    <w:rsid w:val="00DD4572"/>
    <w:rsid w:val="00DD472E"/>
    <w:rsid w:val="00DD4C8B"/>
    <w:rsid w:val="00DD4DA4"/>
    <w:rsid w:val="00DD4FE6"/>
    <w:rsid w:val="00DD5080"/>
    <w:rsid w:val="00DD59AE"/>
    <w:rsid w:val="00DD5D3B"/>
    <w:rsid w:val="00DD6092"/>
    <w:rsid w:val="00DD6B6E"/>
    <w:rsid w:val="00DD6D8D"/>
    <w:rsid w:val="00DD7237"/>
    <w:rsid w:val="00DE07C7"/>
    <w:rsid w:val="00DE1312"/>
    <w:rsid w:val="00DE1A41"/>
    <w:rsid w:val="00DE1ED8"/>
    <w:rsid w:val="00DE2F49"/>
    <w:rsid w:val="00DE40D4"/>
    <w:rsid w:val="00DE4988"/>
    <w:rsid w:val="00DE4FC2"/>
    <w:rsid w:val="00DE51A9"/>
    <w:rsid w:val="00DE6EC1"/>
    <w:rsid w:val="00DE732D"/>
    <w:rsid w:val="00DE7475"/>
    <w:rsid w:val="00DE7DBE"/>
    <w:rsid w:val="00DF09D4"/>
    <w:rsid w:val="00DF0F8F"/>
    <w:rsid w:val="00DF1954"/>
    <w:rsid w:val="00DF2415"/>
    <w:rsid w:val="00DF2520"/>
    <w:rsid w:val="00DF4A08"/>
    <w:rsid w:val="00DF4AD8"/>
    <w:rsid w:val="00DF5369"/>
    <w:rsid w:val="00DF5A39"/>
    <w:rsid w:val="00DF64B4"/>
    <w:rsid w:val="00DF680E"/>
    <w:rsid w:val="00DF692F"/>
    <w:rsid w:val="00DF69B9"/>
    <w:rsid w:val="00DF7044"/>
    <w:rsid w:val="00DF7048"/>
    <w:rsid w:val="00DF74BB"/>
    <w:rsid w:val="00DF7D23"/>
    <w:rsid w:val="00E000E7"/>
    <w:rsid w:val="00E00153"/>
    <w:rsid w:val="00E00351"/>
    <w:rsid w:val="00E01A52"/>
    <w:rsid w:val="00E01CDB"/>
    <w:rsid w:val="00E0218B"/>
    <w:rsid w:val="00E034AF"/>
    <w:rsid w:val="00E036E0"/>
    <w:rsid w:val="00E04369"/>
    <w:rsid w:val="00E043D3"/>
    <w:rsid w:val="00E045CC"/>
    <w:rsid w:val="00E0476D"/>
    <w:rsid w:val="00E04928"/>
    <w:rsid w:val="00E04940"/>
    <w:rsid w:val="00E04B53"/>
    <w:rsid w:val="00E04EBE"/>
    <w:rsid w:val="00E0557E"/>
    <w:rsid w:val="00E05A33"/>
    <w:rsid w:val="00E06D20"/>
    <w:rsid w:val="00E06E57"/>
    <w:rsid w:val="00E071E9"/>
    <w:rsid w:val="00E07B6E"/>
    <w:rsid w:val="00E1019C"/>
    <w:rsid w:val="00E10B5E"/>
    <w:rsid w:val="00E10CB7"/>
    <w:rsid w:val="00E10D5F"/>
    <w:rsid w:val="00E11592"/>
    <w:rsid w:val="00E11D0C"/>
    <w:rsid w:val="00E11F9F"/>
    <w:rsid w:val="00E12A07"/>
    <w:rsid w:val="00E12B06"/>
    <w:rsid w:val="00E12B89"/>
    <w:rsid w:val="00E145D1"/>
    <w:rsid w:val="00E14AB7"/>
    <w:rsid w:val="00E14DC6"/>
    <w:rsid w:val="00E14FBD"/>
    <w:rsid w:val="00E157B6"/>
    <w:rsid w:val="00E17E52"/>
    <w:rsid w:val="00E17F6A"/>
    <w:rsid w:val="00E204C3"/>
    <w:rsid w:val="00E2091E"/>
    <w:rsid w:val="00E20C73"/>
    <w:rsid w:val="00E21176"/>
    <w:rsid w:val="00E21359"/>
    <w:rsid w:val="00E2142C"/>
    <w:rsid w:val="00E21A12"/>
    <w:rsid w:val="00E2211D"/>
    <w:rsid w:val="00E225ED"/>
    <w:rsid w:val="00E22913"/>
    <w:rsid w:val="00E22E2D"/>
    <w:rsid w:val="00E232D1"/>
    <w:rsid w:val="00E237F9"/>
    <w:rsid w:val="00E23A07"/>
    <w:rsid w:val="00E23D4F"/>
    <w:rsid w:val="00E23EA5"/>
    <w:rsid w:val="00E23F6B"/>
    <w:rsid w:val="00E241EB"/>
    <w:rsid w:val="00E24DDE"/>
    <w:rsid w:val="00E24E31"/>
    <w:rsid w:val="00E2562E"/>
    <w:rsid w:val="00E259A3"/>
    <w:rsid w:val="00E25E3B"/>
    <w:rsid w:val="00E27F39"/>
    <w:rsid w:val="00E30000"/>
    <w:rsid w:val="00E305D7"/>
    <w:rsid w:val="00E30648"/>
    <w:rsid w:val="00E310AA"/>
    <w:rsid w:val="00E318E0"/>
    <w:rsid w:val="00E31C37"/>
    <w:rsid w:val="00E322FD"/>
    <w:rsid w:val="00E324FB"/>
    <w:rsid w:val="00E325AE"/>
    <w:rsid w:val="00E32604"/>
    <w:rsid w:val="00E329CF"/>
    <w:rsid w:val="00E32CF4"/>
    <w:rsid w:val="00E333A3"/>
    <w:rsid w:val="00E33AD5"/>
    <w:rsid w:val="00E341AD"/>
    <w:rsid w:val="00E349C0"/>
    <w:rsid w:val="00E35655"/>
    <w:rsid w:val="00E356F8"/>
    <w:rsid w:val="00E35ADD"/>
    <w:rsid w:val="00E360D2"/>
    <w:rsid w:val="00E37288"/>
    <w:rsid w:val="00E375CA"/>
    <w:rsid w:val="00E37C29"/>
    <w:rsid w:val="00E4044A"/>
    <w:rsid w:val="00E40575"/>
    <w:rsid w:val="00E4156C"/>
    <w:rsid w:val="00E418D2"/>
    <w:rsid w:val="00E42200"/>
    <w:rsid w:val="00E42639"/>
    <w:rsid w:val="00E434C9"/>
    <w:rsid w:val="00E436FA"/>
    <w:rsid w:val="00E437C7"/>
    <w:rsid w:val="00E44DD4"/>
    <w:rsid w:val="00E44DDC"/>
    <w:rsid w:val="00E45072"/>
    <w:rsid w:val="00E4531B"/>
    <w:rsid w:val="00E454E1"/>
    <w:rsid w:val="00E45737"/>
    <w:rsid w:val="00E458AF"/>
    <w:rsid w:val="00E461F7"/>
    <w:rsid w:val="00E46271"/>
    <w:rsid w:val="00E46AC2"/>
    <w:rsid w:val="00E478C0"/>
    <w:rsid w:val="00E504AD"/>
    <w:rsid w:val="00E50752"/>
    <w:rsid w:val="00E50A2F"/>
    <w:rsid w:val="00E5145B"/>
    <w:rsid w:val="00E5149D"/>
    <w:rsid w:val="00E521F0"/>
    <w:rsid w:val="00E525D6"/>
    <w:rsid w:val="00E5292E"/>
    <w:rsid w:val="00E52C26"/>
    <w:rsid w:val="00E539F3"/>
    <w:rsid w:val="00E53A14"/>
    <w:rsid w:val="00E5468A"/>
    <w:rsid w:val="00E5502F"/>
    <w:rsid w:val="00E55778"/>
    <w:rsid w:val="00E55882"/>
    <w:rsid w:val="00E56159"/>
    <w:rsid w:val="00E565F1"/>
    <w:rsid w:val="00E5675C"/>
    <w:rsid w:val="00E56786"/>
    <w:rsid w:val="00E56ED3"/>
    <w:rsid w:val="00E57918"/>
    <w:rsid w:val="00E6105C"/>
    <w:rsid w:val="00E61532"/>
    <w:rsid w:val="00E61F2C"/>
    <w:rsid w:val="00E62B9A"/>
    <w:rsid w:val="00E63299"/>
    <w:rsid w:val="00E63767"/>
    <w:rsid w:val="00E63783"/>
    <w:rsid w:val="00E64EBD"/>
    <w:rsid w:val="00E64F3F"/>
    <w:rsid w:val="00E653B1"/>
    <w:rsid w:val="00E65731"/>
    <w:rsid w:val="00E65D8B"/>
    <w:rsid w:val="00E66066"/>
    <w:rsid w:val="00E661D4"/>
    <w:rsid w:val="00E662B3"/>
    <w:rsid w:val="00E66352"/>
    <w:rsid w:val="00E664C8"/>
    <w:rsid w:val="00E673EA"/>
    <w:rsid w:val="00E674E8"/>
    <w:rsid w:val="00E67938"/>
    <w:rsid w:val="00E70109"/>
    <w:rsid w:val="00E7052D"/>
    <w:rsid w:val="00E70899"/>
    <w:rsid w:val="00E70C9E"/>
    <w:rsid w:val="00E71CE7"/>
    <w:rsid w:val="00E71D40"/>
    <w:rsid w:val="00E725DA"/>
    <w:rsid w:val="00E73BCF"/>
    <w:rsid w:val="00E756AE"/>
    <w:rsid w:val="00E7780A"/>
    <w:rsid w:val="00E77862"/>
    <w:rsid w:val="00E8014B"/>
    <w:rsid w:val="00E8107E"/>
    <w:rsid w:val="00E82D34"/>
    <w:rsid w:val="00E837AD"/>
    <w:rsid w:val="00E84617"/>
    <w:rsid w:val="00E848A8"/>
    <w:rsid w:val="00E85417"/>
    <w:rsid w:val="00E87261"/>
    <w:rsid w:val="00E874E4"/>
    <w:rsid w:val="00E87F3D"/>
    <w:rsid w:val="00E9158A"/>
    <w:rsid w:val="00E91CEE"/>
    <w:rsid w:val="00E92BFA"/>
    <w:rsid w:val="00E949F2"/>
    <w:rsid w:val="00E95B3A"/>
    <w:rsid w:val="00E9606F"/>
    <w:rsid w:val="00E970C3"/>
    <w:rsid w:val="00E973B8"/>
    <w:rsid w:val="00EA0E07"/>
    <w:rsid w:val="00EA102D"/>
    <w:rsid w:val="00EA1993"/>
    <w:rsid w:val="00EA1B55"/>
    <w:rsid w:val="00EA2FBF"/>
    <w:rsid w:val="00EA36AC"/>
    <w:rsid w:val="00EA3CBF"/>
    <w:rsid w:val="00EA3D95"/>
    <w:rsid w:val="00EA4A66"/>
    <w:rsid w:val="00EA4DC0"/>
    <w:rsid w:val="00EA5EDC"/>
    <w:rsid w:val="00EA64F0"/>
    <w:rsid w:val="00EA665F"/>
    <w:rsid w:val="00EA6BB1"/>
    <w:rsid w:val="00EA6C87"/>
    <w:rsid w:val="00EB13D7"/>
    <w:rsid w:val="00EB1BCF"/>
    <w:rsid w:val="00EB2237"/>
    <w:rsid w:val="00EB2482"/>
    <w:rsid w:val="00EB274A"/>
    <w:rsid w:val="00EB2C8C"/>
    <w:rsid w:val="00EB30F3"/>
    <w:rsid w:val="00EB338C"/>
    <w:rsid w:val="00EB34C3"/>
    <w:rsid w:val="00EB46A9"/>
    <w:rsid w:val="00EB4A92"/>
    <w:rsid w:val="00EB4E84"/>
    <w:rsid w:val="00EB58E9"/>
    <w:rsid w:val="00EB631D"/>
    <w:rsid w:val="00EB658F"/>
    <w:rsid w:val="00EB6894"/>
    <w:rsid w:val="00EB7986"/>
    <w:rsid w:val="00EC143B"/>
    <w:rsid w:val="00EC188F"/>
    <w:rsid w:val="00EC1D53"/>
    <w:rsid w:val="00EC1F34"/>
    <w:rsid w:val="00EC21C4"/>
    <w:rsid w:val="00EC2F12"/>
    <w:rsid w:val="00EC3FC1"/>
    <w:rsid w:val="00EC5282"/>
    <w:rsid w:val="00EC5AE8"/>
    <w:rsid w:val="00EC5C49"/>
    <w:rsid w:val="00EC60F3"/>
    <w:rsid w:val="00ED0140"/>
    <w:rsid w:val="00ED064F"/>
    <w:rsid w:val="00ED1528"/>
    <w:rsid w:val="00ED2033"/>
    <w:rsid w:val="00ED2C9A"/>
    <w:rsid w:val="00ED30D3"/>
    <w:rsid w:val="00ED3419"/>
    <w:rsid w:val="00ED3940"/>
    <w:rsid w:val="00ED397A"/>
    <w:rsid w:val="00ED5E61"/>
    <w:rsid w:val="00ED6F94"/>
    <w:rsid w:val="00ED77DD"/>
    <w:rsid w:val="00EE0356"/>
    <w:rsid w:val="00EE07C5"/>
    <w:rsid w:val="00EE1169"/>
    <w:rsid w:val="00EE17C6"/>
    <w:rsid w:val="00EE1CA5"/>
    <w:rsid w:val="00EE24B8"/>
    <w:rsid w:val="00EE2D80"/>
    <w:rsid w:val="00EE390C"/>
    <w:rsid w:val="00EE467E"/>
    <w:rsid w:val="00EE50E4"/>
    <w:rsid w:val="00EE5FD1"/>
    <w:rsid w:val="00EE61E2"/>
    <w:rsid w:val="00EE7E9F"/>
    <w:rsid w:val="00EF27C4"/>
    <w:rsid w:val="00EF2E5F"/>
    <w:rsid w:val="00EF2ECC"/>
    <w:rsid w:val="00EF2F41"/>
    <w:rsid w:val="00EF31A0"/>
    <w:rsid w:val="00EF3A8C"/>
    <w:rsid w:val="00EF465A"/>
    <w:rsid w:val="00EF4972"/>
    <w:rsid w:val="00EF55BD"/>
    <w:rsid w:val="00EF56A1"/>
    <w:rsid w:val="00EF5892"/>
    <w:rsid w:val="00EF5897"/>
    <w:rsid w:val="00EF65F9"/>
    <w:rsid w:val="00EF68B2"/>
    <w:rsid w:val="00EF68EF"/>
    <w:rsid w:val="00EF6FD5"/>
    <w:rsid w:val="00EF713D"/>
    <w:rsid w:val="00EF738E"/>
    <w:rsid w:val="00EF74F9"/>
    <w:rsid w:val="00EF763C"/>
    <w:rsid w:val="00EF7652"/>
    <w:rsid w:val="00F004D1"/>
    <w:rsid w:val="00F01738"/>
    <w:rsid w:val="00F019B6"/>
    <w:rsid w:val="00F01F70"/>
    <w:rsid w:val="00F04102"/>
    <w:rsid w:val="00F04BC8"/>
    <w:rsid w:val="00F05270"/>
    <w:rsid w:val="00F0544F"/>
    <w:rsid w:val="00F05884"/>
    <w:rsid w:val="00F05CF7"/>
    <w:rsid w:val="00F05D1D"/>
    <w:rsid w:val="00F05E37"/>
    <w:rsid w:val="00F06781"/>
    <w:rsid w:val="00F071B9"/>
    <w:rsid w:val="00F07507"/>
    <w:rsid w:val="00F07EBA"/>
    <w:rsid w:val="00F07FCC"/>
    <w:rsid w:val="00F109C7"/>
    <w:rsid w:val="00F138CE"/>
    <w:rsid w:val="00F13BC5"/>
    <w:rsid w:val="00F14073"/>
    <w:rsid w:val="00F1460E"/>
    <w:rsid w:val="00F146A8"/>
    <w:rsid w:val="00F147F0"/>
    <w:rsid w:val="00F156D2"/>
    <w:rsid w:val="00F158AD"/>
    <w:rsid w:val="00F16201"/>
    <w:rsid w:val="00F16F61"/>
    <w:rsid w:val="00F17019"/>
    <w:rsid w:val="00F175E0"/>
    <w:rsid w:val="00F204E3"/>
    <w:rsid w:val="00F20874"/>
    <w:rsid w:val="00F20DCB"/>
    <w:rsid w:val="00F2156C"/>
    <w:rsid w:val="00F21589"/>
    <w:rsid w:val="00F21F53"/>
    <w:rsid w:val="00F237E9"/>
    <w:rsid w:val="00F243CF"/>
    <w:rsid w:val="00F245D0"/>
    <w:rsid w:val="00F24C7C"/>
    <w:rsid w:val="00F25014"/>
    <w:rsid w:val="00F25DA4"/>
    <w:rsid w:val="00F25E1C"/>
    <w:rsid w:val="00F267AB"/>
    <w:rsid w:val="00F2729E"/>
    <w:rsid w:val="00F27492"/>
    <w:rsid w:val="00F27AE8"/>
    <w:rsid w:val="00F30104"/>
    <w:rsid w:val="00F3097D"/>
    <w:rsid w:val="00F30CA9"/>
    <w:rsid w:val="00F31057"/>
    <w:rsid w:val="00F3203E"/>
    <w:rsid w:val="00F3242E"/>
    <w:rsid w:val="00F32D67"/>
    <w:rsid w:val="00F337D0"/>
    <w:rsid w:val="00F338A6"/>
    <w:rsid w:val="00F347B5"/>
    <w:rsid w:val="00F34800"/>
    <w:rsid w:val="00F3499A"/>
    <w:rsid w:val="00F34F38"/>
    <w:rsid w:val="00F3502A"/>
    <w:rsid w:val="00F3538F"/>
    <w:rsid w:val="00F35934"/>
    <w:rsid w:val="00F35A19"/>
    <w:rsid w:val="00F3681C"/>
    <w:rsid w:val="00F37B2A"/>
    <w:rsid w:val="00F37F40"/>
    <w:rsid w:val="00F40301"/>
    <w:rsid w:val="00F412C0"/>
    <w:rsid w:val="00F41B9E"/>
    <w:rsid w:val="00F41C90"/>
    <w:rsid w:val="00F41D2A"/>
    <w:rsid w:val="00F4218B"/>
    <w:rsid w:val="00F4226D"/>
    <w:rsid w:val="00F425A7"/>
    <w:rsid w:val="00F42862"/>
    <w:rsid w:val="00F428B9"/>
    <w:rsid w:val="00F429EC"/>
    <w:rsid w:val="00F42D72"/>
    <w:rsid w:val="00F42D9D"/>
    <w:rsid w:val="00F43B4F"/>
    <w:rsid w:val="00F43FC5"/>
    <w:rsid w:val="00F444BC"/>
    <w:rsid w:val="00F4467F"/>
    <w:rsid w:val="00F44FE2"/>
    <w:rsid w:val="00F456CD"/>
    <w:rsid w:val="00F46ED7"/>
    <w:rsid w:val="00F47AAB"/>
    <w:rsid w:val="00F47B16"/>
    <w:rsid w:val="00F47F69"/>
    <w:rsid w:val="00F510F9"/>
    <w:rsid w:val="00F52F88"/>
    <w:rsid w:val="00F532EC"/>
    <w:rsid w:val="00F53851"/>
    <w:rsid w:val="00F540C2"/>
    <w:rsid w:val="00F5469B"/>
    <w:rsid w:val="00F54B3E"/>
    <w:rsid w:val="00F54D8F"/>
    <w:rsid w:val="00F55817"/>
    <w:rsid w:val="00F55AE7"/>
    <w:rsid w:val="00F55F21"/>
    <w:rsid w:val="00F56F89"/>
    <w:rsid w:val="00F57119"/>
    <w:rsid w:val="00F5723D"/>
    <w:rsid w:val="00F57442"/>
    <w:rsid w:val="00F6074C"/>
    <w:rsid w:val="00F61F97"/>
    <w:rsid w:val="00F62463"/>
    <w:rsid w:val="00F62F03"/>
    <w:rsid w:val="00F638A9"/>
    <w:rsid w:val="00F63A32"/>
    <w:rsid w:val="00F64847"/>
    <w:rsid w:val="00F65557"/>
    <w:rsid w:val="00F6602B"/>
    <w:rsid w:val="00F66560"/>
    <w:rsid w:val="00F6664B"/>
    <w:rsid w:val="00F708F8"/>
    <w:rsid w:val="00F70F06"/>
    <w:rsid w:val="00F72404"/>
    <w:rsid w:val="00F73326"/>
    <w:rsid w:val="00F74850"/>
    <w:rsid w:val="00F74B63"/>
    <w:rsid w:val="00F74BC6"/>
    <w:rsid w:val="00F757FD"/>
    <w:rsid w:val="00F75D55"/>
    <w:rsid w:val="00F765DB"/>
    <w:rsid w:val="00F76E40"/>
    <w:rsid w:val="00F77B9D"/>
    <w:rsid w:val="00F803F2"/>
    <w:rsid w:val="00F8089F"/>
    <w:rsid w:val="00F809D6"/>
    <w:rsid w:val="00F80F06"/>
    <w:rsid w:val="00F81445"/>
    <w:rsid w:val="00F81E0E"/>
    <w:rsid w:val="00F82557"/>
    <w:rsid w:val="00F8292F"/>
    <w:rsid w:val="00F82E60"/>
    <w:rsid w:val="00F8300A"/>
    <w:rsid w:val="00F83E12"/>
    <w:rsid w:val="00F83F8F"/>
    <w:rsid w:val="00F8498A"/>
    <w:rsid w:val="00F84BCE"/>
    <w:rsid w:val="00F84D0E"/>
    <w:rsid w:val="00F85BD6"/>
    <w:rsid w:val="00F8670A"/>
    <w:rsid w:val="00F86833"/>
    <w:rsid w:val="00F87CA7"/>
    <w:rsid w:val="00F902EA"/>
    <w:rsid w:val="00F90339"/>
    <w:rsid w:val="00F905F2"/>
    <w:rsid w:val="00F9163F"/>
    <w:rsid w:val="00F91FB3"/>
    <w:rsid w:val="00F92478"/>
    <w:rsid w:val="00F92DA4"/>
    <w:rsid w:val="00F93100"/>
    <w:rsid w:val="00F939BD"/>
    <w:rsid w:val="00F94051"/>
    <w:rsid w:val="00F951B4"/>
    <w:rsid w:val="00F9556F"/>
    <w:rsid w:val="00F96147"/>
    <w:rsid w:val="00F96540"/>
    <w:rsid w:val="00F96F0F"/>
    <w:rsid w:val="00F9730C"/>
    <w:rsid w:val="00F97C70"/>
    <w:rsid w:val="00FA063F"/>
    <w:rsid w:val="00FA251C"/>
    <w:rsid w:val="00FA2AC8"/>
    <w:rsid w:val="00FA2F0A"/>
    <w:rsid w:val="00FA305C"/>
    <w:rsid w:val="00FA3406"/>
    <w:rsid w:val="00FA3E25"/>
    <w:rsid w:val="00FA4608"/>
    <w:rsid w:val="00FA4B08"/>
    <w:rsid w:val="00FA4E64"/>
    <w:rsid w:val="00FA519F"/>
    <w:rsid w:val="00FA6718"/>
    <w:rsid w:val="00FA6929"/>
    <w:rsid w:val="00FA775D"/>
    <w:rsid w:val="00FA78B6"/>
    <w:rsid w:val="00FB027F"/>
    <w:rsid w:val="00FB02F7"/>
    <w:rsid w:val="00FB09E0"/>
    <w:rsid w:val="00FB0CA6"/>
    <w:rsid w:val="00FB20CE"/>
    <w:rsid w:val="00FB2187"/>
    <w:rsid w:val="00FB2EC3"/>
    <w:rsid w:val="00FB4B51"/>
    <w:rsid w:val="00FB676F"/>
    <w:rsid w:val="00FB6C82"/>
    <w:rsid w:val="00FB6FDB"/>
    <w:rsid w:val="00FB739C"/>
    <w:rsid w:val="00FB7B59"/>
    <w:rsid w:val="00FC0691"/>
    <w:rsid w:val="00FC0A50"/>
    <w:rsid w:val="00FC0CCB"/>
    <w:rsid w:val="00FC0E36"/>
    <w:rsid w:val="00FC1935"/>
    <w:rsid w:val="00FC20CA"/>
    <w:rsid w:val="00FC275B"/>
    <w:rsid w:val="00FC2B6E"/>
    <w:rsid w:val="00FC3423"/>
    <w:rsid w:val="00FC3EB5"/>
    <w:rsid w:val="00FC4B4F"/>
    <w:rsid w:val="00FC5A22"/>
    <w:rsid w:val="00FC5E87"/>
    <w:rsid w:val="00FC60C9"/>
    <w:rsid w:val="00FC63AA"/>
    <w:rsid w:val="00FC67A6"/>
    <w:rsid w:val="00FC6F5D"/>
    <w:rsid w:val="00FC743F"/>
    <w:rsid w:val="00FC76A0"/>
    <w:rsid w:val="00FC7782"/>
    <w:rsid w:val="00FD053B"/>
    <w:rsid w:val="00FD1039"/>
    <w:rsid w:val="00FD14CA"/>
    <w:rsid w:val="00FD161B"/>
    <w:rsid w:val="00FD1860"/>
    <w:rsid w:val="00FD2176"/>
    <w:rsid w:val="00FD2F20"/>
    <w:rsid w:val="00FD3413"/>
    <w:rsid w:val="00FD3691"/>
    <w:rsid w:val="00FD3816"/>
    <w:rsid w:val="00FD4063"/>
    <w:rsid w:val="00FD4412"/>
    <w:rsid w:val="00FD44DA"/>
    <w:rsid w:val="00FD4BCB"/>
    <w:rsid w:val="00FD50C7"/>
    <w:rsid w:val="00FD72A5"/>
    <w:rsid w:val="00FD7B81"/>
    <w:rsid w:val="00FE09E5"/>
    <w:rsid w:val="00FE0CE3"/>
    <w:rsid w:val="00FE0F39"/>
    <w:rsid w:val="00FE1014"/>
    <w:rsid w:val="00FE12FE"/>
    <w:rsid w:val="00FE220A"/>
    <w:rsid w:val="00FE33ED"/>
    <w:rsid w:val="00FE3A5D"/>
    <w:rsid w:val="00FE4330"/>
    <w:rsid w:val="00FE4D7D"/>
    <w:rsid w:val="00FE50C6"/>
    <w:rsid w:val="00FE5679"/>
    <w:rsid w:val="00FE59A3"/>
    <w:rsid w:val="00FE5B86"/>
    <w:rsid w:val="00FE5CA5"/>
    <w:rsid w:val="00FE68EE"/>
    <w:rsid w:val="00FE6CFA"/>
    <w:rsid w:val="00FE7FE4"/>
    <w:rsid w:val="00FF009A"/>
    <w:rsid w:val="00FF0368"/>
    <w:rsid w:val="00FF15E1"/>
    <w:rsid w:val="00FF1734"/>
    <w:rsid w:val="00FF1755"/>
    <w:rsid w:val="00FF1D53"/>
    <w:rsid w:val="00FF212F"/>
    <w:rsid w:val="00FF28AF"/>
    <w:rsid w:val="00FF2A97"/>
    <w:rsid w:val="00FF3591"/>
    <w:rsid w:val="00FF3F44"/>
    <w:rsid w:val="00FF422D"/>
    <w:rsid w:val="00FF5CE8"/>
    <w:rsid w:val="00FF5F7F"/>
    <w:rsid w:val="00FF6041"/>
    <w:rsid w:val="00FF617F"/>
    <w:rsid w:val="00FF68F2"/>
    <w:rsid w:val="00FF721D"/>
    <w:rsid w:val="00FF7BF9"/>
    <w:rsid w:val="0B6D2352"/>
    <w:rsid w:val="0FCCC438"/>
    <w:rsid w:val="12AF7593"/>
    <w:rsid w:val="168D5417"/>
    <w:rsid w:val="1FA9609A"/>
    <w:rsid w:val="21D5AFCC"/>
    <w:rsid w:val="23F4776F"/>
    <w:rsid w:val="2E37F699"/>
    <w:rsid w:val="2EBCECAC"/>
    <w:rsid w:val="347ABCAA"/>
    <w:rsid w:val="3759BBB8"/>
    <w:rsid w:val="39E90FF9"/>
    <w:rsid w:val="3BF61C44"/>
    <w:rsid w:val="4549B02A"/>
    <w:rsid w:val="4849AEFB"/>
    <w:rsid w:val="4C60C81A"/>
    <w:rsid w:val="5B5FE9D4"/>
    <w:rsid w:val="798180BF"/>
    <w:rsid w:val="7F1F8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2352"/>
  <w15:chartTrackingRefBased/>
  <w15:docId w15:val="{8FD354FF-E63D-47B8-9DE4-6871F742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A6"/>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rPr>
      <w:rFonts w:eastAsiaTheme="majorEastAsia" w:cstheme="majorBidi"/>
      <w:color w:val="272727" w:themeColor="text1" w:themeTint="D8"/>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5B5FE9D4"/>
    <w:pPr>
      <w:spacing w:after="0"/>
    </w:pPr>
  </w:style>
  <w:style w:type="character" w:styleId="Hyperlink">
    <w:name w:val="Hyperlink"/>
    <w:basedOn w:val="DefaultParagraphFont"/>
    <w:unhideWhenUsed/>
    <w:rsid w:val="5B5FE9D4"/>
    <w:rPr>
      <w:color w:val="467886"/>
      <w:u w:val="single"/>
    </w:rPr>
  </w:style>
  <w:style w:type="paragraph" w:styleId="ListParagraph">
    <w:name w:val="List Paragraph"/>
    <w:basedOn w:val="Normal"/>
    <w:uiPriority w:val="34"/>
    <w:qFormat/>
    <w:rsid w:val="5B5FE9D4"/>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DC5D80"/>
    <w:pPr>
      <w:tabs>
        <w:tab w:val="center" w:pos="4153"/>
        <w:tab w:val="right" w:pos="8306"/>
      </w:tabs>
      <w:spacing w:after="0" w:line="240" w:lineRule="auto"/>
    </w:pPr>
    <w:rPr>
      <w:rFonts w:ascii="Times New Roman" w:eastAsia="Times New Roman" w:hAnsi="Times New Roman" w:cs="Times New Roman"/>
      <w:lang w:val="en-IE" w:eastAsia="en-US"/>
    </w:rPr>
  </w:style>
  <w:style w:type="character" w:customStyle="1" w:styleId="HeaderChar">
    <w:name w:val="Header Char"/>
    <w:basedOn w:val="DefaultParagraphFont"/>
    <w:link w:val="Header"/>
    <w:rsid w:val="00DC5D80"/>
    <w:rPr>
      <w:rFonts w:ascii="Times New Roman" w:eastAsia="Times New Roman" w:hAnsi="Times New Roman" w:cs="Times New Roman"/>
      <w:lang w:val="en-IE" w:eastAsia="en-US"/>
    </w:rPr>
  </w:style>
  <w:style w:type="paragraph" w:styleId="Footer">
    <w:name w:val="footer"/>
    <w:basedOn w:val="Normal"/>
    <w:link w:val="FooterChar"/>
    <w:uiPriority w:val="99"/>
    <w:unhideWhenUsed/>
    <w:rsid w:val="00DC5D80"/>
    <w:pPr>
      <w:tabs>
        <w:tab w:val="center" w:pos="4513"/>
        <w:tab w:val="right" w:pos="9026"/>
      </w:tabs>
      <w:spacing w:after="0" w:line="240" w:lineRule="auto"/>
    </w:pPr>
    <w:rPr>
      <w:rFonts w:ascii="Times New Roman" w:eastAsia="Times New Roman" w:hAnsi="Times New Roman" w:cs="Times New Roman"/>
      <w:lang w:val="en-IE" w:eastAsia="en-US"/>
    </w:rPr>
  </w:style>
  <w:style w:type="character" w:customStyle="1" w:styleId="FooterChar">
    <w:name w:val="Footer Char"/>
    <w:basedOn w:val="DefaultParagraphFont"/>
    <w:link w:val="Footer"/>
    <w:uiPriority w:val="99"/>
    <w:rsid w:val="00DC5D80"/>
    <w:rPr>
      <w:rFonts w:ascii="Times New Roman" w:eastAsia="Times New Roman" w:hAnsi="Times New Roman" w:cs="Times New Roman"/>
      <w:lang w:val="en-IE" w:eastAsia="en-US"/>
    </w:rPr>
  </w:style>
  <w:style w:type="paragraph" w:styleId="BalloonText">
    <w:name w:val="Balloon Text"/>
    <w:basedOn w:val="Normal"/>
    <w:link w:val="BalloonTextChar"/>
    <w:semiHidden/>
    <w:unhideWhenUsed/>
    <w:rsid w:val="00DC5D80"/>
    <w:pPr>
      <w:spacing w:after="0" w:line="240" w:lineRule="auto"/>
    </w:pPr>
    <w:rPr>
      <w:rFonts w:ascii="Tahoma" w:eastAsia="Times New Roman" w:hAnsi="Tahoma" w:cs="Tahoma"/>
      <w:sz w:val="16"/>
      <w:szCs w:val="16"/>
      <w:lang w:val="en-IE" w:eastAsia="en-US"/>
    </w:rPr>
  </w:style>
  <w:style w:type="character" w:customStyle="1" w:styleId="BalloonTextChar">
    <w:name w:val="Balloon Text Char"/>
    <w:basedOn w:val="DefaultParagraphFont"/>
    <w:link w:val="BalloonText"/>
    <w:semiHidden/>
    <w:rsid w:val="00DC5D80"/>
    <w:rPr>
      <w:rFonts w:ascii="Tahoma" w:eastAsia="Times New Roman" w:hAnsi="Tahoma" w:cs="Tahoma"/>
      <w:sz w:val="16"/>
      <w:szCs w:val="16"/>
      <w:lang w:val="en-IE" w:eastAsia="en-US"/>
    </w:rPr>
  </w:style>
  <w:style w:type="character" w:styleId="Emphasis">
    <w:name w:val="Emphasis"/>
    <w:uiPriority w:val="20"/>
    <w:qFormat/>
    <w:rsid w:val="00DC5D80"/>
    <w:rPr>
      <w:i/>
      <w:iCs/>
    </w:rPr>
  </w:style>
  <w:style w:type="paragraph" w:styleId="EnvelopeAddress">
    <w:name w:val="envelope address"/>
    <w:basedOn w:val="Normal"/>
    <w:rsid w:val="00DC5D80"/>
    <w:pPr>
      <w:framePr w:w="7920" w:h="1980" w:hRule="exact" w:hSpace="180" w:wrap="auto" w:hAnchor="page" w:xAlign="center" w:yAlign="bottom"/>
      <w:spacing w:after="0" w:line="240" w:lineRule="auto"/>
      <w:ind w:left="2880"/>
    </w:pPr>
    <w:rPr>
      <w:rFonts w:ascii="Times New Roman" w:eastAsia="Times New Roman" w:hAnsi="Times New Roman" w:cs="Arial"/>
      <w:lang w:val="en-IE" w:eastAsia="en-US"/>
    </w:rPr>
  </w:style>
  <w:style w:type="paragraph" w:styleId="EnvelopeReturn">
    <w:name w:val="envelope return"/>
    <w:basedOn w:val="Normal"/>
    <w:rsid w:val="00DC5D80"/>
    <w:pPr>
      <w:spacing w:after="0" w:line="240" w:lineRule="auto"/>
    </w:pPr>
    <w:rPr>
      <w:rFonts w:ascii="Times New Roman" w:eastAsia="Times New Roman" w:hAnsi="Times New Roman" w:cs="Arial"/>
      <w:sz w:val="20"/>
      <w:szCs w:val="20"/>
      <w:lang w:val="en-IE" w:eastAsia="en-US"/>
    </w:rPr>
  </w:style>
  <w:style w:type="paragraph" w:customStyle="1" w:styleId="CG-Title-Center-Bold">
    <w:name w:val="CG-Title-Center-Bold"/>
    <w:aliases w:val="t1"/>
    <w:basedOn w:val="Normal"/>
    <w:next w:val="Normal"/>
    <w:rsid w:val="00DC5D80"/>
    <w:pPr>
      <w:keepNext/>
      <w:spacing w:after="240" w:line="240" w:lineRule="auto"/>
      <w:jc w:val="center"/>
    </w:pPr>
    <w:rPr>
      <w:rFonts w:ascii="Times New Roman" w:eastAsia="Times New Roman" w:hAnsi="Times New Roman" w:cs="Times New Roman"/>
      <w:b/>
      <w:sz w:val="32"/>
      <w:szCs w:val="20"/>
      <w:lang w:eastAsia="en-US"/>
    </w:rPr>
  </w:style>
  <w:style w:type="paragraph" w:customStyle="1" w:styleId="CG-Title-Center">
    <w:name w:val="CG-Title-Center"/>
    <w:aliases w:val="t5"/>
    <w:basedOn w:val="Normal"/>
    <w:next w:val="Normal"/>
    <w:rsid w:val="00DC5D80"/>
    <w:pPr>
      <w:keepNext/>
      <w:spacing w:after="240" w:line="240" w:lineRule="auto"/>
      <w:jc w:val="center"/>
    </w:pPr>
    <w:rPr>
      <w:rFonts w:ascii="Times New Roman" w:eastAsia="Times New Roman" w:hAnsi="Times New Roman" w:cs="Times New Roman"/>
      <w:szCs w:val="20"/>
      <w:lang w:eastAsia="en-US"/>
    </w:rPr>
  </w:style>
  <w:style w:type="paragraph" w:customStyle="1" w:styleId="Outline3L1">
    <w:name w:val="Outline3_L1"/>
    <w:basedOn w:val="Normal"/>
    <w:next w:val="Normal"/>
    <w:rsid w:val="00DC5D80"/>
    <w:pPr>
      <w:keepNext/>
      <w:numPr>
        <w:numId w:val="10"/>
      </w:numPr>
      <w:spacing w:after="240" w:line="240" w:lineRule="auto"/>
      <w:outlineLvl w:val="0"/>
    </w:pPr>
    <w:rPr>
      <w:rFonts w:ascii="Times New Roman" w:eastAsia="Times New Roman" w:hAnsi="Times New Roman" w:cs="Times New Roman"/>
      <w:szCs w:val="20"/>
      <w:lang w:eastAsia="en-US"/>
    </w:rPr>
  </w:style>
  <w:style w:type="paragraph" w:customStyle="1" w:styleId="Outline3L2">
    <w:name w:val="Outline3_L2"/>
    <w:basedOn w:val="Outline3L1"/>
    <w:next w:val="Normal"/>
    <w:rsid w:val="00DC5D80"/>
    <w:pPr>
      <w:numPr>
        <w:ilvl w:val="1"/>
      </w:numPr>
      <w:outlineLvl w:val="1"/>
    </w:pPr>
  </w:style>
  <w:style w:type="paragraph" w:customStyle="1" w:styleId="Outline3L3">
    <w:name w:val="Outline3_L3"/>
    <w:basedOn w:val="Outline3L2"/>
    <w:next w:val="Normal"/>
    <w:rsid w:val="00DC5D80"/>
    <w:pPr>
      <w:numPr>
        <w:ilvl w:val="2"/>
      </w:numPr>
      <w:outlineLvl w:val="2"/>
    </w:pPr>
  </w:style>
  <w:style w:type="paragraph" w:customStyle="1" w:styleId="Outline3L4">
    <w:name w:val="Outline3_L4"/>
    <w:basedOn w:val="Outline3L3"/>
    <w:next w:val="Normal"/>
    <w:rsid w:val="00DC5D80"/>
    <w:pPr>
      <w:keepNext w:val="0"/>
      <w:numPr>
        <w:ilvl w:val="3"/>
      </w:numPr>
      <w:outlineLvl w:val="3"/>
    </w:pPr>
  </w:style>
  <w:style w:type="paragraph" w:customStyle="1" w:styleId="Outline3L5">
    <w:name w:val="Outline3_L5"/>
    <w:basedOn w:val="Outline3L4"/>
    <w:next w:val="Normal"/>
    <w:rsid w:val="00DC5D80"/>
    <w:pPr>
      <w:numPr>
        <w:ilvl w:val="4"/>
      </w:numPr>
      <w:outlineLvl w:val="4"/>
    </w:pPr>
  </w:style>
  <w:style w:type="paragraph" w:customStyle="1" w:styleId="TableFN">
    <w:name w:val="TableFN"/>
    <w:aliases w:val="tfn"/>
    <w:basedOn w:val="Normal"/>
    <w:rsid w:val="00DC5D80"/>
    <w:pPr>
      <w:spacing w:after="240" w:line="240" w:lineRule="auto"/>
    </w:pPr>
    <w:rPr>
      <w:rFonts w:ascii="Times New Roman" w:eastAsia="Times New Roman" w:hAnsi="Times New Roman" w:cs="Times New Roman"/>
      <w:sz w:val="18"/>
      <w:szCs w:val="20"/>
      <w:lang w:eastAsia="en-US"/>
    </w:rPr>
  </w:style>
  <w:style w:type="paragraph" w:styleId="BodyText3">
    <w:name w:val="Body Text 3"/>
    <w:basedOn w:val="Normal"/>
    <w:link w:val="BodyText3Char"/>
    <w:rsid w:val="00DC5D80"/>
    <w:pPr>
      <w:spacing w:after="0" w:line="240" w:lineRule="auto"/>
    </w:pPr>
    <w:rPr>
      <w:rFonts w:ascii="Times New Roman" w:eastAsia="Times New Roman" w:hAnsi="Times New Roman" w:cs="Times New Roman"/>
      <w:b/>
      <w:szCs w:val="20"/>
      <w:lang w:val="en-GB" w:eastAsia="en-US"/>
    </w:rPr>
  </w:style>
  <w:style w:type="character" w:customStyle="1" w:styleId="BodyText3Char">
    <w:name w:val="Body Text 3 Char"/>
    <w:basedOn w:val="DefaultParagraphFont"/>
    <w:link w:val="BodyText3"/>
    <w:rsid w:val="00DC5D80"/>
    <w:rPr>
      <w:rFonts w:ascii="Times New Roman" w:eastAsia="Times New Roman" w:hAnsi="Times New Roman" w:cs="Times New Roman"/>
      <w:b/>
      <w:szCs w:val="20"/>
      <w:lang w:val="en-GB" w:eastAsia="en-US"/>
    </w:rPr>
  </w:style>
  <w:style w:type="paragraph" w:customStyle="1" w:styleId="CG-SingleSp05">
    <w:name w:val="CG-Single Sp 0.5"/>
    <w:aliases w:val="s2,!Body Text .5(J),!Body Text .5s2(J),Normal + Interstate-RegularCondensed,9 pt"/>
    <w:basedOn w:val="Normal"/>
    <w:rsid w:val="00DC5D80"/>
    <w:pPr>
      <w:spacing w:after="240" w:line="240" w:lineRule="auto"/>
      <w:ind w:firstLine="720"/>
      <w:jc w:val="both"/>
    </w:pPr>
    <w:rPr>
      <w:rFonts w:ascii="Times New Roman" w:eastAsia="MS Mincho" w:hAnsi="Times New Roman" w:cs="Times New Roman"/>
      <w:sz w:val="22"/>
      <w:szCs w:val="20"/>
      <w:lang w:eastAsia="en-US"/>
    </w:rPr>
  </w:style>
  <w:style w:type="character" w:styleId="PageNumber">
    <w:name w:val="page number"/>
    <w:basedOn w:val="DefaultParagraphFont"/>
    <w:rsid w:val="00DC5D80"/>
  </w:style>
  <w:style w:type="paragraph" w:customStyle="1" w:styleId="CG-SingleSp05s2">
    <w:name w:val="CG-Single Sp 0.5.s2"/>
    <w:basedOn w:val="Normal"/>
    <w:rsid w:val="00DC5D80"/>
    <w:pPr>
      <w:spacing w:after="240" w:line="240" w:lineRule="auto"/>
      <w:ind w:firstLine="720"/>
      <w:jc w:val="both"/>
    </w:pPr>
    <w:rPr>
      <w:rFonts w:ascii="Times New Roman" w:eastAsia="Times New Roman" w:hAnsi="Times New Roman" w:cs="Times New Roman"/>
      <w:snapToGrid w:val="0"/>
      <w:sz w:val="22"/>
      <w:szCs w:val="20"/>
      <w:lang w:val="en-IE" w:eastAsia="en-US"/>
    </w:rPr>
  </w:style>
  <w:style w:type="character" w:styleId="CommentReference">
    <w:name w:val="annotation reference"/>
    <w:semiHidden/>
    <w:rsid w:val="00DC5D80"/>
    <w:rPr>
      <w:sz w:val="16"/>
      <w:szCs w:val="16"/>
    </w:rPr>
  </w:style>
  <w:style w:type="paragraph" w:styleId="CommentText">
    <w:name w:val="annotation text"/>
    <w:basedOn w:val="Normal"/>
    <w:link w:val="CommentTextChar"/>
    <w:semiHidden/>
    <w:rsid w:val="00DC5D80"/>
    <w:pPr>
      <w:spacing w:after="0" w:line="240" w:lineRule="auto"/>
    </w:pPr>
    <w:rPr>
      <w:rFonts w:ascii="Times New Roman" w:eastAsia="Times New Roman" w:hAnsi="Times New Roman" w:cs="Times New Roman"/>
      <w:sz w:val="20"/>
      <w:szCs w:val="20"/>
      <w:lang w:val="en-IE" w:eastAsia="en-US"/>
    </w:rPr>
  </w:style>
  <w:style w:type="character" w:customStyle="1" w:styleId="CommentTextChar">
    <w:name w:val="Comment Text Char"/>
    <w:basedOn w:val="DefaultParagraphFont"/>
    <w:link w:val="CommentText"/>
    <w:semiHidden/>
    <w:rsid w:val="00DC5D80"/>
    <w:rPr>
      <w:rFonts w:ascii="Times New Roman" w:eastAsia="Times New Roman" w:hAnsi="Times New Roman" w:cs="Times New Roman"/>
      <w:sz w:val="20"/>
      <w:szCs w:val="20"/>
      <w:lang w:val="en-IE" w:eastAsia="en-US"/>
    </w:rPr>
  </w:style>
  <w:style w:type="paragraph" w:styleId="CommentSubject">
    <w:name w:val="annotation subject"/>
    <w:basedOn w:val="CommentText"/>
    <w:next w:val="CommentText"/>
    <w:link w:val="CommentSubjectChar"/>
    <w:semiHidden/>
    <w:rsid w:val="00DC5D80"/>
    <w:rPr>
      <w:b/>
      <w:bCs/>
    </w:rPr>
  </w:style>
  <w:style w:type="character" w:customStyle="1" w:styleId="CommentSubjectChar">
    <w:name w:val="Comment Subject Char"/>
    <w:basedOn w:val="CommentTextChar"/>
    <w:link w:val="CommentSubject"/>
    <w:semiHidden/>
    <w:rsid w:val="00DC5D80"/>
    <w:rPr>
      <w:rFonts w:ascii="Times New Roman" w:eastAsia="Times New Roman" w:hAnsi="Times New Roman" w:cs="Times New Roman"/>
      <w:b/>
      <w:bCs/>
      <w:sz w:val="20"/>
      <w:szCs w:val="20"/>
      <w:lang w:val="en-IE" w:eastAsia="en-US"/>
    </w:rPr>
  </w:style>
  <w:style w:type="paragraph" w:customStyle="1" w:styleId="S2">
    <w:name w:val="S2"/>
    <w:basedOn w:val="CG-SingleSp05"/>
    <w:link w:val="S2Char"/>
    <w:rsid w:val="00DC5D80"/>
    <w:pPr>
      <w:spacing w:after="120"/>
      <w:ind w:right="144" w:firstLine="432"/>
    </w:pPr>
    <w:rPr>
      <w:rFonts w:eastAsia="Times New Roman"/>
    </w:rPr>
  </w:style>
  <w:style w:type="character" w:customStyle="1" w:styleId="S2Char">
    <w:name w:val="S2 Char"/>
    <w:link w:val="S2"/>
    <w:rsid w:val="00DC5D80"/>
    <w:rPr>
      <w:rFonts w:ascii="Times New Roman" w:eastAsia="Times New Roman" w:hAnsi="Times New Roman" w:cs="Times New Roman"/>
      <w:sz w:val="22"/>
      <w:szCs w:val="20"/>
      <w:lang w:eastAsia="en-US"/>
    </w:rPr>
  </w:style>
  <w:style w:type="paragraph" w:customStyle="1" w:styleId="Text1bullet">
    <w:name w:val="Text 1 bullet"/>
    <w:basedOn w:val="Normal"/>
    <w:rsid w:val="00DC5D80"/>
    <w:pPr>
      <w:overflowPunct w:val="0"/>
      <w:autoSpaceDE w:val="0"/>
      <w:autoSpaceDN w:val="0"/>
      <w:adjustRightInd w:val="0"/>
      <w:spacing w:before="100" w:after="0" w:line="240" w:lineRule="auto"/>
      <w:ind w:left="440" w:right="300" w:hanging="440"/>
      <w:jc w:val="both"/>
      <w:textAlignment w:val="baseline"/>
    </w:pPr>
    <w:rPr>
      <w:rFonts w:ascii="Times" w:eastAsia="Times New Roman" w:hAnsi="Times" w:cs="Times New Roman"/>
      <w:sz w:val="20"/>
      <w:szCs w:val="20"/>
      <w:lang w:val="en-GB" w:eastAsia="en-US"/>
    </w:rPr>
  </w:style>
  <w:style w:type="paragraph" w:styleId="NormalWeb">
    <w:name w:val="Normal (Web)"/>
    <w:basedOn w:val="Normal"/>
    <w:uiPriority w:val="99"/>
    <w:rsid w:val="00DC5D80"/>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CG-Bullet">
    <w:name w:val="CG-Bullet"/>
    <w:aliases w:val="b1"/>
    <w:basedOn w:val="Normal"/>
    <w:rsid w:val="00DC5D80"/>
    <w:pPr>
      <w:numPr>
        <w:numId w:val="11"/>
      </w:numPr>
      <w:tabs>
        <w:tab w:val="clear" w:pos="1353"/>
      </w:tabs>
      <w:spacing w:after="240" w:line="240" w:lineRule="auto"/>
      <w:ind w:left="720"/>
      <w:jc w:val="both"/>
    </w:pPr>
    <w:rPr>
      <w:rFonts w:ascii="Times New Roman" w:eastAsia="MS Mincho" w:hAnsi="Times New Roman" w:cs="Times New Roman"/>
      <w:sz w:val="22"/>
      <w:szCs w:val="22"/>
      <w:lang w:eastAsia="en-US"/>
    </w:rPr>
  </w:style>
  <w:style w:type="paragraph" w:customStyle="1" w:styleId="Default">
    <w:name w:val="Default"/>
    <w:uiPriority w:val="99"/>
    <w:rsid w:val="00DC5D80"/>
    <w:pPr>
      <w:autoSpaceDE w:val="0"/>
      <w:autoSpaceDN w:val="0"/>
      <w:adjustRightInd w:val="0"/>
      <w:spacing w:after="0" w:line="240" w:lineRule="auto"/>
    </w:pPr>
    <w:rPr>
      <w:rFonts w:ascii="Trebuchet MS" w:eastAsia="Times New Roman" w:hAnsi="Trebuchet MS" w:cs="Trebuchet MS"/>
      <w:color w:val="000000"/>
      <w:lang w:val="en-IE" w:eastAsia="en-IE"/>
    </w:rPr>
  </w:style>
  <w:style w:type="paragraph" w:customStyle="1" w:styleId="Pa2">
    <w:name w:val="Pa2"/>
    <w:basedOn w:val="Default"/>
    <w:next w:val="Default"/>
    <w:uiPriority w:val="99"/>
    <w:rsid w:val="00DC5D80"/>
    <w:pPr>
      <w:spacing w:line="191" w:lineRule="atLeast"/>
    </w:pPr>
    <w:rPr>
      <w:rFonts w:ascii="Univers LT Std 45 Light" w:hAnsi="Univers LT Std 45 Light" w:cs="Times New Roman"/>
      <w:color w:val="auto"/>
    </w:rPr>
  </w:style>
  <w:style w:type="paragraph" w:styleId="Revision">
    <w:name w:val="Revision"/>
    <w:hidden/>
    <w:uiPriority w:val="99"/>
    <w:semiHidden/>
    <w:rsid w:val="00DC5D80"/>
    <w:pPr>
      <w:spacing w:after="0" w:line="240" w:lineRule="auto"/>
    </w:pPr>
    <w:rPr>
      <w:rFonts w:ascii="Times New Roman" w:eastAsia="Times New Roman" w:hAnsi="Times New Roman" w:cs="Times New Roman"/>
      <w:lang w:val="en-IE" w:eastAsia="en-US"/>
    </w:rPr>
  </w:style>
  <w:style w:type="paragraph" w:customStyle="1" w:styleId="CG-SingleSp1">
    <w:name w:val="CG-Single Sp 1"/>
    <w:aliases w:val="s3"/>
    <w:basedOn w:val="Normal"/>
    <w:uiPriority w:val="99"/>
    <w:rsid w:val="00DC5D80"/>
    <w:pPr>
      <w:spacing w:after="240" w:line="240" w:lineRule="auto"/>
      <w:ind w:firstLine="1440"/>
    </w:pPr>
    <w:rPr>
      <w:rFonts w:ascii="Times New Roman" w:eastAsia="MS Mincho" w:hAnsi="Times New Roman" w:cs="Times New Roman"/>
      <w:lang w:eastAsia="en-US"/>
    </w:rPr>
  </w:style>
  <w:style w:type="paragraph" w:customStyle="1" w:styleId="CG-SingleSp">
    <w:name w:val="CG-Single Sp"/>
    <w:aliases w:val="s1"/>
    <w:basedOn w:val="Normal"/>
    <w:rsid w:val="00DC5D80"/>
    <w:pPr>
      <w:spacing w:after="240" w:line="240" w:lineRule="auto"/>
    </w:pPr>
    <w:rPr>
      <w:rFonts w:ascii="Times New Roman" w:eastAsia="MS Mincho" w:hAnsi="Times New Roman" w:cs="Times New Roman"/>
      <w:sz w:val="22"/>
      <w:szCs w:val="22"/>
      <w:lang w:eastAsia="en-US"/>
    </w:rPr>
  </w:style>
  <w:style w:type="paragraph" w:customStyle="1" w:styleId="CG-Title-Left-Bold">
    <w:name w:val="CG-Title-Left-Bold"/>
    <w:aliases w:val="t3"/>
    <w:basedOn w:val="Normal"/>
    <w:next w:val="CG-SingleSp1"/>
    <w:uiPriority w:val="99"/>
    <w:rsid w:val="00DC5D80"/>
    <w:pPr>
      <w:keepNext/>
      <w:spacing w:after="240" w:line="240" w:lineRule="auto"/>
    </w:pPr>
    <w:rPr>
      <w:rFonts w:ascii="Times New Roman" w:eastAsia="MS Mincho" w:hAnsi="Times New Roman" w:cs="Times New Roman"/>
      <w:b/>
      <w:bCs/>
      <w:sz w:val="22"/>
      <w:szCs w:val="22"/>
      <w:lang w:eastAsia="en-US"/>
    </w:rPr>
  </w:style>
  <w:style w:type="character" w:customStyle="1" w:styleId="r">
    <w:name w:val="r"/>
    <w:basedOn w:val="DefaultParagraphFont"/>
    <w:rsid w:val="00DC5D80"/>
  </w:style>
  <w:style w:type="character" w:customStyle="1" w:styleId="cf">
    <w:name w:val="cf"/>
    <w:basedOn w:val="DefaultParagraphFont"/>
    <w:rsid w:val="00DC5D80"/>
  </w:style>
  <w:style w:type="paragraph" w:customStyle="1" w:styleId="-Body-text">
    <w:name w:val="- Body - text"/>
    <w:basedOn w:val="Normal"/>
    <w:link w:val="-Body-textChar1"/>
    <w:uiPriority w:val="99"/>
    <w:rsid w:val="00DC5D80"/>
    <w:pPr>
      <w:widowControl w:val="0"/>
      <w:tabs>
        <w:tab w:val="left" w:pos="340"/>
      </w:tabs>
      <w:suppressAutoHyphens/>
      <w:autoSpaceDE w:val="0"/>
      <w:autoSpaceDN w:val="0"/>
      <w:adjustRightInd w:val="0"/>
      <w:spacing w:after="120" w:line="288" w:lineRule="auto"/>
      <w:textAlignment w:val="center"/>
    </w:pPr>
    <w:rPr>
      <w:rFonts w:ascii="Arial" w:eastAsia="Times New Roman" w:hAnsi="Arial" w:cs="Arial"/>
      <w:color w:val="000000"/>
      <w:sz w:val="17"/>
      <w:szCs w:val="17"/>
      <w:lang w:val="en-GB" w:eastAsia="en-GB"/>
    </w:rPr>
  </w:style>
  <w:style w:type="paragraph" w:customStyle="1" w:styleId="FSHeadingStyle2">
    <w:name w:val="FS Heading Style 2"/>
    <w:basedOn w:val="Normal"/>
    <w:link w:val="FSHeadingStyle2Char"/>
    <w:qFormat/>
    <w:rsid w:val="00DC5D80"/>
    <w:pPr>
      <w:keepLines/>
      <w:widowControl w:val="0"/>
      <w:suppressAutoHyphens/>
      <w:autoSpaceDE w:val="0"/>
      <w:autoSpaceDN w:val="0"/>
      <w:adjustRightInd w:val="0"/>
      <w:spacing w:after="120" w:line="280" w:lineRule="atLeast"/>
      <w:textAlignment w:val="center"/>
    </w:pPr>
    <w:rPr>
      <w:rFonts w:ascii="Arial" w:eastAsia="Times New Roman" w:hAnsi="Arial" w:cs="Arial"/>
      <w:bCs/>
      <w:color w:val="000000"/>
      <w:sz w:val="28"/>
      <w:szCs w:val="28"/>
      <w:lang w:val="en-GB" w:eastAsia="en-GB"/>
    </w:rPr>
  </w:style>
  <w:style w:type="paragraph" w:customStyle="1" w:styleId="FSHeadingStyle1">
    <w:name w:val="FS Heading Style 1"/>
    <w:basedOn w:val="Normal"/>
    <w:link w:val="FSHeadingStyle1Char"/>
    <w:qFormat/>
    <w:rsid w:val="00DC5D80"/>
    <w:pPr>
      <w:keepLines/>
      <w:pageBreakBefore/>
      <w:widowControl w:val="0"/>
      <w:suppressAutoHyphens/>
      <w:autoSpaceDE w:val="0"/>
      <w:autoSpaceDN w:val="0"/>
      <w:adjustRightInd w:val="0"/>
      <w:spacing w:before="360" w:after="120" w:line="280" w:lineRule="atLeast"/>
      <w:textAlignment w:val="center"/>
    </w:pPr>
    <w:rPr>
      <w:rFonts w:ascii="Arial" w:eastAsia="Times New Roman" w:hAnsi="Arial" w:cs="Arial"/>
      <w:b/>
      <w:bCs/>
      <w:color w:val="002060"/>
      <w:sz w:val="36"/>
      <w:szCs w:val="36"/>
      <w:lang w:val="en-GB" w:eastAsia="en-GB"/>
    </w:rPr>
  </w:style>
  <w:style w:type="character" w:customStyle="1" w:styleId="FSHeadingStyle2Char">
    <w:name w:val="FS Heading Style 2 Char"/>
    <w:link w:val="FSHeadingStyle2"/>
    <w:rsid w:val="00DC5D80"/>
    <w:rPr>
      <w:rFonts w:ascii="Arial" w:eastAsia="Times New Roman" w:hAnsi="Arial" w:cs="Arial"/>
      <w:bCs/>
      <w:color w:val="000000"/>
      <w:sz w:val="28"/>
      <w:szCs w:val="28"/>
      <w:lang w:val="en-GB" w:eastAsia="en-GB"/>
    </w:rPr>
  </w:style>
  <w:style w:type="character" w:customStyle="1" w:styleId="FSHeadingStyle1Char">
    <w:name w:val="FS Heading Style 1 Char"/>
    <w:link w:val="FSHeadingStyle1"/>
    <w:rsid w:val="00DC5D80"/>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C5D80"/>
    <w:pPr>
      <w:spacing w:before="120"/>
    </w:pPr>
  </w:style>
  <w:style w:type="character" w:customStyle="1" w:styleId="-Body-textChar1">
    <w:name w:val="- Body - text Char1"/>
    <w:link w:val="-Body-text"/>
    <w:uiPriority w:val="99"/>
    <w:rsid w:val="00DC5D80"/>
    <w:rPr>
      <w:rFonts w:ascii="Arial" w:eastAsia="Times New Roman" w:hAnsi="Arial" w:cs="Arial"/>
      <w:color w:val="000000"/>
      <w:sz w:val="17"/>
      <w:szCs w:val="17"/>
      <w:lang w:val="en-GB" w:eastAsia="en-GB"/>
    </w:rPr>
  </w:style>
  <w:style w:type="character" w:customStyle="1" w:styleId="FSBodyStyle1Char">
    <w:name w:val="FS Body Style 1 Char"/>
    <w:link w:val="FSBodyStyle1"/>
    <w:rsid w:val="00DC5D80"/>
    <w:rPr>
      <w:rFonts w:ascii="Arial" w:eastAsia="Times New Roman" w:hAnsi="Arial" w:cs="Arial"/>
      <w:color w:val="000000"/>
      <w:sz w:val="17"/>
      <w:szCs w:val="17"/>
      <w:lang w:val="en-GB" w:eastAsia="en-GB"/>
    </w:rPr>
  </w:style>
  <w:style w:type="paragraph" w:customStyle="1" w:styleId="Pa20">
    <w:name w:val="Pa20"/>
    <w:basedOn w:val="Normal"/>
    <w:uiPriority w:val="99"/>
    <w:rsid w:val="00DC5D80"/>
    <w:pPr>
      <w:autoSpaceDE w:val="0"/>
      <w:autoSpaceDN w:val="0"/>
      <w:spacing w:after="0" w:line="191" w:lineRule="atLeast"/>
    </w:pPr>
    <w:rPr>
      <w:rFonts w:ascii="Univers LT Std 45 Light" w:eastAsia="Calibri" w:hAnsi="Univers LT Std 45 Light" w:cs="Times New Roman"/>
      <w:lang w:val="en-IE" w:eastAsia="en-US"/>
    </w:rPr>
  </w:style>
  <w:style w:type="paragraph" w:customStyle="1" w:styleId="Sub-header">
    <w:name w:val="Sub-header"/>
    <w:basedOn w:val="Normal"/>
    <w:next w:val="Normal"/>
    <w:uiPriority w:val="3"/>
    <w:qFormat/>
    <w:rsid w:val="00DC5D80"/>
    <w:pPr>
      <w:spacing w:after="0" w:line="240" w:lineRule="auto"/>
    </w:pPr>
    <w:rPr>
      <w:rFonts w:ascii="Arial" w:eastAsia="Calibri" w:hAnsi="Arial" w:cs="Times New Roman"/>
      <w:i/>
      <w:sz w:val="20"/>
      <w:szCs w:val="22"/>
      <w:lang w:val="en-IE" w:eastAsia="en-US"/>
    </w:rPr>
  </w:style>
  <w:style w:type="character" w:styleId="FollowedHyperlink">
    <w:name w:val="FollowedHyperlink"/>
    <w:uiPriority w:val="99"/>
    <w:semiHidden/>
    <w:unhideWhenUsed/>
    <w:rsid w:val="00DC5D80"/>
    <w:rPr>
      <w:color w:val="954F72"/>
      <w:u w:val="single"/>
    </w:rPr>
  </w:style>
  <w:style w:type="paragraph" w:styleId="BodyText">
    <w:name w:val="Body Text"/>
    <w:basedOn w:val="Normal"/>
    <w:link w:val="BodyTextChar"/>
    <w:uiPriority w:val="99"/>
    <w:semiHidden/>
    <w:unhideWhenUsed/>
    <w:rsid w:val="00DC5D80"/>
    <w:pPr>
      <w:spacing w:after="120" w:line="240" w:lineRule="auto"/>
    </w:pPr>
    <w:rPr>
      <w:rFonts w:ascii="Times New Roman" w:eastAsia="Times New Roman" w:hAnsi="Times New Roman" w:cs="Times New Roman"/>
      <w:lang w:val="en-IE" w:eastAsia="en-US"/>
    </w:rPr>
  </w:style>
  <w:style w:type="character" w:customStyle="1" w:styleId="BodyTextChar">
    <w:name w:val="Body Text Char"/>
    <w:basedOn w:val="DefaultParagraphFont"/>
    <w:link w:val="BodyText"/>
    <w:uiPriority w:val="99"/>
    <w:semiHidden/>
    <w:rsid w:val="00DC5D80"/>
    <w:rPr>
      <w:rFonts w:ascii="Times New Roman" w:eastAsia="Times New Roman" w:hAnsi="Times New Roman" w:cs="Times New Roman"/>
      <w:lang w:val="en-IE" w:eastAsia="en-US"/>
    </w:rPr>
  </w:style>
  <w:style w:type="paragraph" w:styleId="BodyTextFirstIndent">
    <w:name w:val="Body Text First Indent"/>
    <w:basedOn w:val="BodyText"/>
    <w:link w:val="BodyTextFirstIndentChar"/>
    <w:uiPriority w:val="99"/>
    <w:unhideWhenUsed/>
    <w:rsid w:val="00DC5D80"/>
    <w:pPr>
      <w:ind w:firstLine="210"/>
    </w:pPr>
  </w:style>
  <w:style w:type="character" w:customStyle="1" w:styleId="BodyTextFirstIndentChar">
    <w:name w:val="Body Text First Indent Char"/>
    <w:basedOn w:val="BodyTextChar"/>
    <w:link w:val="BodyTextFirstIndent"/>
    <w:uiPriority w:val="99"/>
    <w:rsid w:val="00DC5D80"/>
    <w:rPr>
      <w:rFonts w:ascii="Times New Roman" w:eastAsia="Times New Roman" w:hAnsi="Times New Roman" w:cs="Times New Roman"/>
      <w:lang w:val="en-IE" w:eastAsia="en-US"/>
    </w:rPr>
  </w:style>
  <w:style w:type="character" w:styleId="UnresolvedMention">
    <w:name w:val="Unresolved Mention"/>
    <w:uiPriority w:val="99"/>
    <w:semiHidden/>
    <w:unhideWhenUsed/>
    <w:rsid w:val="00DC5D80"/>
    <w:rPr>
      <w:color w:val="605E5C"/>
      <w:shd w:val="clear" w:color="auto" w:fill="E1DFDD"/>
    </w:rPr>
  </w:style>
  <w:style w:type="paragraph" w:styleId="ListBullet2">
    <w:name w:val="List Bullet 2"/>
    <w:basedOn w:val="Normal"/>
    <w:uiPriority w:val="13"/>
    <w:qFormat/>
    <w:rsid w:val="00DC5D80"/>
    <w:pPr>
      <w:numPr>
        <w:ilvl w:val="1"/>
        <w:numId w:val="22"/>
      </w:numPr>
      <w:tabs>
        <w:tab w:val="num" w:pos="1133"/>
      </w:tabs>
      <w:spacing w:after="240" w:line="240" w:lineRule="auto"/>
      <w:ind w:left="1133" w:hanging="566"/>
      <w:contextualSpacing/>
    </w:pPr>
    <w:rPr>
      <w:rFonts w:ascii="Georgia" w:eastAsia="Georgia" w:hAnsi="Georgia" w:cs="Georgia"/>
      <w:sz w:val="20"/>
      <w:szCs w:val="20"/>
      <w:lang w:val="en-GB" w:eastAsia="en-GB"/>
    </w:rPr>
  </w:style>
  <w:style w:type="paragraph" w:styleId="ListBullet3">
    <w:name w:val="List Bullet 3"/>
    <w:basedOn w:val="Normal"/>
    <w:uiPriority w:val="13"/>
    <w:qFormat/>
    <w:rsid w:val="00DC5D80"/>
    <w:pPr>
      <w:numPr>
        <w:ilvl w:val="2"/>
        <w:numId w:val="22"/>
      </w:numPr>
      <w:tabs>
        <w:tab w:val="num" w:pos="1700"/>
      </w:tabs>
      <w:spacing w:after="240" w:line="240" w:lineRule="auto"/>
      <w:ind w:left="1700" w:hanging="566"/>
      <w:contextualSpacing/>
    </w:pPr>
    <w:rPr>
      <w:rFonts w:ascii="Georgia" w:eastAsia="Georgia" w:hAnsi="Georgia" w:cs="Georgia"/>
      <w:sz w:val="20"/>
      <w:szCs w:val="20"/>
      <w:lang w:val="en-GB" w:eastAsia="en-GB"/>
    </w:rPr>
  </w:style>
  <w:style w:type="paragraph" w:styleId="ListBullet4">
    <w:name w:val="List Bullet 4"/>
    <w:basedOn w:val="Normal"/>
    <w:uiPriority w:val="13"/>
    <w:rsid w:val="00DC5D80"/>
    <w:pPr>
      <w:numPr>
        <w:ilvl w:val="3"/>
        <w:numId w:val="22"/>
      </w:numPr>
      <w:tabs>
        <w:tab w:val="num" w:pos="-119"/>
        <w:tab w:val="num" w:pos="2267"/>
      </w:tabs>
      <w:spacing w:after="240" w:line="240" w:lineRule="auto"/>
      <w:ind w:left="2267" w:hanging="566"/>
      <w:contextualSpacing/>
    </w:pPr>
    <w:rPr>
      <w:rFonts w:ascii="Georgia" w:eastAsia="Georgia" w:hAnsi="Georgia" w:cs="Georgia"/>
      <w:sz w:val="20"/>
      <w:szCs w:val="20"/>
      <w:lang w:val="en-GB" w:eastAsia="en-GB"/>
    </w:rPr>
  </w:style>
  <w:style w:type="paragraph" w:styleId="ListBullet5">
    <w:name w:val="List Bullet 5"/>
    <w:basedOn w:val="Normal"/>
    <w:uiPriority w:val="13"/>
    <w:rsid w:val="00DC5D80"/>
    <w:pPr>
      <w:numPr>
        <w:ilvl w:val="4"/>
        <w:numId w:val="22"/>
      </w:numPr>
      <w:tabs>
        <w:tab w:val="num" w:pos="-119"/>
        <w:tab w:val="num" w:pos="2834"/>
      </w:tabs>
      <w:spacing w:after="240" w:line="240" w:lineRule="auto"/>
      <w:ind w:left="2834" w:hanging="566"/>
      <w:contextualSpacing/>
    </w:pPr>
    <w:rPr>
      <w:rFonts w:ascii="Georgia" w:eastAsia="Georgia" w:hAnsi="Georgia" w:cs="Georgia"/>
      <w:sz w:val="20"/>
      <w:szCs w:val="20"/>
      <w:lang w:val="en-GB" w:eastAsia="en-GB"/>
    </w:rPr>
  </w:style>
  <w:style w:type="table" w:customStyle="1" w:styleId="TableGrid1">
    <w:name w:val="Table Grid1"/>
    <w:basedOn w:val="TableNormal"/>
    <w:next w:val="TableGrid"/>
    <w:uiPriority w:val="39"/>
    <w:rsid w:val="00DC5D80"/>
    <w:pPr>
      <w:spacing w:after="0" w:line="240" w:lineRule="auto"/>
    </w:pPr>
    <w:rPr>
      <w:rFonts w:ascii="Calibri" w:eastAsia="Calibri" w:hAnsi="Calibri" w:cs="Times New Roman"/>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5D80"/>
  </w:style>
  <w:style w:type="table" w:customStyle="1" w:styleId="TableGrid2">
    <w:name w:val="Table Grid2"/>
    <w:basedOn w:val="TableNormal"/>
    <w:next w:val="TableGrid"/>
    <w:uiPriority w:val="39"/>
    <w:rsid w:val="00DC5D80"/>
    <w:pPr>
      <w:spacing w:after="0" w:line="240" w:lineRule="auto"/>
    </w:pPr>
    <w:rPr>
      <w:rFonts w:ascii="Calibri" w:eastAsia="Calibri" w:hAnsi="Calibri" w:cs="Times New Roman"/>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730E"/>
  </w:style>
  <w:style w:type="table" w:customStyle="1" w:styleId="TableGrid3">
    <w:name w:val="Table Grid3"/>
    <w:basedOn w:val="TableNormal"/>
    <w:next w:val="TableGrid"/>
    <w:uiPriority w:val="39"/>
    <w:rsid w:val="0057730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E5963"/>
  </w:style>
  <w:style w:type="table" w:customStyle="1" w:styleId="TableGrid4">
    <w:name w:val="Table Grid4"/>
    <w:basedOn w:val="TableNormal"/>
    <w:next w:val="TableGrid"/>
    <w:uiPriority w:val="39"/>
    <w:rsid w:val="000E5963"/>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B1E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773">
      <w:bodyDiv w:val="1"/>
      <w:marLeft w:val="0"/>
      <w:marRight w:val="0"/>
      <w:marTop w:val="0"/>
      <w:marBottom w:val="0"/>
      <w:divBdr>
        <w:top w:val="none" w:sz="0" w:space="0" w:color="auto"/>
        <w:left w:val="none" w:sz="0" w:space="0" w:color="auto"/>
        <w:bottom w:val="none" w:sz="0" w:space="0" w:color="auto"/>
        <w:right w:val="none" w:sz="0" w:space="0" w:color="auto"/>
      </w:divBdr>
    </w:div>
    <w:div w:id="62216641">
      <w:bodyDiv w:val="1"/>
      <w:marLeft w:val="0"/>
      <w:marRight w:val="0"/>
      <w:marTop w:val="0"/>
      <w:marBottom w:val="0"/>
      <w:divBdr>
        <w:top w:val="none" w:sz="0" w:space="0" w:color="auto"/>
        <w:left w:val="none" w:sz="0" w:space="0" w:color="auto"/>
        <w:bottom w:val="none" w:sz="0" w:space="0" w:color="auto"/>
        <w:right w:val="none" w:sz="0" w:space="0" w:color="auto"/>
      </w:divBdr>
    </w:div>
    <w:div w:id="2729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yanair.com"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82EBE48-E366-4DF0-A3A5-14B3DD8C53D9}">
    <t:Anchor>
      <t:Comment id="739334709"/>
    </t:Anchor>
    <t:History>
      <t:Event id="{D0383ED8-07FB-4E38-ABB0-AE5946177AEC}" time="2025-07-03T18:36:21.969Z">
        <t:Attribution userId="S::naughtonr@ryanair.com::fe72bac5-5cff-485f-ba03-544b007aab7d" userProvider="AD" userName="Naughton, Robert"/>
        <t:Anchor>
          <t:Comment id="739334709"/>
        </t:Anchor>
        <t:Create/>
      </t:Event>
      <t:Event id="{194E3136-8EF3-4F56-BAA7-DDB55390E8DB}" time="2025-07-03T18:36:21.969Z">
        <t:Attribution userId="S::naughtonr@ryanair.com::fe72bac5-5cff-485f-ba03-544b007aab7d" userProvider="AD" userName="Naughton, Robert"/>
        <t:Anchor>
          <t:Comment id="739334709"/>
        </t:Anchor>
        <t:Assign userId="S::naughtonj@ryanair.com::e25e4efb-fa3f-4ebd-8c3f-e7d0ac6366f2" userProvider="AD" userName="Naughton, Joseph"/>
      </t:Event>
      <t:Event id="{88C7BFFF-15C5-4AF9-AEEC-B9B8158D3D88}" time="2025-07-03T18:36:21.969Z">
        <t:Attribution userId="S::naughtonr@ryanair.com::fe72bac5-5cff-485f-ba03-544b007aab7d" userProvider="AD" userName="Naughton, Robert"/>
        <t:Anchor>
          <t:Comment id="739334709"/>
        </t:Anchor>
        <t:SetTitle title="@Naughton, Joseph Can I get a month by month comparison of this quarter vs last by category. Interest exp and Interest income and delay compens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2025-10-31T17:05:27+00:00</DateReceived>
    <TaxCatchAll xmlns="801a3cf6-255d-4ff5-98fe-b4415afa84b5" xsi:nil="true"/>
  </documentManagement>
</p:properties>
</file>

<file path=customXml/itemProps1.xml><?xml version="1.0" encoding="utf-8"?>
<ds:datastoreItem xmlns:ds="http://schemas.openxmlformats.org/officeDocument/2006/customXml" ds:itemID="{F5948361-D407-4B7A-A6BF-44DD724013DB}">
  <ds:schemaRefs>
    <ds:schemaRef ds:uri="http://schemas.openxmlformats.org/officeDocument/2006/bibliography"/>
  </ds:schemaRefs>
</ds:datastoreItem>
</file>

<file path=customXml/itemProps2.xml><?xml version="1.0" encoding="utf-8"?>
<ds:datastoreItem xmlns:ds="http://schemas.openxmlformats.org/officeDocument/2006/customXml" ds:itemID="{AAE1565F-6547-4B9C-A578-585C9C4FAB22}">
  <ds:schemaRefs>
    <ds:schemaRef ds:uri="http://schemas.microsoft.com/sharepoint/v3/contenttype/forms"/>
  </ds:schemaRefs>
</ds:datastoreItem>
</file>

<file path=customXml/itemProps3.xml><?xml version="1.0" encoding="utf-8"?>
<ds:datastoreItem xmlns:ds="http://schemas.openxmlformats.org/officeDocument/2006/customXml" ds:itemID="{94BCB259-FDA2-4DEE-A5A7-D4B38FB6CA58}"/>
</file>

<file path=customXml/itemProps4.xml><?xml version="1.0" encoding="utf-8"?>
<ds:datastoreItem xmlns:ds="http://schemas.openxmlformats.org/officeDocument/2006/customXml" ds:itemID="{AFFFAFC6-9A9F-4A4E-A960-C0992C7C4F64}">
  <ds:schemaRefs>
    <ds:schemaRef ds:uri="http://schemas.microsoft.com/office/2006/metadata/properties"/>
    <ds:schemaRef ds:uri="http://schemas.microsoft.com/office/infopath/2007/PartnerControls"/>
    <ds:schemaRef ds:uri="f7e4e479-a707-4e42-8e67-ef3f8e521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9875</Words>
  <Characters>56293</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Jasudaite, Greta</dc:creator>
  <cp:keywords/>
  <dc:description/>
  <cp:lastModifiedBy>Cian Doherty</cp:lastModifiedBy>
  <cp:revision>2</cp:revision>
  <cp:lastPrinted>2025-10-31T11:41:00Z</cp:lastPrinted>
  <dcterms:created xsi:type="dcterms:W3CDTF">2025-10-31T16:56:00Z</dcterms:created>
  <dcterms:modified xsi:type="dcterms:W3CDTF">2025-10-31T16:56:00Z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