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B34E0A">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B34E0A">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A76E6C" w:rsidP="00D2326B">
            <w:pPr>
              <w:spacing w:after="0"/>
              <w:rPr>
                <w:rFonts w:ascii="Helvetica" w:hAnsi="Helvetica" w:cs="Helvetica"/>
                <w:lang w:val="en-GB"/>
              </w:rPr>
            </w:pPr>
            <w:proofErr w:type="spellStart"/>
            <w:r w:rsidRPr="00856FAC">
              <w:rPr>
                <w:rFonts w:ascii="Helvetica" w:hAnsi="Helvetica" w:cs="Helvetica"/>
                <w:lang w:val="en-GB"/>
              </w:rPr>
              <w:t>Kingspan</w:t>
            </w:r>
            <w:proofErr w:type="spellEnd"/>
            <w:r w:rsidRPr="00856FAC">
              <w:rPr>
                <w:rFonts w:ascii="Helvetica" w:hAnsi="Helvetica" w:cs="Helvetica"/>
                <w:lang w:val="en-GB"/>
              </w:rPr>
              <w:t xml:space="preserve">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414AE3" w:rsidP="00C055A5">
            <w:pPr>
              <w:spacing w:after="100" w:line="240" w:lineRule="auto"/>
              <w:rPr>
                <w:rFonts w:ascii="Helvetica" w:hAnsi="Helvetica" w:cs="Helvetica"/>
                <w:lang w:val="en-GB"/>
              </w:rPr>
            </w:pPr>
            <w:r>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B34E0A" w:rsidP="00C055A5">
            <w:pPr>
              <w:spacing w:after="100" w:line="240" w:lineRule="auto"/>
              <w:rPr>
                <w:rFonts w:ascii="Helvetica" w:hAnsi="Helvetica" w:cs="Helvetica"/>
                <w:lang w:val="en-GB"/>
              </w:rPr>
            </w:pPr>
            <w:r>
              <w:rPr>
                <w:rFonts w:ascii="Helvetica" w:hAnsi="Helvetica" w:cs="Helvetica"/>
                <w:lang w:val="en-GB"/>
              </w:rPr>
              <w:t>[X</w:t>
            </w:r>
            <w:r w:rsidR="00C5065C"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B34E0A">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B34E0A">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B34E0A">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B34E0A">
        <w:trPr>
          <w:trHeight w:val="419"/>
        </w:trPr>
        <w:tc>
          <w:tcPr>
            <w:tcW w:w="10620" w:type="dxa"/>
            <w:gridSpan w:val="6"/>
            <w:vAlign w:val="center"/>
          </w:tcPr>
          <w:p w:rsidR="00BA72A7" w:rsidRPr="00140807" w:rsidRDefault="00C5065C" w:rsidP="00B34E0A">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B34E0A">
              <w:rPr>
                <w:rFonts w:ascii="Helvetica" w:hAnsi="Helvetica" w:cs="Helvetica"/>
                <w:lang w:val="en-GB"/>
              </w:rPr>
              <w:t>16</w:t>
            </w:r>
            <w:r w:rsidR="00B34E0A" w:rsidRPr="00B34E0A">
              <w:rPr>
                <w:rFonts w:ascii="Helvetica" w:hAnsi="Helvetica" w:cs="Helvetica"/>
                <w:vertAlign w:val="superscript"/>
                <w:lang w:val="en-GB"/>
              </w:rPr>
              <w:t>th</w:t>
            </w:r>
            <w:r w:rsidR="00B34E0A">
              <w:rPr>
                <w:rFonts w:ascii="Helvetica" w:hAnsi="Helvetica" w:cs="Helvetica"/>
                <w:lang w:val="en-GB"/>
              </w:rPr>
              <w:t xml:space="preserve"> February 2017</w:t>
            </w:r>
          </w:p>
        </w:tc>
      </w:tr>
      <w:tr w:rsidR="00521E70" w:rsidRPr="00C055A5" w:rsidTr="00B34E0A">
        <w:trPr>
          <w:trHeight w:val="419"/>
        </w:trPr>
        <w:tc>
          <w:tcPr>
            <w:tcW w:w="10620" w:type="dxa"/>
            <w:gridSpan w:val="6"/>
            <w:vAlign w:val="center"/>
          </w:tcPr>
          <w:p w:rsidR="00D2326B" w:rsidRPr="00C055A5" w:rsidRDefault="00521E70" w:rsidP="00B34E0A">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B34E0A">
              <w:rPr>
                <w:rFonts w:ascii="Helvetica" w:hAnsi="Helvetica" w:cs="Helvetica"/>
                <w:lang w:val="en-GB"/>
              </w:rPr>
              <w:t>17</w:t>
            </w:r>
            <w:r w:rsidR="00B34E0A" w:rsidRPr="00B34E0A">
              <w:rPr>
                <w:rFonts w:ascii="Helvetica" w:hAnsi="Helvetica" w:cs="Helvetica"/>
                <w:vertAlign w:val="superscript"/>
                <w:lang w:val="en-GB"/>
              </w:rPr>
              <w:t>th</w:t>
            </w:r>
            <w:r w:rsidR="00B34E0A">
              <w:rPr>
                <w:rFonts w:ascii="Helvetica" w:hAnsi="Helvetica" w:cs="Helvetica"/>
                <w:lang w:val="en-GB"/>
              </w:rPr>
              <w:t xml:space="preserve"> February 2017</w:t>
            </w:r>
          </w:p>
        </w:tc>
      </w:tr>
      <w:tr w:rsidR="00521E70" w:rsidRPr="00C055A5" w:rsidTr="00B34E0A">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B34E0A" w:rsidRDefault="00B34E0A" w:rsidP="00B34E0A">
            <w:pPr>
              <w:rPr>
                <w:rFonts w:ascii="Helvetica" w:hAnsi="Helvetica" w:cs="Helvetica"/>
                <w:b/>
                <w:lang w:val="en-GB"/>
              </w:rPr>
            </w:pPr>
            <w:r>
              <w:rPr>
                <w:rFonts w:ascii="Helvetica" w:hAnsi="Helvetica" w:cs="Helvetica"/>
                <w:lang w:val="en-GB"/>
              </w:rPr>
              <w:t xml:space="preserve">Total holding </w:t>
            </w:r>
            <w:r w:rsidRPr="00364EE7">
              <w:rPr>
                <w:rFonts w:ascii="Helvetica" w:hAnsi="Helvetica" w:cs="Helvetica"/>
                <w:lang w:val="en-GB"/>
              </w:rPr>
              <w:t>for</w:t>
            </w:r>
            <w:r>
              <w:rPr>
                <w:rFonts w:ascii="Helvetica" w:hAnsi="Helvetica" w:cs="Helvetica"/>
                <w:lang w:val="en-GB"/>
              </w:rPr>
              <w:t xml:space="preserve"> BlackRock, Inc. has gone below 5</w:t>
            </w:r>
            <w:r w:rsidRPr="00125040">
              <w:rPr>
                <w:rFonts w:ascii="Helvetica" w:hAnsi="Helvetica" w:cs="Helvetica"/>
                <w:lang w:val="en-GB"/>
              </w:rPr>
              <w:t>%</w:t>
            </w:r>
            <w:r>
              <w:rPr>
                <w:rFonts w:ascii="Helvetica" w:hAnsi="Helvetica" w:cs="Helvetica"/>
                <w:lang w:val="en-GB"/>
              </w:rPr>
              <w:t xml:space="preserve">. </w:t>
            </w:r>
          </w:p>
          <w:p w:rsidR="00D2326B" w:rsidRPr="00414AE3" w:rsidRDefault="00A76E6C" w:rsidP="00B34E0A">
            <w:pPr>
              <w:spacing w:after="0"/>
              <w:rPr>
                <w:rFonts w:ascii="Helvetica" w:hAnsi="Helvetica" w:cs="Helvetica"/>
                <w:lang w:val="en-GB"/>
              </w:rPr>
            </w:pPr>
            <w:r>
              <w:rPr>
                <w:rFonts w:ascii="Helvetica" w:hAnsi="Helvetica" w:cs="Helvetica"/>
                <w:lang w:val="en-GB"/>
              </w:rPr>
              <w:t xml:space="preserve">Voting rights attached to shares for </w:t>
            </w:r>
            <w:r w:rsidRPr="00F13C54">
              <w:rPr>
                <w:rFonts w:ascii="Helvetica" w:hAnsi="Helvetica" w:cs="Helvetica"/>
                <w:lang w:val="en-GB"/>
              </w:rPr>
              <w:t>BlackRock Investment Management (UK) Limited</w:t>
            </w:r>
            <w:r>
              <w:rPr>
                <w:rFonts w:ascii="Helvetica" w:hAnsi="Helvetica" w:cs="Helvetica"/>
                <w:lang w:val="en-GB"/>
              </w:rPr>
              <w:t xml:space="preserve"> has gone </w:t>
            </w:r>
            <w:r w:rsidR="00B34E0A">
              <w:rPr>
                <w:rFonts w:ascii="Helvetica" w:hAnsi="Helvetica" w:cs="Helvetica"/>
                <w:lang w:val="en-GB"/>
              </w:rPr>
              <w:t>below</w:t>
            </w:r>
            <w:r>
              <w:rPr>
                <w:rFonts w:ascii="Helvetica" w:hAnsi="Helvetica" w:cs="Helvetica"/>
                <w:lang w:val="en-GB"/>
              </w:rPr>
              <w:t xml:space="preserve"> 3%</w:t>
            </w:r>
          </w:p>
        </w:tc>
      </w:tr>
      <w:tr w:rsidR="00C5065C" w:rsidRPr="00C055A5" w:rsidTr="00B34E0A">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B34E0A">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rsidTr="00B34E0A">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A25EF0" w:rsidP="00414AE3">
            <w:pPr>
              <w:jc w:val="center"/>
              <w:rPr>
                <w:rFonts w:ascii="Helvetica" w:hAnsi="Helvetica" w:cs="Helvetica"/>
                <w:lang w:val="en-GB"/>
              </w:rPr>
            </w:pPr>
            <w:r w:rsidRPr="00A25EF0">
              <w:rPr>
                <w:rFonts w:ascii="Helvetica" w:hAnsi="Helvetica" w:cs="Helvetica"/>
                <w:lang w:val="en-GB"/>
              </w:rPr>
              <w:t>4.48%</w:t>
            </w:r>
          </w:p>
        </w:tc>
        <w:tc>
          <w:tcPr>
            <w:tcW w:w="2313" w:type="dxa"/>
            <w:vAlign w:val="center"/>
          </w:tcPr>
          <w:p w:rsidR="00C5065C" w:rsidRPr="004A61D1" w:rsidRDefault="00A25EF0" w:rsidP="00414AE3">
            <w:pPr>
              <w:jc w:val="center"/>
              <w:rPr>
                <w:rFonts w:ascii="Helvetica" w:hAnsi="Helvetica" w:cs="Helvetica"/>
                <w:lang w:val="en-GB"/>
              </w:rPr>
            </w:pPr>
            <w:r w:rsidRPr="00A25EF0">
              <w:rPr>
                <w:rFonts w:ascii="Helvetica" w:hAnsi="Helvetica" w:cs="Helvetica"/>
                <w:lang w:val="en-GB"/>
              </w:rPr>
              <w:t>0.45%</w:t>
            </w:r>
          </w:p>
        </w:tc>
        <w:tc>
          <w:tcPr>
            <w:tcW w:w="2126" w:type="dxa"/>
            <w:vAlign w:val="center"/>
          </w:tcPr>
          <w:p w:rsidR="00C5065C" w:rsidRPr="004A61D1" w:rsidRDefault="00A25EF0" w:rsidP="00414AE3">
            <w:pPr>
              <w:jc w:val="center"/>
              <w:rPr>
                <w:rFonts w:ascii="Helvetica" w:hAnsi="Helvetica" w:cs="Helvetica"/>
                <w:lang w:val="en-GB"/>
              </w:rPr>
            </w:pPr>
            <w:r w:rsidRPr="00A25EF0">
              <w:rPr>
                <w:rFonts w:ascii="Helvetica" w:hAnsi="Helvetica" w:cs="Helvetica"/>
                <w:lang w:val="en-GB"/>
              </w:rPr>
              <w:t>4.94%</w:t>
            </w:r>
          </w:p>
        </w:tc>
        <w:tc>
          <w:tcPr>
            <w:tcW w:w="1933" w:type="dxa"/>
            <w:vAlign w:val="center"/>
          </w:tcPr>
          <w:p w:rsidR="00C5065C" w:rsidRPr="004A61D1" w:rsidRDefault="00A25EF0" w:rsidP="00A51AC4">
            <w:pPr>
              <w:rPr>
                <w:rFonts w:ascii="Helvetica" w:hAnsi="Helvetica" w:cs="Helvetica"/>
                <w:lang w:val="en-GB"/>
              </w:rPr>
            </w:pPr>
            <w:r w:rsidRPr="00A25EF0">
              <w:rPr>
                <w:rFonts w:ascii="Helvetica" w:hAnsi="Helvetica" w:cs="Helvetica"/>
                <w:lang w:val="en-GB"/>
              </w:rPr>
              <w:t>178,132,315</w:t>
            </w:r>
          </w:p>
        </w:tc>
      </w:tr>
      <w:tr w:rsidR="00A25EF0" w:rsidRPr="00C055A5" w:rsidTr="00B34E0A">
        <w:trPr>
          <w:trHeight w:val="555"/>
        </w:trPr>
        <w:tc>
          <w:tcPr>
            <w:tcW w:w="2124" w:type="dxa"/>
            <w:vAlign w:val="center"/>
          </w:tcPr>
          <w:p w:rsidR="00A25EF0" w:rsidRPr="008F18BE" w:rsidRDefault="00A25EF0" w:rsidP="00A25EF0">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A25EF0" w:rsidRPr="004A61D1" w:rsidRDefault="00A25EF0" w:rsidP="00A25EF0">
            <w:pPr>
              <w:jc w:val="center"/>
              <w:rPr>
                <w:rFonts w:ascii="Helvetica" w:hAnsi="Helvetica" w:cs="Helvetica"/>
                <w:lang w:val="en-GB"/>
              </w:rPr>
            </w:pPr>
            <w:r w:rsidRPr="005F5C89">
              <w:rPr>
                <w:rFonts w:ascii="Helvetica" w:hAnsi="Helvetica" w:cs="Helvetica"/>
                <w:lang w:val="en-GB"/>
              </w:rPr>
              <w:t>4.60%</w:t>
            </w:r>
          </w:p>
        </w:tc>
        <w:tc>
          <w:tcPr>
            <w:tcW w:w="2313" w:type="dxa"/>
            <w:vAlign w:val="center"/>
          </w:tcPr>
          <w:p w:rsidR="00A25EF0" w:rsidRPr="004A61D1" w:rsidRDefault="00A25EF0" w:rsidP="00A25EF0">
            <w:pPr>
              <w:jc w:val="center"/>
              <w:rPr>
                <w:rFonts w:ascii="Helvetica" w:hAnsi="Helvetica" w:cs="Helvetica"/>
                <w:lang w:val="en-GB"/>
              </w:rPr>
            </w:pPr>
            <w:r w:rsidRPr="005F5C89">
              <w:rPr>
                <w:rFonts w:ascii="Helvetica" w:hAnsi="Helvetica" w:cs="Helvetica"/>
                <w:lang w:val="en-GB"/>
              </w:rPr>
              <w:t>0.52%</w:t>
            </w:r>
          </w:p>
        </w:tc>
        <w:tc>
          <w:tcPr>
            <w:tcW w:w="2126" w:type="dxa"/>
            <w:vAlign w:val="center"/>
          </w:tcPr>
          <w:p w:rsidR="00A25EF0" w:rsidRPr="004A61D1" w:rsidRDefault="00A25EF0" w:rsidP="00A25EF0">
            <w:pPr>
              <w:jc w:val="center"/>
              <w:rPr>
                <w:rFonts w:ascii="Helvetica" w:hAnsi="Helvetica" w:cs="Helvetica"/>
                <w:lang w:val="en-GB"/>
              </w:rPr>
            </w:pPr>
            <w:r w:rsidRPr="005F5C89">
              <w:rPr>
                <w:rFonts w:ascii="Helvetica" w:hAnsi="Helvetica" w:cs="Helvetica"/>
                <w:lang w:val="en-GB"/>
              </w:rPr>
              <w:t>5.12%</w:t>
            </w:r>
          </w:p>
        </w:tc>
        <w:tc>
          <w:tcPr>
            <w:tcW w:w="1933" w:type="dxa"/>
            <w:shd w:val="thinDiagStripe" w:color="auto" w:fill="auto"/>
            <w:vAlign w:val="center"/>
          </w:tcPr>
          <w:p w:rsidR="00A25EF0" w:rsidRPr="004A61D1" w:rsidRDefault="00A25EF0" w:rsidP="00A25EF0">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A76E6C" w:rsidP="00414AE3">
            <w:pPr>
              <w:jc w:val="center"/>
              <w:rPr>
                <w:rFonts w:ascii="Helvetica" w:hAnsi="Helvetica" w:cs="Helvetica"/>
                <w:lang w:val="en-GB"/>
              </w:rPr>
            </w:pPr>
            <w:r w:rsidRPr="00597043">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A25EF0" w:rsidP="00A51AC4">
            <w:pPr>
              <w:rPr>
                <w:rFonts w:ascii="Helvetica" w:hAnsi="Helvetica" w:cs="Helvetica"/>
                <w:lang w:val="en-GB"/>
              </w:rPr>
            </w:pPr>
            <w:r w:rsidRPr="00A25EF0">
              <w:rPr>
                <w:rFonts w:ascii="Helvetica" w:hAnsi="Helvetica" w:cs="Helvetica"/>
                <w:lang w:val="en-GB"/>
              </w:rPr>
              <w:t>7,980,751</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A25EF0" w:rsidP="00A51AC4">
            <w:pPr>
              <w:rPr>
                <w:rFonts w:ascii="Helvetica" w:hAnsi="Helvetica" w:cs="Helvetica"/>
                <w:lang w:val="en-GB"/>
              </w:rPr>
            </w:pPr>
            <w:r w:rsidRPr="00A25EF0">
              <w:rPr>
                <w:rFonts w:ascii="Helvetica" w:hAnsi="Helvetica" w:cs="Helvetica"/>
                <w:lang w:val="en-GB"/>
              </w:rPr>
              <w:t>4.48%</w:t>
            </w:r>
          </w:p>
        </w:tc>
      </w:tr>
      <w:tr w:rsidR="00140807" w:rsidRPr="00C055A5" w:rsidTr="00B34E0A">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A25EF0" w:rsidP="00140807">
            <w:pPr>
              <w:jc w:val="center"/>
              <w:rPr>
                <w:rFonts w:ascii="Helvetica" w:hAnsi="Helvetica" w:cs="Helvetica"/>
                <w:lang w:val="en-GB"/>
              </w:rPr>
            </w:pPr>
            <w:r w:rsidRPr="00A25EF0">
              <w:rPr>
                <w:rFonts w:ascii="Helvetica" w:hAnsi="Helvetica" w:cs="Helvetica"/>
                <w:lang w:val="en-GB"/>
              </w:rPr>
              <w:t>7,980,751</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A25EF0" w:rsidP="00140807">
            <w:pPr>
              <w:jc w:val="center"/>
              <w:rPr>
                <w:rFonts w:ascii="Helvetica" w:hAnsi="Helvetica" w:cs="Helvetica"/>
                <w:lang w:val="en-GB"/>
              </w:rPr>
            </w:pPr>
            <w:r w:rsidRPr="00A25EF0">
              <w:rPr>
                <w:rFonts w:ascii="Helvetica" w:hAnsi="Helvetica" w:cs="Helvetica"/>
                <w:lang w:val="en-GB"/>
              </w:rPr>
              <w:t>4.48%</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414AE3" w:rsidRPr="00C055A5" w:rsidTr="00B40014">
        <w:trPr>
          <w:trHeight w:val="481"/>
          <w:jc w:val="center"/>
        </w:trPr>
        <w:tc>
          <w:tcPr>
            <w:tcW w:w="2081"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B4001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70848" w:rsidRPr="00C055A5" w:rsidTr="00C70848">
        <w:trPr>
          <w:trHeight w:val="481"/>
          <w:jc w:val="center"/>
        </w:trPr>
        <w:tc>
          <w:tcPr>
            <w:tcW w:w="1861" w:type="dxa"/>
            <w:tcBorders>
              <w:top w:val="single" w:sz="4" w:space="0" w:color="auto"/>
              <w:bottom w:val="single" w:sz="4" w:space="0" w:color="auto"/>
              <w:right w:val="single" w:sz="4" w:space="0" w:color="auto"/>
            </w:tcBorders>
            <w:vAlign w:val="center"/>
          </w:tcPr>
          <w:p w:rsidR="00C70848" w:rsidRPr="00C055A5" w:rsidRDefault="00C70848" w:rsidP="00C70848">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70848" w:rsidRPr="00C055A5" w:rsidRDefault="00C70848" w:rsidP="00C70848">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70848" w:rsidRPr="00C055A5" w:rsidRDefault="00C70848" w:rsidP="00C70848">
            <w:pPr>
              <w:rPr>
                <w:rFonts w:ascii="Helvetica" w:hAnsi="Helvetica" w:cs="Helvetica"/>
                <w:b/>
                <w:lang w:val="en-GB"/>
              </w:rPr>
            </w:pPr>
            <w:r>
              <w:rPr>
                <w:rFonts w:ascii="Helvetica" w:hAnsi="Helvetica"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70848" w:rsidRPr="00597043" w:rsidRDefault="00C70848" w:rsidP="00C70848">
            <w:pPr>
              <w:rPr>
                <w:rFonts w:ascii="Helvetica" w:hAnsi="Helvetica" w:cs="Helvetica"/>
                <w:lang w:val="en-GB"/>
              </w:rPr>
            </w:pPr>
            <w:r>
              <w:rPr>
                <w:rFonts w:ascii="Helvetica" w:hAnsi="Helvetica" w:cs="Helvetica"/>
                <w:lang w:val="en-GB"/>
              </w:rPr>
              <w:t>C</w:t>
            </w:r>
            <w:r w:rsidRPr="00597043">
              <w:rPr>
                <w:rFonts w:ascii="Helvetica" w:hAnsi="Helvetica" w:cs="Helvetica"/>
                <w:lang w:val="en-GB"/>
              </w:rPr>
              <w:t>ash</w:t>
            </w:r>
            <w:r>
              <w:rPr>
                <w:rFonts w:ascii="Helvetica" w:hAnsi="Helvetica" w:cs="Helvetica"/>
                <w:lang w:val="en-GB"/>
              </w:rPr>
              <w:t xml:space="preserve"> settlement</w:t>
            </w:r>
          </w:p>
        </w:tc>
        <w:tc>
          <w:tcPr>
            <w:tcW w:w="1535" w:type="dxa"/>
            <w:gridSpan w:val="3"/>
            <w:tcBorders>
              <w:top w:val="single" w:sz="4" w:space="0" w:color="auto"/>
              <w:left w:val="single" w:sz="4" w:space="0" w:color="auto"/>
              <w:bottom w:val="single" w:sz="4" w:space="0" w:color="auto"/>
            </w:tcBorders>
            <w:vAlign w:val="center"/>
          </w:tcPr>
          <w:p w:rsidR="00C70848" w:rsidRPr="00414AE3" w:rsidRDefault="00A25EF0" w:rsidP="00C70848">
            <w:pPr>
              <w:rPr>
                <w:rFonts w:ascii="Helvetica" w:hAnsi="Helvetica" w:cs="Helvetica"/>
                <w:lang w:val="en-GB"/>
              </w:rPr>
            </w:pPr>
            <w:r w:rsidRPr="00A25EF0">
              <w:rPr>
                <w:rFonts w:ascii="Helvetica" w:hAnsi="Helvetica" w:cs="Helvetica"/>
                <w:lang w:val="en-GB"/>
              </w:rPr>
              <w:t>810,079</w:t>
            </w:r>
          </w:p>
        </w:tc>
        <w:tc>
          <w:tcPr>
            <w:tcW w:w="1992" w:type="dxa"/>
            <w:tcBorders>
              <w:top w:val="single" w:sz="4" w:space="0" w:color="auto"/>
              <w:left w:val="single" w:sz="4" w:space="0" w:color="auto"/>
              <w:bottom w:val="single" w:sz="4" w:space="0" w:color="auto"/>
            </w:tcBorders>
            <w:vAlign w:val="center"/>
          </w:tcPr>
          <w:p w:rsidR="00C70848" w:rsidRPr="00414AE3" w:rsidRDefault="00A25EF0" w:rsidP="00C70848">
            <w:pPr>
              <w:rPr>
                <w:rFonts w:ascii="Helvetica" w:hAnsi="Helvetica" w:cs="Helvetica"/>
                <w:lang w:val="en-GB"/>
              </w:rPr>
            </w:pPr>
            <w:r w:rsidRPr="00A25EF0">
              <w:rPr>
                <w:rFonts w:ascii="Helvetica" w:hAnsi="Helvetica" w:cs="Helvetica"/>
                <w:lang w:val="en-GB"/>
              </w:rPr>
              <w:t>0.45%</w:t>
            </w:r>
          </w:p>
        </w:tc>
      </w:tr>
      <w:tr w:rsidR="00C70848" w:rsidRPr="00C055A5" w:rsidTr="00B34E0A">
        <w:trPr>
          <w:trHeight w:val="481"/>
          <w:jc w:val="center"/>
        </w:trPr>
        <w:tc>
          <w:tcPr>
            <w:tcW w:w="1861" w:type="dxa"/>
            <w:tcBorders>
              <w:top w:val="single" w:sz="4" w:space="0" w:color="auto"/>
              <w:left w:val="nil"/>
              <w:bottom w:val="nil"/>
              <w:right w:val="nil"/>
            </w:tcBorders>
          </w:tcPr>
          <w:p w:rsidR="00C70848" w:rsidRPr="00C055A5" w:rsidRDefault="00C70848" w:rsidP="00C70848">
            <w:pPr>
              <w:rPr>
                <w:rFonts w:ascii="Helvetica" w:hAnsi="Helvetica" w:cs="Helvetica"/>
                <w:lang w:val="en-GB"/>
              </w:rPr>
            </w:pPr>
          </w:p>
        </w:tc>
        <w:tc>
          <w:tcPr>
            <w:tcW w:w="1657" w:type="dxa"/>
            <w:gridSpan w:val="2"/>
            <w:tcBorders>
              <w:top w:val="single" w:sz="4" w:space="0" w:color="auto"/>
              <w:left w:val="nil"/>
              <w:bottom w:val="nil"/>
              <w:right w:val="nil"/>
            </w:tcBorders>
          </w:tcPr>
          <w:p w:rsidR="00C70848" w:rsidRPr="00C055A5" w:rsidRDefault="00C70848" w:rsidP="00C70848">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C70848" w:rsidRPr="00C055A5" w:rsidRDefault="00C70848" w:rsidP="00C70848">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70848" w:rsidRPr="00C055A5" w:rsidRDefault="00C70848" w:rsidP="00C70848">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rsidR="00C70848" w:rsidRPr="00414AE3" w:rsidRDefault="00A25EF0" w:rsidP="00C70848">
            <w:pPr>
              <w:rPr>
                <w:rFonts w:ascii="Helvetica" w:hAnsi="Helvetica" w:cs="Helvetica"/>
                <w:lang w:val="en-GB"/>
              </w:rPr>
            </w:pPr>
            <w:r w:rsidRPr="00A25EF0">
              <w:rPr>
                <w:rFonts w:ascii="Helvetica" w:hAnsi="Helvetica" w:cs="Helvetica"/>
                <w:lang w:val="en-GB"/>
              </w:rPr>
              <w:t>810,079</w:t>
            </w:r>
          </w:p>
        </w:tc>
        <w:tc>
          <w:tcPr>
            <w:tcW w:w="1992" w:type="dxa"/>
            <w:tcBorders>
              <w:top w:val="single" w:sz="4" w:space="0" w:color="auto"/>
              <w:left w:val="single" w:sz="4" w:space="0" w:color="auto"/>
              <w:bottom w:val="single" w:sz="4" w:space="0" w:color="auto"/>
              <w:right w:val="single" w:sz="4" w:space="0" w:color="auto"/>
            </w:tcBorders>
            <w:vAlign w:val="center"/>
          </w:tcPr>
          <w:p w:rsidR="00C70848" w:rsidRPr="00414AE3" w:rsidRDefault="00A25EF0" w:rsidP="00C70848">
            <w:pPr>
              <w:rPr>
                <w:rFonts w:ascii="Helvetica" w:hAnsi="Helvetica" w:cs="Helvetica"/>
                <w:lang w:val="en-GB"/>
              </w:rPr>
            </w:pPr>
            <w:r w:rsidRPr="00A25EF0">
              <w:rPr>
                <w:rFonts w:ascii="Helvetica" w:hAnsi="Helvetica" w:cs="Helvetica"/>
                <w:lang w:val="en-GB"/>
              </w:rPr>
              <w:t>0.45%</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B34E0A">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B34E0A">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B34E0A">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B34E0A">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B34E0A">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B34E0A">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B34E0A">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B34E0A">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B34E0A">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B34E0A">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B34E0A">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70848" w:rsidRPr="00C055A5" w:rsidRDefault="00C70848" w:rsidP="00C70848">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Pr>
          <w:rFonts w:ascii="Helvetica" w:hAnsi="Helvetica" w:cs="Helvetica"/>
          <w:lang w:val="en-GB"/>
        </w:rPr>
        <w:t>.</w:t>
      </w:r>
      <w:r w:rsidRPr="00140807">
        <w:rPr>
          <w:rFonts w:ascii="Helvetica" w:hAnsi="Helvetica" w:cs="Helvetica"/>
          <w:lang w:val="en-GB"/>
        </w:rPr>
        <w:t>K</w:t>
      </w:r>
      <w:r>
        <w:rPr>
          <w:rFonts w:ascii="Helvetica" w:hAnsi="Helvetica" w:cs="Helvetica"/>
          <w:lang w:val="en-GB"/>
        </w:rPr>
        <w:t>.</w:t>
      </w:r>
      <w:r w:rsidRPr="00C055A5">
        <w:rPr>
          <w:rFonts w:ascii="Helvetica" w:hAnsi="Helvetica" w:cs="Helvetica"/>
          <w:lang w:val="en-GB"/>
        </w:rPr>
        <w:t xml:space="preserve"> on </w:t>
      </w:r>
      <w:r w:rsidR="00A25EF0">
        <w:rPr>
          <w:rFonts w:ascii="Helvetica" w:hAnsi="Helvetica" w:cs="Helvetica"/>
          <w:lang w:val="en-GB"/>
        </w:rPr>
        <w:t>17</w:t>
      </w:r>
      <w:r w:rsidR="00A25EF0" w:rsidRPr="00A25EF0">
        <w:rPr>
          <w:rFonts w:ascii="Helvetica" w:hAnsi="Helvetica" w:cs="Helvetica"/>
          <w:vertAlign w:val="superscript"/>
          <w:lang w:val="en-GB"/>
        </w:rPr>
        <w:t>th</w:t>
      </w:r>
      <w:r w:rsidR="00A25EF0">
        <w:rPr>
          <w:rFonts w:ascii="Helvetica" w:hAnsi="Helvetica" w:cs="Helvetica"/>
          <w:lang w:val="en-GB"/>
        </w:rPr>
        <w:t xml:space="preserve"> February 2017</w:t>
      </w:r>
      <w:r>
        <w:rPr>
          <w:rFonts w:ascii="Helvetica" w:hAnsi="Helvetica" w:cs="Helvetica"/>
          <w:lang w:val="en-GB"/>
        </w:rPr>
        <w:t xml:space="preserve">                      </w:t>
      </w:r>
    </w:p>
    <w:p w:rsidR="00C5065C" w:rsidRDefault="00C5065C">
      <w:pPr>
        <w:rPr>
          <w:rFonts w:ascii="Helvetica" w:hAnsi="Helvetica" w:cs="Helvetica"/>
          <w:lang w:val="en-GB"/>
        </w:rPr>
      </w:pPr>
    </w:p>
    <w:p w:rsidR="00BD273C" w:rsidRDefault="00BD273C"/>
    <w:tbl>
      <w:tblPr>
        <w:tblW w:w="9860" w:type="dxa"/>
        <w:tblInd w:w="-5" w:type="dxa"/>
        <w:tblLook w:val="04A0" w:firstRow="1" w:lastRow="0" w:firstColumn="1" w:lastColumn="0" w:noHBand="0" w:noVBand="1"/>
      </w:tblPr>
      <w:tblGrid>
        <w:gridCol w:w="3828"/>
        <w:gridCol w:w="1984"/>
        <w:gridCol w:w="2268"/>
        <w:gridCol w:w="1780"/>
      </w:tblGrid>
      <w:tr w:rsidR="005F5C89" w:rsidRPr="005F5C89" w:rsidTr="005F5C89">
        <w:trPr>
          <w:trHeight w:val="1350"/>
        </w:trPr>
        <w:tc>
          <w:tcPr>
            <w:tcW w:w="3828"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5F5C89" w:rsidRPr="005F5C89" w:rsidRDefault="005F5C89" w:rsidP="005F5C89">
            <w:pPr>
              <w:spacing w:after="0" w:line="240" w:lineRule="auto"/>
              <w:rPr>
                <w:rFonts w:ascii="Arial" w:eastAsia="Times New Roman" w:hAnsi="Arial" w:cs="Arial"/>
                <w:b/>
                <w:bCs/>
                <w:color w:val="000000"/>
                <w:sz w:val="16"/>
                <w:szCs w:val="16"/>
                <w:lang w:val="en-GB" w:eastAsia="en-GB"/>
              </w:rPr>
            </w:pPr>
            <w:proofErr w:type="spellStart"/>
            <w:r w:rsidRPr="005F5C89">
              <w:rPr>
                <w:rFonts w:ascii="Arial" w:eastAsia="Times New Roman" w:hAnsi="Arial" w:cs="Arial"/>
                <w:b/>
                <w:bCs/>
                <w:color w:val="000000"/>
                <w:sz w:val="16"/>
                <w:szCs w:val="16"/>
                <w:lang w:val="en-GB" w:eastAsia="en-GB"/>
              </w:rPr>
              <w:lastRenderedPageBreak/>
              <w:t>Name</w:t>
            </w:r>
            <w:r w:rsidRPr="005F5C89">
              <w:rPr>
                <w:rFonts w:ascii="Arial" w:eastAsia="Times New Roman" w:hAnsi="Arial" w:cs="Arial"/>
                <w:color w:val="000000"/>
                <w:sz w:val="16"/>
                <w:szCs w:val="16"/>
                <w:vertAlign w:val="superscript"/>
                <w:lang w:val="en-GB" w:eastAsia="en-GB"/>
              </w:rPr>
              <w:t>xv</w:t>
            </w:r>
            <w:proofErr w:type="spellEnd"/>
          </w:p>
        </w:tc>
        <w:tc>
          <w:tcPr>
            <w:tcW w:w="1984" w:type="dxa"/>
            <w:tcBorders>
              <w:top w:val="single" w:sz="4" w:space="0" w:color="auto"/>
              <w:left w:val="nil"/>
              <w:bottom w:val="single" w:sz="4" w:space="0" w:color="auto"/>
              <w:right w:val="single" w:sz="4" w:space="0" w:color="auto"/>
            </w:tcBorders>
            <w:shd w:val="clear" w:color="000000" w:fill="C0C0C0"/>
            <w:vAlign w:val="center"/>
            <w:hideMark/>
          </w:tcPr>
          <w:p w:rsidR="005F5C89" w:rsidRPr="005F5C89" w:rsidRDefault="005F5C89" w:rsidP="005F5C89">
            <w:pPr>
              <w:spacing w:after="0" w:line="240" w:lineRule="auto"/>
              <w:rPr>
                <w:rFonts w:ascii="Arial" w:eastAsia="Times New Roman" w:hAnsi="Arial" w:cs="Arial"/>
                <w:b/>
                <w:bCs/>
                <w:color w:val="000000"/>
                <w:sz w:val="16"/>
                <w:szCs w:val="16"/>
                <w:lang w:val="en-GB" w:eastAsia="en-GB"/>
              </w:rPr>
            </w:pPr>
            <w:r w:rsidRPr="005F5C89">
              <w:rPr>
                <w:rFonts w:ascii="Arial" w:eastAsia="Times New Roman" w:hAnsi="Arial" w:cs="Arial"/>
                <w:b/>
                <w:bCs/>
                <w:color w:val="000000"/>
                <w:sz w:val="16"/>
                <w:szCs w:val="16"/>
                <w:lang w:val="en-GB" w:eastAsia="en-GB"/>
              </w:rPr>
              <w:t>% of voting rights if it equals or is higher than the notifiable threshold</w:t>
            </w:r>
          </w:p>
        </w:tc>
        <w:tc>
          <w:tcPr>
            <w:tcW w:w="2268" w:type="dxa"/>
            <w:tcBorders>
              <w:top w:val="single" w:sz="4" w:space="0" w:color="auto"/>
              <w:left w:val="nil"/>
              <w:bottom w:val="single" w:sz="4" w:space="0" w:color="auto"/>
              <w:right w:val="single" w:sz="4" w:space="0" w:color="auto"/>
            </w:tcBorders>
            <w:shd w:val="clear" w:color="000000" w:fill="C0C0C0"/>
            <w:vAlign w:val="center"/>
            <w:hideMark/>
          </w:tcPr>
          <w:p w:rsidR="005F5C89" w:rsidRPr="005F5C89" w:rsidRDefault="005F5C89" w:rsidP="005F5C89">
            <w:pPr>
              <w:spacing w:after="0" w:line="240" w:lineRule="auto"/>
              <w:rPr>
                <w:rFonts w:ascii="Arial" w:eastAsia="Times New Roman" w:hAnsi="Arial" w:cs="Arial"/>
                <w:b/>
                <w:bCs/>
                <w:color w:val="000000"/>
                <w:sz w:val="16"/>
                <w:szCs w:val="16"/>
                <w:lang w:val="en-GB" w:eastAsia="en-GB"/>
              </w:rPr>
            </w:pPr>
            <w:r w:rsidRPr="005F5C89">
              <w:rPr>
                <w:rFonts w:ascii="Arial" w:eastAsia="Times New Roman" w:hAnsi="Arial" w:cs="Arial"/>
                <w:b/>
                <w:bCs/>
                <w:color w:val="000000"/>
                <w:sz w:val="16"/>
                <w:szCs w:val="16"/>
                <w:lang w:val="en-GB" w:eastAsia="en-GB"/>
              </w:rPr>
              <w:t>% of voting rights through financial instruments if it equals or is higher than the notifiable threshold</w:t>
            </w:r>
          </w:p>
        </w:tc>
        <w:tc>
          <w:tcPr>
            <w:tcW w:w="1780" w:type="dxa"/>
            <w:tcBorders>
              <w:top w:val="single" w:sz="4" w:space="0" w:color="auto"/>
              <w:left w:val="nil"/>
              <w:bottom w:val="single" w:sz="4" w:space="0" w:color="auto"/>
              <w:right w:val="single" w:sz="4" w:space="0" w:color="auto"/>
            </w:tcBorders>
            <w:shd w:val="clear" w:color="000000" w:fill="C0C0C0"/>
            <w:vAlign w:val="center"/>
            <w:hideMark/>
          </w:tcPr>
          <w:p w:rsidR="005F5C89" w:rsidRPr="005F5C89" w:rsidRDefault="005F5C89" w:rsidP="005F5C89">
            <w:pPr>
              <w:spacing w:after="0" w:line="240" w:lineRule="auto"/>
              <w:rPr>
                <w:rFonts w:ascii="Arial" w:eastAsia="Times New Roman" w:hAnsi="Arial" w:cs="Arial"/>
                <w:b/>
                <w:bCs/>
                <w:color w:val="000000"/>
                <w:sz w:val="16"/>
                <w:szCs w:val="16"/>
                <w:lang w:val="en-GB" w:eastAsia="en-GB"/>
              </w:rPr>
            </w:pPr>
            <w:r w:rsidRPr="005F5C89">
              <w:rPr>
                <w:rFonts w:ascii="Arial" w:eastAsia="Times New Roman" w:hAnsi="Arial" w:cs="Arial"/>
                <w:b/>
                <w:bCs/>
                <w:color w:val="000000"/>
                <w:sz w:val="16"/>
                <w:szCs w:val="16"/>
                <w:lang w:val="en-GB" w:eastAsia="en-GB"/>
              </w:rPr>
              <w:t>Total of both if it equals or is higher than the notifiable threshold</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International Holdings,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BR Jersey International Holdings L.P.</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Group Limited</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Investment Management (UK) Limited</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A25EF0" w:rsidP="005F5C89">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2.96</w:t>
            </w:r>
            <w:r w:rsidRPr="00A25EF0">
              <w:rPr>
                <w:rFonts w:ascii="Arial" w:eastAsia="Times New Roman" w:hAnsi="Arial" w:cs="Arial"/>
                <w:color w:val="000000"/>
                <w:sz w:val="16"/>
                <w:szCs w:val="16"/>
                <w:lang w:val="en-GB" w:eastAsia="en-GB"/>
              </w:rPr>
              <w:t>%</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A25EF0" w:rsidP="005F5C89">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0.42</w:t>
            </w:r>
            <w:r w:rsidR="005F5C89" w:rsidRPr="005F5C89">
              <w:rPr>
                <w:rFonts w:ascii="Arial" w:eastAsia="Times New Roman" w:hAnsi="Arial" w:cs="Arial"/>
                <w:color w:val="000000"/>
                <w:sz w:val="16"/>
                <w:szCs w:val="16"/>
                <w:lang w:val="en-GB" w:eastAsia="en-GB"/>
              </w:rPr>
              <w:t>%</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A25EF0" w:rsidP="005F5C89">
            <w:pPr>
              <w:spacing w:after="0" w:line="240" w:lineRule="auto"/>
              <w:jc w:val="center"/>
              <w:rPr>
                <w:rFonts w:ascii="Arial" w:eastAsia="Times New Roman" w:hAnsi="Arial" w:cs="Arial"/>
                <w:color w:val="000000"/>
                <w:sz w:val="16"/>
                <w:szCs w:val="16"/>
                <w:lang w:val="en-GB" w:eastAsia="en-GB"/>
              </w:rPr>
            </w:pPr>
            <w:r>
              <w:rPr>
                <w:rFonts w:ascii="Arial" w:eastAsia="Times New Roman" w:hAnsi="Arial" w:cs="Arial"/>
                <w:color w:val="000000"/>
                <w:sz w:val="16"/>
                <w:szCs w:val="16"/>
                <w:lang w:val="en-GB" w:eastAsia="en-GB"/>
              </w:rPr>
              <w:t>3.38</w:t>
            </w:r>
            <w:r w:rsidR="005F5C89" w:rsidRPr="005F5C89">
              <w:rPr>
                <w:rFonts w:ascii="Arial" w:eastAsia="Times New Roman" w:hAnsi="Arial" w:cs="Arial"/>
                <w:color w:val="000000"/>
                <w:sz w:val="16"/>
                <w:szCs w:val="16"/>
                <w:lang w:val="en-GB" w:eastAsia="en-GB"/>
              </w:rPr>
              <w:t>%</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 </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International Holdings,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BR Jersey International Holdings L.P.</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Australia Holdco Pty. Ltd.</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Investment Management (Australia) Limited</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 </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International Holdings,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BR Jersey International Holdings L.P.</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Group Limited</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International Limited</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 </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Holdco 4, LLC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Holdco 6, LLC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Delaware Holdings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Institutional Trust Company, National Association</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 </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Holdco 4, LLC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Holdco 6, LLC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Delaware Holdings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Fund Advisors</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 </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 </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International Holdings,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BR Jersey International Holdings L.P.</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Group Limited</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Investment Management (UK) Limited</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Asset Management Deutschland AG</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 </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lastRenderedPageBreak/>
              <w:t>BlackRock,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International Holdings,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BR Jersey International Holdings L.P.</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Holdco 3, LLC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Canada Holdings LP</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Canada Holdings ULC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Asset Management Canada Limited</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 </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International Holdings,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BR Jersey International Holdings L.P.</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Group Limited</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Advisors (UK) Limited</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 </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International Holdings, Inc.</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BR Jersey International Holdings L.P.</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Group Limited</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5F5C89" w:rsidRPr="005F5C89" w:rsidTr="005F5C89">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5F5C89" w:rsidRPr="005F5C89" w:rsidRDefault="005F5C89" w:rsidP="005F5C89">
            <w:pPr>
              <w:spacing w:after="0" w:line="240" w:lineRule="auto"/>
              <w:rPr>
                <w:rFonts w:ascii="Arial" w:eastAsia="Times New Roman" w:hAnsi="Arial" w:cs="Arial"/>
                <w:sz w:val="16"/>
                <w:szCs w:val="16"/>
                <w:lang w:val="en-GB" w:eastAsia="en-GB"/>
              </w:rPr>
            </w:pPr>
            <w:r w:rsidRPr="005F5C89">
              <w:rPr>
                <w:rFonts w:ascii="Arial" w:eastAsia="Times New Roman" w:hAnsi="Arial" w:cs="Arial"/>
                <w:sz w:val="16"/>
                <w:szCs w:val="16"/>
                <w:lang w:val="en-GB" w:eastAsia="en-GB"/>
              </w:rPr>
              <w:t>BlackRock (Netherlands) B.V.</w:t>
            </w:r>
          </w:p>
        </w:tc>
        <w:tc>
          <w:tcPr>
            <w:tcW w:w="1984"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5F5C89" w:rsidRPr="005F5C89" w:rsidRDefault="005F5C89" w:rsidP="005F5C89">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bl>
    <w:p w:rsidR="00C70848" w:rsidRDefault="00C70848"/>
    <w:p w:rsidR="005F5C89" w:rsidRDefault="005F5C89"/>
    <w:p w:rsidR="005F5C89" w:rsidRDefault="005F5C89"/>
    <w:p w:rsidR="005F5C89" w:rsidRDefault="005F5C89"/>
    <w:p w:rsidR="005F5C89" w:rsidRDefault="005F5C89"/>
    <w:p w:rsidR="005F5C89" w:rsidRDefault="005F5C89"/>
    <w:p w:rsidR="005F5C89" w:rsidRDefault="005F5C89"/>
    <w:p w:rsidR="005F5C89" w:rsidRDefault="005F5C89"/>
    <w:p w:rsidR="005F5C89" w:rsidRDefault="005F5C89"/>
    <w:p w:rsidR="005F5C89" w:rsidRDefault="005F5C89"/>
    <w:p w:rsidR="005F5C89" w:rsidRDefault="005F5C89"/>
    <w:p w:rsidR="00A25EF0" w:rsidRDefault="00A25EF0"/>
    <w:p w:rsidR="00A25EF0" w:rsidRDefault="00A25EF0"/>
    <w:p w:rsidR="005F5C89" w:rsidRDefault="005F5C89"/>
    <w:p w:rsidR="005F5C89" w:rsidRDefault="005F5C89"/>
    <w:p w:rsidR="008F18BE" w:rsidRDefault="008F18BE" w:rsidP="00C5065C">
      <w:pPr>
        <w:rPr>
          <w:rFonts w:ascii="Helvetica" w:hAnsi="Helvetica" w:cs="Helvetica"/>
          <w:b/>
          <w:bCs/>
          <w:lang w:val="en-GB"/>
        </w:rPr>
      </w:pPr>
      <w:bookmarkStart w:id="0" w:name="_GoBack"/>
      <w:bookmarkEnd w:id="0"/>
    </w:p>
    <w:p w:rsidR="008F18BE" w:rsidRDefault="008F18BE" w:rsidP="008F18BE">
      <w:pPr>
        <w:ind w:left="-709"/>
        <w:rPr>
          <w:rFonts w:ascii="Helvetica" w:hAnsi="Helvetica" w:cs="Helvetica"/>
          <w:b/>
          <w:bCs/>
          <w:lang w:val="en-GB"/>
        </w:rPr>
      </w:pP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C70848">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44F2"/>
    <w:rsid w:val="000F47A3"/>
    <w:rsid w:val="001112EC"/>
    <w:rsid w:val="00140807"/>
    <w:rsid w:val="0015068A"/>
    <w:rsid w:val="0015309D"/>
    <w:rsid w:val="001961A0"/>
    <w:rsid w:val="001E4CFE"/>
    <w:rsid w:val="002177A2"/>
    <w:rsid w:val="002772AA"/>
    <w:rsid w:val="002D7AA4"/>
    <w:rsid w:val="002E08F1"/>
    <w:rsid w:val="00347AA4"/>
    <w:rsid w:val="003C16F3"/>
    <w:rsid w:val="003C2D94"/>
    <w:rsid w:val="003D10BB"/>
    <w:rsid w:val="00413475"/>
    <w:rsid w:val="00414AE3"/>
    <w:rsid w:val="00465A62"/>
    <w:rsid w:val="00485978"/>
    <w:rsid w:val="004A61D1"/>
    <w:rsid w:val="004F440A"/>
    <w:rsid w:val="00521E70"/>
    <w:rsid w:val="00562726"/>
    <w:rsid w:val="005F5C89"/>
    <w:rsid w:val="00692996"/>
    <w:rsid w:val="0070184B"/>
    <w:rsid w:val="007262D6"/>
    <w:rsid w:val="00737B55"/>
    <w:rsid w:val="00795C4F"/>
    <w:rsid w:val="007C162B"/>
    <w:rsid w:val="007E7993"/>
    <w:rsid w:val="008547B6"/>
    <w:rsid w:val="008778CE"/>
    <w:rsid w:val="008F18BE"/>
    <w:rsid w:val="009146BA"/>
    <w:rsid w:val="00915FFE"/>
    <w:rsid w:val="009D45FF"/>
    <w:rsid w:val="00A25EF0"/>
    <w:rsid w:val="00A51AC4"/>
    <w:rsid w:val="00A65D90"/>
    <w:rsid w:val="00A76E6C"/>
    <w:rsid w:val="00AB1483"/>
    <w:rsid w:val="00B34E0A"/>
    <w:rsid w:val="00B40014"/>
    <w:rsid w:val="00B47EB3"/>
    <w:rsid w:val="00B878F3"/>
    <w:rsid w:val="00BA42D8"/>
    <w:rsid w:val="00BA72A7"/>
    <w:rsid w:val="00BD273C"/>
    <w:rsid w:val="00C055A5"/>
    <w:rsid w:val="00C5065C"/>
    <w:rsid w:val="00C70848"/>
    <w:rsid w:val="00D1438C"/>
    <w:rsid w:val="00D2326B"/>
    <w:rsid w:val="00D2417E"/>
    <w:rsid w:val="00D31F60"/>
    <w:rsid w:val="00D363B8"/>
    <w:rsid w:val="00D94698"/>
    <w:rsid w:val="00DE1D88"/>
    <w:rsid w:val="00E52C57"/>
    <w:rsid w:val="00E804C2"/>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62530">
      <w:bodyDiv w:val="1"/>
      <w:marLeft w:val="0"/>
      <w:marRight w:val="0"/>
      <w:marTop w:val="0"/>
      <w:marBottom w:val="0"/>
      <w:divBdr>
        <w:top w:val="none" w:sz="0" w:space="0" w:color="auto"/>
        <w:left w:val="none" w:sz="0" w:space="0" w:color="auto"/>
        <w:bottom w:val="none" w:sz="0" w:space="0" w:color="auto"/>
        <w:right w:val="none" w:sz="0" w:space="0" w:color="auto"/>
      </w:divBdr>
    </w:div>
    <w:div w:id="232858543">
      <w:bodyDiv w:val="1"/>
      <w:marLeft w:val="0"/>
      <w:marRight w:val="0"/>
      <w:marTop w:val="0"/>
      <w:marBottom w:val="0"/>
      <w:divBdr>
        <w:top w:val="none" w:sz="0" w:space="0" w:color="auto"/>
        <w:left w:val="none" w:sz="0" w:space="0" w:color="auto"/>
        <w:bottom w:val="none" w:sz="0" w:space="0" w:color="auto"/>
        <w:right w:val="none" w:sz="0" w:space="0" w:color="auto"/>
      </w:divBdr>
    </w:div>
    <w:div w:id="249167887">
      <w:bodyDiv w:val="1"/>
      <w:marLeft w:val="0"/>
      <w:marRight w:val="0"/>
      <w:marTop w:val="0"/>
      <w:marBottom w:val="0"/>
      <w:divBdr>
        <w:top w:val="none" w:sz="0" w:space="0" w:color="auto"/>
        <w:left w:val="none" w:sz="0" w:space="0" w:color="auto"/>
        <w:bottom w:val="none" w:sz="0" w:space="0" w:color="auto"/>
        <w:right w:val="none" w:sz="0" w:space="0" w:color="auto"/>
      </w:divBdr>
    </w:div>
    <w:div w:id="313874091">
      <w:bodyDiv w:val="1"/>
      <w:marLeft w:val="0"/>
      <w:marRight w:val="0"/>
      <w:marTop w:val="0"/>
      <w:marBottom w:val="0"/>
      <w:divBdr>
        <w:top w:val="none" w:sz="0" w:space="0" w:color="auto"/>
        <w:left w:val="none" w:sz="0" w:space="0" w:color="auto"/>
        <w:bottom w:val="none" w:sz="0" w:space="0" w:color="auto"/>
        <w:right w:val="none" w:sz="0" w:space="0" w:color="auto"/>
      </w:divBdr>
    </w:div>
    <w:div w:id="444203832">
      <w:bodyDiv w:val="1"/>
      <w:marLeft w:val="0"/>
      <w:marRight w:val="0"/>
      <w:marTop w:val="0"/>
      <w:marBottom w:val="0"/>
      <w:divBdr>
        <w:top w:val="none" w:sz="0" w:space="0" w:color="auto"/>
        <w:left w:val="none" w:sz="0" w:space="0" w:color="auto"/>
        <w:bottom w:val="none" w:sz="0" w:space="0" w:color="auto"/>
        <w:right w:val="none" w:sz="0" w:space="0" w:color="auto"/>
      </w:divBdr>
    </w:div>
    <w:div w:id="500507411">
      <w:bodyDiv w:val="1"/>
      <w:marLeft w:val="0"/>
      <w:marRight w:val="0"/>
      <w:marTop w:val="0"/>
      <w:marBottom w:val="0"/>
      <w:divBdr>
        <w:top w:val="none" w:sz="0" w:space="0" w:color="auto"/>
        <w:left w:val="none" w:sz="0" w:space="0" w:color="auto"/>
        <w:bottom w:val="none" w:sz="0" w:space="0" w:color="auto"/>
        <w:right w:val="none" w:sz="0" w:space="0" w:color="auto"/>
      </w:divBdr>
    </w:div>
    <w:div w:id="545871100">
      <w:bodyDiv w:val="1"/>
      <w:marLeft w:val="0"/>
      <w:marRight w:val="0"/>
      <w:marTop w:val="0"/>
      <w:marBottom w:val="0"/>
      <w:divBdr>
        <w:top w:val="none" w:sz="0" w:space="0" w:color="auto"/>
        <w:left w:val="none" w:sz="0" w:space="0" w:color="auto"/>
        <w:bottom w:val="none" w:sz="0" w:space="0" w:color="auto"/>
        <w:right w:val="none" w:sz="0" w:space="0" w:color="auto"/>
      </w:divBdr>
    </w:div>
    <w:div w:id="558588568">
      <w:bodyDiv w:val="1"/>
      <w:marLeft w:val="0"/>
      <w:marRight w:val="0"/>
      <w:marTop w:val="0"/>
      <w:marBottom w:val="0"/>
      <w:divBdr>
        <w:top w:val="none" w:sz="0" w:space="0" w:color="auto"/>
        <w:left w:val="none" w:sz="0" w:space="0" w:color="auto"/>
        <w:bottom w:val="none" w:sz="0" w:space="0" w:color="auto"/>
        <w:right w:val="none" w:sz="0" w:space="0" w:color="auto"/>
      </w:divBdr>
    </w:div>
    <w:div w:id="604578057">
      <w:bodyDiv w:val="1"/>
      <w:marLeft w:val="0"/>
      <w:marRight w:val="0"/>
      <w:marTop w:val="0"/>
      <w:marBottom w:val="0"/>
      <w:divBdr>
        <w:top w:val="none" w:sz="0" w:space="0" w:color="auto"/>
        <w:left w:val="none" w:sz="0" w:space="0" w:color="auto"/>
        <w:bottom w:val="none" w:sz="0" w:space="0" w:color="auto"/>
        <w:right w:val="none" w:sz="0" w:space="0" w:color="auto"/>
      </w:divBdr>
    </w:div>
    <w:div w:id="813761002">
      <w:bodyDiv w:val="1"/>
      <w:marLeft w:val="0"/>
      <w:marRight w:val="0"/>
      <w:marTop w:val="0"/>
      <w:marBottom w:val="0"/>
      <w:divBdr>
        <w:top w:val="none" w:sz="0" w:space="0" w:color="auto"/>
        <w:left w:val="none" w:sz="0" w:space="0" w:color="auto"/>
        <w:bottom w:val="none" w:sz="0" w:space="0" w:color="auto"/>
        <w:right w:val="none" w:sz="0" w:space="0" w:color="auto"/>
      </w:divBdr>
    </w:div>
    <w:div w:id="1205217039">
      <w:bodyDiv w:val="1"/>
      <w:marLeft w:val="0"/>
      <w:marRight w:val="0"/>
      <w:marTop w:val="0"/>
      <w:marBottom w:val="0"/>
      <w:divBdr>
        <w:top w:val="none" w:sz="0" w:space="0" w:color="auto"/>
        <w:left w:val="none" w:sz="0" w:space="0" w:color="auto"/>
        <w:bottom w:val="none" w:sz="0" w:space="0" w:color="auto"/>
        <w:right w:val="none" w:sz="0" w:space="0" w:color="auto"/>
      </w:divBdr>
    </w:div>
    <w:div w:id="1279140145">
      <w:bodyDiv w:val="1"/>
      <w:marLeft w:val="0"/>
      <w:marRight w:val="0"/>
      <w:marTop w:val="0"/>
      <w:marBottom w:val="0"/>
      <w:divBdr>
        <w:top w:val="none" w:sz="0" w:space="0" w:color="auto"/>
        <w:left w:val="none" w:sz="0" w:space="0" w:color="auto"/>
        <w:bottom w:val="none" w:sz="0" w:space="0" w:color="auto"/>
        <w:right w:val="none" w:sz="0" w:space="0" w:color="auto"/>
      </w:divBdr>
    </w:div>
    <w:div w:id="1373534684">
      <w:bodyDiv w:val="1"/>
      <w:marLeft w:val="0"/>
      <w:marRight w:val="0"/>
      <w:marTop w:val="0"/>
      <w:marBottom w:val="0"/>
      <w:divBdr>
        <w:top w:val="none" w:sz="0" w:space="0" w:color="auto"/>
        <w:left w:val="none" w:sz="0" w:space="0" w:color="auto"/>
        <w:bottom w:val="none" w:sz="0" w:space="0" w:color="auto"/>
        <w:right w:val="none" w:sz="0" w:space="0" w:color="auto"/>
      </w:divBdr>
    </w:div>
    <w:div w:id="1425225658">
      <w:bodyDiv w:val="1"/>
      <w:marLeft w:val="0"/>
      <w:marRight w:val="0"/>
      <w:marTop w:val="0"/>
      <w:marBottom w:val="0"/>
      <w:divBdr>
        <w:top w:val="none" w:sz="0" w:space="0" w:color="auto"/>
        <w:left w:val="none" w:sz="0" w:space="0" w:color="auto"/>
        <w:bottom w:val="none" w:sz="0" w:space="0" w:color="auto"/>
        <w:right w:val="none" w:sz="0" w:space="0" w:color="auto"/>
      </w:divBdr>
    </w:div>
    <w:div w:id="1460148529">
      <w:bodyDiv w:val="1"/>
      <w:marLeft w:val="0"/>
      <w:marRight w:val="0"/>
      <w:marTop w:val="0"/>
      <w:marBottom w:val="0"/>
      <w:divBdr>
        <w:top w:val="none" w:sz="0" w:space="0" w:color="auto"/>
        <w:left w:val="none" w:sz="0" w:space="0" w:color="auto"/>
        <w:bottom w:val="none" w:sz="0" w:space="0" w:color="auto"/>
        <w:right w:val="none" w:sz="0" w:space="0" w:color="auto"/>
      </w:divBdr>
    </w:div>
    <w:div w:id="1472137954">
      <w:bodyDiv w:val="1"/>
      <w:marLeft w:val="0"/>
      <w:marRight w:val="0"/>
      <w:marTop w:val="0"/>
      <w:marBottom w:val="0"/>
      <w:divBdr>
        <w:top w:val="none" w:sz="0" w:space="0" w:color="auto"/>
        <w:left w:val="none" w:sz="0" w:space="0" w:color="auto"/>
        <w:bottom w:val="none" w:sz="0" w:space="0" w:color="auto"/>
        <w:right w:val="none" w:sz="0" w:space="0" w:color="auto"/>
      </w:divBdr>
    </w:div>
    <w:div w:id="1665812833">
      <w:bodyDiv w:val="1"/>
      <w:marLeft w:val="0"/>
      <w:marRight w:val="0"/>
      <w:marTop w:val="0"/>
      <w:marBottom w:val="0"/>
      <w:divBdr>
        <w:top w:val="none" w:sz="0" w:space="0" w:color="auto"/>
        <w:left w:val="none" w:sz="0" w:space="0" w:color="auto"/>
        <w:bottom w:val="none" w:sz="0" w:space="0" w:color="auto"/>
        <w:right w:val="none" w:sz="0" w:space="0" w:color="auto"/>
      </w:divBdr>
    </w:div>
    <w:div w:id="1833373104">
      <w:bodyDiv w:val="1"/>
      <w:marLeft w:val="0"/>
      <w:marRight w:val="0"/>
      <w:marTop w:val="0"/>
      <w:marBottom w:val="0"/>
      <w:divBdr>
        <w:top w:val="none" w:sz="0" w:space="0" w:color="auto"/>
        <w:left w:val="none" w:sz="0" w:space="0" w:color="auto"/>
        <w:bottom w:val="none" w:sz="0" w:space="0" w:color="auto"/>
        <w:right w:val="none" w:sz="0" w:space="0" w:color="auto"/>
      </w:divBdr>
    </w:div>
    <w:div w:id="1951081672">
      <w:bodyDiv w:val="1"/>
      <w:marLeft w:val="0"/>
      <w:marRight w:val="0"/>
      <w:marTop w:val="0"/>
      <w:marBottom w:val="0"/>
      <w:divBdr>
        <w:top w:val="none" w:sz="0" w:space="0" w:color="auto"/>
        <w:left w:val="none" w:sz="0" w:space="0" w:color="auto"/>
        <w:bottom w:val="none" w:sz="0" w:space="0" w:color="auto"/>
        <w:right w:val="none" w:sz="0" w:space="0" w:color="auto"/>
      </w:divBdr>
    </w:div>
    <w:div w:id="1965037684">
      <w:bodyDiv w:val="1"/>
      <w:marLeft w:val="0"/>
      <w:marRight w:val="0"/>
      <w:marTop w:val="0"/>
      <w:marBottom w:val="0"/>
      <w:divBdr>
        <w:top w:val="none" w:sz="0" w:space="0" w:color="auto"/>
        <w:left w:val="none" w:sz="0" w:space="0" w:color="auto"/>
        <w:bottom w:val="none" w:sz="0" w:space="0" w:color="auto"/>
        <w:right w:val="none" w:sz="0" w:space="0" w:color="auto"/>
      </w:divBdr>
    </w:div>
    <w:div w:id="2099254868">
      <w:bodyDiv w:val="1"/>
      <w:marLeft w:val="0"/>
      <w:marRight w:val="0"/>
      <w:marTop w:val="0"/>
      <w:marBottom w:val="0"/>
      <w:divBdr>
        <w:top w:val="none" w:sz="0" w:space="0" w:color="auto"/>
        <w:left w:val="none" w:sz="0" w:space="0" w:color="auto"/>
        <w:bottom w:val="none" w:sz="0" w:space="0" w:color="auto"/>
        <w:right w:val="none" w:sz="0" w:space="0" w:color="auto"/>
      </w:divBdr>
    </w:div>
    <w:div w:id="2108455751">
      <w:bodyDiv w:val="1"/>
      <w:marLeft w:val="0"/>
      <w:marRight w:val="0"/>
      <w:marTop w:val="0"/>
      <w:marBottom w:val="0"/>
      <w:divBdr>
        <w:top w:val="none" w:sz="0" w:space="0" w:color="auto"/>
        <w:left w:val="none" w:sz="0" w:space="0" w:color="auto"/>
        <w:bottom w:val="none" w:sz="0" w:space="0" w:color="auto"/>
        <w:right w:val="none" w:sz="0" w:space="0" w:color="auto"/>
      </w:divBdr>
    </w:div>
    <w:div w:id="21397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2017-02-20T14:02:42+00:00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15508-FC7D-4CEF-AA0A-8AE43B7491AD}"/>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F83E27BF-304F-4CCE-9780-3853DB56D30C}"/>
</file>

<file path=docProps/app.xml><?xml version="1.0" encoding="utf-8"?>
<Properties xmlns="http://schemas.openxmlformats.org/officeDocument/2006/extended-properties" xmlns:vt="http://schemas.openxmlformats.org/officeDocument/2006/docPropsVTypes">
  <Template>Normal.dotm</Template>
  <TotalTime>0</TotalTime>
  <Pages>7</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Barrows, Camilla</cp:lastModifiedBy>
  <cp:revision>3</cp:revision>
  <dcterms:created xsi:type="dcterms:W3CDTF">2017-02-17T11:12:00Z</dcterms:created>
  <dcterms:modified xsi:type="dcterms:W3CDTF">2017-02-17T11:12:00Z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2017-02-16_Kingspan Group PLC - Issuer.docx</vt:lpwstr>
  </property>
  <property fmtid="{D5CDD505-2E9C-101B-9397-08002B2CF9AE}" pid="9" name="DocType_AnnouncementDocument">
    <vt:lpwstr>Announcement</vt:lpwstr>
  </property>
  <property fmtid="{D5CDD505-2E9C-101B-9397-08002B2CF9AE}" pid="11" name="SendToWeb">
    <vt:bool>false</vt:bool>
  </property>
  <property fmtid="{D5CDD505-2E9C-101B-9397-08002B2CF9AE}" pid="12" name="Visible">
    <vt:bool>false</vt:bool>
  </property>
  <property fmtid="{D5CDD505-2E9C-101B-9397-08002B2CF9AE}" pid="19" name="DocType_Miscellaneous">
    <vt:lpwstr>Miscellaneous</vt:lpwstr>
  </property>
  <property fmtid="{D5CDD505-2E9C-101B-9397-08002B2CF9AE}" pid="21" name="IssuerID">
    <vt:lpwstr/>
  </property>
  <property fmtid="{D5CDD505-2E9C-101B-9397-08002B2CF9AE}" pid="22" name="JobContentType">
    <vt:lpwstr/>
  </property>
  <property fmtid="{D5CDD505-2E9C-101B-9397-08002B2CF9AE}" pid="23" name="MediaServiceImageTags">
    <vt:lpwstr/>
  </property>
  <property fmtid="{D5CDD505-2E9C-101B-9397-08002B2CF9AE}" pid="24" name="JobType">
    <vt:lpwstr/>
  </property>
  <property fmtid="{D5CDD505-2E9C-101B-9397-08002B2CF9AE}" pid="25" name="Contact">
    <vt:lpwstr/>
  </property>
  <property fmtid="{D5CDD505-2E9C-101B-9397-08002B2CF9AE}" pid="27" name="IssuerName">
    <vt:lpwstr/>
  </property>
  <property fmtid="{D5CDD505-2E9C-101B-9397-08002B2CF9AE}" pid="28" name="Organisation">
    <vt:lpwstr/>
  </property>
</Properties>
</file>