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ED052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ED052D">
              <w:rPr>
                <w:rFonts w:ascii="Helvetica" w:hAnsi="Helvetica" w:cs="Helvetica"/>
                <w:lang w:val="en-GB"/>
              </w:rPr>
              <w:t>X</w:t>
            </w:r>
            <w:r>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12454">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ED052D">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FA40D2">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FA40D2">
              <w:rPr>
                <w:rFonts w:ascii="Helvetica" w:hAnsi="Helvetica" w:cs="Helvetica"/>
                <w:lang w:val="en-GB"/>
              </w:rPr>
              <w:t>30</w:t>
            </w:r>
            <w:r w:rsidR="00012454" w:rsidRPr="00012454">
              <w:rPr>
                <w:rFonts w:ascii="Helvetica" w:hAnsi="Helvetica" w:cs="Helvetica"/>
                <w:vertAlign w:val="superscript"/>
                <w:lang w:val="en-GB"/>
              </w:rPr>
              <w:t>th</w:t>
            </w:r>
            <w:r w:rsidR="00012454">
              <w:rPr>
                <w:rFonts w:ascii="Helvetica" w:hAnsi="Helvetica" w:cs="Helvetica"/>
                <w:lang w:val="en-GB"/>
              </w:rPr>
              <w:t xml:space="preserve"> November</w:t>
            </w:r>
            <w:r w:rsidR="00ED052D" w:rsidRPr="009368E3">
              <w:rPr>
                <w:rFonts w:ascii="Helvetica" w:hAnsi="Helvetica" w:cs="Helvetica"/>
                <w:lang w:val="en-GB"/>
              </w:rPr>
              <w:t xml:space="preserve"> 2018</w:t>
            </w:r>
          </w:p>
        </w:tc>
      </w:tr>
      <w:tr w:rsidR="00521E70" w:rsidRPr="00C055A5" w:rsidTr="00306839">
        <w:trPr>
          <w:trHeight w:val="419"/>
        </w:trPr>
        <w:tc>
          <w:tcPr>
            <w:tcW w:w="10620" w:type="dxa"/>
            <w:gridSpan w:val="6"/>
            <w:vAlign w:val="center"/>
          </w:tcPr>
          <w:p w:rsidR="00D2326B" w:rsidRPr="00C055A5" w:rsidRDefault="00521E70" w:rsidP="00FA40D2">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FA40D2">
              <w:rPr>
                <w:rFonts w:ascii="Helvetica" w:hAnsi="Helvetica" w:cs="Helvetica"/>
                <w:lang w:val="en-GB"/>
              </w:rPr>
              <w:t>3</w:t>
            </w:r>
            <w:r w:rsidR="00FA40D2" w:rsidRPr="00FA40D2">
              <w:rPr>
                <w:rFonts w:ascii="Helvetica" w:hAnsi="Helvetica" w:cs="Helvetica"/>
                <w:vertAlign w:val="superscript"/>
                <w:lang w:val="en-GB"/>
              </w:rPr>
              <w:t>rd</w:t>
            </w:r>
            <w:r w:rsidR="00FA40D2">
              <w:rPr>
                <w:rFonts w:ascii="Helvetica" w:hAnsi="Helvetica" w:cs="Helvetica"/>
                <w:lang w:val="en-GB"/>
              </w:rPr>
              <w:t xml:space="preserve"> December </w:t>
            </w:r>
            <w:r w:rsidR="00012454" w:rsidRPr="00012454">
              <w:rPr>
                <w:rFonts w:ascii="Helvetica" w:hAnsi="Helvetica" w:cs="Helvetica"/>
                <w:lang w:val="en-GB"/>
              </w:rPr>
              <w:t>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5D4F27" w:rsidRPr="005D4F27" w:rsidRDefault="00FA40D2" w:rsidP="00FA40D2">
            <w:pPr>
              <w:rPr>
                <w:rFonts w:ascii="Helvetica" w:hAnsi="Helvetica" w:cs="Helvetica"/>
                <w:sz w:val="18"/>
                <w:lang w:val="en-GB"/>
              </w:rPr>
            </w:pPr>
            <w:r w:rsidRPr="00FA40D2">
              <w:rPr>
                <w:rFonts w:ascii="Helvetica" w:hAnsi="Helvetica" w:cs="Helvetica"/>
                <w:lang w:val="en-GB"/>
              </w:rPr>
              <w:t>Total holdings for BlackRock, Inc. has gone above 9%. Additionally, voting rights attached to shares for BlackRock, Inc. has gone above 9%.</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FA40D2" w:rsidP="00012454">
            <w:pPr>
              <w:jc w:val="center"/>
              <w:rPr>
                <w:rFonts w:ascii="Helvetica" w:hAnsi="Helvetica" w:cs="Helvetica"/>
                <w:lang w:val="en-GB"/>
              </w:rPr>
            </w:pPr>
            <w:r w:rsidRPr="00FA40D2">
              <w:rPr>
                <w:rFonts w:ascii="Helvetica" w:hAnsi="Helvetica" w:cs="Helvetica"/>
                <w:lang w:val="en-GB"/>
              </w:rPr>
              <w:t>9.36%</w:t>
            </w:r>
          </w:p>
        </w:tc>
        <w:tc>
          <w:tcPr>
            <w:tcW w:w="2313" w:type="dxa"/>
            <w:vAlign w:val="center"/>
          </w:tcPr>
          <w:p w:rsidR="00C5065C" w:rsidRPr="004A61D1" w:rsidRDefault="005D4F27" w:rsidP="00414AE3">
            <w:pPr>
              <w:jc w:val="center"/>
              <w:rPr>
                <w:rFonts w:ascii="Helvetica" w:hAnsi="Helvetica" w:cs="Helvetica"/>
                <w:lang w:val="en-GB"/>
              </w:rPr>
            </w:pPr>
            <w:r w:rsidRPr="005D4F27">
              <w:rPr>
                <w:rFonts w:ascii="Helvetica" w:hAnsi="Helvetica" w:cs="Helvetica"/>
                <w:lang w:val="en-GB"/>
              </w:rPr>
              <w:t>0.03%</w:t>
            </w:r>
          </w:p>
        </w:tc>
        <w:tc>
          <w:tcPr>
            <w:tcW w:w="2126" w:type="dxa"/>
            <w:vAlign w:val="center"/>
          </w:tcPr>
          <w:p w:rsidR="00C5065C" w:rsidRPr="004A61D1" w:rsidRDefault="00FA40D2" w:rsidP="00012454">
            <w:pPr>
              <w:jc w:val="center"/>
              <w:rPr>
                <w:rFonts w:ascii="Helvetica" w:hAnsi="Helvetica" w:cs="Helvetica"/>
                <w:lang w:val="en-GB"/>
              </w:rPr>
            </w:pPr>
            <w:r w:rsidRPr="00FA40D2">
              <w:rPr>
                <w:rFonts w:ascii="Helvetica" w:hAnsi="Helvetica" w:cs="Helvetica"/>
                <w:lang w:val="en-GB"/>
              </w:rPr>
              <w:t>9.39%</w:t>
            </w:r>
          </w:p>
        </w:tc>
        <w:tc>
          <w:tcPr>
            <w:tcW w:w="1933" w:type="dxa"/>
            <w:vAlign w:val="center"/>
          </w:tcPr>
          <w:p w:rsidR="00C5065C" w:rsidRPr="004A61D1" w:rsidRDefault="00ED052D" w:rsidP="00A51AC4">
            <w:pPr>
              <w:rPr>
                <w:rFonts w:ascii="Helvetica" w:hAnsi="Helvetica" w:cs="Helvetica"/>
                <w:lang w:val="en-GB"/>
              </w:rPr>
            </w:pPr>
            <w:r>
              <w:rPr>
                <w:rFonts w:ascii="Helvetica" w:hAnsi="Helvetica" w:cs="Helvetica"/>
                <w:lang w:val="en-GB"/>
              </w:rPr>
              <w:t xml:space="preserve">   </w:t>
            </w:r>
            <w:r w:rsidR="00582A3E" w:rsidRPr="00582A3E">
              <w:rPr>
                <w:rFonts w:ascii="Helvetica" w:hAnsi="Helvetica" w:cs="Helvetica"/>
                <w:lang w:val="en-GB"/>
              </w:rPr>
              <w:t>180,228,650</w:t>
            </w:r>
          </w:p>
        </w:tc>
      </w:tr>
      <w:tr w:rsidR="00012454" w:rsidRPr="00C055A5" w:rsidTr="00F1736C">
        <w:trPr>
          <w:trHeight w:val="555"/>
        </w:trPr>
        <w:tc>
          <w:tcPr>
            <w:tcW w:w="2124" w:type="dxa"/>
            <w:vAlign w:val="center"/>
          </w:tcPr>
          <w:p w:rsidR="00012454" w:rsidRPr="008F18BE" w:rsidRDefault="00012454" w:rsidP="0001245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012454" w:rsidRPr="004A61D1" w:rsidRDefault="00012454" w:rsidP="00FA40D2">
            <w:pPr>
              <w:jc w:val="center"/>
              <w:rPr>
                <w:rFonts w:ascii="Helvetica" w:hAnsi="Helvetica" w:cs="Helvetica"/>
                <w:lang w:val="en-GB"/>
              </w:rPr>
            </w:pPr>
            <w:r w:rsidRPr="005D4F27">
              <w:rPr>
                <w:rFonts w:ascii="Helvetica" w:hAnsi="Helvetica" w:cs="Helvetica"/>
                <w:lang w:val="en-GB"/>
              </w:rPr>
              <w:t>8.0</w:t>
            </w:r>
            <w:r w:rsidR="00FA40D2">
              <w:rPr>
                <w:rFonts w:ascii="Helvetica" w:hAnsi="Helvetica" w:cs="Helvetica"/>
                <w:lang w:val="en-GB"/>
              </w:rPr>
              <w:t>7</w:t>
            </w:r>
            <w:r w:rsidRPr="005D4F27">
              <w:rPr>
                <w:rFonts w:ascii="Helvetica" w:hAnsi="Helvetica" w:cs="Helvetica"/>
                <w:lang w:val="en-GB"/>
              </w:rPr>
              <w:t>%</w:t>
            </w:r>
          </w:p>
        </w:tc>
        <w:tc>
          <w:tcPr>
            <w:tcW w:w="2313" w:type="dxa"/>
            <w:vAlign w:val="center"/>
          </w:tcPr>
          <w:p w:rsidR="00012454" w:rsidRPr="004A61D1" w:rsidRDefault="00012454" w:rsidP="00012454">
            <w:pPr>
              <w:jc w:val="center"/>
              <w:rPr>
                <w:rFonts w:ascii="Helvetica" w:hAnsi="Helvetica" w:cs="Helvetica"/>
                <w:lang w:val="en-GB"/>
              </w:rPr>
            </w:pPr>
            <w:r w:rsidRPr="005D4F27">
              <w:rPr>
                <w:rFonts w:ascii="Helvetica" w:hAnsi="Helvetica" w:cs="Helvetica"/>
                <w:lang w:val="en-GB"/>
              </w:rPr>
              <w:t>0.03%</w:t>
            </w:r>
          </w:p>
        </w:tc>
        <w:tc>
          <w:tcPr>
            <w:tcW w:w="2126" w:type="dxa"/>
            <w:vAlign w:val="center"/>
          </w:tcPr>
          <w:p w:rsidR="00012454" w:rsidRPr="004A61D1" w:rsidRDefault="00012454" w:rsidP="00FA40D2">
            <w:pPr>
              <w:jc w:val="center"/>
              <w:rPr>
                <w:rFonts w:ascii="Helvetica" w:hAnsi="Helvetica" w:cs="Helvetica"/>
                <w:lang w:val="en-GB"/>
              </w:rPr>
            </w:pPr>
            <w:r w:rsidRPr="005D4F27">
              <w:rPr>
                <w:rFonts w:ascii="Helvetica" w:hAnsi="Helvetica" w:cs="Helvetica"/>
                <w:lang w:val="en-GB"/>
              </w:rPr>
              <w:t>8.1</w:t>
            </w:r>
            <w:r w:rsidR="00FA40D2">
              <w:rPr>
                <w:rFonts w:ascii="Helvetica" w:hAnsi="Helvetica" w:cs="Helvetica"/>
                <w:lang w:val="en-GB"/>
              </w:rPr>
              <w:t>0</w:t>
            </w:r>
            <w:r w:rsidRPr="005D4F27">
              <w:rPr>
                <w:rFonts w:ascii="Helvetica" w:hAnsi="Helvetica" w:cs="Helvetica"/>
                <w:lang w:val="en-GB"/>
              </w:rPr>
              <w:t>%</w:t>
            </w:r>
          </w:p>
        </w:tc>
        <w:tc>
          <w:tcPr>
            <w:tcW w:w="1933" w:type="dxa"/>
            <w:shd w:val="thinDiagStripe" w:color="auto" w:fill="auto"/>
            <w:vAlign w:val="center"/>
          </w:tcPr>
          <w:p w:rsidR="00012454" w:rsidRPr="004A61D1" w:rsidRDefault="00012454" w:rsidP="00012454">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5D4F27" w:rsidP="00414AE3">
            <w:pPr>
              <w:jc w:val="center"/>
              <w:rPr>
                <w:rFonts w:ascii="Helvetica" w:hAnsi="Helvetica" w:cs="Helvetica"/>
                <w:lang w:val="en-GB"/>
              </w:rPr>
            </w:pPr>
            <w:r w:rsidRPr="005D4F2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ED052D" w:rsidP="00A51AC4">
            <w:pPr>
              <w:rPr>
                <w:rFonts w:ascii="Helvetica" w:hAnsi="Helvetica" w:cs="Helvetica"/>
                <w:lang w:val="en-GB"/>
              </w:rPr>
            </w:pPr>
            <w:r>
              <w:rPr>
                <w:rFonts w:ascii="Helvetica" w:hAnsi="Helvetica" w:cs="Helvetica"/>
                <w:lang w:val="en-GB"/>
              </w:rPr>
              <w:t xml:space="preserve">        </w:t>
            </w:r>
            <w:r w:rsidR="00FA40D2" w:rsidRPr="00FA40D2">
              <w:rPr>
                <w:rFonts w:ascii="Helvetica" w:hAnsi="Helvetica" w:cs="Helvetica"/>
                <w:lang w:val="en-GB"/>
              </w:rPr>
              <w:t>16,864,070</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ED052D" w:rsidP="00012454">
            <w:pPr>
              <w:rPr>
                <w:rFonts w:ascii="Helvetica" w:hAnsi="Helvetica" w:cs="Helvetica"/>
                <w:lang w:val="en-GB"/>
              </w:rPr>
            </w:pPr>
            <w:r>
              <w:rPr>
                <w:rFonts w:ascii="Helvetica" w:hAnsi="Helvetica" w:cs="Helvetica"/>
                <w:lang w:val="en-GB"/>
              </w:rPr>
              <w:t xml:space="preserve">            </w:t>
            </w:r>
            <w:r w:rsidR="00FA40D2" w:rsidRPr="00FA40D2">
              <w:rPr>
                <w:rFonts w:ascii="Helvetica" w:hAnsi="Helvetica" w:cs="Helvetica"/>
                <w:lang w:val="en-GB"/>
              </w:rPr>
              <w:t>9.36%</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FA40D2" w:rsidP="00140807">
            <w:pPr>
              <w:jc w:val="center"/>
              <w:rPr>
                <w:rFonts w:ascii="Helvetica" w:hAnsi="Helvetica" w:cs="Helvetica"/>
                <w:lang w:val="en-GB"/>
              </w:rPr>
            </w:pPr>
            <w:r w:rsidRPr="00FA40D2">
              <w:rPr>
                <w:rFonts w:ascii="Helvetica" w:hAnsi="Helvetica" w:cs="Helvetica"/>
                <w:lang w:val="en-GB"/>
              </w:rPr>
              <w:t>16,864,070</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FA40D2" w:rsidP="00140807">
            <w:pPr>
              <w:jc w:val="center"/>
              <w:rPr>
                <w:rFonts w:ascii="Helvetica" w:hAnsi="Helvetica" w:cs="Helvetica"/>
                <w:lang w:val="en-GB"/>
              </w:rPr>
            </w:pPr>
            <w:r w:rsidRPr="00FA40D2">
              <w:rPr>
                <w:rFonts w:ascii="Helvetica" w:hAnsi="Helvetica" w:cs="Helvetica"/>
                <w:lang w:val="en-GB"/>
              </w:rPr>
              <w:t>9.36%</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D4F27" w:rsidRPr="00C055A5" w:rsidTr="00B91636">
        <w:trPr>
          <w:trHeight w:val="481"/>
          <w:jc w:val="center"/>
        </w:trPr>
        <w:tc>
          <w:tcPr>
            <w:tcW w:w="1861" w:type="dxa"/>
            <w:tcBorders>
              <w:top w:val="single" w:sz="4" w:space="0" w:color="auto"/>
              <w:bottom w:val="single" w:sz="4" w:space="0" w:color="auto"/>
              <w:right w:val="single" w:sz="4" w:space="0" w:color="auto"/>
            </w:tcBorders>
          </w:tcPr>
          <w:p w:rsidR="005D4F27" w:rsidRPr="005D4F27" w:rsidRDefault="005D4F27" w:rsidP="005D4F27">
            <w:pPr>
              <w:rPr>
                <w:rFonts w:ascii="Helvetica" w:hAnsi="Helvetica" w:cs="Helvetica"/>
                <w:lang w:val="en-GB"/>
              </w:rPr>
            </w:pPr>
            <w:r w:rsidRPr="005D4F27">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5D4F27" w:rsidRPr="005D4F27" w:rsidRDefault="005D4F27" w:rsidP="005D4F27">
            <w:pPr>
              <w:rPr>
                <w:rFonts w:ascii="Helvetica" w:hAnsi="Helvetica" w:cs="Helvetica"/>
                <w:lang w:val="en-GB"/>
              </w:rPr>
            </w:pPr>
            <w:r w:rsidRPr="005D4F27">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rsidR="005D4F27" w:rsidRPr="005D4F27" w:rsidRDefault="005D4F27" w:rsidP="005D4F27">
            <w:pPr>
              <w:rPr>
                <w:rFonts w:ascii="Helvetica" w:hAnsi="Helvetica" w:cs="Helvetica"/>
                <w:lang w:val="en-GB"/>
              </w:rPr>
            </w:pPr>
            <w:r w:rsidRPr="005D4F27">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5D4F27" w:rsidRPr="005D4F27" w:rsidRDefault="005D4F27" w:rsidP="005D4F27">
            <w:pPr>
              <w:rPr>
                <w:rFonts w:ascii="Helvetica" w:hAnsi="Helvetica" w:cs="Helvetica"/>
                <w:lang w:val="en-GB"/>
              </w:rPr>
            </w:pPr>
            <w:r w:rsidRPr="005D4F27">
              <w:rPr>
                <w:rFonts w:ascii="Helvetica" w:hAnsi="Helvetica" w:cs="Helvetica"/>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5D4F27" w:rsidRPr="00414AE3" w:rsidRDefault="00FA40D2" w:rsidP="005D4F27">
            <w:pPr>
              <w:rPr>
                <w:rFonts w:ascii="Helvetica" w:hAnsi="Helvetica" w:cs="Helvetica"/>
                <w:lang w:val="en-GB"/>
              </w:rPr>
            </w:pPr>
            <w:r w:rsidRPr="00FA40D2">
              <w:rPr>
                <w:rFonts w:ascii="Helvetica" w:hAnsi="Helvetica" w:cs="Helvetica"/>
                <w:lang w:val="en-GB"/>
              </w:rPr>
              <w:t>59,440</w:t>
            </w:r>
          </w:p>
        </w:tc>
        <w:tc>
          <w:tcPr>
            <w:tcW w:w="1992" w:type="dxa"/>
            <w:tcBorders>
              <w:top w:val="single" w:sz="4" w:space="0" w:color="auto"/>
              <w:left w:val="single" w:sz="4" w:space="0" w:color="auto"/>
              <w:bottom w:val="single" w:sz="4" w:space="0" w:color="auto"/>
            </w:tcBorders>
            <w:vAlign w:val="center"/>
          </w:tcPr>
          <w:p w:rsidR="005D4F27" w:rsidRPr="00414AE3" w:rsidRDefault="005D4F27" w:rsidP="005D4F27">
            <w:pPr>
              <w:rPr>
                <w:rFonts w:ascii="Helvetica" w:hAnsi="Helvetica" w:cs="Helvetica"/>
                <w:lang w:val="en-GB"/>
              </w:rPr>
            </w:pPr>
            <w:r w:rsidRPr="005D4F27">
              <w:rPr>
                <w:rFonts w:ascii="Helvetica" w:hAnsi="Helvetica" w:cs="Helvetica"/>
                <w:lang w:val="en-GB"/>
              </w:rPr>
              <w:t>0.03%</w:t>
            </w: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FA40D2" w:rsidP="00414AE3">
            <w:pPr>
              <w:rPr>
                <w:rFonts w:ascii="Helvetica" w:hAnsi="Helvetica" w:cs="Helvetica"/>
                <w:lang w:val="en-GB"/>
              </w:rPr>
            </w:pPr>
            <w:r w:rsidRPr="00FA40D2">
              <w:rPr>
                <w:rFonts w:ascii="Helvetica" w:hAnsi="Helvetica" w:cs="Helvetica"/>
                <w:lang w:val="en-GB"/>
              </w:rPr>
              <w:t>59,440</w:t>
            </w: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5D4F27" w:rsidP="00414AE3">
            <w:pPr>
              <w:rPr>
                <w:rFonts w:ascii="Helvetica" w:hAnsi="Helvetica" w:cs="Helvetica"/>
                <w:lang w:val="en-GB"/>
              </w:rPr>
            </w:pPr>
            <w:r w:rsidRPr="005D4F27">
              <w:rPr>
                <w:rFonts w:ascii="Helvetica" w:hAnsi="Helvetica" w:cs="Helvetica"/>
                <w:lang w:val="en-GB"/>
              </w:rPr>
              <w:t>0.03%</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ED052D">
        <w:rPr>
          <w:rFonts w:ascii="Helvetica" w:hAnsi="Helvetica" w:cs="Helvetica"/>
          <w:lang w:val="en-GB"/>
        </w:rPr>
        <w:t xml:space="preserve"> </w:t>
      </w:r>
      <w:r w:rsidR="00FA40D2">
        <w:rPr>
          <w:rFonts w:ascii="Helvetica" w:hAnsi="Helvetica" w:cs="Helvetica"/>
          <w:lang w:val="en-GB"/>
        </w:rPr>
        <w:t>3</w:t>
      </w:r>
      <w:r w:rsidR="00FA40D2" w:rsidRPr="00FA40D2">
        <w:rPr>
          <w:rFonts w:ascii="Helvetica" w:hAnsi="Helvetica" w:cs="Helvetica"/>
          <w:vertAlign w:val="superscript"/>
          <w:lang w:val="en-GB"/>
        </w:rPr>
        <w:t>rd</w:t>
      </w:r>
      <w:r w:rsidR="00FA40D2">
        <w:rPr>
          <w:rFonts w:ascii="Helvetica" w:hAnsi="Helvetica" w:cs="Helvetica"/>
          <w:lang w:val="en-GB"/>
        </w:rPr>
        <w:t xml:space="preserve"> December</w:t>
      </w:r>
      <w:r w:rsidR="00ED052D">
        <w:rPr>
          <w:rFonts w:ascii="Helvetica" w:hAnsi="Helvetica" w:cs="Helvetica"/>
          <w:lang w:val="en-GB"/>
        </w:rPr>
        <w:t xml:space="preserve"> 2018</w:t>
      </w:r>
      <w:r w:rsidR="001E4CFE">
        <w:rPr>
          <w:rFonts w:ascii="Helvetica" w:hAnsi="Helvetica" w:cs="Helvetica"/>
          <w:lang w:val="en-GB"/>
        </w:rPr>
        <w:t xml:space="preserve">                     </w:t>
      </w:r>
    </w:p>
    <w:p w:rsidR="00BD273C" w:rsidRDefault="00BD273C"/>
    <w:tbl>
      <w:tblPr>
        <w:tblW w:w="1047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884"/>
        <w:gridCol w:w="2154"/>
        <w:gridCol w:w="1856"/>
      </w:tblGrid>
      <w:tr w:rsidR="00BD273C" w:rsidRPr="008F18BE" w:rsidTr="005D4F27">
        <w:trPr>
          <w:trHeight w:val="524"/>
        </w:trPr>
        <w:tc>
          <w:tcPr>
            <w:tcW w:w="4576" w:type="dxa"/>
            <w:shd w:val="clear" w:color="auto" w:fill="C0C0C0"/>
            <w:vAlign w:val="center"/>
          </w:tcPr>
          <w:p w:rsidR="00BD273C" w:rsidRPr="008F18BE" w:rsidRDefault="00BD273C" w:rsidP="00315752">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884"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54"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56"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Holdco 2,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Financial Management,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International Holdings, Inc.</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BR Jersey International Holdings L.P.</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 xml:space="preserve">BlackRock (Singapore) Holdco </w:t>
            </w:r>
            <w:proofErr w:type="spellStart"/>
            <w:r w:rsidRPr="00DD3015">
              <w:rPr>
                <w:rFonts w:ascii="Arial" w:hAnsi="Arial" w:cs="Arial"/>
                <w:sz w:val="16"/>
                <w:szCs w:val="16"/>
              </w:rPr>
              <w:t>Pte.</w:t>
            </w:r>
            <w:proofErr w:type="spellEnd"/>
            <w:r w:rsidRPr="00DD3015">
              <w:rPr>
                <w:rFonts w:ascii="Arial" w:hAnsi="Arial" w:cs="Arial"/>
                <w:sz w:val="16"/>
                <w:szCs w:val="16"/>
              </w:rPr>
              <w:t xml:space="preserve"> Ltd.</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HK Holdco Limited</w:t>
            </w:r>
          </w:p>
        </w:tc>
        <w:tc>
          <w:tcPr>
            <w:tcW w:w="1884" w:type="dxa"/>
            <w:shd w:val="clear" w:color="auto" w:fill="auto"/>
          </w:tcPr>
          <w:p w:rsidR="00012454" w:rsidRPr="00C949B0" w:rsidRDefault="00012454" w:rsidP="00012454">
            <w:pPr>
              <w:jc w:val="center"/>
              <w:rPr>
                <w:rFonts w:ascii="Helvetica" w:hAnsi="Helvetica" w:cs="Helvetica"/>
                <w:sz w:val="20"/>
                <w:szCs w:val="20"/>
                <w:lang w:val="en-GB"/>
              </w:rPr>
            </w:pPr>
          </w:p>
        </w:tc>
        <w:tc>
          <w:tcPr>
            <w:tcW w:w="2154" w:type="dxa"/>
            <w:shd w:val="clear" w:color="auto" w:fill="auto"/>
          </w:tcPr>
          <w:p w:rsidR="00012454" w:rsidRPr="00C949B0" w:rsidRDefault="00012454" w:rsidP="00012454">
            <w:pPr>
              <w:jc w:val="center"/>
              <w:rPr>
                <w:rFonts w:ascii="Helvetica" w:hAnsi="Helvetica" w:cs="Helvetica"/>
                <w:sz w:val="20"/>
                <w:szCs w:val="20"/>
                <w:lang w:val="en-GB"/>
              </w:rPr>
            </w:pPr>
          </w:p>
        </w:tc>
        <w:tc>
          <w:tcPr>
            <w:tcW w:w="1856" w:type="dxa"/>
            <w:shd w:val="clear" w:color="auto" w:fill="auto"/>
          </w:tcPr>
          <w:p w:rsidR="00012454" w:rsidRPr="00C949B0" w:rsidRDefault="00012454" w:rsidP="00012454">
            <w:pPr>
              <w:jc w:val="cente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 xml:space="preserve">BlackRock Lux </w:t>
            </w:r>
            <w:proofErr w:type="spellStart"/>
            <w:r w:rsidRPr="00DD3015">
              <w:rPr>
                <w:rFonts w:ascii="Arial" w:hAnsi="Arial" w:cs="Arial"/>
                <w:sz w:val="16"/>
                <w:szCs w:val="16"/>
              </w:rPr>
              <w:t>Finco</w:t>
            </w:r>
            <w:proofErr w:type="spellEnd"/>
            <w:r w:rsidRPr="00DD3015">
              <w:rPr>
                <w:rFonts w:ascii="Arial" w:hAnsi="Arial" w:cs="Arial"/>
                <w:sz w:val="16"/>
                <w:szCs w:val="16"/>
              </w:rPr>
              <w:t xml:space="preserve"> </w:t>
            </w:r>
            <w:proofErr w:type="spellStart"/>
            <w:r w:rsidRPr="00DD3015">
              <w:rPr>
                <w:rFonts w:ascii="Arial" w:hAnsi="Arial" w:cs="Arial"/>
                <w:sz w:val="16"/>
                <w:szCs w:val="16"/>
              </w:rPr>
              <w:t>S.a.r.l</w:t>
            </w:r>
            <w:proofErr w:type="spellEnd"/>
            <w:r w:rsidRPr="00DD3015">
              <w:rPr>
                <w:rFonts w:ascii="Arial" w:hAnsi="Arial" w:cs="Arial"/>
                <w:sz w:val="16"/>
                <w:szCs w:val="16"/>
              </w:rPr>
              <w:t xml:space="preserve">. </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Trident Holding Company Limited</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Japan Holdings GK</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012454" w:rsidRPr="00C949B0" w:rsidTr="00565F6C">
        <w:trPr>
          <w:trHeight w:val="267"/>
        </w:trPr>
        <w:tc>
          <w:tcPr>
            <w:tcW w:w="4576" w:type="dxa"/>
            <w:shd w:val="clear" w:color="auto" w:fill="auto"/>
          </w:tcPr>
          <w:p w:rsidR="00012454" w:rsidRPr="00DD3015" w:rsidRDefault="00012454" w:rsidP="00012454">
            <w:pPr>
              <w:rPr>
                <w:rFonts w:ascii="Arial" w:hAnsi="Arial" w:cs="Arial"/>
                <w:sz w:val="16"/>
                <w:szCs w:val="16"/>
              </w:rPr>
            </w:pPr>
            <w:r w:rsidRPr="00DD3015">
              <w:rPr>
                <w:rFonts w:ascii="Arial" w:hAnsi="Arial" w:cs="Arial"/>
                <w:sz w:val="16"/>
                <w:szCs w:val="16"/>
              </w:rPr>
              <w:t>BlackRock Japan Co., Ltd.</w:t>
            </w:r>
          </w:p>
        </w:tc>
        <w:tc>
          <w:tcPr>
            <w:tcW w:w="1884" w:type="dxa"/>
            <w:shd w:val="clear" w:color="auto" w:fill="auto"/>
          </w:tcPr>
          <w:p w:rsidR="00012454" w:rsidRPr="00C949B0" w:rsidRDefault="00012454" w:rsidP="00012454">
            <w:pPr>
              <w:rPr>
                <w:rFonts w:ascii="Helvetica" w:hAnsi="Helvetica" w:cs="Helvetica"/>
                <w:sz w:val="20"/>
                <w:szCs w:val="20"/>
                <w:lang w:val="en-GB"/>
              </w:rPr>
            </w:pPr>
          </w:p>
        </w:tc>
        <w:tc>
          <w:tcPr>
            <w:tcW w:w="2154" w:type="dxa"/>
            <w:shd w:val="clear" w:color="auto" w:fill="auto"/>
          </w:tcPr>
          <w:p w:rsidR="00012454" w:rsidRPr="00C949B0" w:rsidRDefault="00012454" w:rsidP="00012454">
            <w:pPr>
              <w:rPr>
                <w:rFonts w:ascii="Helvetica" w:hAnsi="Helvetica" w:cs="Helvetica"/>
                <w:sz w:val="20"/>
                <w:szCs w:val="20"/>
                <w:lang w:val="en-GB"/>
              </w:rPr>
            </w:pPr>
          </w:p>
        </w:tc>
        <w:tc>
          <w:tcPr>
            <w:tcW w:w="1856" w:type="dxa"/>
            <w:shd w:val="clear" w:color="auto" w:fill="auto"/>
          </w:tcPr>
          <w:p w:rsidR="00012454" w:rsidRPr="00C949B0" w:rsidRDefault="00012454" w:rsidP="00012454">
            <w:pPr>
              <w:rPr>
                <w:rFonts w:ascii="Helvetica" w:hAnsi="Helvetica" w:cs="Helvetica"/>
                <w:sz w:val="20"/>
                <w:szCs w:val="20"/>
                <w:lang w:val="en-GB"/>
              </w:rPr>
            </w:pPr>
          </w:p>
        </w:tc>
      </w:tr>
      <w:tr w:rsidR="005D4F27" w:rsidRPr="00C949B0" w:rsidTr="005D4F27">
        <w:trPr>
          <w:trHeight w:val="267"/>
        </w:trPr>
        <w:tc>
          <w:tcPr>
            <w:tcW w:w="4576" w:type="dxa"/>
            <w:shd w:val="clear" w:color="auto" w:fill="auto"/>
            <w:vAlign w:val="bottom"/>
          </w:tcPr>
          <w:p w:rsidR="005D4F27" w:rsidRDefault="005D4F27" w:rsidP="005D4F27">
            <w:pPr>
              <w:rPr>
                <w:rFonts w:ascii="Arial" w:hAnsi="Arial" w:cs="Arial"/>
                <w:sz w:val="16"/>
                <w:szCs w:val="16"/>
              </w:rPr>
            </w:pPr>
          </w:p>
        </w:tc>
        <w:tc>
          <w:tcPr>
            <w:tcW w:w="1884" w:type="dxa"/>
            <w:shd w:val="clear" w:color="auto" w:fill="auto"/>
          </w:tcPr>
          <w:p w:rsidR="005D4F27" w:rsidRPr="00C949B0" w:rsidRDefault="005D4F27" w:rsidP="005D4F27">
            <w:pPr>
              <w:rPr>
                <w:rFonts w:ascii="Helvetica" w:hAnsi="Helvetica" w:cs="Helvetica"/>
                <w:sz w:val="20"/>
                <w:szCs w:val="20"/>
                <w:lang w:val="en-GB"/>
              </w:rPr>
            </w:pPr>
          </w:p>
        </w:tc>
        <w:tc>
          <w:tcPr>
            <w:tcW w:w="2154" w:type="dxa"/>
            <w:shd w:val="clear" w:color="auto" w:fill="auto"/>
          </w:tcPr>
          <w:p w:rsidR="005D4F27" w:rsidRPr="00C949B0" w:rsidRDefault="005D4F27" w:rsidP="005D4F27">
            <w:pPr>
              <w:rPr>
                <w:rFonts w:ascii="Helvetica" w:hAnsi="Helvetica" w:cs="Helvetica"/>
                <w:sz w:val="20"/>
                <w:szCs w:val="20"/>
                <w:lang w:val="en-GB"/>
              </w:rPr>
            </w:pPr>
          </w:p>
        </w:tc>
        <w:tc>
          <w:tcPr>
            <w:tcW w:w="1856" w:type="dxa"/>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B76ADE">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76ADE">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Trident Merger, LLC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76ADE">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Investment Management, LLC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shd w:val="clear" w:color="auto" w:fill="auto"/>
            <w:vAlign w:val="bottom"/>
          </w:tcPr>
          <w:p w:rsidR="005D4F27" w:rsidRDefault="005D4F27" w:rsidP="005D4F27">
            <w:pPr>
              <w:rPr>
                <w:rFonts w:ascii="Arial" w:hAnsi="Arial" w:cs="Arial"/>
                <w:sz w:val="16"/>
                <w:szCs w:val="16"/>
              </w:rPr>
            </w:pPr>
          </w:p>
        </w:tc>
        <w:tc>
          <w:tcPr>
            <w:tcW w:w="1884" w:type="dxa"/>
            <w:shd w:val="clear" w:color="auto" w:fill="auto"/>
          </w:tcPr>
          <w:p w:rsidR="005D4F27" w:rsidRPr="00C949B0" w:rsidRDefault="005D4F27" w:rsidP="005D4F27">
            <w:pPr>
              <w:rPr>
                <w:rFonts w:ascii="Helvetica" w:hAnsi="Helvetica" w:cs="Helvetica"/>
                <w:sz w:val="20"/>
                <w:szCs w:val="20"/>
                <w:lang w:val="en-GB"/>
              </w:rPr>
            </w:pPr>
          </w:p>
        </w:tc>
        <w:tc>
          <w:tcPr>
            <w:tcW w:w="2154" w:type="dxa"/>
            <w:shd w:val="clear" w:color="auto" w:fill="auto"/>
          </w:tcPr>
          <w:p w:rsidR="005D4F27" w:rsidRPr="00C949B0" w:rsidRDefault="005D4F27" w:rsidP="005D4F27">
            <w:pPr>
              <w:rPr>
                <w:rFonts w:ascii="Helvetica" w:hAnsi="Helvetica" w:cs="Helvetica"/>
                <w:sz w:val="20"/>
                <w:szCs w:val="20"/>
                <w:lang w:val="en-GB"/>
              </w:rPr>
            </w:pPr>
          </w:p>
        </w:tc>
        <w:tc>
          <w:tcPr>
            <w:tcW w:w="1856" w:type="dxa"/>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Holdings, Inc.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BR Jersey International Holdings L.P.</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3, LLC</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1 LP</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 xml:space="preserve">BlackRock Cayman West Bay </w:t>
            </w:r>
            <w:proofErr w:type="spellStart"/>
            <w:r w:rsidRPr="00DD3015">
              <w:rPr>
                <w:rFonts w:ascii="Arial" w:hAnsi="Arial" w:cs="Arial"/>
                <w:sz w:val="16"/>
                <w:szCs w:val="16"/>
              </w:rPr>
              <w:t>Finco</w:t>
            </w:r>
            <w:proofErr w:type="spellEnd"/>
            <w:r w:rsidRPr="00DD3015">
              <w:rPr>
                <w:rFonts w:ascii="Arial" w:hAnsi="Arial" w:cs="Arial"/>
                <w:sz w:val="16"/>
                <w:szCs w:val="16"/>
              </w:rPr>
              <w:t xml:space="preserve"> Limited</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West Bay IV Limited</w:t>
            </w:r>
          </w:p>
        </w:tc>
        <w:tc>
          <w:tcPr>
            <w:tcW w:w="1884" w:type="dxa"/>
            <w:shd w:val="clear" w:color="auto" w:fill="auto"/>
          </w:tcPr>
          <w:p w:rsidR="00DD3015" w:rsidRPr="00C949B0" w:rsidRDefault="00DD3015" w:rsidP="00DD3015">
            <w:pPr>
              <w:rPr>
                <w:rFonts w:ascii="Helvetica" w:hAnsi="Helvetica" w:cs="Helvetica"/>
                <w:sz w:val="20"/>
                <w:szCs w:val="20"/>
                <w:lang w:val="en-GB"/>
              </w:rPr>
            </w:pPr>
          </w:p>
        </w:tc>
        <w:tc>
          <w:tcPr>
            <w:tcW w:w="2154" w:type="dxa"/>
            <w:shd w:val="clear" w:color="auto" w:fill="auto"/>
          </w:tcPr>
          <w:p w:rsidR="00DD3015" w:rsidRPr="00C949B0" w:rsidRDefault="00DD3015" w:rsidP="00DD3015">
            <w:pPr>
              <w:rPr>
                <w:rFonts w:ascii="Helvetica" w:hAnsi="Helvetica" w:cs="Helvetica"/>
                <w:sz w:val="20"/>
                <w:szCs w:val="20"/>
                <w:lang w:val="en-GB"/>
              </w:rPr>
            </w:pPr>
          </w:p>
        </w:tc>
        <w:tc>
          <w:tcPr>
            <w:tcW w:w="1856" w:type="dxa"/>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lastRenderedPageBreak/>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FA41C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82A3E">
            <w:pPr>
              <w:jc w:val="center"/>
              <w:rPr>
                <w:rFonts w:ascii="Helvetica" w:hAnsi="Helvetica" w:cs="Helvetica"/>
                <w:sz w:val="20"/>
                <w:szCs w:val="20"/>
                <w:lang w:val="en-GB"/>
              </w:rPr>
            </w:pPr>
            <w:r w:rsidRPr="00DD3015">
              <w:rPr>
                <w:rFonts w:ascii="Helvetica" w:hAnsi="Helvetica" w:cs="Helvetica"/>
                <w:sz w:val="20"/>
                <w:szCs w:val="20"/>
                <w:lang w:val="en-GB"/>
              </w:rPr>
              <w:t>5.9</w:t>
            </w:r>
            <w:r w:rsidR="00582A3E">
              <w:rPr>
                <w:rFonts w:ascii="Helvetica" w:hAnsi="Helvetica" w:cs="Helvetica"/>
                <w:sz w:val="20"/>
                <w:szCs w:val="20"/>
                <w:lang w:val="en-GB"/>
              </w:rPr>
              <w:t>6</w:t>
            </w:r>
            <w:r w:rsidRPr="00DD3015">
              <w:rPr>
                <w:rFonts w:ascii="Helvetica" w:hAnsi="Helvetica" w:cs="Helvetica"/>
                <w:sz w:val="20"/>
                <w:szCs w:val="20"/>
                <w:lang w:val="en-GB"/>
              </w:rPr>
              <w:t>%</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jc w:val="center"/>
              <w:rPr>
                <w:rFonts w:ascii="Helvetica" w:hAnsi="Helvetica" w:cs="Helvetica"/>
                <w:sz w:val="20"/>
                <w:szCs w:val="20"/>
                <w:lang w:val="en-GB"/>
              </w:rPr>
            </w:pPr>
            <w:r w:rsidRPr="00DD3015">
              <w:rPr>
                <w:rFonts w:ascii="Helvetica" w:hAnsi="Helvetica" w:cs="Helvetica"/>
                <w:sz w:val="20"/>
                <w:szCs w:val="20"/>
                <w:lang w:val="en-GB"/>
              </w:rPr>
              <w:t>0.01%</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582A3E" w:rsidP="00DD3015">
            <w:pPr>
              <w:jc w:val="center"/>
              <w:rPr>
                <w:rFonts w:ascii="Helvetica" w:hAnsi="Helvetica" w:cs="Helvetica"/>
                <w:sz w:val="20"/>
                <w:szCs w:val="20"/>
                <w:lang w:val="en-GB"/>
              </w:rPr>
            </w:pPr>
            <w:r>
              <w:rPr>
                <w:rFonts w:ascii="Helvetica" w:hAnsi="Helvetica" w:cs="Helvetica"/>
                <w:sz w:val="20"/>
                <w:szCs w:val="20"/>
                <w:lang w:val="en-GB"/>
              </w:rPr>
              <w:t>5.97</w:t>
            </w:r>
            <w:r w:rsidR="00DD3015" w:rsidRPr="00DD3015">
              <w:rPr>
                <w:rFonts w:ascii="Helvetica" w:hAnsi="Helvetica" w:cs="Helvetica"/>
                <w:sz w:val="20"/>
                <w:szCs w:val="20"/>
                <w:lang w:val="en-GB"/>
              </w:rPr>
              <w:t>%</w:t>
            </w: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Australia Holdco Pty.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A179B">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Investment Management (Australia)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 xml:space="preserve">BlackRock Cayman West Bay </w:t>
            </w:r>
            <w:proofErr w:type="spellStart"/>
            <w:r w:rsidRPr="00DD3015">
              <w:rPr>
                <w:rFonts w:ascii="Arial" w:hAnsi="Arial" w:cs="Arial"/>
                <w:sz w:val="16"/>
                <w:szCs w:val="16"/>
              </w:rPr>
              <w:t>Finco</w:t>
            </w:r>
            <w:proofErr w:type="spellEnd"/>
            <w:r w:rsidRPr="00DD3015">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11E9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lastRenderedPageBreak/>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340FA">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Institutional Trust Company, National Association</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777413">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Fund Advisors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6D57D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6D57D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6D57D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 xml:space="preserve">BlackRock (Singapore) Holdco </w:t>
            </w:r>
            <w:proofErr w:type="spellStart"/>
            <w:r w:rsidRPr="00DD3015">
              <w:rPr>
                <w:rFonts w:ascii="Arial" w:hAnsi="Arial" w:cs="Arial"/>
                <w:sz w:val="16"/>
                <w:szCs w:val="16"/>
              </w:rPr>
              <w:t>Pte.</w:t>
            </w:r>
            <w:proofErr w:type="spellEnd"/>
            <w:r w:rsidRPr="00DD3015">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HK Holdco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B6564F">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Asset Management North Asia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lastRenderedPageBreak/>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 xml:space="preserve">BlackRock Cayman West Bay </w:t>
            </w:r>
            <w:proofErr w:type="spellStart"/>
            <w:r w:rsidRPr="00DD3015">
              <w:rPr>
                <w:rFonts w:ascii="Arial" w:hAnsi="Arial" w:cs="Arial"/>
                <w:sz w:val="16"/>
                <w:szCs w:val="16"/>
              </w:rPr>
              <w:t>Finco</w:t>
            </w:r>
            <w:proofErr w:type="spellEnd"/>
            <w:r w:rsidRPr="00DD3015">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D2BE0">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Asset Management Deutschland AG</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5D4F27"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5D4F27" w:rsidRDefault="005D4F27"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5D4F27" w:rsidRPr="00C949B0" w:rsidRDefault="005D4F27" w:rsidP="005D4F27">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Canada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Canada Holdings ULC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9D5BAC">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Asset Management Canada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DD3015" w:rsidRDefault="00DD3015"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Capital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852124">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Advisors,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DD3015" w:rsidRDefault="00DD3015"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lastRenderedPageBreak/>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 xml:space="preserve">BlackRock Cayman West Bay </w:t>
            </w:r>
            <w:proofErr w:type="spellStart"/>
            <w:r w:rsidRPr="00DD3015">
              <w:rPr>
                <w:rFonts w:ascii="Arial" w:hAnsi="Arial" w:cs="Arial"/>
                <w:sz w:val="16"/>
                <w:szCs w:val="16"/>
              </w:rPr>
              <w:t>Finco</w:t>
            </w:r>
            <w:proofErr w:type="spellEnd"/>
            <w:r w:rsidRPr="00DD3015">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021BD">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DD3015" w:rsidRPr="00DD3015" w:rsidRDefault="00DD3015" w:rsidP="00DD3015">
            <w:pPr>
              <w:rPr>
                <w:rFonts w:ascii="Arial" w:hAnsi="Arial" w:cs="Arial"/>
                <w:sz w:val="16"/>
                <w:szCs w:val="16"/>
              </w:rPr>
            </w:pPr>
            <w:r w:rsidRPr="00DD3015">
              <w:rPr>
                <w:rFonts w:ascii="Arial" w:hAnsi="Arial" w:cs="Arial"/>
                <w:sz w:val="16"/>
                <w:szCs w:val="16"/>
              </w:rPr>
              <w:t>BlackRock Advisors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DD3015">
            <w:pPr>
              <w:rPr>
                <w:rFonts w:ascii="Helvetica" w:hAnsi="Helvetica" w:cs="Helvetica"/>
                <w:sz w:val="20"/>
                <w:szCs w:val="20"/>
                <w:lang w:val="en-GB"/>
              </w:rPr>
            </w:pPr>
          </w:p>
        </w:tc>
      </w:tr>
      <w:tr w:rsidR="00DD3015"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DD3015" w:rsidRDefault="00DD3015" w:rsidP="005D4F27">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DD3015" w:rsidRPr="00C949B0" w:rsidRDefault="00DD3015" w:rsidP="005D4F27">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 xml:space="preserve">BlackRock Cayman West Bay </w:t>
            </w:r>
            <w:proofErr w:type="spellStart"/>
            <w:r w:rsidRPr="00EC3CB9">
              <w:rPr>
                <w:rFonts w:ascii="Arial" w:hAnsi="Arial" w:cs="Arial"/>
                <w:sz w:val="16"/>
                <w:szCs w:val="16"/>
              </w:rPr>
              <w:t>Finco</w:t>
            </w:r>
            <w:proofErr w:type="spellEnd"/>
            <w:r w:rsidRPr="00EC3CB9">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r w:rsidR="00EC3CB9" w:rsidRPr="00C949B0" w:rsidTr="0091144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tcPr>
          <w:p w:rsidR="00EC3CB9" w:rsidRPr="00EC3CB9" w:rsidRDefault="00EC3CB9" w:rsidP="00EC3CB9">
            <w:pPr>
              <w:rPr>
                <w:rFonts w:ascii="Arial" w:hAnsi="Arial" w:cs="Arial"/>
                <w:sz w:val="16"/>
                <w:szCs w:val="16"/>
              </w:rPr>
            </w:pPr>
            <w:r w:rsidRPr="00EC3CB9">
              <w:rPr>
                <w:rFonts w:ascii="Arial" w:hAnsi="Arial" w:cs="Arial"/>
                <w:sz w:val="16"/>
                <w:szCs w:val="16"/>
              </w:rPr>
              <w:t>BlackRock (Netherlands) B.V.</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EC3CB9" w:rsidRPr="00C949B0" w:rsidRDefault="00EC3CB9" w:rsidP="00EC3CB9">
            <w:pPr>
              <w:rPr>
                <w:rFonts w:ascii="Helvetica" w:hAnsi="Helvetica" w:cs="Helvetica"/>
                <w:sz w:val="20"/>
                <w:szCs w:val="20"/>
                <w:lang w:val="en-GB"/>
              </w:rPr>
            </w:pPr>
          </w:p>
        </w:tc>
      </w:tr>
    </w:tbl>
    <w:p w:rsidR="00860559" w:rsidRDefault="00860559" w:rsidP="008F18BE">
      <w:pPr>
        <w:ind w:left="-709"/>
        <w:rPr>
          <w:rFonts w:ascii="Helvetica" w:hAnsi="Helvetica" w:cs="Helvetica"/>
          <w:b/>
          <w:bCs/>
          <w:lang w:val="en-GB"/>
        </w:rPr>
      </w:pPr>
    </w:p>
    <w:p w:rsidR="00860559" w:rsidRDefault="00860559" w:rsidP="008F18BE">
      <w:pPr>
        <w:ind w:left="-709"/>
        <w:rPr>
          <w:rFonts w:ascii="Helvetica" w:hAnsi="Helvetica" w:cs="Helvetica"/>
          <w:b/>
          <w:bCs/>
          <w:lang w:val="en-GB"/>
        </w:rPr>
      </w:pPr>
    </w:p>
    <w:p w:rsidR="00860559" w:rsidRDefault="00860559" w:rsidP="008F18BE">
      <w:pPr>
        <w:ind w:left="-709"/>
        <w:rPr>
          <w:rFonts w:ascii="Helvetica" w:hAnsi="Helvetica" w:cs="Helvetica"/>
          <w:b/>
          <w:bCs/>
          <w:lang w:val="en-GB"/>
        </w:rPr>
      </w:pPr>
    </w:p>
    <w:p w:rsidR="00860559" w:rsidRDefault="00860559" w:rsidP="008F18BE">
      <w:pPr>
        <w:ind w:left="-709"/>
        <w:rPr>
          <w:rFonts w:ascii="Helvetica" w:hAnsi="Helvetica" w:cs="Helvetica"/>
          <w:b/>
          <w:bCs/>
          <w:lang w:val="en-GB"/>
        </w:rPr>
      </w:pPr>
    </w:p>
    <w:p w:rsidR="00860559" w:rsidRDefault="00860559" w:rsidP="008F18BE">
      <w:pPr>
        <w:ind w:left="-709"/>
        <w:rPr>
          <w:rFonts w:ascii="Helvetica" w:hAnsi="Helvetica" w:cs="Helvetica"/>
          <w:b/>
          <w:bCs/>
          <w:lang w:val="en-GB"/>
        </w:rPr>
      </w:pPr>
    </w:p>
    <w:p w:rsidR="00860559" w:rsidRDefault="00860559" w:rsidP="008F18BE">
      <w:pPr>
        <w:ind w:left="-709"/>
        <w:rPr>
          <w:rFonts w:ascii="Helvetica" w:hAnsi="Helvetica" w:cs="Helvetica"/>
          <w:b/>
          <w:bCs/>
          <w:lang w:val="en-GB"/>
        </w:rPr>
      </w:pPr>
    </w:p>
    <w:p w:rsidR="00860559" w:rsidRDefault="00860559" w:rsidP="008F18BE">
      <w:pPr>
        <w:ind w:left="-709"/>
        <w:rPr>
          <w:rFonts w:ascii="Helvetica" w:hAnsi="Helvetica" w:cs="Helvetica"/>
          <w:b/>
          <w:bCs/>
          <w:lang w:val="en-GB"/>
        </w:rPr>
      </w:pPr>
    </w:p>
    <w:p w:rsidR="00860559" w:rsidRDefault="00860559"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2454"/>
    <w:rsid w:val="00045841"/>
    <w:rsid w:val="000A44F2"/>
    <w:rsid w:val="000F47A3"/>
    <w:rsid w:val="001112EC"/>
    <w:rsid w:val="00140807"/>
    <w:rsid w:val="0015068A"/>
    <w:rsid w:val="0015309D"/>
    <w:rsid w:val="001961A0"/>
    <w:rsid w:val="001E4CFE"/>
    <w:rsid w:val="002177A2"/>
    <w:rsid w:val="00221EE4"/>
    <w:rsid w:val="002772AA"/>
    <w:rsid w:val="002D7AA4"/>
    <w:rsid w:val="002E08F1"/>
    <w:rsid w:val="00347AA4"/>
    <w:rsid w:val="003C2D94"/>
    <w:rsid w:val="00413475"/>
    <w:rsid w:val="00414AE3"/>
    <w:rsid w:val="00485978"/>
    <w:rsid w:val="004A61D1"/>
    <w:rsid w:val="004C2A38"/>
    <w:rsid w:val="004F440A"/>
    <w:rsid w:val="00521E70"/>
    <w:rsid w:val="00562726"/>
    <w:rsid w:val="00582A3E"/>
    <w:rsid w:val="005D4F27"/>
    <w:rsid w:val="00692996"/>
    <w:rsid w:val="006A6352"/>
    <w:rsid w:val="006F06DB"/>
    <w:rsid w:val="0070184B"/>
    <w:rsid w:val="00737B55"/>
    <w:rsid w:val="00795C4F"/>
    <w:rsid w:val="007C162B"/>
    <w:rsid w:val="008547B6"/>
    <w:rsid w:val="00860559"/>
    <w:rsid w:val="008778CE"/>
    <w:rsid w:val="008810DA"/>
    <w:rsid w:val="008F18BE"/>
    <w:rsid w:val="008F4DDB"/>
    <w:rsid w:val="00915FFE"/>
    <w:rsid w:val="009217C6"/>
    <w:rsid w:val="009D45FF"/>
    <w:rsid w:val="00A51AC4"/>
    <w:rsid w:val="00A65D90"/>
    <w:rsid w:val="00A66B59"/>
    <w:rsid w:val="00AB1483"/>
    <w:rsid w:val="00AD2869"/>
    <w:rsid w:val="00B40014"/>
    <w:rsid w:val="00B47EB3"/>
    <w:rsid w:val="00B878F3"/>
    <w:rsid w:val="00BA42D8"/>
    <w:rsid w:val="00BA72A7"/>
    <w:rsid w:val="00BD273C"/>
    <w:rsid w:val="00C055A5"/>
    <w:rsid w:val="00C5065C"/>
    <w:rsid w:val="00CF04D8"/>
    <w:rsid w:val="00D1438C"/>
    <w:rsid w:val="00D2326B"/>
    <w:rsid w:val="00D2417E"/>
    <w:rsid w:val="00D31F60"/>
    <w:rsid w:val="00D363B8"/>
    <w:rsid w:val="00DD3015"/>
    <w:rsid w:val="00DE1D88"/>
    <w:rsid w:val="00EC3CB9"/>
    <w:rsid w:val="00ED052D"/>
    <w:rsid w:val="00F21891"/>
    <w:rsid w:val="00F21FBB"/>
    <w:rsid w:val="00F26D04"/>
    <w:rsid w:val="00F32B37"/>
    <w:rsid w:val="00FA40D2"/>
    <w:rsid w:val="00FB53D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44454">
      <w:bodyDiv w:val="1"/>
      <w:marLeft w:val="0"/>
      <w:marRight w:val="0"/>
      <w:marTop w:val="0"/>
      <w:marBottom w:val="0"/>
      <w:divBdr>
        <w:top w:val="none" w:sz="0" w:space="0" w:color="auto"/>
        <w:left w:val="none" w:sz="0" w:space="0" w:color="auto"/>
        <w:bottom w:val="none" w:sz="0" w:space="0" w:color="auto"/>
        <w:right w:val="none" w:sz="0" w:space="0" w:color="auto"/>
      </w:divBdr>
    </w:div>
    <w:div w:id="311762867">
      <w:bodyDiv w:val="1"/>
      <w:marLeft w:val="0"/>
      <w:marRight w:val="0"/>
      <w:marTop w:val="0"/>
      <w:marBottom w:val="0"/>
      <w:divBdr>
        <w:top w:val="none" w:sz="0" w:space="0" w:color="auto"/>
        <w:left w:val="none" w:sz="0" w:space="0" w:color="auto"/>
        <w:bottom w:val="none" w:sz="0" w:space="0" w:color="auto"/>
        <w:right w:val="none" w:sz="0" w:space="0" w:color="auto"/>
      </w:divBdr>
    </w:div>
    <w:div w:id="472021526">
      <w:bodyDiv w:val="1"/>
      <w:marLeft w:val="0"/>
      <w:marRight w:val="0"/>
      <w:marTop w:val="0"/>
      <w:marBottom w:val="0"/>
      <w:divBdr>
        <w:top w:val="none" w:sz="0" w:space="0" w:color="auto"/>
        <w:left w:val="none" w:sz="0" w:space="0" w:color="auto"/>
        <w:bottom w:val="none" w:sz="0" w:space="0" w:color="auto"/>
        <w:right w:val="none" w:sz="0" w:space="0" w:color="auto"/>
      </w:divBdr>
    </w:div>
    <w:div w:id="479157261">
      <w:bodyDiv w:val="1"/>
      <w:marLeft w:val="0"/>
      <w:marRight w:val="0"/>
      <w:marTop w:val="0"/>
      <w:marBottom w:val="0"/>
      <w:divBdr>
        <w:top w:val="none" w:sz="0" w:space="0" w:color="auto"/>
        <w:left w:val="none" w:sz="0" w:space="0" w:color="auto"/>
        <w:bottom w:val="none" w:sz="0" w:space="0" w:color="auto"/>
        <w:right w:val="none" w:sz="0" w:space="0" w:color="auto"/>
      </w:divBdr>
    </w:div>
    <w:div w:id="832644519">
      <w:bodyDiv w:val="1"/>
      <w:marLeft w:val="0"/>
      <w:marRight w:val="0"/>
      <w:marTop w:val="0"/>
      <w:marBottom w:val="0"/>
      <w:divBdr>
        <w:top w:val="none" w:sz="0" w:space="0" w:color="auto"/>
        <w:left w:val="none" w:sz="0" w:space="0" w:color="auto"/>
        <w:bottom w:val="none" w:sz="0" w:space="0" w:color="auto"/>
        <w:right w:val="none" w:sz="0" w:space="0" w:color="auto"/>
      </w:divBdr>
    </w:div>
    <w:div w:id="837622084">
      <w:bodyDiv w:val="1"/>
      <w:marLeft w:val="0"/>
      <w:marRight w:val="0"/>
      <w:marTop w:val="0"/>
      <w:marBottom w:val="0"/>
      <w:divBdr>
        <w:top w:val="none" w:sz="0" w:space="0" w:color="auto"/>
        <w:left w:val="none" w:sz="0" w:space="0" w:color="auto"/>
        <w:bottom w:val="none" w:sz="0" w:space="0" w:color="auto"/>
        <w:right w:val="none" w:sz="0" w:space="0" w:color="auto"/>
      </w:divBdr>
    </w:div>
    <w:div w:id="1010060200">
      <w:bodyDiv w:val="1"/>
      <w:marLeft w:val="0"/>
      <w:marRight w:val="0"/>
      <w:marTop w:val="0"/>
      <w:marBottom w:val="0"/>
      <w:divBdr>
        <w:top w:val="none" w:sz="0" w:space="0" w:color="auto"/>
        <w:left w:val="none" w:sz="0" w:space="0" w:color="auto"/>
        <w:bottom w:val="none" w:sz="0" w:space="0" w:color="auto"/>
        <w:right w:val="none" w:sz="0" w:space="0" w:color="auto"/>
      </w:divBdr>
    </w:div>
    <w:div w:id="1030298276">
      <w:bodyDiv w:val="1"/>
      <w:marLeft w:val="0"/>
      <w:marRight w:val="0"/>
      <w:marTop w:val="0"/>
      <w:marBottom w:val="0"/>
      <w:divBdr>
        <w:top w:val="none" w:sz="0" w:space="0" w:color="auto"/>
        <w:left w:val="none" w:sz="0" w:space="0" w:color="auto"/>
        <w:bottom w:val="none" w:sz="0" w:space="0" w:color="auto"/>
        <w:right w:val="none" w:sz="0" w:space="0" w:color="auto"/>
      </w:divBdr>
    </w:div>
    <w:div w:id="1044594618">
      <w:bodyDiv w:val="1"/>
      <w:marLeft w:val="0"/>
      <w:marRight w:val="0"/>
      <w:marTop w:val="0"/>
      <w:marBottom w:val="0"/>
      <w:divBdr>
        <w:top w:val="none" w:sz="0" w:space="0" w:color="auto"/>
        <w:left w:val="none" w:sz="0" w:space="0" w:color="auto"/>
        <w:bottom w:val="none" w:sz="0" w:space="0" w:color="auto"/>
        <w:right w:val="none" w:sz="0" w:space="0" w:color="auto"/>
      </w:divBdr>
    </w:div>
    <w:div w:id="1141848736">
      <w:bodyDiv w:val="1"/>
      <w:marLeft w:val="0"/>
      <w:marRight w:val="0"/>
      <w:marTop w:val="0"/>
      <w:marBottom w:val="0"/>
      <w:divBdr>
        <w:top w:val="none" w:sz="0" w:space="0" w:color="auto"/>
        <w:left w:val="none" w:sz="0" w:space="0" w:color="auto"/>
        <w:bottom w:val="none" w:sz="0" w:space="0" w:color="auto"/>
        <w:right w:val="none" w:sz="0" w:space="0" w:color="auto"/>
      </w:divBdr>
    </w:div>
    <w:div w:id="1327900949">
      <w:bodyDiv w:val="1"/>
      <w:marLeft w:val="0"/>
      <w:marRight w:val="0"/>
      <w:marTop w:val="0"/>
      <w:marBottom w:val="0"/>
      <w:divBdr>
        <w:top w:val="none" w:sz="0" w:space="0" w:color="auto"/>
        <w:left w:val="none" w:sz="0" w:space="0" w:color="auto"/>
        <w:bottom w:val="none" w:sz="0" w:space="0" w:color="auto"/>
        <w:right w:val="none" w:sz="0" w:space="0" w:color="auto"/>
      </w:divBdr>
    </w:div>
    <w:div w:id="1343119023">
      <w:bodyDiv w:val="1"/>
      <w:marLeft w:val="0"/>
      <w:marRight w:val="0"/>
      <w:marTop w:val="0"/>
      <w:marBottom w:val="0"/>
      <w:divBdr>
        <w:top w:val="none" w:sz="0" w:space="0" w:color="auto"/>
        <w:left w:val="none" w:sz="0" w:space="0" w:color="auto"/>
        <w:bottom w:val="none" w:sz="0" w:space="0" w:color="auto"/>
        <w:right w:val="none" w:sz="0" w:space="0" w:color="auto"/>
      </w:divBdr>
    </w:div>
    <w:div w:id="1532064673">
      <w:bodyDiv w:val="1"/>
      <w:marLeft w:val="0"/>
      <w:marRight w:val="0"/>
      <w:marTop w:val="0"/>
      <w:marBottom w:val="0"/>
      <w:divBdr>
        <w:top w:val="none" w:sz="0" w:space="0" w:color="auto"/>
        <w:left w:val="none" w:sz="0" w:space="0" w:color="auto"/>
        <w:bottom w:val="none" w:sz="0" w:space="0" w:color="auto"/>
        <w:right w:val="none" w:sz="0" w:space="0" w:color="auto"/>
      </w:divBdr>
    </w:div>
    <w:div w:id="1746493179">
      <w:bodyDiv w:val="1"/>
      <w:marLeft w:val="0"/>
      <w:marRight w:val="0"/>
      <w:marTop w:val="0"/>
      <w:marBottom w:val="0"/>
      <w:divBdr>
        <w:top w:val="none" w:sz="0" w:space="0" w:color="auto"/>
        <w:left w:val="none" w:sz="0" w:space="0" w:color="auto"/>
        <w:bottom w:val="none" w:sz="0" w:space="0" w:color="auto"/>
        <w:right w:val="none" w:sz="0" w:space="0" w:color="auto"/>
      </w:divBdr>
    </w:div>
    <w:div w:id="1956910742">
      <w:bodyDiv w:val="1"/>
      <w:marLeft w:val="0"/>
      <w:marRight w:val="0"/>
      <w:marTop w:val="0"/>
      <w:marBottom w:val="0"/>
      <w:divBdr>
        <w:top w:val="none" w:sz="0" w:space="0" w:color="auto"/>
        <w:left w:val="none" w:sz="0" w:space="0" w:color="auto"/>
        <w:bottom w:val="none" w:sz="0" w:space="0" w:color="auto"/>
        <w:right w:val="none" w:sz="0" w:space="0" w:color="auto"/>
      </w:divBdr>
    </w:div>
    <w:div w:id="21436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2018-12-04T11:03:34+00:00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E2DB7-025D-499B-BFAA-CC359BE4237A}"/>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9A5F61B7-2D2A-45B5-857A-31F727623822}"/>
</file>

<file path=docProps/app.xml><?xml version="1.0" encoding="utf-8"?>
<Properties xmlns="http://schemas.openxmlformats.org/officeDocument/2006/extended-properties" xmlns:vt="http://schemas.openxmlformats.org/officeDocument/2006/docPropsVTypes">
  <Template>Normal.dotm</Template>
  <TotalTime>0</TotalTime>
  <Pages>10</Pages>
  <Words>2305</Words>
  <Characters>13145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2018-12-04T10:42:00Z</dcterms:created>
  <dcterms:modified xsi:type="dcterms:W3CDTF">2018-12-04T10:42:00Z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2018-11-30_Kingspan Group PLC - 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