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157276">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157276">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rsidR="00C5065C" w:rsidRPr="00C055A5" w:rsidRDefault="00ED052D" w:rsidP="00D2326B">
            <w:pPr>
              <w:spacing w:after="0"/>
              <w:rPr>
                <w:rFonts w:ascii="Helvetica" w:hAnsi="Helvetica" w:cs="Helvetica"/>
                <w:lang w:val="en-GB"/>
              </w:rPr>
            </w:pPr>
            <w:r w:rsidRPr="00856FAC">
              <w:rPr>
                <w:rFonts w:ascii="Helvetica" w:hAnsi="Helvetica" w:cs="Helvetica"/>
                <w:lang w:val="en-GB"/>
              </w:rPr>
              <w:t>Kingspan Group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r w:rsidR="00ED052D">
              <w:rPr>
                <w:rFonts w:ascii="Helvetica" w:hAnsi="Helvetica" w:cs="Helvetica"/>
                <w:lang w:val="en-GB"/>
              </w:rPr>
              <w:t>X</w:t>
            </w:r>
            <w:r>
              <w:rPr>
                <w:rFonts w:ascii="Helvetica" w:hAnsi="Helvetica" w:cs="Helvetica"/>
                <w:lang w:val="en-GB"/>
              </w:rPr>
              <w:t xml:space="preserve"> </w:t>
            </w:r>
            <w:r w:rsidR="00C5065C"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012454">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055A5" w:rsidRPr="00C055A5" w:rsidRDefault="00C5065C" w:rsidP="00ED052D">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tc>
      </w:tr>
      <w:tr w:rsidR="00C5065C" w:rsidRPr="00C055A5" w:rsidTr="00157276">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157276">
        <w:trPr>
          <w:trHeight w:val="390"/>
        </w:trPr>
        <w:tc>
          <w:tcPr>
            <w:tcW w:w="4151" w:type="dxa"/>
            <w:gridSpan w:val="2"/>
            <w:tcBorders>
              <w:top w:val="nil"/>
            </w:tcBorders>
          </w:tcPr>
          <w:p w:rsidR="00C5065C" w:rsidRDefault="00C5065C" w:rsidP="00C5065C">
            <w:pPr>
              <w:rPr>
                <w:rFonts w:ascii="Helvetica" w:hAnsi="Helvetica" w:cs="Helvetica"/>
                <w:lang w:val="en-GB"/>
              </w:rPr>
            </w:pPr>
            <w:r w:rsidRPr="00C055A5">
              <w:rPr>
                <w:rFonts w:ascii="Helvetica" w:hAnsi="Helvetica" w:cs="Helvetica"/>
                <w:lang w:val="en-GB"/>
              </w:rPr>
              <w:t>Name:</w:t>
            </w:r>
          </w:p>
          <w:p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rsidTr="00157276">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C5065C" w:rsidRPr="00C055A5" w:rsidRDefault="00C5065C" w:rsidP="00D2326B">
            <w:pPr>
              <w:spacing w:after="0"/>
              <w:rPr>
                <w:rFonts w:ascii="Helvetica" w:hAnsi="Helvetica" w:cs="Helvetica"/>
                <w:lang w:val="en-GB"/>
              </w:rPr>
            </w:pPr>
          </w:p>
        </w:tc>
      </w:tr>
      <w:tr w:rsidR="00C5065C" w:rsidRPr="00C055A5" w:rsidTr="00157276">
        <w:trPr>
          <w:trHeight w:val="419"/>
        </w:trPr>
        <w:tc>
          <w:tcPr>
            <w:tcW w:w="10620" w:type="dxa"/>
            <w:gridSpan w:val="6"/>
            <w:vAlign w:val="center"/>
          </w:tcPr>
          <w:p w:rsidR="00BA72A7" w:rsidRPr="00140807" w:rsidRDefault="00C5065C" w:rsidP="00F76081">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r w:rsidR="00FB3AC1">
              <w:rPr>
                <w:rFonts w:ascii="Helvetica" w:hAnsi="Helvetica" w:cs="Helvetica"/>
                <w:lang w:val="en-GB"/>
              </w:rPr>
              <w:t>21</w:t>
            </w:r>
            <w:r w:rsidR="00FB3AC1">
              <w:rPr>
                <w:rFonts w:ascii="Helvetica" w:hAnsi="Helvetica" w:cs="Helvetica"/>
                <w:vertAlign w:val="superscript"/>
                <w:lang w:val="en-GB"/>
              </w:rPr>
              <w:t>st</w:t>
            </w:r>
            <w:r w:rsidR="00F76081">
              <w:rPr>
                <w:rFonts w:ascii="Helvetica" w:hAnsi="Helvetica" w:cs="Helvetica"/>
                <w:lang w:val="en-GB"/>
              </w:rPr>
              <w:t xml:space="preserve"> </w:t>
            </w:r>
            <w:r w:rsidR="00FB3AC1">
              <w:rPr>
                <w:rFonts w:ascii="Helvetica" w:hAnsi="Helvetica" w:cs="Helvetica"/>
                <w:lang w:val="en-GB"/>
              </w:rPr>
              <w:t>August</w:t>
            </w:r>
            <w:r w:rsidR="00ED052D" w:rsidRPr="009368E3">
              <w:rPr>
                <w:rFonts w:ascii="Helvetica" w:hAnsi="Helvetica" w:cs="Helvetica"/>
                <w:lang w:val="en-GB"/>
              </w:rPr>
              <w:t xml:space="preserve"> 201</w:t>
            </w:r>
            <w:r w:rsidR="00430E9C">
              <w:rPr>
                <w:rFonts w:ascii="Helvetica" w:hAnsi="Helvetica" w:cs="Helvetica"/>
                <w:lang w:val="en-GB"/>
              </w:rPr>
              <w:t>9</w:t>
            </w:r>
          </w:p>
        </w:tc>
      </w:tr>
      <w:tr w:rsidR="00521E70" w:rsidRPr="00C055A5" w:rsidTr="00157276">
        <w:trPr>
          <w:trHeight w:val="419"/>
        </w:trPr>
        <w:tc>
          <w:tcPr>
            <w:tcW w:w="10620" w:type="dxa"/>
            <w:gridSpan w:val="6"/>
            <w:vAlign w:val="center"/>
          </w:tcPr>
          <w:p w:rsidR="00D2326B" w:rsidRPr="00C055A5" w:rsidRDefault="00521E70" w:rsidP="00F76081">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FB3AC1">
              <w:rPr>
                <w:rFonts w:ascii="Helvetica" w:hAnsi="Helvetica" w:cs="Helvetica"/>
                <w:lang w:val="en-GB"/>
              </w:rPr>
              <w:t>22</w:t>
            </w:r>
            <w:r w:rsidR="00FB3AC1">
              <w:rPr>
                <w:rFonts w:ascii="Helvetica" w:hAnsi="Helvetica" w:cs="Helvetica"/>
                <w:vertAlign w:val="superscript"/>
                <w:lang w:val="en-GB"/>
              </w:rPr>
              <w:t>nd</w:t>
            </w:r>
            <w:r w:rsidR="00F76081">
              <w:rPr>
                <w:rFonts w:ascii="Helvetica" w:hAnsi="Helvetica" w:cs="Helvetica"/>
                <w:lang w:val="en-GB"/>
              </w:rPr>
              <w:t xml:space="preserve"> </w:t>
            </w:r>
            <w:r w:rsidR="00FB3AC1">
              <w:rPr>
                <w:rFonts w:ascii="Helvetica" w:hAnsi="Helvetica" w:cs="Helvetica"/>
                <w:lang w:val="en-GB"/>
              </w:rPr>
              <w:t>August</w:t>
            </w:r>
            <w:r w:rsidR="00FA40D2">
              <w:rPr>
                <w:rFonts w:ascii="Helvetica" w:hAnsi="Helvetica" w:cs="Helvetica"/>
                <w:lang w:val="en-GB"/>
              </w:rPr>
              <w:t xml:space="preserve"> </w:t>
            </w:r>
            <w:r w:rsidR="00012454" w:rsidRPr="00012454">
              <w:rPr>
                <w:rFonts w:ascii="Helvetica" w:hAnsi="Helvetica" w:cs="Helvetica"/>
                <w:lang w:val="en-GB"/>
              </w:rPr>
              <w:t>201</w:t>
            </w:r>
            <w:r w:rsidR="00430E9C">
              <w:rPr>
                <w:rFonts w:ascii="Helvetica" w:hAnsi="Helvetica" w:cs="Helvetica"/>
                <w:lang w:val="en-GB"/>
              </w:rPr>
              <w:t>9</w:t>
            </w:r>
          </w:p>
        </w:tc>
      </w:tr>
      <w:tr w:rsidR="00521E70" w:rsidRPr="00C055A5" w:rsidTr="00157276">
        <w:trPr>
          <w:trHeight w:val="419"/>
        </w:trPr>
        <w:tc>
          <w:tcPr>
            <w:tcW w:w="10620" w:type="dxa"/>
            <w:gridSpan w:val="6"/>
            <w:vAlign w:val="center"/>
          </w:tcPr>
          <w:p w:rsidR="00A24B37" w:rsidRDefault="00521E70" w:rsidP="00A24B37">
            <w:pPr>
              <w:rPr>
                <w:rFonts w:ascii="Helvetica" w:hAnsi="Helvetica" w:cs="Helvetica"/>
                <w:b/>
                <w:lang w:val="en-GB"/>
              </w:rPr>
            </w:pPr>
            <w:r>
              <w:rPr>
                <w:rFonts w:ascii="Helvetica" w:hAnsi="Helvetica" w:cs="Helvetica"/>
                <w:b/>
                <w:lang w:val="en-GB"/>
              </w:rPr>
              <w:t>7. Threshold(s) that is/are crossed or reached:</w:t>
            </w:r>
          </w:p>
          <w:p w:rsidR="005D4F27" w:rsidRPr="00FB3AC1" w:rsidRDefault="00FB3AC1" w:rsidP="003D4C28">
            <w:pPr>
              <w:rPr>
                <w:rFonts w:ascii="Helvetica" w:hAnsi="Helvetica" w:cs="Helvetica"/>
                <w:lang w:val="en-GB"/>
              </w:rPr>
            </w:pPr>
            <w:r w:rsidRPr="00FB3AC1">
              <w:rPr>
                <w:rFonts w:ascii="Helvetica" w:hAnsi="Helvetica" w:cs="Helvetica"/>
                <w:lang w:val="en-GB"/>
              </w:rPr>
              <w:t xml:space="preserve">Voting rights attached to shares for BlackRock, Inc. have gone below 7%. </w:t>
            </w:r>
          </w:p>
        </w:tc>
      </w:tr>
      <w:tr w:rsidR="00C5065C" w:rsidRPr="00C055A5" w:rsidTr="00157276">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157276">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513F96" w:rsidRPr="00C055A5" w:rsidTr="00157276">
        <w:trPr>
          <w:trHeight w:val="555"/>
        </w:trPr>
        <w:tc>
          <w:tcPr>
            <w:tcW w:w="2124" w:type="dxa"/>
            <w:vAlign w:val="center"/>
          </w:tcPr>
          <w:p w:rsidR="00513F96" w:rsidRPr="008F18BE" w:rsidRDefault="00513F96" w:rsidP="00513F96">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513F96" w:rsidRPr="004A61D1" w:rsidRDefault="00FB3AC1" w:rsidP="00513F96">
            <w:pPr>
              <w:jc w:val="center"/>
              <w:rPr>
                <w:rFonts w:ascii="Helvetica" w:hAnsi="Helvetica" w:cs="Helvetica"/>
                <w:lang w:val="en-GB"/>
              </w:rPr>
            </w:pPr>
            <w:r>
              <w:rPr>
                <w:rFonts w:ascii="Helvetica" w:hAnsi="Helvetica" w:cs="Helvetica"/>
                <w:lang w:val="en-GB"/>
              </w:rPr>
              <w:t>6.95</w:t>
            </w:r>
            <w:r w:rsidR="00513F96" w:rsidRPr="00A24B37">
              <w:rPr>
                <w:rFonts w:ascii="Helvetica" w:hAnsi="Helvetica" w:cs="Helvetica"/>
                <w:lang w:val="en-GB"/>
              </w:rPr>
              <w:t>%</w:t>
            </w:r>
          </w:p>
        </w:tc>
        <w:tc>
          <w:tcPr>
            <w:tcW w:w="2313" w:type="dxa"/>
            <w:vAlign w:val="center"/>
          </w:tcPr>
          <w:p w:rsidR="00513F96" w:rsidRPr="004A61D1" w:rsidRDefault="00513F96" w:rsidP="00513F96">
            <w:pPr>
              <w:jc w:val="center"/>
              <w:rPr>
                <w:rFonts w:ascii="Helvetica" w:hAnsi="Helvetica" w:cs="Helvetica"/>
                <w:lang w:val="en-GB"/>
              </w:rPr>
            </w:pPr>
            <w:r w:rsidRPr="00A24B37">
              <w:rPr>
                <w:rFonts w:ascii="Helvetica" w:hAnsi="Helvetica" w:cs="Helvetica"/>
                <w:lang w:val="en-GB"/>
              </w:rPr>
              <w:t>0.</w:t>
            </w:r>
            <w:r w:rsidR="00FB3AC1">
              <w:rPr>
                <w:rFonts w:ascii="Helvetica" w:hAnsi="Helvetica" w:cs="Helvetica"/>
                <w:lang w:val="en-GB"/>
              </w:rPr>
              <w:t>20</w:t>
            </w:r>
            <w:r w:rsidRPr="00A24B37">
              <w:rPr>
                <w:rFonts w:ascii="Helvetica" w:hAnsi="Helvetica" w:cs="Helvetica"/>
                <w:lang w:val="en-GB"/>
              </w:rPr>
              <w:t>%</w:t>
            </w:r>
          </w:p>
        </w:tc>
        <w:tc>
          <w:tcPr>
            <w:tcW w:w="2126" w:type="dxa"/>
            <w:vAlign w:val="center"/>
          </w:tcPr>
          <w:p w:rsidR="00513F96" w:rsidRPr="004A61D1" w:rsidRDefault="00513F96" w:rsidP="00513F96">
            <w:pPr>
              <w:jc w:val="center"/>
              <w:rPr>
                <w:rFonts w:ascii="Helvetica" w:hAnsi="Helvetica" w:cs="Helvetica"/>
                <w:lang w:val="en-GB"/>
              </w:rPr>
            </w:pPr>
            <w:r>
              <w:rPr>
                <w:rFonts w:ascii="Helvetica" w:hAnsi="Helvetica" w:cs="Helvetica"/>
                <w:lang w:val="en-GB"/>
              </w:rPr>
              <w:t>7</w:t>
            </w:r>
            <w:r w:rsidRPr="00A24B37">
              <w:rPr>
                <w:rFonts w:ascii="Helvetica" w:hAnsi="Helvetica" w:cs="Helvetica"/>
                <w:lang w:val="en-GB"/>
              </w:rPr>
              <w:t>.</w:t>
            </w:r>
            <w:r w:rsidR="00FB3AC1">
              <w:rPr>
                <w:rFonts w:ascii="Helvetica" w:hAnsi="Helvetica" w:cs="Helvetica"/>
                <w:lang w:val="en-GB"/>
              </w:rPr>
              <w:t>15</w:t>
            </w:r>
            <w:r w:rsidRPr="00A24B37">
              <w:rPr>
                <w:rFonts w:ascii="Helvetica" w:hAnsi="Helvetica" w:cs="Helvetica"/>
                <w:lang w:val="en-GB"/>
              </w:rPr>
              <w:t>%</w:t>
            </w:r>
          </w:p>
        </w:tc>
        <w:tc>
          <w:tcPr>
            <w:tcW w:w="1933" w:type="dxa"/>
            <w:vAlign w:val="center"/>
          </w:tcPr>
          <w:p w:rsidR="00513F96" w:rsidRPr="004A61D1" w:rsidRDefault="00513F96" w:rsidP="00513F96">
            <w:pPr>
              <w:rPr>
                <w:rFonts w:ascii="Helvetica" w:hAnsi="Helvetica" w:cs="Helvetica"/>
                <w:lang w:val="en-GB"/>
              </w:rPr>
            </w:pPr>
            <w:r>
              <w:rPr>
                <w:rFonts w:ascii="Helvetica" w:hAnsi="Helvetica" w:cs="Helvetica"/>
                <w:lang w:val="en-GB"/>
              </w:rPr>
              <w:t xml:space="preserve">   </w:t>
            </w:r>
            <w:r w:rsidRPr="00A62353">
              <w:rPr>
                <w:rFonts w:ascii="Helvetica" w:hAnsi="Helvetica" w:cs="Helvetica"/>
                <w:lang w:val="en-GB"/>
              </w:rPr>
              <w:t>180,</w:t>
            </w:r>
            <w:r w:rsidR="00FB3AC1">
              <w:rPr>
                <w:rFonts w:ascii="Helvetica" w:hAnsi="Helvetica" w:cs="Helvetica"/>
                <w:lang w:val="en-GB"/>
              </w:rPr>
              <w:t>827</w:t>
            </w:r>
            <w:r w:rsidRPr="00A62353">
              <w:rPr>
                <w:rFonts w:ascii="Helvetica" w:hAnsi="Helvetica" w:cs="Helvetica"/>
                <w:lang w:val="en-GB"/>
              </w:rPr>
              <w:t>,</w:t>
            </w:r>
            <w:r w:rsidR="00FB3AC1">
              <w:rPr>
                <w:rFonts w:ascii="Helvetica" w:hAnsi="Helvetica" w:cs="Helvetica"/>
                <w:lang w:val="en-GB"/>
              </w:rPr>
              <w:t>260</w:t>
            </w:r>
          </w:p>
        </w:tc>
      </w:tr>
      <w:tr w:rsidR="00EA02FE" w:rsidRPr="00C055A5" w:rsidTr="00157276">
        <w:trPr>
          <w:trHeight w:val="555"/>
        </w:trPr>
        <w:tc>
          <w:tcPr>
            <w:tcW w:w="2124" w:type="dxa"/>
            <w:vAlign w:val="center"/>
          </w:tcPr>
          <w:p w:rsidR="00EA02FE" w:rsidRPr="008F18BE" w:rsidRDefault="00EA02FE" w:rsidP="00EA02FE">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EA02FE" w:rsidRPr="004A61D1" w:rsidRDefault="00EA02FE" w:rsidP="00EA02FE">
            <w:pPr>
              <w:jc w:val="center"/>
              <w:rPr>
                <w:rFonts w:ascii="Helvetica" w:hAnsi="Helvetica" w:cs="Helvetica"/>
                <w:lang w:val="en-GB"/>
              </w:rPr>
            </w:pPr>
            <w:r>
              <w:rPr>
                <w:rFonts w:ascii="Helvetica" w:hAnsi="Helvetica" w:cs="Helvetica"/>
                <w:lang w:val="en-GB"/>
              </w:rPr>
              <w:t>7.67</w:t>
            </w:r>
            <w:r w:rsidRPr="00A24B37">
              <w:rPr>
                <w:rFonts w:ascii="Helvetica" w:hAnsi="Helvetica" w:cs="Helvetica"/>
                <w:lang w:val="en-GB"/>
              </w:rPr>
              <w:t>%</w:t>
            </w:r>
          </w:p>
        </w:tc>
        <w:tc>
          <w:tcPr>
            <w:tcW w:w="2313" w:type="dxa"/>
            <w:vAlign w:val="center"/>
          </w:tcPr>
          <w:p w:rsidR="00EA02FE" w:rsidRPr="004A61D1" w:rsidRDefault="00EA02FE" w:rsidP="00EA02FE">
            <w:pPr>
              <w:jc w:val="center"/>
              <w:rPr>
                <w:rFonts w:ascii="Helvetica" w:hAnsi="Helvetica" w:cs="Helvetica"/>
                <w:lang w:val="en-GB"/>
              </w:rPr>
            </w:pPr>
            <w:r w:rsidRPr="00A24B37">
              <w:rPr>
                <w:rFonts w:ascii="Helvetica" w:hAnsi="Helvetica" w:cs="Helvetica"/>
                <w:lang w:val="en-GB"/>
              </w:rPr>
              <w:t>0.0</w:t>
            </w:r>
            <w:r>
              <w:rPr>
                <w:rFonts w:ascii="Helvetica" w:hAnsi="Helvetica" w:cs="Helvetica"/>
                <w:lang w:val="en-GB"/>
              </w:rPr>
              <w:t>0</w:t>
            </w:r>
            <w:r w:rsidRPr="00A24B37">
              <w:rPr>
                <w:rFonts w:ascii="Helvetica" w:hAnsi="Helvetica" w:cs="Helvetica"/>
                <w:lang w:val="en-GB"/>
              </w:rPr>
              <w:t>%</w:t>
            </w:r>
          </w:p>
        </w:tc>
        <w:tc>
          <w:tcPr>
            <w:tcW w:w="2126" w:type="dxa"/>
            <w:vAlign w:val="center"/>
          </w:tcPr>
          <w:p w:rsidR="00EA02FE" w:rsidRPr="004A61D1" w:rsidRDefault="00EA02FE" w:rsidP="00EA02FE">
            <w:pPr>
              <w:jc w:val="center"/>
              <w:rPr>
                <w:rFonts w:ascii="Helvetica" w:hAnsi="Helvetica" w:cs="Helvetica"/>
                <w:lang w:val="en-GB"/>
              </w:rPr>
            </w:pPr>
            <w:r>
              <w:rPr>
                <w:rFonts w:ascii="Helvetica" w:hAnsi="Helvetica" w:cs="Helvetica"/>
                <w:lang w:val="en-GB"/>
              </w:rPr>
              <w:t>7</w:t>
            </w:r>
            <w:r w:rsidRPr="00A24B37">
              <w:rPr>
                <w:rFonts w:ascii="Helvetica" w:hAnsi="Helvetica" w:cs="Helvetica"/>
                <w:lang w:val="en-GB"/>
              </w:rPr>
              <w:t>.</w:t>
            </w:r>
            <w:r>
              <w:rPr>
                <w:rFonts w:ascii="Helvetica" w:hAnsi="Helvetica" w:cs="Helvetica"/>
                <w:lang w:val="en-GB"/>
              </w:rPr>
              <w:t>67</w:t>
            </w:r>
            <w:r w:rsidRPr="00A24B37">
              <w:rPr>
                <w:rFonts w:ascii="Helvetica" w:hAnsi="Helvetica" w:cs="Helvetica"/>
                <w:lang w:val="en-GB"/>
              </w:rPr>
              <w:t>%</w:t>
            </w:r>
          </w:p>
        </w:tc>
        <w:tc>
          <w:tcPr>
            <w:tcW w:w="1933" w:type="dxa"/>
            <w:shd w:val="thinDiagStripe" w:color="auto" w:fill="auto"/>
            <w:vAlign w:val="center"/>
          </w:tcPr>
          <w:p w:rsidR="00EA02FE" w:rsidRPr="004A61D1" w:rsidRDefault="00EA02FE" w:rsidP="00EA02FE">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347"/>
        <w:gridCol w:w="847"/>
        <w:gridCol w:w="1006"/>
        <w:gridCol w:w="1341"/>
        <w:gridCol w:w="109"/>
        <w:gridCol w:w="85"/>
        <w:gridCol w:w="1992"/>
      </w:tblGrid>
      <w:tr w:rsidR="00C5065C" w:rsidRPr="00C055A5" w:rsidTr="00B40014">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rsidTr="00B40014">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B40014">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E32783" w:rsidRPr="00C055A5"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E32783" w:rsidRPr="00C055A5" w:rsidRDefault="00E32783" w:rsidP="00E32783">
            <w:pPr>
              <w:jc w:val="center"/>
              <w:rPr>
                <w:rFonts w:ascii="Helvetica" w:hAnsi="Helvetica" w:cs="Helvetica"/>
                <w:lang w:val="en-GB"/>
              </w:rPr>
            </w:pPr>
            <w:r w:rsidRPr="005D4F27">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rsidR="00E32783" w:rsidRPr="00C055A5" w:rsidRDefault="00E32783" w:rsidP="00E32783">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E32783" w:rsidRPr="00C055A5" w:rsidRDefault="00FB3AC1" w:rsidP="00E32783">
            <w:pPr>
              <w:jc w:val="center"/>
              <w:rPr>
                <w:rFonts w:ascii="Helvetica" w:hAnsi="Helvetica" w:cs="Helvetica"/>
                <w:lang w:val="en-GB"/>
              </w:rPr>
            </w:pPr>
            <w:r w:rsidRPr="00FB3AC1">
              <w:rPr>
                <w:rFonts w:ascii="Helvetica" w:hAnsi="Helvetica" w:cs="Helvetica"/>
                <w:lang w:val="en-GB"/>
              </w:rPr>
              <w:t>12,559,826</w:t>
            </w:r>
          </w:p>
        </w:tc>
        <w:tc>
          <w:tcPr>
            <w:tcW w:w="2347" w:type="dxa"/>
            <w:gridSpan w:val="2"/>
            <w:tcBorders>
              <w:top w:val="single" w:sz="4" w:space="0" w:color="auto"/>
              <w:left w:val="single" w:sz="4" w:space="0" w:color="auto"/>
              <w:bottom w:val="single" w:sz="4" w:space="0" w:color="auto"/>
              <w:right w:val="single" w:sz="4" w:space="0" w:color="auto"/>
            </w:tcBorders>
          </w:tcPr>
          <w:p w:rsidR="00E32783" w:rsidRPr="00C055A5" w:rsidRDefault="00E32783" w:rsidP="00E32783">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E32783" w:rsidRPr="00C055A5" w:rsidRDefault="00FB3AC1" w:rsidP="00E32783">
            <w:pPr>
              <w:rPr>
                <w:rFonts w:ascii="Helvetica" w:hAnsi="Helvetica" w:cs="Helvetica"/>
                <w:lang w:val="en-GB"/>
              </w:rPr>
            </w:pPr>
            <w:r>
              <w:rPr>
                <w:rFonts w:ascii="Helvetica" w:hAnsi="Helvetica" w:cs="Helvetica"/>
                <w:lang w:val="en-GB"/>
              </w:rPr>
              <w:t>6.95</w:t>
            </w:r>
            <w:r w:rsidR="00E32783" w:rsidRPr="00A24B37">
              <w:rPr>
                <w:rFonts w:ascii="Helvetica" w:hAnsi="Helvetica" w:cs="Helvetica"/>
                <w:lang w:val="en-GB"/>
              </w:rPr>
              <w:t>%</w:t>
            </w:r>
          </w:p>
        </w:tc>
      </w:tr>
      <w:tr w:rsidR="00E32783" w:rsidRPr="00C055A5" w:rsidTr="00157276">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E32783" w:rsidRPr="00C055A5" w:rsidRDefault="00E32783" w:rsidP="00E32783">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rsidR="00E32783" w:rsidRPr="00C055A5" w:rsidRDefault="00FB3AC1" w:rsidP="00E32783">
            <w:pPr>
              <w:jc w:val="center"/>
              <w:rPr>
                <w:rFonts w:ascii="Helvetica" w:hAnsi="Helvetica" w:cs="Helvetica"/>
                <w:lang w:val="en-GB"/>
              </w:rPr>
            </w:pPr>
            <w:r w:rsidRPr="00FB3AC1">
              <w:rPr>
                <w:rFonts w:ascii="Helvetica" w:hAnsi="Helvetica" w:cs="Helvetica"/>
                <w:lang w:val="en-GB"/>
              </w:rPr>
              <w:t>12,559,826</w:t>
            </w:r>
          </w:p>
        </w:tc>
        <w:tc>
          <w:tcPr>
            <w:tcW w:w="4533" w:type="dxa"/>
            <w:gridSpan w:val="5"/>
            <w:tcBorders>
              <w:top w:val="single" w:sz="4" w:space="0" w:color="auto"/>
              <w:left w:val="single" w:sz="4" w:space="0" w:color="auto"/>
              <w:bottom w:val="single" w:sz="4" w:space="0" w:color="auto"/>
              <w:right w:val="single" w:sz="4" w:space="0" w:color="auto"/>
            </w:tcBorders>
          </w:tcPr>
          <w:p w:rsidR="00E32783" w:rsidRPr="00C055A5" w:rsidRDefault="00FB3AC1" w:rsidP="00E32783">
            <w:pPr>
              <w:jc w:val="center"/>
              <w:rPr>
                <w:rFonts w:ascii="Helvetica" w:hAnsi="Helvetica" w:cs="Helvetica"/>
                <w:lang w:val="en-GB"/>
              </w:rPr>
            </w:pPr>
            <w:r>
              <w:rPr>
                <w:rFonts w:ascii="Helvetica" w:hAnsi="Helvetica" w:cs="Helvetica"/>
                <w:lang w:val="en-GB"/>
              </w:rPr>
              <w:t>6.95</w:t>
            </w:r>
            <w:r w:rsidR="00E32783" w:rsidRPr="00A24B37">
              <w:rPr>
                <w:rFonts w:ascii="Helvetica" w:hAnsi="Helvetica" w:cs="Helvetica"/>
                <w:lang w:val="en-GB"/>
              </w:rPr>
              <w:t>%</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B40014">
        <w:trPr>
          <w:jc w:val="center"/>
        </w:trPr>
        <w:tc>
          <w:tcPr>
            <w:tcW w:w="2081"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14AE3" w:rsidRPr="00C055A5" w:rsidTr="00B40014">
        <w:trPr>
          <w:trHeight w:val="481"/>
          <w:jc w:val="center"/>
        </w:trPr>
        <w:tc>
          <w:tcPr>
            <w:tcW w:w="2081" w:type="dxa"/>
            <w:gridSpan w:val="2"/>
            <w:tcBorders>
              <w:top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414AE3" w:rsidRPr="00C055A5" w:rsidRDefault="00414AE3" w:rsidP="00414AE3">
            <w:pPr>
              <w:rPr>
                <w:rFonts w:ascii="Helvetica" w:hAnsi="Helvetica" w:cs="Helvetica"/>
                <w:lang w:val="en-GB"/>
              </w:rPr>
            </w:pPr>
          </w:p>
        </w:tc>
      </w:tr>
      <w:tr w:rsidR="00414AE3" w:rsidRPr="00C055A5" w:rsidTr="00B40014">
        <w:trPr>
          <w:trHeight w:val="481"/>
          <w:jc w:val="center"/>
        </w:trPr>
        <w:tc>
          <w:tcPr>
            <w:tcW w:w="2081" w:type="dxa"/>
            <w:gridSpan w:val="2"/>
            <w:tcBorders>
              <w:top w:val="single" w:sz="4" w:space="0" w:color="auto"/>
              <w:left w:val="nil"/>
              <w:bottom w:val="nil"/>
              <w:right w:val="nil"/>
            </w:tcBorders>
          </w:tcPr>
          <w:p w:rsidR="00414AE3" w:rsidRPr="00C055A5" w:rsidRDefault="00414AE3" w:rsidP="00414AE3">
            <w:pPr>
              <w:rPr>
                <w:rFonts w:ascii="Helvetica" w:hAnsi="Helvetica" w:cs="Helvetica"/>
                <w:lang w:val="en-GB"/>
              </w:rPr>
            </w:pPr>
          </w:p>
        </w:tc>
        <w:tc>
          <w:tcPr>
            <w:tcW w:w="1437" w:type="dxa"/>
            <w:tcBorders>
              <w:top w:val="single" w:sz="4" w:space="0" w:color="auto"/>
              <w:left w:val="nil"/>
              <w:bottom w:val="nil"/>
              <w:right w:val="single" w:sz="4" w:space="0" w:color="auto"/>
            </w:tcBorders>
          </w:tcPr>
          <w:p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414AE3" w:rsidRPr="00C055A5" w:rsidRDefault="00414AE3" w:rsidP="00414AE3">
            <w:pPr>
              <w:rPr>
                <w:rFonts w:ascii="Helvetica" w:hAnsi="Helvetica" w:cs="Helvetica"/>
                <w:lang w:val="en-GB"/>
              </w:rPr>
            </w:pP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408"/>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19062A">
        <w:trPr>
          <w:jc w:val="center"/>
        </w:trPr>
        <w:tc>
          <w:tcPr>
            <w:tcW w:w="186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22"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53"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E32783" w:rsidRPr="00C055A5" w:rsidTr="0019062A">
        <w:trPr>
          <w:trHeight w:val="481"/>
          <w:jc w:val="center"/>
        </w:trPr>
        <w:tc>
          <w:tcPr>
            <w:tcW w:w="1861" w:type="dxa"/>
            <w:tcBorders>
              <w:top w:val="single" w:sz="4" w:space="0" w:color="auto"/>
              <w:bottom w:val="single" w:sz="4" w:space="0" w:color="auto"/>
              <w:right w:val="single" w:sz="4" w:space="0" w:color="auto"/>
            </w:tcBorders>
          </w:tcPr>
          <w:p w:rsidR="00E32783" w:rsidRPr="005D4F27" w:rsidRDefault="00E32783" w:rsidP="00E32783">
            <w:pPr>
              <w:rPr>
                <w:rFonts w:ascii="Helvetica" w:hAnsi="Helvetica" w:cs="Helvetica"/>
                <w:lang w:val="en-GB"/>
              </w:rPr>
            </w:pPr>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rsidR="00E32783" w:rsidRPr="005D4F27" w:rsidRDefault="00E32783" w:rsidP="00E32783">
            <w:pPr>
              <w:rPr>
                <w:rFonts w:ascii="Helvetica" w:hAnsi="Helvetica" w:cs="Helvetica"/>
                <w:lang w:val="en-GB"/>
              </w:rPr>
            </w:pPr>
            <w:r>
              <w:rPr>
                <w:rFonts w:ascii="Helvetica" w:hAnsi="Helvetica" w:cs="Helvetica"/>
                <w:lang w:val="en-GB"/>
              </w:rPr>
              <w:t>N/A</w:t>
            </w:r>
          </w:p>
        </w:tc>
        <w:tc>
          <w:tcPr>
            <w:tcW w:w="1722" w:type="dxa"/>
            <w:gridSpan w:val="2"/>
            <w:tcBorders>
              <w:top w:val="single" w:sz="4" w:space="0" w:color="auto"/>
              <w:left w:val="single" w:sz="4" w:space="0" w:color="auto"/>
              <w:bottom w:val="single" w:sz="4" w:space="0" w:color="auto"/>
              <w:right w:val="single" w:sz="4" w:space="0" w:color="auto"/>
            </w:tcBorders>
          </w:tcPr>
          <w:p w:rsidR="00E32783" w:rsidRPr="005D4F27" w:rsidRDefault="00E32783" w:rsidP="00E32783">
            <w:pPr>
              <w:rPr>
                <w:rFonts w:ascii="Helvetica" w:hAnsi="Helvetica" w:cs="Helvetica"/>
                <w:lang w:val="en-GB"/>
              </w:rPr>
            </w:pPr>
            <w:r>
              <w:rPr>
                <w:rFonts w:ascii="Helvetica" w:hAnsi="Helvetica" w:cs="Helvetica"/>
                <w:lang w:val="en-GB"/>
              </w:rPr>
              <w:t>N/A</w:t>
            </w:r>
          </w:p>
        </w:tc>
        <w:tc>
          <w:tcPr>
            <w:tcW w:w="1853" w:type="dxa"/>
            <w:gridSpan w:val="2"/>
            <w:tcBorders>
              <w:top w:val="single" w:sz="4" w:space="0" w:color="auto"/>
              <w:left w:val="single" w:sz="4" w:space="0" w:color="auto"/>
              <w:bottom w:val="single" w:sz="4" w:space="0" w:color="auto"/>
              <w:right w:val="single" w:sz="4" w:space="0" w:color="auto"/>
            </w:tcBorders>
          </w:tcPr>
          <w:p w:rsidR="00E32783" w:rsidRPr="0019062A" w:rsidRDefault="00E32783" w:rsidP="00E32783">
            <w:pPr>
              <w:rPr>
                <w:rFonts w:ascii="Helvetica" w:hAnsi="Helvetica" w:cs="Helvetica"/>
                <w:lang w:val="en-GB"/>
              </w:rPr>
            </w:pPr>
            <w:r w:rsidRPr="0019062A">
              <w:rPr>
                <w:rFonts w:ascii="Helvetica" w:hAnsi="Helvetica" w:cs="Helvetica"/>
                <w:lang w:val="en-GB"/>
              </w:rPr>
              <w:t>Cash settlement</w:t>
            </w:r>
          </w:p>
        </w:tc>
        <w:tc>
          <w:tcPr>
            <w:tcW w:w="1535" w:type="dxa"/>
            <w:gridSpan w:val="3"/>
            <w:tcBorders>
              <w:top w:val="single" w:sz="4" w:space="0" w:color="auto"/>
              <w:left w:val="single" w:sz="4" w:space="0" w:color="auto"/>
              <w:bottom w:val="single" w:sz="4" w:space="0" w:color="auto"/>
            </w:tcBorders>
            <w:vAlign w:val="center"/>
          </w:tcPr>
          <w:p w:rsidR="00E32783" w:rsidRPr="00414AE3" w:rsidRDefault="005D78B3" w:rsidP="00E32783">
            <w:pPr>
              <w:rPr>
                <w:rFonts w:ascii="Helvetica" w:hAnsi="Helvetica" w:cs="Helvetica"/>
                <w:lang w:val="en-GB"/>
              </w:rPr>
            </w:pPr>
            <w:r>
              <w:rPr>
                <w:rFonts w:ascii="Helvetica" w:hAnsi="Helvetica" w:cs="Helvetica"/>
                <w:lang w:val="en-GB"/>
              </w:rPr>
              <w:t>3</w:t>
            </w:r>
            <w:r w:rsidR="00FB3AC1">
              <w:rPr>
                <w:rFonts w:ascii="Helvetica" w:hAnsi="Helvetica" w:cs="Helvetica"/>
                <w:lang w:val="en-GB"/>
              </w:rPr>
              <w:t>67,094</w:t>
            </w:r>
          </w:p>
        </w:tc>
        <w:tc>
          <w:tcPr>
            <w:tcW w:w="1992" w:type="dxa"/>
            <w:tcBorders>
              <w:top w:val="single" w:sz="4" w:space="0" w:color="auto"/>
              <w:left w:val="single" w:sz="4" w:space="0" w:color="auto"/>
              <w:bottom w:val="single" w:sz="4" w:space="0" w:color="auto"/>
            </w:tcBorders>
            <w:vAlign w:val="center"/>
          </w:tcPr>
          <w:p w:rsidR="00E32783" w:rsidRPr="00414AE3" w:rsidRDefault="00E32783" w:rsidP="00E32783">
            <w:pPr>
              <w:rPr>
                <w:rFonts w:ascii="Helvetica" w:hAnsi="Helvetica" w:cs="Helvetica"/>
                <w:lang w:val="en-GB"/>
              </w:rPr>
            </w:pPr>
            <w:r w:rsidRPr="00A24B37">
              <w:rPr>
                <w:rFonts w:ascii="Helvetica" w:hAnsi="Helvetica" w:cs="Helvetica"/>
                <w:lang w:val="en-GB"/>
              </w:rPr>
              <w:t>0.</w:t>
            </w:r>
            <w:r w:rsidR="00FB3AC1">
              <w:rPr>
                <w:rFonts w:ascii="Helvetica" w:hAnsi="Helvetica" w:cs="Helvetica"/>
                <w:lang w:val="en-GB"/>
              </w:rPr>
              <w:t>2</w:t>
            </w:r>
            <w:r>
              <w:rPr>
                <w:rFonts w:ascii="Helvetica" w:hAnsi="Helvetica" w:cs="Helvetica"/>
                <w:lang w:val="en-GB"/>
              </w:rPr>
              <w:t>0</w:t>
            </w:r>
            <w:r w:rsidRPr="00A24B37">
              <w:rPr>
                <w:rFonts w:ascii="Helvetica" w:hAnsi="Helvetica" w:cs="Helvetica"/>
                <w:lang w:val="en-GB"/>
              </w:rPr>
              <w:t>%</w:t>
            </w:r>
          </w:p>
        </w:tc>
      </w:tr>
      <w:tr w:rsidR="00E32783" w:rsidRPr="00C055A5" w:rsidTr="005D78B3">
        <w:trPr>
          <w:trHeight w:val="481"/>
          <w:jc w:val="center"/>
        </w:trPr>
        <w:tc>
          <w:tcPr>
            <w:tcW w:w="1861" w:type="dxa"/>
            <w:tcBorders>
              <w:top w:val="single" w:sz="4" w:space="0" w:color="auto"/>
              <w:left w:val="nil"/>
              <w:bottom w:val="nil"/>
              <w:right w:val="nil"/>
            </w:tcBorders>
          </w:tcPr>
          <w:p w:rsidR="00E32783" w:rsidRPr="00C055A5" w:rsidRDefault="00E32783" w:rsidP="00E32783">
            <w:pPr>
              <w:rPr>
                <w:rFonts w:ascii="Helvetica" w:hAnsi="Helvetica" w:cs="Helvetica"/>
                <w:lang w:val="en-GB"/>
              </w:rPr>
            </w:pPr>
          </w:p>
        </w:tc>
        <w:tc>
          <w:tcPr>
            <w:tcW w:w="1657" w:type="dxa"/>
            <w:gridSpan w:val="2"/>
            <w:tcBorders>
              <w:top w:val="single" w:sz="4" w:space="0" w:color="auto"/>
              <w:left w:val="nil"/>
              <w:bottom w:val="nil"/>
              <w:right w:val="nil"/>
            </w:tcBorders>
          </w:tcPr>
          <w:p w:rsidR="00E32783" w:rsidRPr="00C055A5" w:rsidRDefault="00E32783" w:rsidP="00E32783">
            <w:pPr>
              <w:rPr>
                <w:rFonts w:ascii="Helvetica" w:hAnsi="Helvetica" w:cs="Helvetica"/>
                <w:lang w:val="en-GB"/>
              </w:rPr>
            </w:pPr>
          </w:p>
        </w:tc>
        <w:tc>
          <w:tcPr>
            <w:tcW w:w="1722" w:type="dxa"/>
            <w:gridSpan w:val="2"/>
            <w:tcBorders>
              <w:top w:val="single" w:sz="4" w:space="0" w:color="auto"/>
              <w:left w:val="nil"/>
              <w:bottom w:val="nil"/>
              <w:right w:val="single" w:sz="4" w:space="0" w:color="auto"/>
            </w:tcBorders>
          </w:tcPr>
          <w:p w:rsidR="00E32783" w:rsidRPr="00C055A5" w:rsidRDefault="00E32783" w:rsidP="00E32783">
            <w:pPr>
              <w:rPr>
                <w:rFonts w:ascii="Helvetica" w:hAnsi="Helvetica" w:cs="Helvetica"/>
                <w:b/>
                <w:lang w:val="en-GB"/>
              </w:rPr>
            </w:pPr>
          </w:p>
        </w:tc>
        <w:tc>
          <w:tcPr>
            <w:tcW w:w="1853" w:type="dxa"/>
            <w:gridSpan w:val="2"/>
            <w:tcBorders>
              <w:top w:val="single" w:sz="4" w:space="0" w:color="auto"/>
              <w:left w:val="single" w:sz="4" w:space="0" w:color="auto"/>
              <w:bottom w:val="single" w:sz="4" w:space="0" w:color="auto"/>
              <w:right w:val="single" w:sz="4" w:space="0" w:color="auto"/>
            </w:tcBorders>
          </w:tcPr>
          <w:p w:rsidR="00E32783" w:rsidRPr="00C055A5" w:rsidRDefault="00E32783" w:rsidP="00E32783">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rsidR="00E32783" w:rsidRPr="00C055A5" w:rsidRDefault="00FB3AC1" w:rsidP="00E32783">
            <w:pPr>
              <w:rPr>
                <w:rFonts w:ascii="Helvetica" w:hAnsi="Helvetica" w:cs="Helvetica"/>
                <w:lang w:val="en-GB"/>
              </w:rPr>
            </w:pPr>
            <w:r>
              <w:rPr>
                <w:rFonts w:ascii="Helvetica" w:hAnsi="Helvetica" w:cs="Helvetica"/>
                <w:lang w:val="en-GB"/>
              </w:rPr>
              <w:t>367,094</w:t>
            </w:r>
          </w:p>
        </w:tc>
        <w:tc>
          <w:tcPr>
            <w:tcW w:w="1992" w:type="dxa"/>
            <w:tcBorders>
              <w:top w:val="single" w:sz="4" w:space="0" w:color="auto"/>
              <w:left w:val="single" w:sz="4" w:space="0" w:color="auto"/>
              <w:bottom w:val="single" w:sz="4" w:space="0" w:color="auto"/>
              <w:right w:val="single" w:sz="4" w:space="0" w:color="auto"/>
            </w:tcBorders>
            <w:vAlign w:val="center"/>
          </w:tcPr>
          <w:p w:rsidR="00E32783" w:rsidRPr="00414AE3" w:rsidRDefault="00E32783" w:rsidP="00E32783">
            <w:pPr>
              <w:rPr>
                <w:rFonts w:ascii="Helvetica" w:hAnsi="Helvetica" w:cs="Helvetica"/>
                <w:lang w:val="en-GB"/>
              </w:rPr>
            </w:pPr>
            <w:r w:rsidRPr="00A24B37">
              <w:rPr>
                <w:rFonts w:ascii="Helvetica" w:hAnsi="Helvetica" w:cs="Helvetica"/>
                <w:lang w:val="en-GB"/>
              </w:rPr>
              <w:t>0.</w:t>
            </w:r>
            <w:r w:rsidR="00FB3AC1">
              <w:rPr>
                <w:rFonts w:ascii="Helvetica" w:hAnsi="Helvetica" w:cs="Helvetica"/>
                <w:lang w:val="en-GB"/>
              </w:rPr>
              <w:t>2</w:t>
            </w:r>
            <w:r>
              <w:rPr>
                <w:rFonts w:ascii="Helvetica" w:hAnsi="Helvetica" w:cs="Helvetica"/>
                <w:lang w:val="en-GB"/>
              </w:rPr>
              <w:t>0</w:t>
            </w:r>
            <w:r w:rsidRPr="00A24B37">
              <w:rPr>
                <w:rFonts w:ascii="Helvetica" w:hAnsi="Helvetica" w:cs="Helvetica"/>
                <w:lang w:val="en-GB"/>
              </w:rPr>
              <w:t>%</w:t>
            </w:r>
          </w:p>
        </w:tc>
      </w:tr>
    </w:tbl>
    <w:p w:rsidR="00C5065C" w:rsidRDefault="00C5065C">
      <w:pPr>
        <w:rPr>
          <w:rFonts w:ascii="Helvetica" w:hAnsi="Helvetica" w:cs="Helvetica"/>
        </w:rPr>
      </w:pPr>
    </w:p>
    <w:p w:rsidR="00B40014" w:rsidRDefault="00B40014">
      <w:pPr>
        <w:rPr>
          <w:rFonts w:ascii="Helvetica" w:hAnsi="Helvetica" w:cs="Helvetica"/>
        </w:rPr>
      </w:pPr>
    </w:p>
    <w:p w:rsidR="000B4192" w:rsidRDefault="000B4192">
      <w:pPr>
        <w:rPr>
          <w:rFonts w:ascii="Helvetica" w:hAnsi="Helvetica" w:cs="Helvetica"/>
        </w:rPr>
      </w:pPr>
      <w:r>
        <w:rPr>
          <w:rFonts w:ascii="Helvetica" w:hAnsi="Helvetica" w:cs="Helvetica"/>
        </w:rPr>
        <w:br w:type="page"/>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157276">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157276">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157276">
        <w:trPr>
          <w:trHeight w:val="440"/>
        </w:trPr>
        <w:tc>
          <w:tcPr>
            <w:tcW w:w="2655" w:type="dxa"/>
          </w:tcPr>
          <w:p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157276">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157276">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157276">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157276">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157276">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157276">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C5065C" w:rsidRDefault="00C5065C" w:rsidP="00C5065C">
            <w:pPr>
              <w:rPr>
                <w:rFonts w:ascii="Helvetica" w:hAnsi="Helvetica" w:cs="Helvetica"/>
                <w:b/>
                <w:lang w:val="en-GB"/>
              </w:rPr>
            </w:pPr>
          </w:p>
          <w:p w:rsidR="00F26D04" w:rsidRPr="00C055A5" w:rsidRDefault="00F26D04" w:rsidP="00C5065C">
            <w:pPr>
              <w:rPr>
                <w:rFonts w:ascii="Helvetica" w:hAnsi="Helvetica" w:cs="Helvetica"/>
                <w:b/>
                <w:lang w:val="en-GB"/>
              </w:rPr>
            </w:pPr>
          </w:p>
        </w:tc>
      </w:tr>
      <w:tr w:rsidR="00C5065C" w:rsidRPr="00C055A5" w:rsidTr="00157276">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157276">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w:t>
      </w:r>
      <w:r w:rsidR="00ED052D">
        <w:rPr>
          <w:rFonts w:ascii="Helvetica" w:hAnsi="Helvetica" w:cs="Helvetica"/>
          <w:lang w:val="en-GB"/>
        </w:rPr>
        <w:t xml:space="preserve"> </w:t>
      </w:r>
      <w:r w:rsidR="00FB3AC1">
        <w:rPr>
          <w:rFonts w:ascii="Helvetica" w:hAnsi="Helvetica" w:cs="Helvetica"/>
          <w:lang w:val="en-GB"/>
        </w:rPr>
        <w:t>22</w:t>
      </w:r>
      <w:r w:rsidR="00FB3AC1">
        <w:rPr>
          <w:rFonts w:ascii="Helvetica" w:hAnsi="Helvetica" w:cs="Helvetica"/>
          <w:vertAlign w:val="superscript"/>
          <w:lang w:val="en-GB"/>
        </w:rPr>
        <w:t>nd</w:t>
      </w:r>
      <w:r w:rsidR="00A24B37">
        <w:rPr>
          <w:rFonts w:ascii="Helvetica" w:hAnsi="Helvetica" w:cs="Helvetica"/>
          <w:lang w:val="en-GB"/>
        </w:rPr>
        <w:t xml:space="preserve"> </w:t>
      </w:r>
      <w:r w:rsidR="00FB3AC1">
        <w:rPr>
          <w:rFonts w:ascii="Helvetica" w:hAnsi="Helvetica" w:cs="Helvetica"/>
          <w:lang w:val="en-GB"/>
        </w:rPr>
        <w:t>August</w:t>
      </w:r>
      <w:r w:rsidR="00ED052D">
        <w:rPr>
          <w:rFonts w:ascii="Helvetica" w:hAnsi="Helvetica" w:cs="Helvetica"/>
          <w:lang w:val="en-GB"/>
        </w:rPr>
        <w:t xml:space="preserve"> 201</w:t>
      </w:r>
      <w:r w:rsidR="00430E9C">
        <w:rPr>
          <w:rFonts w:ascii="Helvetica" w:hAnsi="Helvetica" w:cs="Helvetica"/>
          <w:lang w:val="en-GB"/>
        </w:rPr>
        <w:t>9</w:t>
      </w:r>
      <w:r w:rsidR="001E4CFE">
        <w:rPr>
          <w:rFonts w:ascii="Helvetica" w:hAnsi="Helvetica" w:cs="Helvetica"/>
          <w:lang w:val="en-GB"/>
        </w:rPr>
        <w:t xml:space="preserve">                     </w:t>
      </w:r>
    </w:p>
    <w:p w:rsidR="00BD273C" w:rsidRDefault="00BD273C"/>
    <w:tbl>
      <w:tblPr>
        <w:tblW w:w="1047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1884"/>
        <w:gridCol w:w="2154"/>
        <w:gridCol w:w="1856"/>
      </w:tblGrid>
      <w:tr w:rsidR="00BD273C" w:rsidRPr="008F18BE" w:rsidTr="005D4F27">
        <w:trPr>
          <w:trHeight w:val="524"/>
        </w:trPr>
        <w:tc>
          <w:tcPr>
            <w:tcW w:w="4576" w:type="dxa"/>
            <w:shd w:val="clear" w:color="auto" w:fill="C0C0C0"/>
            <w:vAlign w:val="center"/>
          </w:tcPr>
          <w:p w:rsidR="00BD273C" w:rsidRPr="008F18BE" w:rsidRDefault="00BD273C" w:rsidP="00157276">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1884" w:type="dxa"/>
            <w:shd w:val="clear" w:color="auto" w:fill="C0C0C0"/>
            <w:vAlign w:val="center"/>
          </w:tcPr>
          <w:p w:rsidR="00BD273C" w:rsidRPr="008F18BE" w:rsidRDefault="00BD273C" w:rsidP="00157276">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154" w:type="dxa"/>
            <w:shd w:val="clear" w:color="auto" w:fill="C0C0C0"/>
            <w:vAlign w:val="center"/>
          </w:tcPr>
          <w:p w:rsidR="00BD273C" w:rsidRPr="008F18BE" w:rsidRDefault="00BD273C" w:rsidP="00157276">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856" w:type="dxa"/>
            <w:shd w:val="clear" w:color="auto" w:fill="C0C0C0"/>
            <w:vAlign w:val="center"/>
          </w:tcPr>
          <w:p w:rsidR="00BD273C" w:rsidRPr="008F18BE" w:rsidRDefault="00BD273C" w:rsidP="00157276">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Holdings, Inc.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BR Jersey International Holdings L.P.</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HK Holdco Limited</w:t>
            </w:r>
          </w:p>
        </w:tc>
        <w:tc>
          <w:tcPr>
            <w:tcW w:w="1884" w:type="dxa"/>
            <w:shd w:val="clear" w:color="auto" w:fill="auto"/>
          </w:tcPr>
          <w:p w:rsidR="00B1102F" w:rsidRPr="00C949B0" w:rsidRDefault="00B1102F" w:rsidP="00B1102F">
            <w:pPr>
              <w:jc w:val="center"/>
              <w:rPr>
                <w:rFonts w:ascii="Helvetica" w:hAnsi="Helvetica" w:cs="Helvetica"/>
                <w:sz w:val="20"/>
                <w:szCs w:val="20"/>
                <w:lang w:val="en-GB"/>
              </w:rPr>
            </w:pPr>
          </w:p>
        </w:tc>
        <w:tc>
          <w:tcPr>
            <w:tcW w:w="2154" w:type="dxa"/>
            <w:shd w:val="clear" w:color="auto" w:fill="auto"/>
          </w:tcPr>
          <w:p w:rsidR="00B1102F" w:rsidRPr="00C949B0" w:rsidRDefault="00B1102F" w:rsidP="00B1102F">
            <w:pPr>
              <w:jc w:val="center"/>
              <w:rPr>
                <w:rFonts w:ascii="Helvetica" w:hAnsi="Helvetica" w:cs="Helvetica"/>
                <w:sz w:val="20"/>
                <w:szCs w:val="20"/>
                <w:lang w:val="en-GB"/>
              </w:rPr>
            </w:pPr>
          </w:p>
        </w:tc>
        <w:tc>
          <w:tcPr>
            <w:tcW w:w="1856" w:type="dxa"/>
            <w:shd w:val="clear" w:color="auto" w:fill="auto"/>
          </w:tcPr>
          <w:p w:rsidR="00B1102F" w:rsidRPr="00C949B0" w:rsidRDefault="00B1102F" w:rsidP="00B1102F">
            <w:pPr>
              <w:jc w:val="cente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xml:space="preserve">BlackRock Lux </w:t>
            </w:r>
            <w:proofErr w:type="spellStart"/>
            <w:r>
              <w:rPr>
                <w:rFonts w:ascii="Arial" w:hAnsi="Arial" w:cs="Arial"/>
                <w:sz w:val="16"/>
                <w:szCs w:val="16"/>
              </w:rPr>
              <w:t>Finco</w:t>
            </w:r>
            <w:proofErr w:type="spellEnd"/>
            <w:r>
              <w:rPr>
                <w:rFonts w:ascii="Arial" w:hAnsi="Arial" w:cs="Arial"/>
                <w:sz w:val="16"/>
                <w:szCs w:val="16"/>
              </w:rPr>
              <w:t xml:space="preserve"> </w:t>
            </w:r>
            <w:proofErr w:type="spellStart"/>
            <w:r>
              <w:rPr>
                <w:rFonts w:ascii="Arial" w:hAnsi="Arial" w:cs="Arial"/>
                <w:sz w:val="16"/>
                <w:szCs w:val="16"/>
              </w:rPr>
              <w:t>S.a.r.l</w:t>
            </w:r>
            <w:proofErr w:type="spellEnd"/>
            <w:r>
              <w:rPr>
                <w:rFonts w:ascii="Arial" w:hAnsi="Arial" w:cs="Arial"/>
                <w:sz w:val="16"/>
                <w:szCs w:val="16"/>
              </w:rPr>
              <w:t xml:space="preserve">. </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Japan Holdings GK</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Japan Co., Ltd.</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Trident Merger, LLC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Investment Management, LLC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Holdings, Inc.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BR Jersey International Holdings L.P.</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3, LLC</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Cayman 1 LP</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Cayman West Bay IV Limited</w:t>
            </w:r>
          </w:p>
        </w:tc>
        <w:tc>
          <w:tcPr>
            <w:tcW w:w="1884" w:type="dxa"/>
            <w:shd w:val="clear" w:color="auto" w:fill="auto"/>
          </w:tcPr>
          <w:p w:rsidR="00B1102F" w:rsidRPr="00C949B0" w:rsidRDefault="00B1102F" w:rsidP="00B1102F">
            <w:pPr>
              <w:rPr>
                <w:rFonts w:ascii="Helvetica" w:hAnsi="Helvetica" w:cs="Helvetica"/>
                <w:sz w:val="20"/>
                <w:szCs w:val="20"/>
                <w:lang w:val="en-GB"/>
              </w:rPr>
            </w:pPr>
          </w:p>
        </w:tc>
        <w:tc>
          <w:tcPr>
            <w:tcW w:w="2154" w:type="dxa"/>
            <w:shd w:val="clear" w:color="auto" w:fill="auto"/>
          </w:tcPr>
          <w:p w:rsidR="00B1102F" w:rsidRPr="00C949B0" w:rsidRDefault="00B1102F" w:rsidP="00B1102F">
            <w:pPr>
              <w:rPr>
                <w:rFonts w:ascii="Helvetica" w:hAnsi="Helvetica" w:cs="Helvetica"/>
                <w:sz w:val="20"/>
                <w:szCs w:val="20"/>
                <w:lang w:val="en-GB"/>
              </w:rPr>
            </w:pPr>
          </w:p>
        </w:tc>
        <w:tc>
          <w:tcPr>
            <w:tcW w:w="1856" w:type="dxa"/>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Group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lastRenderedPageBreak/>
              <w:t>BlackRock Finance Europe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1E1484"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1E1484" w:rsidRDefault="001E1484" w:rsidP="001E1484">
            <w:pPr>
              <w:rPr>
                <w:rFonts w:ascii="Arial" w:hAnsi="Arial" w:cs="Arial"/>
                <w:sz w:val="16"/>
                <w:szCs w:val="16"/>
              </w:rPr>
            </w:pPr>
            <w:r>
              <w:rPr>
                <w:rFonts w:ascii="Arial" w:hAnsi="Arial" w:cs="Arial"/>
                <w:sz w:val="16"/>
                <w:szCs w:val="16"/>
              </w:rPr>
              <w:t>BlackRock Investment Management (UK)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1E1484" w:rsidRDefault="00B76283" w:rsidP="001E1484">
            <w:pPr>
              <w:jc w:val="center"/>
              <w:rPr>
                <w:rFonts w:ascii="Helvetica" w:hAnsi="Helvetica" w:cs="Helvetica"/>
                <w:sz w:val="20"/>
                <w:szCs w:val="20"/>
                <w:lang w:val="en-GB"/>
              </w:rPr>
            </w:pPr>
            <w:r>
              <w:rPr>
                <w:rFonts w:ascii="Helvetica" w:hAnsi="Helvetica" w:cs="Helvetica"/>
                <w:sz w:val="20"/>
                <w:szCs w:val="20"/>
                <w:lang w:val="en-GB"/>
              </w:rPr>
              <w:t>3.</w:t>
            </w:r>
            <w:r w:rsidR="00FB3AC1">
              <w:rPr>
                <w:rFonts w:ascii="Helvetica" w:hAnsi="Helvetica" w:cs="Helvetica"/>
                <w:sz w:val="20"/>
                <w:szCs w:val="20"/>
                <w:lang w:val="en-GB"/>
              </w:rPr>
              <w:t>24</w:t>
            </w:r>
            <w:r w:rsidR="001E1484">
              <w:rPr>
                <w:rFonts w:ascii="Helvetica" w:hAnsi="Helvetica" w:cs="Helvetica"/>
                <w:sz w:val="20"/>
                <w:szCs w:val="20"/>
                <w:lang w:val="en-GB"/>
              </w:rPr>
              <w:t>%</w:t>
            </w: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1E1484" w:rsidRDefault="001E1484" w:rsidP="001E1484">
            <w:pPr>
              <w:jc w:val="center"/>
              <w:rPr>
                <w:rFonts w:ascii="Helvetica" w:hAnsi="Helvetica" w:cs="Helvetica"/>
                <w:sz w:val="20"/>
                <w:szCs w:val="20"/>
                <w:lang w:val="en-GB"/>
              </w:rPr>
            </w:pPr>
            <w:r>
              <w:rPr>
                <w:rFonts w:ascii="Helvetica" w:hAnsi="Helvetica" w:cs="Helvetica"/>
                <w:sz w:val="20"/>
                <w:szCs w:val="20"/>
                <w:lang w:val="en-GB"/>
              </w:rPr>
              <w:t>0.0</w:t>
            </w:r>
            <w:r w:rsidR="00FB3AC1">
              <w:rPr>
                <w:rFonts w:ascii="Helvetica" w:hAnsi="Helvetica" w:cs="Helvetica"/>
                <w:sz w:val="20"/>
                <w:szCs w:val="20"/>
                <w:lang w:val="en-GB"/>
              </w:rPr>
              <w:t>2</w:t>
            </w:r>
            <w:r>
              <w:rPr>
                <w:rFonts w:ascii="Helvetica" w:hAnsi="Helvetica" w:cs="Helvetica"/>
                <w:sz w:val="20"/>
                <w:szCs w:val="20"/>
                <w:lang w:val="en-GB"/>
              </w:rPr>
              <w:t>%</w:t>
            </w: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1E1484" w:rsidRDefault="00B76283" w:rsidP="001E1484">
            <w:pPr>
              <w:jc w:val="center"/>
              <w:rPr>
                <w:rFonts w:ascii="Helvetica" w:hAnsi="Helvetica" w:cs="Helvetica"/>
                <w:sz w:val="20"/>
                <w:szCs w:val="20"/>
                <w:lang w:val="en-GB"/>
              </w:rPr>
            </w:pPr>
            <w:r>
              <w:rPr>
                <w:rFonts w:ascii="Helvetica" w:hAnsi="Helvetica" w:cs="Helvetica"/>
                <w:sz w:val="20"/>
                <w:szCs w:val="20"/>
                <w:lang w:val="en-GB"/>
              </w:rPr>
              <w:t>3.</w:t>
            </w:r>
            <w:r w:rsidR="00FB3AC1">
              <w:rPr>
                <w:rFonts w:ascii="Helvetica" w:hAnsi="Helvetica" w:cs="Helvetica"/>
                <w:sz w:val="20"/>
                <w:szCs w:val="20"/>
                <w:lang w:val="en-GB"/>
              </w:rPr>
              <w:t>27</w:t>
            </w:r>
            <w:r w:rsidR="001E1484">
              <w:rPr>
                <w:rFonts w:ascii="Helvetica" w:hAnsi="Helvetica" w:cs="Helvetica"/>
                <w:sz w:val="20"/>
                <w:szCs w:val="20"/>
                <w:lang w:val="en-GB"/>
              </w:rPr>
              <w:t>%</w:t>
            </w: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Australia Holdco Pty. Ltd.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Investment Management (Australia)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3,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Cayman 1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Cayman West Bay IV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Group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4,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6,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Delaware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lastRenderedPageBreak/>
              <w:t>BlackRock Institutional Trust Company, National Association</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4,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6,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Delaware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Fund Advisors</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HK Holdco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Asset Management North Asia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3,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lastRenderedPageBreak/>
              <w:t>BlackRock Cayman 1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Cayman West Bay IV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Group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Finance Europe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Investment Management (UK)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Asset Management Deutschland AG</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3,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Canada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Canada Holdings ULC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Asset Management Canada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Capital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Advisors,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lastRenderedPageBreak/>
              <w:t>BlackRock Holdco 3,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Cayman 1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Cayman West Bay IV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Group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Finance Europe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Advisors (UK)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5D4F27">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(Singapore)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2,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Financial Management,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International Holdings, Inc.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BR Jersey International Holdings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Holdco 3, LLC</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Cayman 1 LP</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Cayman West Bay IV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Group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Finance Europe Limited</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r>
              <w:rPr>
                <w:rFonts w:ascii="Arial" w:hAnsi="Arial" w:cs="Arial"/>
                <w:sz w:val="16"/>
                <w:szCs w:val="16"/>
              </w:rPr>
              <w:t>BlackRock (Netherlands) B.V.</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r w:rsidR="00B1102F" w:rsidRPr="00C949B0" w:rsidTr="00157276">
        <w:trPr>
          <w:trHeight w:val="267"/>
        </w:trPr>
        <w:tc>
          <w:tcPr>
            <w:tcW w:w="4576" w:type="dxa"/>
            <w:tcBorders>
              <w:top w:val="single" w:sz="4" w:space="0" w:color="auto"/>
              <w:left w:val="single" w:sz="4" w:space="0" w:color="auto"/>
              <w:bottom w:val="single" w:sz="4" w:space="0" w:color="auto"/>
              <w:right w:val="single" w:sz="4" w:space="0" w:color="auto"/>
            </w:tcBorders>
            <w:shd w:val="clear" w:color="auto" w:fill="auto"/>
            <w:vAlign w:val="bottom"/>
          </w:tcPr>
          <w:p w:rsidR="00B1102F" w:rsidRDefault="00B1102F" w:rsidP="00B1102F">
            <w:pPr>
              <w:rPr>
                <w:rFonts w:ascii="Arial" w:hAnsi="Arial" w:cs="Arial"/>
                <w:sz w:val="16"/>
                <w:szCs w:val="16"/>
              </w:rPr>
            </w:pP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2154"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c>
          <w:tcPr>
            <w:tcW w:w="1856" w:type="dxa"/>
            <w:tcBorders>
              <w:top w:val="single" w:sz="4" w:space="0" w:color="auto"/>
              <w:left w:val="single" w:sz="4" w:space="0" w:color="auto"/>
              <w:bottom w:val="single" w:sz="4" w:space="0" w:color="auto"/>
              <w:right w:val="single" w:sz="4" w:space="0" w:color="auto"/>
            </w:tcBorders>
            <w:shd w:val="clear" w:color="auto" w:fill="auto"/>
          </w:tcPr>
          <w:p w:rsidR="00B1102F" w:rsidRPr="00C949B0" w:rsidRDefault="00B1102F" w:rsidP="00B1102F">
            <w:pPr>
              <w:rPr>
                <w:rFonts w:ascii="Helvetica" w:hAnsi="Helvetica" w:cs="Helvetica"/>
                <w:sz w:val="20"/>
                <w:szCs w:val="20"/>
                <w:lang w:val="en-GB"/>
              </w:rPr>
            </w:pPr>
          </w:p>
        </w:tc>
      </w:tr>
    </w:tbl>
    <w:p w:rsidR="00C5065C" w:rsidRPr="00C055A5" w:rsidRDefault="00C5065C" w:rsidP="00D97D67">
      <w:pPr>
        <w:rPr>
          <w:rFonts w:ascii="Helvetica" w:hAnsi="Helvetica" w:cs="Helvetica"/>
          <w:b/>
          <w:bCs/>
          <w:lang w:val="en-GB"/>
        </w:rPr>
      </w:pPr>
      <w:r w:rsidRPr="00C055A5">
        <w:rPr>
          <w:rFonts w:ascii="Helvetica" w:hAnsi="Helvetica" w:cs="Helvetica"/>
          <w:b/>
          <w:bCs/>
          <w:lang w:val="en-GB"/>
        </w:rPr>
        <w:lastRenderedPageBreak/>
        <w:t>Notes</w:t>
      </w: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6813"/>
    <w:rsid w:val="00012454"/>
    <w:rsid w:val="00045841"/>
    <w:rsid w:val="000A3EBB"/>
    <w:rsid w:val="000A44F2"/>
    <w:rsid w:val="000B4192"/>
    <w:rsid w:val="000F47A3"/>
    <w:rsid w:val="001112EC"/>
    <w:rsid w:val="00114A89"/>
    <w:rsid w:val="00140807"/>
    <w:rsid w:val="0015068A"/>
    <w:rsid w:val="0015309D"/>
    <w:rsid w:val="00157276"/>
    <w:rsid w:val="0019062A"/>
    <w:rsid w:val="001961A0"/>
    <w:rsid w:val="001E1484"/>
    <w:rsid w:val="001E4CFE"/>
    <w:rsid w:val="002177A2"/>
    <w:rsid w:val="00221EE4"/>
    <w:rsid w:val="002772AA"/>
    <w:rsid w:val="002D7AA4"/>
    <w:rsid w:val="002E08F1"/>
    <w:rsid w:val="00305F7B"/>
    <w:rsid w:val="00347AA4"/>
    <w:rsid w:val="003C2D94"/>
    <w:rsid w:val="003D4C28"/>
    <w:rsid w:val="003F4B83"/>
    <w:rsid w:val="00413475"/>
    <w:rsid w:val="00414AE3"/>
    <w:rsid w:val="00430E9C"/>
    <w:rsid w:val="00485978"/>
    <w:rsid w:val="004A61D1"/>
    <w:rsid w:val="004F440A"/>
    <w:rsid w:val="00513F96"/>
    <w:rsid w:val="00521E70"/>
    <w:rsid w:val="00562726"/>
    <w:rsid w:val="005D4F27"/>
    <w:rsid w:val="005D78B3"/>
    <w:rsid w:val="005E2216"/>
    <w:rsid w:val="006325AB"/>
    <w:rsid w:val="006525C1"/>
    <w:rsid w:val="00654EDF"/>
    <w:rsid w:val="00692996"/>
    <w:rsid w:val="006A6352"/>
    <w:rsid w:val="006F06DB"/>
    <w:rsid w:val="0070184B"/>
    <w:rsid w:val="007170C1"/>
    <w:rsid w:val="00737B55"/>
    <w:rsid w:val="007424C8"/>
    <w:rsid w:val="00763EEB"/>
    <w:rsid w:val="00783F8A"/>
    <w:rsid w:val="00795C4F"/>
    <w:rsid w:val="007C162B"/>
    <w:rsid w:val="008364C8"/>
    <w:rsid w:val="008547B6"/>
    <w:rsid w:val="008778CE"/>
    <w:rsid w:val="008810DA"/>
    <w:rsid w:val="008F18BE"/>
    <w:rsid w:val="008F4DDB"/>
    <w:rsid w:val="00915FFE"/>
    <w:rsid w:val="009217C6"/>
    <w:rsid w:val="009D45FF"/>
    <w:rsid w:val="00A24B37"/>
    <w:rsid w:val="00A2502D"/>
    <w:rsid w:val="00A51AC4"/>
    <w:rsid w:val="00A62353"/>
    <w:rsid w:val="00A65D90"/>
    <w:rsid w:val="00A66B59"/>
    <w:rsid w:val="00AA7DAF"/>
    <w:rsid w:val="00AB1483"/>
    <w:rsid w:val="00AD2869"/>
    <w:rsid w:val="00B1102F"/>
    <w:rsid w:val="00B40014"/>
    <w:rsid w:val="00B47EB3"/>
    <w:rsid w:val="00B76283"/>
    <w:rsid w:val="00B878F3"/>
    <w:rsid w:val="00BA3754"/>
    <w:rsid w:val="00BA42D8"/>
    <w:rsid w:val="00BA72A7"/>
    <w:rsid w:val="00BD273C"/>
    <w:rsid w:val="00BF42BF"/>
    <w:rsid w:val="00C055A5"/>
    <w:rsid w:val="00C5065C"/>
    <w:rsid w:val="00CF04D8"/>
    <w:rsid w:val="00D1438C"/>
    <w:rsid w:val="00D2326B"/>
    <w:rsid w:val="00D2417E"/>
    <w:rsid w:val="00D31F60"/>
    <w:rsid w:val="00D363B8"/>
    <w:rsid w:val="00D93925"/>
    <w:rsid w:val="00D97D67"/>
    <w:rsid w:val="00DD3015"/>
    <w:rsid w:val="00DE1D88"/>
    <w:rsid w:val="00E32783"/>
    <w:rsid w:val="00E75A2B"/>
    <w:rsid w:val="00EA02FE"/>
    <w:rsid w:val="00EC3CB9"/>
    <w:rsid w:val="00ED052D"/>
    <w:rsid w:val="00F21891"/>
    <w:rsid w:val="00F21FBB"/>
    <w:rsid w:val="00F26D04"/>
    <w:rsid w:val="00F32B37"/>
    <w:rsid w:val="00F35798"/>
    <w:rsid w:val="00F76081"/>
    <w:rsid w:val="00FA40D2"/>
    <w:rsid w:val="00FB3AC1"/>
    <w:rsid w:val="00FB53D2"/>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73394">
      <w:bodyDiv w:val="1"/>
      <w:marLeft w:val="0"/>
      <w:marRight w:val="0"/>
      <w:marTop w:val="0"/>
      <w:marBottom w:val="0"/>
      <w:divBdr>
        <w:top w:val="none" w:sz="0" w:space="0" w:color="auto"/>
        <w:left w:val="none" w:sz="0" w:space="0" w:color="auto"/>
        <w:bottom w:val="none" w:sz="0" w:space="0" w:color="auto"/>
        <w:right w:val="none" w:sz="0" w:space="0" w:color="auto"/>
      </w:divBdr>
    </w:div>
    <w:div w:id="227544454">
      <w:bodyDiv w:val="1"/>
      <w:marLeft w:val="0"/>
      <w:marRight w:val="0"/>
      <w:marTop w:val="0"/>
      <w:marBottom w:val="0"/>
      <w:divBdr>
        <w:top w:val="none" w:sz="0" w:space="0" w:color="auto"/>
        <w:left w:val="none" w:sz="0" w:space="0" w:color="auto"/>
        <w:bottom w:val="none" w:sz="0" w:space="0" w:color="auto"/>
        <w:right w:val="none" w:sz="0" w:space="0" w:color="auto"/>
      </w:divBdr>
    </w:div>
    <w:div w:id="311762867">
      <w:bodyDiv w:val="1"/>
      <w:marLeft w:val="0"/>
      <w:marRight w:val="0"/>
      <w:marTop w:val="0"/>
      <w:marBottom w:val="0"/>
      <w:divBdr>
        <w:top w:val="none" w:sz="0" w:space="0" w:color="auto"/>
        <w:left w:val="none" w:sz="0" w:space="0" w:color="auto"/>
        <w:bottom w:val="none" w:sz="0" w:space="0" w:color="auto"/>
        <w:right w:val="none" w:sz="0" w:space="0" w:color="auto"/>
      </w:divBdr>
    </w:div>
    <w:div w:id="472021526">
      <w:bodyDiv w:val="1"/>
      <w:marLeft w:val="0"/>
      <w:marRight w:val="0"/>
      <w:marTop w:val="0"/>
      <w:marBottom w:val="0"/>
      <w:divBdr>
        <w:top w:val="none" w:sz="0" w:space="0" w:color="auto"/>
        <w:left w:val="none" w:sz="0" w:space="0" w:color="auto"/>
        <w:bottom w:val="none" w:sz="0" w:space="0" w:color="auto"/>
        <w:right w:val="none" w:sz="0" w:space="0" w:color="auto"/>
      </w:divBdr>
    </w:div>
    <w:div w:id="479157261">
      <w:bodyDiv w:val="1"/>
      <w:marLeft w:val="0"/>
      <w:marRight w:val="0"/>
      <w:marTop w:val="0"/>
      <w:marBottom w:val="0"/>
      <w:divBdr>
        <w:top w:val="none" w:sz="0" w:space="0" w:color="auto"/>
        <w:left w:val="none" w:sz="0" w:space="0" w:color="auto"/>
        <w:bottom w:val="none" w:sz="0" w:space="0" w:color="auto"/>
        <w:right w:val="none" w:sz="0" w:space="0" w:color="auto"/>
      </w:divBdr>
    </w:div>
    <w:div w:id="799764241">
      <w:bodyDiv w:val="1"/>
      <w:marLeft w:val="0"/>
      <w:marRight w:val="0"/>
      <w:marTop w:val="0"/>
      <w:marBottom w:val="0"/>
      <w:divBdr>
        <w:top w:val="none" w:sz="0" w:space="0" w:color="auto"/>
        <w:left w:val="none" w:sz="0" w:space="0" w:color="auto"/>
        <w:bottom w:val="none" w:sz="0" w:space="0" w:color="auto"/>
        <w:right w:val="none" w:sz="0" w:space="0" w:color="auto"/>
      </w:divBdr>
    </w:div>
    <w:div w:id="829175555">
      <w:bodyDiv w:val="1"/>
      <w:marLeft w:val="0"/>
      <w:marRight w:val="0"/>
      <w:marTop w:val="0"/>
      <w:marBottom w:val="0"/>
      <w:divBdr>
        <w:top w:val="none" w:sz="0" w:space="0" w:color="auto"/>
        <w:left w:val="none" w:sz="0" w:space="0" w:color="auto"/>
        <w:bottom w:val="none" w:sz="0" w:space="0" w:color="auto"/>
        <w:right w:val="none" w:sz="0" w:space="0" w:color="auto"/>
      </w:divBdr>
    </w:div>
    <w:div w:id="832644519">
      <w:bodyDiv w:val="1"/>
      <w:marLeft w:val="0"/>
      <w:marRight w:val="0"/>
      <w:marTop w:val="0"/>
      <w:marBottom w:val="0"/>
      <w:divBdr>
        <w:top w:val="none" w:sz="0" w:space="0" w:color="auto"/>
        <w:left w:val="none" w:sz="0" w:space="0" w:color="auto"/>
        <w:bottom w:val="none" w:sz="0" w:space="0" w:color="auto"/>
        <w:right w:val="none" w:sz="0" w:space="0" w:color="auto"/>
      </w:divBdr>
    </w:div>
    <w:div w:id="837622084">
      <w:bodyDiv w:val="1"/>
      <w:marLeft w:val="0"/>
      <w:marRight w:val="0"/>
      <w:marTop w:val="0"/>
      <w:marBottom w:val="0"/>
      <w:divBdr>
        <w:top w:val="none" w:sz="0" w:space="0" w:color="auto"/>
        <w:left w:val="none" w:sz="0" w:space="0" w:color="auto"/>
        <w:bottom w:val="none" w:sz="0" w:space="0" w:color="auto"/>
        <w:right w:val="none" w:sz="0" w:space="0" w:color="auto"/>
      </w:divBdr>
    </w:div>
    <w:div w:id="1010060200">
      <w:bodyDiv w:val="1"/>
      <w:marLeft w:val="0"/>
      <w:marRight w:val="0"/>
      <w:marTop w:val="0"/>
      <w:marBottom w:val="0"/>
      <w:divBdr>
        <w:top w:val="none" w:sz="0" w:space="0" w:color="auto"/>
        <w:left w:val="none" w:sz="0" w:space="0" w:color="auto"/>
        <w:bottom w:val="none" w:sz="0" w:space="0" w:color="auto"/>
        <w:right w:val="none" w:sz="0" w:space="0" w:color="auto"/>
      </w:divBdr>
    </w:div>
    <w:div w:id="1030298276">
      <w:bodyDiv w:val="1"/>
      <w:marLeft w:val="0"/>
      <w:marRight w:val="0"/>
      <w:marTop w:val="0"/>
      <w:marBottom w:val="0"/>
      <w:divBdr>
        <w:top w:val="none" w:sz="0" w:space="0" w:color="auto"/>
        <w:left w:val="none" w:sz="0" w:space="0" w:color="auto"/>
        <w:bottom w:val="none" w:sz="0" w:space="0" w:color="auto"/>
        <w:right w:val="none" w:sz="0" w:space="0" w:color="auto"/>
      </w:divBdr>
    </w:div>
    <w:div w:id="1044594618">
      <w:bodyDiv w:val="1"/>
      <w:marLeft w:val="0"/>
      <w:marRight w:val="0"/>
      <w:marTop w:val="0"/>
      <w:marBottom w:val="0"/>
      <w:divBdr>
        <w:top w:val="none" w:sz="0" w:space="0" w:color="auto"/>
        <w:left w:val="none" w:sz="0" w:space="0" w:color="auto"/>
        <w:bottom w:val="none" w:sz="0" w:space="0" w:color="auto"/>
        <w:right w:val="none" w:sz="0" w:space="0" w:color="auto"/>
      </w:divBdr>
    </w:div>
    <w:div w:id="1082988776">
      <w:bodyDiv w:val="1"/>
      <w:marLeft w:val="0"/>
      <w:marRight w:val="0"/>
      <w:marTop w:val="0"/>
      <w:marBottom w:val="0"/>
      <w:divBdr>
        <w:top w:val="none" w:sz="0" w:space="0" w:color="auto"/>
        <w:left w:val="none" w:sz="0" w:space="0" w:color="auto"/>
        <w:bottom w:val="none" w:sz="0" w:space="0" w:color="auto"/>
        <w:right w:val="none" w:sz="0" w:space="0" w:color="auto"/>
      </w:divBdr>
    </w:div>
    <w:div w:id="1141848736">
      <w:bodyDiv w:val="1"/>
      <w:marLeft w:val="0"/>
      <w:marRight w:val="0"/>
      <w:marTop w:val="0"/>
      <w:marBottom w:val="0"/>
      <w:divBdr>
        <w:top w:val="none" w:sz="0" w:space="0" w:color="auto"/>
        <w:left w:val="none" w:sz="0" w:space="0" w:color="auto"/>
        <w:bottom w:val="none" w:sz="0" w:space="0" w:color="auto"/>
        <w:right w:val="none" w:sz="0" w:space="0" w:color="auto"/>
      </w:divBdr>
    </w:div>
    <w:div w:id="1327900949">
      <w:bodyDiv w:val="1"/>
      <w:marLeft w:val="0"/>
      <w:marRight w:val="0"/>
      <w:marTop w:val="0"/>
      <w:marBottom w:val="0"/>
      <w:divBdr>
        <w:top w:val="none" w:sz="0" w:space="0" w:color="auto"/>
        <w:left w:val="none" w:sz="0" w:space="0" w:color="auto"/>
        <w:bottom w:val="none" w:sz="0" w:space="0" w:color="auto"/>
        <w:right w:val="none" w:sz="0" w:space="0" w:color="auto"/>
      </w:divBdr>
    </w:div>
    <w:div w:id="1343119023">
      <w:bodyDiv w:val="1"/>
      <w:marLeft w:val="0"/>
      <w:marRight w:val="0"/>
      <w:marTop w:val="0"/>
      <w:marBottom w:val="0"/>
      <w:divBdr>
        <w:top w:val="none" w:sz="0" w:space="0" w:color="auto"/>
        <w:left w:val="none" w:sz="0" w:space="0" w:color="auto"/>
        <w:bottom w:val="none" w:sz="0" w:space="0" w:color="auto"/>
        <w:right w:val="none" w:sz="0" w:space="0" w:color="auto"/>
      </w:divBdr>
    </w:div>
    <w:div w:id="1532064673">
      <w:bodyDiv w:val="1"/>
      <w:marLeft w:val="0"/>
      <w:marRight w:val="0"/>
      <w:marTop w:val="0"/>
      <w:marBottom w:val="0"/>
      <w:divBdr>
        <w:top w:val="none" w:sz="0" w:space="0" w:color="auto"/>
        <w:left w:val="none" w:sz="0" w:space="0" w:color="auto"/>
        <w:bottom w:val="none" w:sz="0" w:space="0" w:color="auto"/>
        <w:right w:val="none" w:sz="0" w:space="0" w:color="auto"/>
      </w:divBdr>
    </w:div>
    <w:div w:id="1653095287">
      <w:bodyDiv w:val="1"/>
      <w:marLeft w:val="0"/>
      <w:marRight w:val="0"/>
      <w:marTop w:val="0"/>
      <w:marBottom w:val="0"/>
      <w:divBdr>
        <w:top w:val="none" w:sz="0" w:space="0" w:color="auto"/>
        <w:left w:val="none" w:sz="0" w:space="0" w:color="auto"/>
        <w:bottom w:val="none" w:sz="0" w:space="0" w:color="auto"/>
        <w:right w:val="none" w:sz="0" w:space="0" w:color="auto"/>
      </w:divBdr>
    </w:div>
    <w:div w:id="1740597708">
      <w:bodyDiv w:val="1"/>
      <w:marLeft w:val="0"/>
      <w:marRight w:val="0"/>
      <w:marTop w:val="0"/>
      <w:marBottom w:val="0"/>
      <w:divBdr>
        <w:top w:val="none" w:sz="0" w:space="0" w:color="auto"/>
        <w:left w:val="none" w:sz="0" w:space="0" w:color="auto"/>
        <w:bottom w:val="none" w:sz="0" w:space="0" w:color="auto"/>
        <w:right w:val="none" w:sz="0" w:space="0" w:color="auto"/>
      </w:divBdr>
    </w:div>
    <w:div w:id="1746493179">
      <w:bodyDiv w:val="1"/>
      <w:marLeft w:val="0"/>
      <w:marRight w:val="0"/>
      <w:marTop w:val="0"/>
      <w:marBottom w:val="0"/>
      <w:divBdr>
        <w:top w:val="none" w:sz="0" w:space="0" w:color="auto"/>
        <w:left w:val="none" w:sz="0" w:space="0" w:color="auto"/>
        <w:bottom w:val="none" w:sz="0" w:space="0" w:color="auto"/>
        <w:right w:val="none" w:sz="0" w:space="0" w:color="auto"/>
      </w:divBdr>
    </w:div>
    <w:div w:id="1956910742">
      <w:bodyDiv w:val="1"/>
      <w:marLeft w:val="0"/>
      <w:marRight w:val="0"/>
      <w:marTop w:val="0"/>
      <w:marBottom w:val="0"/>
      <w:divBdr>
        <w:top w:val="none" w:sz="0" w:space="0" w:color="auto"/>
        <w:left w:val="none" w:sz="0" w:space="0" w:color="auto"/>
        <w:bottom w:val="none" w:sz="0" w:space="0" w:color="auto"/>
        <w:right w:val="none" w:sz="0" w:space="0" w:color="auto"/>
      </w:divBdr>
    </w:div>
    <w:div w:id="2041083589">
      <w:bodyDiv w:val="1"/>
      <w:marLeft w:val="0"/>
      <w:marRight w:val="0"/>
      <w:marTop w:val="0"/>
      <w:marBottom w:val="0"/>
      <w:divBdr>
        <w:top w:val="none" w:sz="0" w:space="0" w:color="auto"/>
        <w:left w:val="none" w:sz="0" w:space="0" w:color="auto"/>
        <w:bottom w:val="none" w:sz="0" w:space="0" w:color="auto"/>
        <w:right w:val="none" w:sz="0" w:space="0" w:color="auto"/>
      </w:divBdr>
    </w:div>
    <w:div w:id="2114087964">
      <w:bodyDiv w:val="1"/>
      <w:marLeft w:val="0"/>
      <w:marRight w:val="0"/>
      <w:marTop w:val="0"/>
      <w:marBottom w:val="0"/>
      <w:divBdr>
        <w:top w:val="none" w:sz="0" w:space="0" w:color="auto"/>
        <w:left w:val="none" w:sz="0" w:space="0" w:color="auto"/>
        <w:bottom w:val="none" w:sz="0" w:space="0" w:color="auto"/>
        <w:right w:val="none" w:sz="0" w:space="0" w:color="auto"/>
      </w:divBdr>
    </w:div>
    <w:div w:id="214364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2019-08-22T14:14:05+00:00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AA342F-FA6E-4EC9-ACBB-EC70C347C57C}"/>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B65FA730-9234-4410-9158-A6D4E2599AD4}"/>
</file>

<file path=docProps/app.xml><?xml version="1.0" encoding="utf-8"?>
<Properties xmlns="http://schemas.openxmlformats.org/officeDocument/2006/extended-properties" xmlns:vt="http://schemas.openxmlformats.org/officeDocument/2006/docPropsVTypes">
  <Template>Normal.dotm</Template>
  <TotalTime>0</TotalTime>
  <Pages>10</Pages>
  <Words>2325</Words>
  <Characters>13257</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2019-08-22T14:06:00Z</dcterms:created>
  <dcterms:modified xsi:type="dcterms:W3CDTF">2019-08-22T14:06:00Z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2019-08-21_Kingspan Group PLC - Issuer.docx</vt:lpwstr>
  </property>
  <property fmtid="{D5CDD505-2E9C-101B-9397-08002B2CF9AE}" pid="10" name="IssuerID">
    <vt:lpwstr/>
  </property>
  <property fmtid="{D5CDD505-2E9C-101B-9397-08002B2CF9AE}" pid="11" name="JobContentType">
    <vt:lpwstr/>
  </property>
  <property fmtid="{D5CDD505-2E9C-101B-9397-08002B2CF9AE}" pid="12" name="Organisation">
    <vt:lpwstr/>
  </property>
  <property fmtid="{D5CDD505-2E9C-101B-9397-08002B2CF9AE}" pid="13" name="MediaServiceImageTags">
    <vt:lpwstr/>
  </property>
  <property fmtid="{D5CDD505-2E9C-101B-9397-08002B2CF9AE}" pid="14" name="JobType">
    <vt:lpwstr/>
  </property>
  <property fmtid="{D5CDD505-2E9C-101B-9397-08002B2CF9AE}" pid="15" name="Contact">
    <vt:lpwstr/>
  </property>
  <property fmtid="{D5CDD505-2E9C-101B-9397-08002B2CF9AE}" pid="17" name="IssuerName">
    <vt:lpwstr/>
  </property>
</Properties>
</file>