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5A5" w:rsidRDefault="00BA72A7" w:rsidP="00C055A5">
      <w:pPr>
        <w:ind w:left="-709"/>
        <w:rPr>
          <w:rFonts w:ascii="Helvetica" w:hAnsi="Helvetica" w:cs="Helvetica"/>
          <w:b/>
          <w:sz w:val="28"/>
          <w:szCs w:val="28"/>
          <w:lang w:val="en-GB"/>
        </w:rPr>
      </w:pPr>
      <w:r>
        <w:rPr>
          <w:rFonts w:ascii="Helvetica" w:hAnsi="Helvetica" w:cs="Helvetica"/>
          <w:b/>
          <w:sz w:val="28"/>
          <w:szCs w:val="28"/>
          <w:lang w:val="en-GB"/>
        </w:rPr>
        <w:t>Standard Form TR-1</w:t>
      </w:r>
    </w:p>
    <w:p w:rsidR="00C5065C" w:rsidRPr="00C055A5" w:rsidRDefault="00C5065C" w:rsidP="00C055A5">
      <w:pPr>
        <w:ind w:left="-709"/>
        <w:rPr>
          <w:rFonts w:ascii="Helvetica" w:hAnsi="Helvetica" w:cs="Helvetica"/>
          <w:b/>
          <w:sz w:val="28"/>
          <w:szCs w:val="28"/>
          <w:lang w:val="en-GB"/>
        </w:rPr>
      </w:pPr>
      <w:r w:rsidRPr="00C055A5">
        <w:rPr>
          <w:rFonts w:ascii="Helvetica" w:hAnsi="Helvetica" w:cs="Helvetica"/>
          <w:b/>
          <w:sz w:val="28"/>
          <w:szCs w:val="28"/>
          <w:lang w:val="en-GB"/>
        </w:rPr>
        <w:t>S</w:t>
      </w:r>
      <w:proofErr w:type="spellStart"/>
      <w:r w:rsidRPr="00C055A5">
        <w:rPr>
          <w:rFonts w:ascii="Helvetica" w:hAnsi="Helvetica" w:cs="Helvetica"/>
          <w:b/>
          <w:sz w:val="28"/>
          <w:szCs w:val="28"/>
          <w:lang w:val="en-US"/>
        </w:rPr>
        <w:t>tandard</w:t>
      </w:r>
      <w:proofErr w:type="spellEnd"/>
      <w:r w:rsidRPr="00C055A5">
        <w:rPr>
          <w:rFonts w:ascii="Helvetica" w:hAnsi="Helvetica" w:cs="Helvetica"/>
          <w:b/>
          <w:sz w:val="28"/>
          <w:szCs w:val="28"/>
          <w:lang w:val="en-US"/>
        </w:rPr>
        <w:t xml:space="preserve"> form for notification of major holdings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027"/>
        <w:gridCol w:w="97"/>
        <w:gridCol w:w="2313"/>
        <w:gridCol w:w="2126"/>
        <w:gridCol w:w="1933"/>
      </w:tblGrid>
      <w:tr w:rsidR="00C5065C" w:rsidRPr="00C055A5" w:rsidTr="00F1736C">
        <w:trPr>
          <w:trHeight w:val="422"/>
        </w:trPr>
        <w:tc>
          <w:tcPr>
            <w:tcW w:w="10620" w:type="dxa"/>
            <w:gridSpan w:val="6"/>
            <w:vAlign w:val="center"/>
          </w:tcPr>
          <w:p w:rsidR="00C5065C" w:rsidRPr="00C055A5" w:rsidRDefault="00C5065C" w:rsidP="000A44F2">
            <w:pPr>
              <w:rPr>
                <w:rFonts w:ascii="Helvetica" w:hAnsi="Helvetica" w:cs="Helvetica"/>
                <w:b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 xml:space="preserve">NOTIFICATION OF MAJOR HOLDINGS </w:t>
            </w:r>
            <w:r w:rsidRPr="00C055A5">
              <w:rPr>
                <w:rFonts w:ascii="Helvetica" w:hAnsi="Helvetica" w:cs="Helvetica"/>
                <w:bCs/>
                <w:lang w:val="en-GB"/>
              </w:rPr>
              <w:t xml:space="preserve">(to be sent to the relevant issuer </w:t>
            </w:r>
            <w:r w:rsidRPr="00C055A5">
              <w:rPr>
                <w:rFonts w:ascii="Helvetica" w:hAnsi="Helvetica" w:cs="Helvetica"/>
                <w:bCs/>
                <w:u w:val="single"/>
                <w:lang w:val="en-GB"/>
              </w:rPr>
              <w:t>and</w:t>
            </w:r>
            <w:r w:rsidRPr="00C055A5">
              <w:rPr>
                <w:rFonts w:ascii="Helvetica" w:hAnsi="Helvetica" w:cs="Helvetica"/>
                <w:bCs/>
                <w:lang w:val="en-GB"/>
              </w:rPr>
              <w:t xml:space="preserve"> to the</w:t>
            </w:r>
            <w:r w:rsidR="00F26D04">
              <w:rPr>
                <w:rFonts w:ascii="Helvetica" w:hAnsi="Helvetica" w:cs="Helvetica"/>
                <w:bCs/>
                <w:lang w:val="en-GB"/>
              </w:rPr>
              <w:t xml:space="preserve"> </w:t>
            </w:r>
            <w:r w:rsidR="000A44F2">
              <w:rPr>
                <w:rFonts w:ascii="Helvetica" w:hAnsi="Helvetica" w:cs="Helvetica"/>
                <w:bCs/>
                <w:lang w:val="en-GB"/>
              </w:rPr>
              <w:t xml:space="preserve">Central Bank of </w:t>
            </w:r>
            <w:proofErr w:type="gramStart"/>
            <w:r w:rsidR="000A44F2">
              <w:rPr>
                <w:rFonts w:ascii="Helvetica" w:hAnsi="Helvetica" w:cs="Helvetica"/>
                <w:bCs/>
                <w:lang w:val="en-GB"/>
              </w:rPr>
              <w:t>Ireland</w:t>
            </w:r>
            <w:r w:rsidRPr="00C055A5">
              <w:rPr>
                <w:rFonts w:ascii="Helvetica" w:hAnsi="Helvetica" w:cs="Helvetica"/>
                <w:bCs/>
                <w:lang w:val="en-GB"/>
              </w:rPr>
              <w:t>)</w:t>
            </w:r>
            <w:proofErr w:type="spellStart"/>
            <w:r w:rsidRPr="00C055A5">
              <w:rPr>
                <w:rFonts w:ascii="Helvetica" w:hAnsi="Helvetica" w:cs="Helvetica"/>
                <w:vertAlign w:val="superscript"/>
                <w:lang w:val="en-GB"/>
              </w:rPr>
              <w:t>i</w:t>
            </w:r>
            <w:proofErr w:type="spellEnd"/>
            <w:proofErr w:type="gramEnd"/>
          </w:p>
        </w:tc>
      </w:tr>
      <w:tr w:rsidR="00C5065C" w:rsidRPr="00C055A5" w:rsidTr="00C055A5">
        <w:trPr>
          <w:trHeight w:val="325"/>
        </w:trPr>
        <w:tc>
          <w:tcPr>
            <w:tcW w:w="10620" w:type="dxa"/>
            <w:gridSpan w:val="6"/>
            <w:tcBorders>
              <w:left w:val="nil"/>
              <w:right w:val="nil"/>
            </w:tcBorders>
            <w:vAlign w:val="center"/>
          </w:tcPr>
          <w:p w:rsidR="00C5065C" w:rsidRPr="00C055A5" w:rsidRDefault="00C5065C" w:rsidP="00C055A5">
            <w:pPr>
              <w:spacing w:after="0"/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F1736C">
        <w:trPr>
          <w:trHeight w:val="732"/>
        </w:trPr>
        <w:tc>
          <w:tcPr>
            <w:tcW w:w="10620" w:type="dxa"/>
            <w:gridSpan w:val="6"/>
            <w:vAlign w:val="center"/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 xml:space="preserve">1. Identity of the issuer or the underlying issuer of existing shares to which voting rights are </w:t>
            </w:r>
            <w:proofErr w:type="spellStart"/>
            <w:r w:rsidRPr="00C055A5">
              <w:rPr>
                <w:rFonts w:ascii="Helvetica" w:hAnsi="Helvetica" w:cs="Helvetica"/>
                <w:b/>
                <w:lang w:val="en-GB"/>
              </w:rPr>
              <w:t>attached</w:t>
            </w:r>
            <w:r w:rsidRPr="00C055A5">
              <w:rPr>
                <w:rFonts w:ascii="Helvetica" w:hAnsi="Helvetica" w:cs="Helvetica"/>
                <w:vertAlign w:val="superscript"/>
                <w:lang w:val="en-GB"/>
              </w:rPr>
              <w:t>ii</w:t>
            </w:r>
            <w:proofErr w:type="spellEnd"/>
            <w:r w:rsidRPr="00C055A5">
              <w:rPr>
                <w:rFonts w:ascii="Helvetica" w:hAnsi="Helvetica" w:cs="Helvetica"/>
                <w:b/>
                <w:lang w:val="en-GB"/>
              </w:rPr>
              <w:t>:</w:t>
            </w:r>
            <w:r w:rsidRPr="00C055A5">
              <w:rPr>
                <w:rFonts w:ascii="Helvetica" w:hAnsi="Helvetica" w:cs="Helvetica"/>
                <w:vertAlign w:val="superscript"/>
                <w:lang w:val="en-GB"/>
              </w:rPr>
              <w:t xml:space="preserve"> </w:t>
            </w:r>
            <w:r w:rsidR="00035F65">
              <w:rPr>
                <w:rFonts w:ascii="Helvetica" w:hAnsi="Helvetica" w:cs="Helvetica"/>
                <w:lang w:val="en-GB"/>
              </w:rPr>
              <w:t>Kingspan Group Plc</w:t>
            </w:r>
          </w:p>
          <w:p w:rsidR="00C5065C" w:rsidRPr="00C055A5" w:rsidRDefault="00C5065C" w:rsidP="00D2326B">
            <w:pPr>
              <w:spacing w:after="0"/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D2326B">
        <w:trPr>
          <w:trHeight w:val="2109"/>
        </w:trPr>
        <w:tc>
          <w:tcPr>
            <w:tcW w:w="10620" w:type="dxa"/>
            <w:gridSpan w:val="6"/>
            <w:vAlign w:val="center"/>
          </w:tcPr>
          <w:p w:rsidR="00C5065C" w:rsidRPr="00C055A5" w:rsidRDefault="00C5065C" w:rsidP="00C055A5">
            <w:pPr>
              <w:spacing w:line="240" w:lineRule="auto"/>
              <w:rPr>
                <w:rFonts w:ascii="Helvetica" w:hAnsi="Helvetica" w:cs="Helvetica"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 xml:space="preserve">2. Reason for the notification </w:t>
            </w:r>
            <w:r w:rsidRPr="00C055A5">
              <w:rPr>
                <w:rFonts w:ascii="Helvetica" w:hAnsi="Helvetica" w:cs="Helvetica"/>
                <w:lang w:val="en-GB"/>
              </w:rPr>
              <w:t>(please tick the appropriate box or boxes):</w:t>
            </w:r>
          </w:p>
          <w:p w:rsidR="00C5065C" w:rsidRPr="00C055A5" w:rsidRDefault="00035F65" w:rsidP="00C055A5">
            <w:pPr>
              <w:spacing w:after="100" w:line="240" w:lineRule="auto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[x</w:t>
            </w:r>
            <w:r w:rsidR="00C5065C" w:rsidRPr="00C055A5">
              <w:rPr>
                <w:rFonts w:ascii="Helvetica" w:hAnsi="Helvetica" w:cs="Helvetica"/>
                <w:lang w:val="en-GB"/>
              </w:rPr>
              <w:t>] An acquisition or disposal of voting rights</w:t>
            </w:r>
          </w:p>
          <w:p w:rsidR="00C5065C" w:rsidRPr="00C055A5" w:rsidRDefault="00C5065C" w:rsidP="00C055A5">
            <w:pPr>
              <w:spacing w:after="100" w:line="240" w:lineRule="auto"/>
              <w:rPr>
                <w:rFonts w:ascii="Helvetica" w:hAnsi="Helvetica" w:cs="Helvetica"/>
                <w:lang w:val="en-GB"/>
              </w:rPr>
            </w:pPr>
            <w:proofErr w:type="gramStart"/>
            <w:r w:rsidRPr="00C055A5">
              <w:rPr>
                <w:rFonts w:ascii="Helvetica" w:hAnsi="Helvetica" w:cs="Helvetica"/>
                <w:lang w:val="en-GB"/>
              </w:rPr>
              <w:t>[ ]</w:t>
            </w:r>
            <w:proofErr w:type="gramEnd"/>
            <w:r w:rsidRPr="00C055A5">
              <w:rPr>
                <w:rFonts w:ascii="Helvetica" w:hAnsi="Helvetica" w:cs="Helvetica"/>
                <w:lang w:val="en-GB"/>
              </w:rPr>
              <w:t xml:space="preserve"> An acquisition or disposal of financial instruments</w:t>
            </w:r>
          </w:p>
          <w:p w:rsidR="00C5065C" w:rsidRPr="00C055A5" w:rsidRDefault="00C5065C" w:rsidP="00C055A5">
            <w:pPr>
              <w:spacing w:after="100" w:line="240" w:lineRule="auto"/>
              <w:rPr>
                <w:rFonts w:ascii="Helvetica" w:hAnsi="Helvetica" w:cs="Helvetica"/>
                <w:lang w:val="en-GB"/>
              </w:rPr>
            </w:pPr>
            <w:proofErr w:type="gramStart"/>
            <w:r w:rsidRPr="00C055A5">
              <w:rPr>
                <w:rFonts w:ascii="Helvetica" w:hAnsi="Helvetica" w:cs="Helvetica"/>
                <w:lang w:val="en-GB"/>
              </w:rPr>
              <w:t>[ ]</w:t>
            </w:r>
            <w:proofErr w:type="gramEnd"/>
            <w:r w:rsidRPr="00C055A5">
              <w:rPr>
                <w:rFonts w:ascii="Helvetica" w:hAnsi="Helvetica" w:cs="Helvetica"/>
                <w:lang w:val="en-GB"/>
              </w:rPr>
              <w:t xml:space="preserve"> An event changing the breakdown of voting rights</w:t>
            </w:r>
          </w:p>
          <w:p w:rsidR="00C5065C" w:rsidRDefault="00C5065C" w:rsidP="00D2326B">
            <w:pPr>
              <w:spacing w:after="0" w:line="240" w:lineRule="auto"/>
              <w:rPr>
                <w:rFonts w:ascii="Helvetica" w:hAnsi="Helvetica" w:cs="Helvetica"/>
                <w:lang w:val="en-GB"/>
              </w:rPr>
            </w:pPr>
            <w:proofErr w:type="gramStart"/>
            <w:r w:rsidRPr="00C055A5">
              <w:rPr>
                <w:rFonts w:ascii="Helvetica" w:hAnsi="Helvetica" w:cs="Helvetica"/>
                <w:lang w:val="en-GB"/>
              </w:rPr>
              <w:t>[ ]</w:t>
            </w:r>
            <w:proofErr w:type="gramEnd"/>
            <w:r w:rsidRPr="00C055A5">
              <w:rPr>
                <w:rFonts w:ascii="Helvetica" w:hAnsi="Helvetica" w:cs="Helvetica"/>
                <w:lang w:val="en-GB"/>
              </w:rPr>
              <w:t xml:space="preserve"> Other (please specify)</w:t>
            </w:r>
            <w:r w:rsidRPr="00C055A5">
              <w:rPr>
                <w:rFonts w:ascii="Helvetica" w:hAnsi="Helvetica" w:cs="Helvetica"/>
                <w:vertAlign w:val="superscript"/>
                <w:lang w:val="en-GB"/>
              </w:rPr>
              <w:t>iii</w:t>
            </w:r>
            <w:r w:rsidRPr="00C055A5">
              <w:rPr>
                <w:rFonts w:ascii="Helvetica" w:hAnsi="Helvetica" w:cs="Helvetica"/>
                <w:lang w:val="en-GB"/>
              </w:rPr>
              <w:t>:</w:t>
            </w:r>
          </w:p>
          <w:p w:rsidR="00C055A5" w:rsidRPr="00C055A5" w:rsidRDefault="00C055A5" w:rsidP="00C055A5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F1736C">
        <w:trPr>
          <w:trHeight w:val="390"/>
        </w:trPr>
        <w:tc>
          <w:tcPr>
            <w:tcW w:w="10620" w:type="dxa"/>
            <w:gridSpan w:val="6"/>
            <w:tcBorders>
              <w:bottom w:val="nil"/>
            </w:tcBorders>
            <w:vAlign w:val="center"/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 xml:space="preserve">3. Details of person subject to the notification </w:t>
            </w:r>
            <w:proofErr w:type="spellStart"/>
            <w:proofErr w:type="gramStart"/>
            <w:r w:rsidRPr="00C055A5">
              <w:rPr>
                <w:rFonts w:ascii="Helvetica" w:hAnsi="Helvetica" w:cs="Helvetica"/>
                <w:b/>
                <w:lang w:val="en-GB"/>
              </w:rPr>
              <w:t>obligation</w:t>
            </w:r>
            <w:r w:rsidRPr="00C055A5">
              <w:rPr>
                <w:rFonts w:ascii="Helvetica" w:hAnsi="Helvetica" w:cs="Helvetica"/>
                <w:vertAlign w:val="superscript"/>
                <w:lang w:val="en-GB"/>
              </w:rPr>
              <w:t>iv</w:t>
            </w:r>
            <w:proofErr w:type="spellEnd"/>
            <w:r w:rsidRPr="00C055A5">
              <w:rPr>
                <w:rFonts w:ascii="Helvetica" w:hAnsi="Helvetica" w:cs="Helvetica"/>
                <w:lang w:val="en-GB"/>
              </w:rPr>
              <w:t xml:space="preserve"> </w:t>
            </w:r>
            <w:r w:rsidRPr="00C055A5">
              <w:rPr>
                <w:rFonts w:ascii="Helvetica" w:hAnsi="Helvetica" w:cs="Helvetica"/>
                <w:b/>
                <w:lang w:val="en-GB"/>
              </w:rPr>
              <w:t>:</w:t>
            </w:r>
            <w:proofErr w:type="gramEnd"/>
            <w:r w:rsidRPr="00C055A5">
              <w:rPr>
                <w:rFonts w:ascii="Helvetica" w:hAnsi="Helvetica" w:cs="Helvetica"/>
                <w:vertAlign w:val="superscript"/>
                <w:lang w:val="en-GB"/>
              </w:rPr>
              <w:t xml:space="preserve"> </w:t>
            </w:r>
          </w:p>
        </w:tc>
      </w:tr>
      <w:tr w:rsidR="00035F65" w:rsidRPr="00C055A5" w:rsidTr="00F1736C">
        <w:trPr>
          <w:trHeight w:val="390"/>
        </w:trPr>
        <w:tc>
          <w:tcPr>
            <w:tcW w:w="4151" w:type="dxa"/>
            <w:gridSpan w:val="2"/>
            <w:tcBorders>
              <w:top w:val="nil"/>
            </w:tcBorders>
          </w:tcPr>
          <w:p w:rsidR="00035F65" w:rsidRPr="00C055A5" w:rsidRDefault="00035F65" w:rsidP="00035F65">
            <w:pPr>
              <w:rPr>
                <w:rFonts w:ascii="Helvetica" w:hAnsi="Helvetica" w:cs="Helvetica"/>
                <w:lang w:val="en-GB"/>
              </w:rPr>
            </w:pPr>
            <w:r w:rsidRPr="00C055A5">
              <w:rPr>
                <w:rFonts w:ascii="Helvetica" w:hAnsi="Helvetica" w:cs="Helvetica"/>
                <w:lang w:val="en-GB"/>
              </w:rPr>
              <w:t>Name:</w:t>
            </w:r>
            <w:r>
              <w:rPr>
                <w:rFonts w:ascii="Helvetica" w:hAnsi="Helvetica" w:cs="Helvetica"/>
                <w:lang w:val="en-GB"/>
              </w:rPr>
              <w:t xml:space="preserve"> </w:t>
            </w:r>
            <w:r w:rsidRPr="008D0961">
              <w:rPr>
                <w:rFonts w:ascii="Helvetica" w:hAnsi="Helvetica" w:cs="Helvetica"/>
                <w:lang w:val="en-GB"/>
              </w:rPr>
              <w:t>Ameriprise Financial, Inc</w:t>
            </w:r>
          </w:p>
        </w:tc>
        <w:tc>
          <w:tcPr>
            <w:tcW w:w="6469" w:type="dxa"/>
            <w:gridSpan w:val="4"/>
            <w:tcBorders>
              <w:top w:val="nil"/>
            </w:tcBorders>
            <w:vAlign w:val="center"/>
          </w:tcPr>
          <w:p w:rsidR="00035F65" w:rsidRPr="00C055A5" w:rsidRDefault="00035F65" w:rsidP="00035F65">
            <w:pPr>
              <w:rPr>
                <w:rFonts w:ascii="Helvetica" w:hAnsi="Helvetica" w:cs="Helvetica"/>
                <w:lang w:val="en-GB"/>
              </w:rPr>
            </w:pPr>
            <w:r w:rsidRPr="00C055A5">
              <w:rPr>
                <w:rFonts w:ascii="Helvetica" w:hAnsi="Helvetica" w:cs="Helvetica"/>
                <w:lang w:val="en-GB"/>
              </w:rPr>
              <w:t>City and country of registered office (if applicable):</w:t>
            </w:r>
          </w:p>
          <w:p w:rsidR="00035F65" w:rsidRPr="00C055A5" w:rsidRDefault="00035F65" w:rsidP="00035F65">
            <w:pPr>
              <w:rPr>
                <w:rFonts w:ascii="Helvetica" w:hAnsi="Helvetica" w:cs="Helvetica"/>
                <w:lang w:val="en-GB"/>
              </w:rPr>
            </w:pPr>
            <w:r w:rsidRPr="008D0961">
              <w:rPr>
                <w:rFonts w:ascii="Helvetica" w:hAnsi="Helvetica" w:cs="Helvetica"/>
                <w:lang w:val="en-GB"/>
              </w:rPr>
              <w:t>Minneapolis, USA</w:t>
            </w:r>
          </w:p>
        </w:tc>
      </w:tr>
      <w:tr w:rsidR="00C5065C" w:rsidRPr="00C055A5" w:rsidTr="00F1736C">
        <w:trPr>
          <w:trHeight w:val="537"/>
        </w:trPr>
        <w:tc>
          <w:tcPr>
            <w:tcW w:w="10620" w:type="dxa"/>
            <w:gridSpan w:val="6"/>
            <w:vAlign w:val="center"/>
          </w:tcPr>
          <w:p w:rsidR="00C5065C" w:rsidRPr="009A4FBB" w:rsidRDefault="00C5065C" w:rsidP="00C5065C">
            <w:pPr>
              <w:rPr>
                <w:rFonts w:ascii="Helvetica" w:hAnsi="Helvetica" w:cs="Helvetica"/>
                <w:lang w:val="en-GB"/>
              </w:rPr>
            </w:pPr>
            <w:r w:rsidRPr="009A4FBB">
              <w:rPr>
                <w:rFonts w:ascii="Helvetica" w:hAnsi="Helvetica" w:cs="Helvetica"/>
                <w:b/>
                <w:lang w:val="en-GB"/>
              </w:rPr>
              <w:t>4. Full name of shareholder(s)</w:t>
            </w:r>
            <w:r w:rsidRPr="009A4FBB">
              <w:rPr>
                <w:rFonts w:ascii="Helvetica" w:hAnsi="Helvetica" w:cs="Helvetica"/>
                <w:lang w:val="en-GB"/>
              </w:rPr>
              <w:t xml:space="preserve"> (if different from 3</w:t>
            </w:r>
            <w:proofErr w:type="gramStart"/>
            <w:r w:rsidRPr="009A4FBB">
              <w:rPr>
                <w:rFonts w:ascii="Helvetica" w:hAnsi="Helvetica" w:cs="Helvetica"/>
                <w:lang w:val="en-GB"/>
              </w:rPr>
              <w:t>.)</w:t>
            </w:r>
            <w:r w:rsidRPr="009A4FBB">
              <w:rPr>
                <w:rFonts w:ascii="Helvetica" w:hAnsi="Helvetica" w:cs="Helvetica"/>
                <w:vertAlign w:val="superscript"/>
                <w:lang w:val="en-GB"/>
              </w:rPr>
              <w:t>v</w:t>
            </w:r>
            <w:proofErr w:type="gramEnd"/>
            <w:r w:rsidRPr="009A4FBB">
              <w:rPr>
                <w:rFonts w:ascii="Helvetica" w:hAnsi="Helvetica" w:cs="Helvetica"/>
                <w:lang w:val="en-GB"/>
              </w:rPr>
              <w:t>:</w:t>
            </w:r>
          </w:p>
          <w:p w:rsidR="00AF5059" w:rsidRPr="0085503E" w:rsidRDefault="00AF5059" w:rsidP="005B32BC">
            <w:pPr>
              <w:spacing w:after="0"/>
              <w:rPr>
                <w:rFonts w:ascii="Helvetica" w:hAnsi="Helvetica" w:cs="Helvetica"/>
                <w:color w:val="FF0000"/>
                <w:lang w:val="en-GB"/>
              </w:rPr>
            </w:pPr>
          </w:p>
        </w:tc>
      </w:tr>
      <w:tr w:rsidR="00C5065C" w:rsidRPr="00C055A5" w:rsidTr="00F1736C">
        <w:trPr>
          <w:trHeight w:val="419"/>
        </w:trPr>
        <w:tc>
          <w:tcPr>
            <w:tcW w:w="10620" w:type="dxa"/>
            <w:gridSpan w:val="6"/>
            <w:vAlign w:val="center"/>
          </w:tcPr>
          <w:p w:rsidR="00C055A5" w:rsidRDefault="00C5065C" w:rsidP="00BA72A7">
            <w:pPr>
              <w:rPr>
                <w:rFonts w:ascii="Helvetica" w:hAnsi="Helvetica" w:cs="Helvetica"/>
                <w:b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 xml:space="preserve">5. Date on which the threshold was crossed or </w:t>
            </w:r>
            <w:proofErr w:type="spellStart"/>
            <w:r w:rsidRPr="00C055A5">
              <w:rPr>
                <w:rFonts w:ascii="Helvetica" w:hAnsi="Helvetica" w:cs="Helvetica"/>
                <w:b/>
                <w:lang w:val="en-GB"/>
              </w:rPr>
              <w:t>reached</w:t>
            </w:r>
            <w:r w:rsidRPr="00C055A5">
              <w:rPr>
                <w:rFonts w:ascii="Helvetica" w:hAnsi="Helvetica" w:cs="Helvetica"/>
                <w:vertAlign w:val="superscript"/>
                <w:lang w:val="en-GB"/>
              </w:rPr>
              <w:t>vi</w:t>
            </w:r>
            <w:proofErr w:type="spellEnd"/>
            <w:r w:rsidRPr="00C055A5">
              <w:rPr>
                <w:rFonts w:ascii="Helvetica" w:hAnsi="Helvetica" w:cs="Helvetica"/>
                <w:b/>
                <w:lang w:val="en-GB"/>
              </w:rPr>
              <w:t>:</w:t>
            </w:r>
          </w:p>
          <w:p w:rsidR="00BA72A7" w:rsidRPr="00C055A5" w:rsidRDefault="00D8615A" w:rsidP="00B110A7">
            <w:pPr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01</w:t>
            </w:r>
            <w:r w:rsidR="00267F11">
              <w:rPr>
                <w:rFonts w:ascii="Helvetica" w:hAnsi="Helvetica" w:cs="Helvetica"/>
                <w:lang w:val="en-GB"/>
              </w:rPr>
              <w:t>/</w:t>
            </w:r>
            <w:r w:rsidR="00FB1DC3">
              <w:rPr>
                <w:rFonts w:ascii="Helvetica" w:hAnsi="Helvetica" w:cs="Helvetica"/>
                <w:lang w:val="en-GB"/>
              </w:rPr>
              <w:t>1</w:t>
            </w:r>
            <w:r>
              <w:rPr>
                <w:rFonts w:ascii="Helvetica" w:hAnsi="Helvetica" w:cs="Helvetica"/>
                <w:lang w:val="en-GB"/>
              </w:rPr>
              <w:t>1</w:t>
            </w:r>
            <w:r w:rsidR="00267F11">
              <w:rPr>
                <w:rFonts w:ascii="Helvetica" w:hAnsi="Helvetica" w:cs="Helvetica"/>
                <w:lang w:val="en-GB"/>
              </w:rPr>
              <w:t>/2019</w:t>
            </w:r>
          </w:p>
        </w:tc>
      </w:tr>
      <w:tr w:rsidR="00521E70" w:rsidRPr="00C055A5" w:rsidTr="00306839">
        <w:trPr>
          <w:trHeight w:val="419"/>
        </w:trPr>
        <w:tc>
          <w:tcPr>
            <w:tcW w:w="10620" w:type="dxa"/>
            <w:gridSpan w:val="6"/>
            <w:vAlign w:val="center"/>
          </w:tcPr>
          <w:p w:rsidR="00521E70" w:rsidRDefault="00521E70" w:rsidP="00521E70">
            <w:pPr>
              <w:rPr>
                <w:rFonts w:ascii="Helvetica" w:hAnsi="Helvetica" w:cs="Helvetica"/>
                <w:b/>
                <w:lang w:val="en-GB"/>
              </w:rPr>
            </w:pPr>
            <w:r>
              <w:rPr>
                <w:rFonts w:ascii="Helvetica" w:hAnsi="Helvetica" w:cs="Helvetica"/>
                <w:b/>
                <w:lang w:val="en-GB"/>
              </w:rPr>
              <w:t>6. Date on which issuer notified:</w:t>
            </w:r>
          </w:p>
          <w:p w:rsidR="00D2326B" w:rsidRPr="00C055A5" w:rsidRDefault="00FB1DC3" w:rsidP="00B110A7">
            <w:pPr>
              <w:rPr>
                <w:rFonts w:ascii="Helvetica" w:hAnsi="Helvetica" w:cs="Helvetica"/>
                <w:b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05</w:t>
            </w:r>
            <w:r w:rsidR="001759DB">
              <w:rPr>
                <w:rFonts w:ascii="Helvetica" w:hAnsi="Helvetica" w:cs="Helvetica"/>
                <w:lang w:val="en-GB"/>
              </w:rPr>
              <w:t>/</w:t>
            </w:r>
            <w:r>
              <w:rPr>
                <w:rFonts w:ascii="Helvetica" w:hAnsi="Helvetica" w:cs="Helvetica"/>
                <w:lang w:val="en-GB"/>
              </w:rPr>
              <w:t>11</w:t>
            </w:r>
            <w:r w:rsidR="00267F11">
              <w:rPr>
                <w:rFonts w:ascii="Helvetica" w:hAnsi="Helvetica" w:cs="Helvetica"/>
                <w:lang w:val="en-GB"/>
              </w:rPr>
              <w:t>/2019</w:t>
            </w:r>
          </w:p>
        </w:tc>
      </w:tr>
      <w:tr w:rsidR="00521E70" w:rsidRPr="00C055A5" w:rsidTr="00306839">
        <w:trPr>
          <w:trHeight w:val="419"/>
        </w:trPr>
        <w:tc>
          <w:tcPr>
            <w:tcW w:w="10620" w:type="dxa"/>
            <w:gridSpan w:val="6"/>
            <w:vAlign w:val="center"/>
          </w:tcPr>
          <w:p w:rsidR="00521E70" w:rsidRDefault="00521E70" w:rsidP="00BA72A7">
            <w:pPr>
              <w:rPr>
                <w:rFonts w:ascii="Helvetica" w:hAnsi="Helvetica" w:cs="Helvetica"/>
                <w:b/>
                <w:lang w:val="en-GB"/>
              </w:rPr>
            </w:pPr>
            <w:r>
              <w:rPr>
                <w:rFonts w:ascii="Helvetica" w:hAnsi="Helvetica" w:cs="Helvetica"/>
                <w:b/>
                <w:lang w:val="en-GB"/>
              </w:rPr>
              <w:t>7. Threshold(s) that is/are crossed or reached:</w:t>
            </w:r>
          </w:p>
          <w:p w:rsidR="00E91E14" w:rsidRPr="00E91E14" w:rsidRDefault="00E91E14" w:rsidP="00BA72A7">
            <w:pPr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 xml:space="preserve">Below: </w:t>
            </w:r>
            <w:r w:rsidR="00FB1DC3">
              <w:rPr>
                <w:rFonts w:ascii="Helvetica" w:hAnsi="Helvetica" w:cs="Helvetica"/>
                <w:lang w:val="en-GB"/>
              </w:rPr>
              <w:t>3</w:t>
            </w:r>
            <w:r w:rsidRPr="00E91E14">
              <w:rPr>
                <w:rFonts w:ascii="Helvetica" w:hAnsi="Helvetica" w:cs="Helvetica"/>
                <w:lang w:val="en-GB"/>
              </w:rPr>
              <w:t>.00%</w:t>
            </w:r>
          </w:p>
          <w:p w:rsidR="00D2326B" w:rsidRPr="00C055A5" w:rsidRDefault="00D2326B" w:rsidP="00D2326B">
            <w:pPr>
              <w:spacing w:after="0"/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C5065C" w:rsidRPr="00C055A5" w:rsidTr="00F1736C">
        <w:trPr>
          <w:trHeight w:val="555"/>
        </w:trPr>
        <w:tc>
          <w:tcPr>
            <w:tcW w:w="10620" w:type="dxa"/>
            <w:gridSpan w:val="6"/>
            <w:vAlign w:val="center"/>
          </w:tcPr>
          <w:p w:rsidR="00C5065C" w:rsidRPr="00C055A5" w:rsidRDefault="00521E70" w:rsidP="00C5065C">
            <w:pPr>
              <w:rPr>
                <w:rFonts w:ascii="Helvetica" w:hAnsi="Helvetica" w:cs="Helvetica"/>
                <w:b/>
                <w:lang w:val="en-GB"/>
              </w:rPr>
            </w:pPr>
            <w:r>
              <w:rPr>
                <w:rFonts w:ascii="Helvetica" w:hAnsi="Helvetica" w:cs="Helvetica"/>
                <w:b/>
                <w:lang w:val="en-GB"/>
              </w:rPr>
              <w:t>8</w:t>
            </w:r>
            <w:r w:rsidR="00C5065C" w:rsidRPr="00C055A5">
              <w:rPr>
                <w:rFonts w:ascii="Helvetica" w:hAnsi="Helvetica" w:cs="Helvetica"/>
                <w:b/>
                <w:lang w:val="en-GB"/>
              </w:rPr>
              <w:t>. Total positions of person(s) subject to the notification obligation:</w:t>
            </w:r>
          </w:p>
        </w:tc>
      </w:tr>
      <w:tr w:rsidR="00C5065C" w:rsidRPr="00C055A5" w:rsidTr="00F1736C">
        <w:trPr>
          <w:trHeight w:val="555"/>
        </w:trPr>
        <w:tc>
          <w:tcPr>
            <w:tcW w:w="2124" w:type="dxa"/>
            <w:vAlign w:val="center"/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5065C" w:rsidRPr="008F18BE" w:rsidRDefault="00C5065C" w:rsidP="00521E70">
            <w:pPr>
              <w:spacing w:after="100" w:line="240" w:lineRule="auto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>% of voting rights attached to shares (total of</w:t>
            </w:r>
            <w:r w:rsidR="00F26D04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 </w:t>
            </w:r>
            <w:r w:rsidR="00521E70">
              <w:rPr>
                <w:rFonts w:ascii="Helvetica" w:hAnsi="Helvetica" w:cs="Helvetica"/>
                <w:sz w:val="20"/>
                <w:szCs w:val="20"/>
                <w:lang w:val="en-GB"/>
              </w:rPr>
              <w:t>9</w:t>
            </w: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>.A)</w:t>
            </w:r>
          </w:p>
        </w:tc>
        <w:tc>
          <w:tcPr>
            <w:tcW w:w="2313" w:type="dxa"/>
            <w:vAlign w:val="center"/>
          </w:tcPr>
          <w:p w:rsidR="00C5065C" w:rsidRPr="008F18BE" w:rsidRDefault="00C5065C" w:rsidP="00521E70">
            <w:pPr>
              <w:spacing w:after="100" w:line="240" w:lineRule="auto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% of voting rights through financial instruments </w:t>
            </w: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br/>
              <w:t xml:space="preserve">(total of </w:t>
            </w:r>
            <w:r w:rsidR="00521E70">
              <w:rPr>
                <w:rFonts w:ascii="Helvetica" w:hAnsi="Helvetica" w:cs="Helvetica"/>
                <w:sz w:val="20"/>
                <w:szCs w:val="20"/>
                <w:lang w:val="en-GB"/>
              </w:rPr>
              <w:t>9</w:t>
            </w: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.B.1 + </w:t>
            </w:r>
            <w:r w:rsidR="00521E70">
              <w:rPr>
                <w:rFonts w:ascii="Helvetica" w:hAnsi="Helvetica" w:cs="Helvetica"/>
                <w:sz w:val="20"/>
                <w:szCs w:val="20"/>
                <w:lang w:val="en-GB"/>
              </w:rPr>
              <w:t>9</w:t>
            </w: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>.B.2)</w:t>
            </w:r>
          </w:p>
        </w:tc>
        <w:tc>
          <w:tcPr>
            <w:tcW w:w="2126" w:type="dxa"/>
            <w:vAlign w:val="center"/>
          </w:tcPr>
          <w:p w:rsidR="00C5065C" w:rsidRPr="008F18BE" w:rsidRDefault="00C5065C" w:rsidP="00521E70">
            <w:pPr>
              <w:spacing w:after="100" w:line="240" w:lineRule="auto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>Total of both in % (</w:t>
            </w:r>
            <w:r w:rsidR="00521E70">
              <w:rPr>
                <w:rFonts w:ascii="Helvetica" w:hAnsi="Helvetica" w:cs="Helvetica"/>
                <w:sz w:val="20"/>
                <w:szCs w:val="20"/>
                <w:lang w:val="en-GB"/>
              </w:rPr>
              <w:t>9</w:t>
            </w: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.A + </w:t>
            </w:r>
            <w:r w:rsidR="00521E70">
              <w:rPr>
                <w:rFonts w:ascii="Helvetica" w:hAnsi="Helvetica" w:cs="Helvetica"/>
                <w:sz w:val="20"/>
                <w:szCs w:val="20"/>
                <w:lang w:val="en-GB"/>
              </w:rPr>
              <w:t>9</w:t>
            </w: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>.B)</w:t>
            </w:r>
          </w:p>
        </w:tc>
        <w:tc>
          <w:tcPr>
            <w:tcW w:w="1933" w:type="dxa"/>
            <w:vAlign w:val="center"/>
          </w:tcPr>
          <w:p w:rsidR="00C5065C" w:rsidRPr="008F18BE" w:rsidRDefault="00C5065C" w:rsidP="00C055A5">
            <w:pPr>
              <w:spacing w:after="100" w:line="240" w:lineRule="auto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 xml:space="preserve">Total number of voting rights of </w:t>
            </w:r>
            <w:proofErr w:type="spellStart"/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>issuer</w:t>
            </w:r>
            <w:r w:rsidRPr="008F18BE">
              <w:rPr>
                <w:rFonts w:ascii="Helvetica" w:hAnsi="Helvetica" w:cs="Helvetica"/>
                <w:sz w:val="20"/>
                <w:szCs w:val="20"/>
                <w:vertAlign w:val="superscript"/>
                <w:lang w:val="en-GB"/>
              </w:rPr>
              <w:t>vii</w:t>
            </w:r>
            <w:proofErr w:type="spellEnd"/>
          </w:p>
        </w:tc>
      </w:tr>
      <w:tr w:rsidR="00C5065C" w:rsidRPr="00C055A5" w:rsidTr="00F1736C">
        <w:trPr>
          <w:trHeight w:val="555"/>
        </w:trPr>
        <w:tc>
          <w:tcPr>
            <w:tcW w:w="2124" w:type="dxa"/>
            <w:vAlign w:val="center"/>
          </w:tcPr>
          <w:p w:rsidR="00C5065C" w:rsidRPr="008F18BE" w:rsidRDefault="00C5065C" w:rsidP="00C055A5">
            <w:pPr>
              <w:spacing w:line="240" w:lineRule="auto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t>Resulting situation on the date on which threshold was crossed or reached</w:t>
            </w:r>
          </w:p>
        </w:tc>
        <w:tc>
          <w:tcPr>
            <w:tcW w:w="2124" w:type="dxa"/>
            <w:gridSpan w:val="2"/>
            <w:vAlign w:val="center"/>
          </w:tcPr>
          <w:p w:rsidR="00C5065C" w:rsidRPr="00C055A5" w:rsidRDefault="00D8615A" w:rsidP="00026F31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2</w:t>
            </w:r>
            <w:r w:rsidR="00267F11">
              <w:rPr>
                <w:rFonts w:ascii="Helvetica" w:hAnsi="Helvetica" w:cs="Helvetica"/>
                <w:lang w:val="en-GB"/>
              </w:rPr>
              <w:t>.9</w:t>
            </w:r>
            <w:r>
              <w:rPr>
                <w:rFonts w:ascii="Helvetica" w:hAnsi="Helvetica" w:cs="Helvetica"/>
                <w:lang w:val="en-GB"/>
              </w:rPr>
              <w:t>4</w:t>
            </w:r>
            <w:r w:rsidR="00AE5EC7">
              <w:rPr>
                <w:rFonts w:ascii="Helvetica" w:hAnsi="Helvetica" w:cs="Helvetica"/>
                <w:lang w:val="en-GB"/>
              </w:rPr>
              <w:t>7</w:t>
            </w:r>
            <w:r w:rsidR="00E91E14">
              <w:rPr>
                <w:rFonts w:ascii="Helvetica" w:hAnsi="Helvetica" w:cs="Helvetica"/>
                <w:lang w:val="en-GB"/>
              </w:rPr>
              <w:t>%</w:t>
            </w:r>
          </w:p>
        </w:tc>
        <w:tc>
          <w:tcPr>
            <w:tcW w:w="2313" w:type="dxa"/>
            <w:vAlign w:val="center"/>
          </w:tcPr>
          <w:p w:rsidR="00C5065C" w:rsidRPr="00C055A5" w:rsidRDefault="00026F31" w:rsidP="00026F31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0%</w:t>
            </w:r>
          </w:p>
        </w:tc>
        <w:tc>
          <w:tcPr>
            <w:tcW w:w="2126" w:type="dxa"/>
            <w:vAlign w:val="center"/>
          </w:tcPr>
          <w:p w:rsidR="00C5065C" w:rsidRPr="00C055A5" w:rsidRDefault="00D8615A" w:rsidP="00026F31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2</w:t>
            </w:r>
            <w:r w:rsidR="00267F11">
              <w:rPr>
                <w:rFonts w:ascii="Helvetica" w:hAnsi="Helvetica" w:cs="Helvetica"/>
                <w:lang w:val="en-GB"/>
              </w:rPr>
              <w:t>.9</w:t>
            </w:r>
            <w:r>
              <w:rPr>
                <w:rFonts w:ascii="Helvetica" w:hAnsi="Helvetica" w:cs="Helvetica"/>
                <w:lang w:val="en-GB"/>
              </w:rPr>
              <w:t>4</w:t>
            </w:r>
            <w:r w:rsidR="00AE5EC7">
              <w:rPr>
                <w:rFonts w:ascii="Helvetica" w:hAnsi="Helvetica" w:cs="Helvetica"/>
                <w:lang w:val="en-GB"/>
              </w:rPr>
              <w:t>7</w:t>
            </w:r>
            <w:r w:rsidR="00B11398">
              <w:rPr>
                <w:rFonts w:ascii="Helvetica" w:hAnsi="Helvetica" w:cs="Helvetica"/>
                <w:lang w:val="en-GB"/>
              </w:rPr>
              <w:t>%</w:t>
            </w:r>
          </w:p>
        </w:tc>
        <w:tc>
          <w:tcPr>
            <w:tcW w:w="1933" w:type="dxa"/>
            <w:vAlign w:val="center"/>
          </w:tcPr>
          <w:p w:rsidR="00C5065C" w:rsidRPr="00C055A5" w:rsidRDefault="00D8615A" w:rsidP="00026F31">
            <w:pPr>
              <w:jc w:val="center"/>
              <w:rPr>
                <w:rFonts w:ascii="Helvetica" w:hAnsi="Helvetica" w:cs="Helvetica"/>
                <w:lang w:val="en-GB"/>
              </w:rPr>
            </w:pPr>
            <w:r w:rsidRPr="00D8615A">
              <w:rPr>
                <w:rFonts w:ascii="Helvetica" w:hAnsi="Helvetica" w:cs="Helvetica"/>
                <w:lang w:val="en-GB"/>
              </w:rPr>
              <w:t>180,863,570</w:t>
            </w:r>
          </w:p>
        </w:tc>
      </w:tr>
      <w:tr w:rsidR="00FB1DC3" w:rsidRPr="00C055A5" w:rsidTr="00F1736C">
        <w:trPr>
          <w:trHeight w:val="555"/>
        </w:trPr>
        <w:tc>
          <w:tcPr>
            <w:tcW w:w="2124" w:type="dxa"/>
            <w:vAlign w:val="center"/>
          </w:tcPr>
          <w:p w:rsidR="00FB1DC3" w:rsidRPr="008F18BE" w:rsidRDefault="00FB1DC3" w:rsidP="00FB1DC3">
            <w:pPr>
              <w:spacing w:line="240" w:lineRule="auto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sz w:val="20"/>
                <w:szCs w:val="20"/>
                <w:lang w:val="en-GB"/>
              </w:rPr>
              <w:lastRenderedPageBreak/>
              <w:t>Position of previous notification (if applicable)</w:t>
            </w:r>
          </w:p>
        </w:tc>
        <w:tc>
          <w:tcPr>
            <w:tcW w:w="2124" w:type="dxa"/>
            <w:gridSpan w:val="2"/>
            <w:vAlign w:val="center"/>
          </w:tcPr>
          <w:p w:rsidR="00FB1DC3" w:rsidRPr="00C055A5" w:rsidRDefault="00FB1DC3" w:rsidP="00FB1DC3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3.997%</w:t>
            </w:r>
          </w:p>
        </w:tc>
        <w:tc>
          <w:tcPr>
            <w:tcW w:w="2313" w:type="dxa"/>
            <w:vAlign w:val="center"/>
          </w:tcPr>
          <w:p w:rsidR="00FB1DC3" w:rsidRPr="00C055A5" w:rsidRDefault="00FB1DC3" w:rsidP="00FB1DC3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0%</w:t>
            </w:r>
          </w:p>
        </w:tc>
        <w:tc>
          <w:tcPr>
            <w:tcW w:w="2126" w:type="dxa"/>
            <w:vAlign w:val="center"/>
          </w:tcPr>
          <w:p w:rsidR="00FB1DC3" w:rsidRPr="00C055A5" w:rsidRDefault="00FB1DC3" w:rsidP="00FB1DC3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3.997%</w:t>
            </w:r>
          </w:p>
        </w:tc>
        <w:tc>
          <w:tcPr>
            <w:tcW w:w="1933" w:type="dxa"/>
            <w:shd w:val="thinDiagStripe" w:color="auto" w:fill="auto"/>
            <w:vAlign w:val="center"/>
          </w:tcPr>
          <w:p w:rsidR="00FB1DC3" w:rsidRPr="00C055A5" w:rsidRDefault="00FB1DC3" w:rsidP="00FB1DC3">
            <w:pPr>
              <w:rPr>
                <w:rFonts w:ascii="Helvetica" w:hAnsi="Helvetica" w:cs="Helvetica"/>
                <w:lang w:val="en-GB"/>
              </w:rPr>
            </w:pPr>
          </w:p>
        </w:tc>
      </w:tr>
    </w:tbl>
    <w:p w:rsidR="007C162B" w:rsidRDefault="007C162B">
      <w:pPr>
        <w:rPr>
          <w:rFonts w:ascii="Helvetica" w:hAnsi="Helvetica" w:cs="Helvetica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220"/>
        <w:gridCol w:w="1437"/>
        <w:gridCol w:w="375"/>
        <w:gridCol w:w="1420"/>
        <w:gridCol w:w="774"/>
        <w:gridCol w:w="1006"/>
        <w:gridCol w:w="1341"/>
        <w:gridCol w:w="109"/>
        <w:gridCol w:w="85"/>
        <w:gridCol w:w="1992"/>
      </w:tblGrid>
      <w:tr w:rsidR="00C5065C" w:rsidRPr="00C055A5" w:rsidTr="00C055A5">
        <w:trPr>
          <w:trHeight w:val="326"/>
          <w:jc w:val="center"/>
        </w:trPr>
        <w:tc>
          <w:tcPr>
            <w:tcW w:w="1070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5065C" w:rsidRPr="00C055A5" w:rsidRDefault="00C5065C" w:rsidP="00521E70">
            <w:pPr>
              <w:spacing w:after="0"/>
              <w:rPr>
                <w:rFonts w:ascii="Helvetica" w:hAnsi="Helvetica" w:cs="Helvetica"/>
                <w:lang w:val="en-GB"/>
              </w:rPr>
            </w:pPr>
            <w:r w:rsidRPr="00C055A5">
              <w:rPr>
                <w:rFonts w:ascii="Helvetica" w:hAnsi="Helvetica" w:cs="Helvetica"/>
                <w:lang w:val="en-GB"/>
              </w:rPr>
              <w:br w:type="page"/>
            </w:r>
            <w:r w:rsidR="00521E70" w:rsidRPr="00F26D04">
              <w:rPr>
                <w:rFonts w:ascii="Helvetica" w:hAnsi="Helvetica" w:cs="Helvetica"/>
                <w:b/>
                <w:lang w:val="en-GB"/>
              </w:rPr>
              <w:t>9</w:t>
            </w:r>
            <w:r w:rsidRPr="00F26D04">
              <w:rPr>
                <w:rFonts w:ascii="Helvetica" w:hAnsi="Helvetica" w:cs="Helvetica"/>
                <w:b/>
                <w:lang w:val="en-GB"/>
              </w:rPr>
              <w:t>.</w:t>
            </w:r>
            <w:r w:rsidRPr="00C055A5">
              <w:rPr>
                <w:rFonts w:ascii="Helvetica" w:hAnsi="Helvetica" w:cs="Helvetica"/>
                <w:b/>
                <w:lang w:val="en-GB"/>
              </w:rPr>
              <w:t xml:space="preserve"> Notified details of the resulting situation on the date on which the threshold was crossed or </w:t>
            </w:r>
            <w:proofErr w:type="spellStart"/>
            <w:r w:rsidRPr="00C055A5">
              <w:rPr>
                <w:rFonts w:ascii="Helvetica" w:hAnsi="Helvetica" w:cs="Helvetica"/>
                <w:b/>
                <w:lang w:val="en-GB"/>
              </w:rPr>
              <w:t>reached</w:t>
            </w:r>
            <w:r w:rsidRPr="00C055A5">
              <w:rPr>
                <w:rFonts w:ascii="Helvetica" w:hAnsi="Helvetica" w:cs="Helvetica"/>
                <w:vertAlign w:val="superscript"/>
                <w:lang w:val="en-GB"/>
              </w:rPr>
              <w:t>viii</w:t>
            </w:r>
            <w:proofErr w:type="spellEnd"/>
            <w:r w:rsidRPr="00C055A5">
              <w:rPr>
                <w:rFonts w:ascii="Helvetica" w:hAnsi="Helvetica" w:cs="Helvetica"/>
                <w:b/>
                <w:lang w:val="en-GB"/>
              </w:rPr>
              <w:t>:</w:t>
            </w:r>
          </w:p>
        </w:tc>
      </w:tr>
      <w:tr w:rsidR="00C5065C" w:rsidRPr="00C055A5" w:rsidTr="00C055A5">
        <w:trPr>
          <w:trHeight w:val="458"/>
          <w:jc w:val="center"/>
        </w:trPr>
        <w:tc>
          <w:tcPr>
            <w:tcW w:w="1070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65C" w:rsidRPr="00C055A5" w:rsidRDefault="00C5065C" w:rsidP="00C5065C">
            <w:pPr>
              <w:rPr>
                <w:rFonts w:ascii="Helvetica" w:hAnsi="Helvetica" w:cs="Helvetica"/>
                <w:b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>A: Voting rights attached to shares</w:t>
            </w:r>
          </w:p>
        </w:tc>
      </w:tr>
      <w:tr w:rsidR="00C5065C" w:rsidRPr="00C055A5" w:rsidTr="00C055A5">
        <w:trPr>
          <w:trHeight w:val="386"/>
          <w:jc w:val="center"/>
        </w:trPr>
        <w:tc>
          <w:tcPr>
            <w:tcW w:w="19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055A5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C055A5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Class/type of</w:t>
            </w:r>
            <w:r w:rsidRPr="00C055A5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br/>
              <w:t>shares</w:t>
            </w:r>
          </w:p>
          <w:p w:rsidR="00C5065C" w:rsidRPr="00C055A5" w:rsidRDefault="00C5065C" w:rsidP="00C055A5">
            <w:pPr>
              <w:spacing w:after="0"/>
              <w:rPr>
                <w:rFonts w:ascii="Helvetica" w:hAnsi="Helvetica" w:cs="Helvetica"/>
                <w:lang w:val="en-GB"/>
              </w:rPr>
            </w:pPr>
            <w:r w:rsidRPr="00C055A5">
              <w:rPr>
                <w:rFonts w:ascii="Helvetica" w:hAnsi="Helvetica" w:cs="Helvetica"/>
                <w:lang w:val="en-GB"/>
              </w:rPr>
              <w:t>ISIN code (if possible)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065C" w:rsidRPr="00C055A5" w:rsidRDefault="00C5065C" w:rsidP="00C055A5">
            <w:pPr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C055A5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 xml:space="preserve">Number of voting </w:t>
            </w:r>
            <w:proofErr w:type="spellStart"/>
            <w:r w:rsidRPr="00C055A5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rights</w:t>
            </w:r>
            <w:r w:rsidRPr="00C055A5">
              <w:rPr>
                <w:rFonts w:ascii="Helvetica" w:hAnsi="Helvetica" w:cs="Helvetica"/>
                <w:sz w:val="20"/>
                <w:szCs w:val="20"/>
                <w:vertAlign w:val="superscript"/>
                <w:lang w:val="en-GB"/>
              </w:rPr>
              <w:t>ix</w:t>
            </w:r>
            <w:proofErr w:type="spellEnd"/>
          </w:p>
        </w:tc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065C" w:rsidRPr="00C055A5" w:rsidRDefault="00C5065C" w:rsidP="00C055A5">
            <w:pPr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C055A5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% of voting rights</w:t>
            </w:r>
          </w:p>
        </w:tc>
      </w:tr>
      <w:tr w:rsidR="00C5065C" w:rsidRPr="00C055A5" w:rsidTr="00C05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4"/>
          <w:jc w:val="center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04" w:rsidRDefault="00F26D04" w:rsidP="00C055A5">
            <w:pPr>
              <w:spacing w:after="0"/>
              <w:jc w:val="center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</w:p>
          <w:p w:rsidR="00C5065C" w:rsidRPr="00006813" w:rsidRDefault="00C5065C" w:rsidP="00C055A5">
            <w:pPr>
              <w:spacing w:after="0"/>
              <w:jc w:val="center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006813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Direct</w:t>
            </w:r>
          </w:p>
          <w:p w:rsidR="00C5065C" w:rsidRPr="000A44F2" w:rsidRDefault="00C5065C" w:rsidP="00347AA4">
            <w:pPr>
              <w:spacing w:after="0"/>
              <w:jc w:val="center"/>
              <w:rPr>
                <w:rFonts w:ascii="Helvetica" w:hAnsi="Helvetica" w:cs="Helvetica"/>
                <w:sz w:val="16"/>
                <w:szCs w:val="16"/>
                <w:lang w:val="en-GB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04" w:rsidRDefault="00F26D04" w:rsidP="00C055A5">
            <w:pPr>
              <w:spacing w:after="0"/>
              <w:jc w:val="center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</w:p>
          <w:p w:rsidR="00C5065C" w:rsidRPr="00006813" w:rsidRDefault="00C5065C" w:rsidP="00C055A5">
            <w:pPr>
              <w:spacing w:after="0"/>
              <w:jc w:val="center"/>
              <w:rPr>
                <w:rFonts w:ascii="Helvetica" w:hAnsi="Helvetica" w:cs="Helvetica"/>
                <w:sz w:val="20"/>
                <w:szCs w:val="20"/>
                <w:lang w:val="en-GB"/>
              </w:rPr>
            </w:pPr>
            <w:r w:rsidRPr="00006813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Indirect</w:t>
            </w:r>
          </w:p>
          <w:p w:rsidR="00C5065C" w:rsidRPr="000A44F2" w:rsidRDefault="00C5065C" w:rsidP="00B47EB3">
            <w:pPr>
              <w:spacing w:after="0"/>
              <w:jc w:val="center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04" w:rsidRDefault="00F26D04" w:rsidP="00C055A5">
            <w:pPr>
              <w:spacing w:after="0"/>
              <w:jc w:val="center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</w:p>
          <w:p w:rsidR="00C5065C" w:rsidRPr="00006813" w:rsidRDefault="00C5065C" w:rsidP="00C055A5">
            <w:pPr>
              <w:spacing w:after="0"/>
              <w:jc w:val="center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006813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Direct</w:t>
            </w:r>
          </w:p>
          <w:p w:rsidR="00C5065C" w:rsidRPr="000A44F2" w:rsidRDefault="00C5065C" w:rsidP="000A44F2">
            <w:pPr>
              <w:spacing w:after="0"/>
              <w:jc w:val="center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04" w:rsidRDefault="00F26D04" w:rsidP="00C055A5">
            <w:pPr>
              <w:spacing w:after="0"/>
              <w:jc w:val="center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</w:p>
          <w:p w:rsidR="00C5065C" w:rsidRPr="00006813" w:rsidRDefault="00C5065C" w:rsidP="00C055A5">
            <w:pPr>
              <w:spacing w:after="0"/>
              <w:jc w:val="center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006813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Indirect</w:t>
            </w:r>
          </w:p>
          <w:p w:rsidR="00C5065C" w:rsidRPr="000A44F2" w:rsidRDefault="00C5065C" w:rsidP="00B47EB3">
            <w:pPr>
              <w:spacing w:after="0"/>
              <w:jc w:val="center"/>
              <w:rPr>
                <w:rFonts w:ascii="Helvetica" w:hAnsi="Helvetica" w:cs="Helvetica"/>
                <w:b/>
                <w:sz w:val="16"/>
                <w:szCs w:val="16"/>
                <w:lang w:val="en-GB"/>
              </w:rPr>
            </w:pPr>
          </w:p>
        </w:tc>
      </w:tr>
      <w:tr w:rsidR="00C5065C" w:rsidRPr="00C055A5" w:rsidTr="00C05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EA0351" w:rsidP="00C5065C">
            <w:pPr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IE0004927939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D8615A" w:rsidP="00EA0351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5</w:t>
            </w:r>
            <w:r w:rsidR="00267F11">
              <w:rPr>
                <w:rFonts w:ascii="Helvetica" w:hAnsi="Helvetica" w:cs="Helvetica"/>
                <w:lang w:val="en-GB"/>
              </w:rPr>
              <w:t>,</w:t>
            </w:r>
            <w:r>
              <w:rPr>
                <w:rFonts w:ascii="Helvetica" w:hAnsi="Helvetica" w:cs="Helvetica"/>
                <w:lang w:val="en-GB"/>
              </w:rPr>
              <w:t>321</w:t>
            </w:r>
            <w:r w:rsidR="000E1522">
              <w:rPr>
                <w:rFonts w:ascii="Helvetica" w:hAnsi="Helvetica" w:cs="Helvetica"/>
                <w:lang w:val="en-GB"/>
              </w:rPr>
              <w:t>,</w:t>
            </w:r>
            <w:r>
              <w:rPr>
                <w:rFonts w:ascii="Helvetica" w:hAnsi="Helvetica" w:cs="Helvetica"/>
                <w:lang w:val="en-GB"/>
              </w:rPr>
              <w:t>622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EA0351">
            <w:pPr>
              <w:jc w:val="center"/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D8615A" w:rsidP="00EA0351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2</w:t>
            </w:r>
            <w:r w:rsidR="00267F11">
              <w:rPr>
                <w:rFonts w:ascii="Helvetica" w:hAnsi="Helvetica" w:cs="Helvetica"/>
                <w:lang w:val="en-GB"/>
              </w:rPr>
              <w:t>.9</w:t>
            </w:r>
            <w:r>
              <w:rPr>
                <w:rFonts w:ascii="Helvetica" w:hAnsi="Helvetica" w:cs="Helvetica"/>
                <w:lang w:val="en-GB"/>
              </w:rPr>
              <w:t>42</w:t>
            </w:r>
            <w:r w:rsidR="00EA0351">
              <w:rPr>
                <w:rFonts w:ascii="Helvetica" w:hAnsi="Helvetica" w:cs="Helvetica"/>
                <w:lang w:val="en-GB"/>
              </w:rPr>
              <w:t>%</w:t>
            </w:r>
          </w:p>
        </w:tc>
      </w:tr>
      <w:tr w:rsidR="00C5065C" w:rsidRPr="00C055A5" w:rsidTr="00C05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0E1522" w:rsidP="00C5065C">
            <w:pPr>
              <w:rPr>
                <w:rFonts w:ascii="Helvetica" w:hAnsi="Helvetica" w:cs="Helvetica"/>
                <w:lang w:val="en-GB"/>
              </w:rPr>
            </w:pPr>
            <w:r w:rsidRPr="000E1522">
              <w:rPr>
                <w:rFonts w:ascii="Helvetica" w:hAnsi="Helvetica" w:cs="Helvetica"/>
                <w:lang w:val="en-GB"/>
              </w:rPr>
              <w:t>US4964021087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D8615A" w:rsidP="000E1522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8</w:t>
            </w:r>
            <w:r w:rsidR="000E1522">
              <w:rPr>
                <w:rFonts w:ascii="Helvetica" w:hAnsi="Helvetica" w:cs="Helvetica"/>
                <w:lang w:val="en-GB"/>
              </w:rPr>
              <w:t>,</w:t>
            </w:r>
            <w:r>
              <w:rPr>
                <w:rFonts w:ascii="Helvetica" w:hAnsi="Helvetica" w:cs="Helvetica"/>
                <w:lang w:val="en-GB"/>
              </w:rPr>
              <w:t>984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B6004E" w:rsidP="00B6004E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0.005%</w:t>
            </w:r>
          </w:p>
        </w:tc>
      </w:tr>
      <w:tr w:rsidR="00C5065C" w:rsidRPr="00C055A5" w:rsidTr="00C05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C05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b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>SUBTOTAL A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D8615A" w:rsidP="00EA0351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5</w:t>
            </w:r>
            <w:r w:rsidR="00267F11">
              <w:rPr>
                <w:rFonts w:ascii="Helvetica" w:hAnsi="Helvetica" w:cs="Helvetica"/>
                <w:lang w:val="en-GB"/>
              </w:rPr>
              <w:t>,</w:t>
            </w:r>
            <w:r>
              <w:rPr>
                <w:rFonts w:ascii="Helvetica" w:hAnsi="Helvetica" w:cs="Helvetica"/>
                <w:lang w:val="en-GB"/>
              </w:rPr>
              <w:t>330</w:t>
            </w:r>
            <w:r w:rsidR="00267F11">
              <w:rPr>
                <w:rFonts w:ascii="Helvetica" w:hAnsi="Helvetica" w:cs="Helvetica"/>
                <w:lang w:val="en-GB"/>
              </w:rPr>
              <w:t>,</w:t>
            </w:r>
            <w:r>
              <w:rPr>
                <w:rFonts w:ascii="Helvetica" w:hAnsi="Helvetica" w:cs="Helvetica"/>
                <w:lang w:val="en-GB"/>
              </w:rPr>
              <w:t>606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EA0351">
            <w:pPr>
              <w:jc w:val="center"/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D8615A" w:rsidP="00EA0351">
            <w:pPr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Helvetica" w:hAnsi="Helvetica" w:cs="Helvetica"/>
                <w:lang w:val="en-GB"/>
              </w:rPr>
              <w:t>2</w:t>
            </w:r>
            <w:r w:rsidR="00267F11">
              <w:rPr>
                <w:rFonts w:ascii="Helvetica" w:hAnsi="Helvetica" w:cs="Helvetica"/>
                <w:lang w:val="en-GB"/>
              </w:rPr>
              <w:t>.9</w:t>
            </w:r>
            <w:r>
              <w:rPr>
                <w:rFonts w:ascii="Helvetica" w:hAnsi="Helvetica" w:cs="Helvetica"/>
                <w:lang w:val="en-GB"/>
              </w:rPr>
              <w:t>4</w:t>
            </w:r>
            <w:r w:rsidR="000E1522">
              <w:rPr>
                <w:rFonts w:ascii="Helvetica" w:hAnsi="Helvetica" w:cs="Helvetica"/>
                <w:lang w:val="en-GB"/>
              </w:rPr>
              <w:t>7</w:t>
            </w:r>
            <w:r w:rsidR="00EA0351">
              <w:rPr>
                <w:rFonts w:ascii="Helvetica" w:hAnsi="Helvetica" w:cs="Helvetica"/>
                <w:lang w:val="en-GB"/>
              </w:rPr>
              <w:t>%</w:t>
            </w:r>
          </w:p>
        </w:tc>
      </w:tr>
      <w:tr w:rsidR="00C5065C" w:rsidRPr="00C055A5" w:rsidTr="00C05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8"/>
          <w:jc w:val="center"/>
        </w:trPr>
        <w:tc>
          <w:tcPr>
            <w:tcW w:w="10703" w:type="dxa"/>
            <w:gridSpan w:val="11"/>
          </w:tcPr>
          <w:p w:rsidR="00C5065C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  <w:p w:rsidR="00EA0351" w:rsidRDefault="00EA0351" w:rsidP="00C5065C">
            <w:pPr>
              <w:rPr>
                <w:rFonts w:ascii="Helvetica" w:hAnsi="Helvetica" w:cs="Helvetica"/>
                <w:lang w:val="en-GB"/>
              </w:rPr>
            </w:pPr>
          </w:p>
          <w:p w:rsidR="00EA0351" w:rsidRPr="00C055A5" w:rsidRDefault="00EA0351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C055A5">
        <w:trPr>
          <w:trHeight w:val="530"/>
          <w:jc w:val="center"/>
        </w:trPr>
        <w:tc>
          <w:tcPr>
            <w:tcW w:w="1070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65C" w:rsidRPr="00C055A5" w:rsidRDefault="00C5065C" w:rsidP="00347AA4">
            <w:pPr>
              <w:rPr>
                <w:rFonts w:ascii="Helvetica" w:hAnsi="Helvetica" w:cs="Helvetica"/>
                <w:b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 xml:space="preserve">B 1: Financial Instruments according to </w:t>
            </w:r>
            <w:r w:rsidR="00006813">
              <w:rPr>
                <w:rFonts w:ascii="Helvetica" w:hAnsi="Helvetica" w:cs="Helvetica"/>
                <w:b/>
                <w:lang w:val="en-GB"/>
              </w:rPr>
              <w:t xml:space="preserve">Regulation 17(1)(a) of </w:t>
            </w:r>
            <w:r w:rsidR="00347AA4">
              <w:rPr>
                <w:rFonts w:ascii="Helvetica" w:hAnsi="Helvetica" w:cs="Helvetica"/>
                <w:b/>
                <w:lang w:val="en-GB"/>
              </w:rPr>
              <w:t xml:space="preserve">the </w:t>
            </w:r>
            <w:r w:rsidR="00006813">
              <w:rPr>
                <w:rFonts w:ascii="Helvetica" w:hAnsi="Helvetica" w:cs="Helvetica"/>
                <w:b/>
                <w:lang w:val="en-GB"/>
              </w:rPr>
              <w:t xml:space="preserve">Regulations  </w:t>
            </w:r>
          </w:p>
        </w:tc>
      </w:tr>
      <w:tr w:rsidR="00C5065C" w:rsidRPr="00C055A5" w:rsidTr="00C055A5">
        <w:trPr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Type of financial instrument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Expiration</w:t>
            </w: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br/>
            </w:r>
            <w:proofErr w:type="spellStart"/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date</w:t>
            </w:r>
            <w:r w:rsidRPr="008F18BE">
              <w:rPr>
                <w:rFonts w:ascii="Helvetica" w:hAnsi="Helvetica" w:cs="Helvetica"/>
                <w:sz w:val="20"/>
                <w:szCs w:val="20"/>
                <w:vertAlign w:val="superscript"/>
                <w:lang w:val="en-GB"/>
              </w:rPr>
              <w:t>x</w:t>
            </w:r>
            <w:proofErr w:type="spellEnd"/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 xml:space="preserve">Exercise/ </w:t>
            </w: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br/>
              <w:t xml:space="preserve">Conversion </w:t>
            </w:r>
            <w:proofErr w:type="spellStart"/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Period</w:t>
            </w:r>
            <w:r w:rsidRPr="008F18BE">
              <w:rPr>
                <w:rFonts w:ascii="Helvetica" w:hAnsi="Helvetica" w:cs="Helvetica"/>
                <w:sz w:val="20"/>
                <w:szCs w:val="20"/>
                <w:vertAlign w:val="superscript"/>
                <w:lang w:val="en-GB"/>
              </w:rPr>
              <w:t>xi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 xml:space="preserve">Number of voting rights that may be acquired </w:t>
            </w:r>
            <w:r w:rsid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if the instrument is exercised/</w:t>
            </w: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converted.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% of voting rights</w:t>
            </w:r>
          </w:p>
        </w:tc>
      </w:tr>
      <w:tr w:rsidR="00C5065C" w:rsidRPr="00C055A5" w:rsidTr="00C055A5">
        <w:trPr>
          <w:trHeight w:val="481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C055A5">
        <w:trPr>
          <w:trHeight w:val="481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C055A5">
        <w:trPr>
          <w:trHeight w:val="481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C055A5">
        <w:trPr>
          <w:trHeight w:val="481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b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>SUBTOTAL B.1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C055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8"/>
          <w:jc w:val="center"/>
        </w:trPr>
        <w:tc>
          <w:tcPr>
            <w:tcW w:w="10703" w:type="dxa"/>
            <w:gridSpan w:val="11"/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C055A5">
        <w:trPr>
          <w:trHeight w:val="408"/>
          <w:jc w:val="center"/>
        </w:trPr>
        <w:tc>
          <w:tcPr>
            <w:tcW w:w="1070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65C" w:rsidRPr="00C055A5" w:rsidRDefault="00C5065C" w:rsidP="00347AA4">
            <w:pPr>
              <w:rPr>
                <w:rFonts w:ascii="Helvetica" w:hAnsi="Helvetica" w:cs="Helvetica"/>
                <w:b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 xml:space="preserve">B 2: Financial Instruments with similar economic effect according to </w:t>
            </w:r>
            <w:r w:rsidR="00006813">
              <w:rPr>
                <w:rFonts w:ascii="Helvetica" w:hAnsi="Helvetica" w:cs="Helvetica"/>
                <w:b/>
                <w:lang w:val="en-GB"/>
              </w:rPr>
              <w:t>Regulation 17(1)(</w:t>
            </w:r>
            <w:r w:rsidR="00F26D04">
              <w:rPr>
                <w:rFonts w:ascii="Helvetica" w:hAnsi="Helvetica" w:cs="Helvetica"/>
                <w:b/>
                <w:lang w:val="en-GB"/>
              </w:rPr>
              <w:t>b</w:t>
            </w:r>
            <w:r w:rsidR="00006813">
              <w:rPr>
                <w:rFonts w:ascii="Helvetica" w:hAnsi="Helvetica" w:cs="Helvetica"/>
                <w:b/>
                <w:lang w:val="en-GB"/>
              </w:rPr>
              <w:t xml:space="preserve">) of </w:t>
            </w:r>
            <w:r w:rsidR="00347AA4">
              <w:rPr>
                <w:rFonts w:ascii="Helvetica" w:hAnsi="Helvetica" w:cs="Helvetica"/>
                <w:b/>
                <w:lang w:val="en-GB"/>
              </w:rPr>
              <w:t xml:space="preserve">the </w:t>
            </w:r>
            <w:r w:rsidR="00006813">
              <w:rPr>
                <w:rFonts w:ascii="Helvetica" w:hAnsi="Helvetica" w:cs="Helvetica"/>
                <w:b/>
                <w:lang w:val="en-GB"/>
              </w:rPr>
              <w:t>Regulations</w:t>
            </w:r>
          </w:p>
        </w:tc>
      </w:tr>
      <w:tr w:rsidR="00C5065C" w:rsidRPr="00C055A5" w:rsidTr="00C055A5">
        <w:trPr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Type of financial instrument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Expiration</w:t>
            </w: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br/>
            </w:r>
            <w:proofErr w:type="spellStart"/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date</w:t>
            </w:r>
            <w:r w:rsidRPr="008F18BE">
              <w:rPr>
                <w:rFonts w:ascii="Helvetica" w:hAnsi="Helvetica" w:cs="Helvetica"/>
                <w:sz w:val="20"/>
                <w:szCs w:val="20"/>
                <w:vertAlign w:val="superscript"/>
                <w:lang w:val="en-GB"/>
              </w:rPr>
              <w:t>x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 xml:space="preserve">Exercise/ </w:t>
            </w: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br/>
              <w:t xml:space="preserve">Conversion Period </w:t>
            </w:r>
            <w:r w:rsidRPr="008F18BE">
              <w:rPr>
                <w:rFonts w:ascii="Helvetica" w:hAnsi="Helvetica" w:cs="Helvetica"/>
                <w:sz w:val="20"/>
                <w:szCs w:val="20"/>
                <w:vertAlign w:val="superscript"/>
                <w:lang w:val="en-GB"/>
              </w:rPr>
              <w:t>x</w:t>
            </w:r>
            <w:r w:rsidRPr="00F21FBB">
              <w:rPr>
                <w:rFonts w:ascii="Helvetica" w:hAnsi="Helvetica" w:cs="Helvetica"/>
                <w:sz w:val="20"/>
                <w:szCs w:val="20"/>
                <w:vertAlign w:val="superscript"/>
                <w:lang w:val="en-GB"/>
              </w:rPr>
              <w:t>i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 xml:space="preserve">Physical or cash </w:t>
            </w:r>
            <w:proofErr w:type="spellStart"/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settlement</w:t>
            </w:r>
            <w:r w:rsidRPr="008F18BE">
              <w:rPr>
                <w:rFonts w:ascii="Helvetica" w:hAnsi="Helvetica" w:cs="Helvetica"/>
                <w:sz w:val="20"/>
                <w:szCs w:val="20"/>
                <w:vertAlign w:val="superscript"/>
                <w:lang w:val="en-GB"/>
              </w:rPr>
              <w:t>xii</w:t>
            </w:r>
            <w:proofErr w:type="spellEnd"/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 xml:space="preserve">Number of voting rights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% of voting rights</w:t>
            </w:r>
          </w:p>
        </w:tc>
      </w:tr>
      <w:tr w:rsidR="00C5065C" w:rsidRPr="00C055A5" w:rsidTr="00C055A5">
        <w:trPr>
          <w:trHeight w:val="481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C055A5" w:rsidRDefault="00C5065C" w:rsidP="00C5065C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5C" w:rsidRPr="00C055A5" w:rsidRDefault="00C5065C" w:rsidP="00C5065C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65C" w:rsidRPr="00C055A5" w:rsidRDefault="00C5065C" w:rsidP="00C5065C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65C" w:rsidRPr="00C055A5" w:rsidRDefault="00C5065C" w:rsidP="00C5065C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C5065C" w:rsidRPr="00C055A5" w:rsidTr="00C055A5">
        <w:trPr>
          <w:trHeight w:val="481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C055A5">
        <w:trPr>
          <w:trHeight w:val="481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C5065C" w:rsidRPr="00C055A5" w:rsidTr="00C055A5">
        <w:trPr>
          <w:trHeight w:val="481"/>
          <w:jc w:val="center"/>
        </w:trPr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>SUBTOTAL B.2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5C" w:rsidRPr="00C055A5" w:rsidRDefault="00C5065C" w:rsidP="00C5065C">
            <w:pPr>
              <w:rPr>
                <w:rFonts w:ascii="Helvetica" w:hAnsi="Helvetica" w:cs="Helvetica"/>
                <w:lang w:val="en-GB"/>
              </w:rPr>
            </w:pPr>
          </w:p>
        </w:tc>
      </w:tr>
    </w:tbl>
    <w:p w:rsidR="00C5065C" w:rsidRPr="00C055A5" w:rsidRDefault="00C5065C">
      <w:pPr>
        <w:rPr>
          <w:rFonts w:ascii="Helvetica" w:hAnsi="Helvetica" w:cs="Helvetica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2655"/>
        <w:gridCol w:w="2655"/>
      </w:tblGrid>
      <w:tr w:rsidR="00C5065C" w:rsidRPr="00C055A5" w:rsidTr="00F1736C">
        <w:trPr>
          <w:trHeight w:val="1047"/>
        </w:trPr>
        <w:tc>
          <w:tcPr>
            <w:tcW w:w="10620" w:type="dxa"/>
            <w:gridSpan w:val="4"/>
            <w:tcBorders>
              <w:bottom w:val="nil"/>
            </w:tcBorders>
          </w:tcPr>
          <w:p w:rsidR="00C5065C" w:rsidRPr="00C055A5" w:rsidRDefault="00006813" w:rsidP="008F18BE">
            <w:pPr>
              <w:spacing w:after="0"/>
              <w:rPr>
                <w:rFonts w:ascii="Helvetica" w:hAnsi="Helvetica" w:cs="Helvetica"/>
                <w:b/>
                <w:lang w:val="en-GB"/>
              </w:rPr>
            </w:pPr>
            <w:r>
              <w:rPr>
                <w:rFonts w:ascii="Helvetica" w:hAnsi="Helvetica" w:cs="Helvetica"/>
                <w:b/>
                <w:lang w:val="en-GB"/>
              </w:rPr>
              <w:t>10</w:t>
            </w:r>
            <w:r w:rsidR="00C5065C" w:rsidRPr="00C055A5">
              <w:rPr>
                <w:rFonts w:ascii="Helvetica" w:hAnsi="Helvetica" w:cs="Helvetica"/>
                <w:b/>
                <w:lang w:val="en-GB"/>
              </w:rPr>
              <w:t xml:space="preserve">. Information in relation to the person subject to the notification obligation </w:t>
            </w:r>
            <w:r w:rsidR="00C5065C" w:rsidRPr="00C055A5">
              <w:rPr>
                <w:rFonts w:ascii="Helvetica" w:hAnsi="Helvetica" w:cs="Helvetica"/>
                <w:lang w:val="en-GB"/>
              </w:rPr>
              <w:t>(please tick the applicable box)</w:t>
            </w:r>
            <w:r w:rsidR="00C5065C" w:rsidRPr="00C055A5">
              <w:rPr>
                <w:rFonts w:ascii="Helvetica" w:hAnsi="Helvetica" w:cs="Helvetica"/>
                <w:b/>
                <w:lang w:val="en-GB"/>
              </w:rPr>
              <w:t>:</w:t>
            </w:r>
          </w:p>
          <w:p w:rsidR="00C5065C" w:rsidRPr="00C055A5" w:rsidRDefault="00C5065C" w:rsidP="008F18BE">
            <w:pPr>
              <w:spacing w:after="0"/>
              <w:rPr>
                <w:rFonts w:ascii="Helvetica" w:hAnsi="Helvetica" w:cs="Helvetica"/>
                <w:b/>
                <w:lang w:val="en-GB"/>
              </w:rPr>
            </w:pPr>
          </w:p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lang w:val="en-GB"/>
              </w:rPr>
            </w:pPr>
            <w:proofErr w:type="gramStart"/>
            <w:r w:rsidRPr="008F18BE">
              <w:rPr>
                <w:rFonts w:ascii="Helvetica" w:hAnsi="Helvetica" w:cs="Helvetica"/>
                <w:b/>
                <w:lang w:val="en-GB"/>
              </w:rPr>
              <w:t>[ ]</w:t>
            </w:r>
            <w:proofErr w:type="gramEnd"/>
            <w:r w:rsidRPr="008F18BE">
              <w:rPr>
                <w:rFonts w:ascii="Helvetica" w:hAnsi="Helvetica" w:cs="Helvetica"/>
                <w:b/>
                <w:lang w:val="en-GB"/>
              </w:rPr>
              <w:t xml:space="preserve"> Person subject to the notification obligation is not controlled by any natural person or legal </w:t>
            </w:r>
            <w:bookmarkStart w:id="0" w:name="_GoBack"/>
            <w:bookmarkEnd w:id="0"/>
            <w:r w:rsidRPr="008F18BE">
              <w:rPr>
                <w:rFonts w:ascii="Helvetica" w:hAnsi="Helvetica" w:cs="Helvetica"/>
                <w:b/>
                <w:lang w:val="en-GB"/>
              </w:rPr>
              <w:t xml:space="preserve">entity and does not control any other undertaking(s) holding directly or indirectly an interest in the (underlying) </w:t>
            </w:r>
            <w:proofErr w:type="spellStart"/>
            <w:r w:rsidRPr="008F18BE">
              <w:rPr>
                <w:rFonts w:ascii="Helvetica" w:hAnsi="Helvetica" w:cs="Helvetica"/>
                <w:b/>
                <w:lang w:val="en-GB"/>
              </w:rPr>
              <w:t>issuer.</w:t>
            </w:r>
            <w:r w:rsidRPr="008F18BE">
              <w:rPr>
                <w:rFonts w:ascii="Helvetica" w:hAnsi="Helvetica" w:cs="Helvetica"/>
                <w:vertAlign w:val="superscript"/>
                <w:lang w:val="en-GB"/>
              </w:rPr>
              <w:t>xiii</w:t>
            </w:r>
            <w:proofErr w:type="spellEnd"/>
          </w:p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lang w:val="en-GB"/>
              </w:rPr>
            </w:pPr>
          </w:p>
          <w:p w:rsidR="00C5065C" w:rsidRPr="008F18BE" w:rsidRDefault="00C5065C" w:rsidP="008F18BE">
            <w:pPr>
              <w:spacing w:after="0"/>
              <w:rPr>
                <w:rFonts w:ascii="Helvetica" w:hAnsi="Helvetica" w:cs="Helvetica"/>
                <w:b/>
                <w:lang w:val="en-GB"/>
              </w:rPr>
            </w:pPr>
            <w:r w:rsidRPr="008F18BE">
              <w:rPr>
                <w:rFonts w:ascii="Helvetica" w:hAnsi="Helvetica" w:cs="Helvetica"/>
                <w:b/>
                <w:lang w:val="en-GB"/>
              </w:rPr>
              <w:t>[</w:t>
            </w:r>
            <w:proofErr w:type="gramStart"/>
            <w:r w:rsidR="001637CD">
              <w:rPr>
                <w:rFonts w:ascii="Helvetica" w:hAnsi="Helvetica" w:cs="Helvetica"/>
                <w:b/>
                <w:lang w:val="en-GB"/>
              </w:rPr>
              <w:t>X</w:t>
            </w:r>
            <w:r w:rsidRPr="008F18BE">
              <w:rPr>
                <w:rFonts w:ascii="Helvetica" w:hAnsi="Helvetica" w:cs="Helvetica"/>
                <w:b/>
                <w:lang w:val="en-GB"/>
              </w:rPr>
              <w:t xml:space="preserve"> ]</w:t>
            </w:r>
            <w:proofErr w:type="gramEnd"/>
            <w:r w:rsidRPr="008F18BE">
              <w:rPr>
                <w:rFonts w:ascii="Helvetica" w:hAnsi="Helvetica" w:cs="Helvetica"/>
                <w:b/>
                <w:lang w:val="en-GB"/>
              </w:rPr>
              <w:t xml:space="preserve"> </w:t>
            </w:r>
            <w:r w:rsidRPr="008F18BE">
              <w:rPr>
                <w:rFonts w:ascii="Helvetica" w:hAnsi="Helvetica" w:cs="Helvetica"/>
                <w:b/>
                <w:u w:val="single"/>
                <w:lang w:val="en-GB"/>
              </w:rPr>
              <w:t>Full</w:t>
            </w:r>
            <w:r w:rsidRPr="008F18BE">
              <w:rPr>
                <w:rFonts w:ascii="Helvetica" w:hAnsi="Helvetica" w:cs="Helvetica"/>
                <w:b/>
                <w:lang w:val="en-GB"/>
              </w:rPr>
              <w:t xml:space="preserve"> chain of controlled undertakings through which the voting rights and/or the</w:t>
            </w:r>
            <w:r w:rsidRPr="008F18BE">
              <w:rPr>
                <w:rFonts w:ascii="Helvetica" w:hAnsi="Helvetica" w:cs="Helvetica"/>
                <w:b/>
                <w:lang w:val="en-GB"/>
              </w:rPr>
              <w:br/>
              <w:t xml:space="preserve">financial instruments are effectively held starting with the ultimate controlling natural person or legal </w:t>
            </w:r>
            <w:proofErr w:type="spellStart"/>
            <w:r w:rsidRPr="008F18BE">
              <w:rPr>
                <w:rFonts w:ascii="Helvetica" w:hAnsi="Helvetica" w:cs="Helvetica"/>
                <w:b/>
                <w:lang w:val="en-GB"/>
              </w:rPr>
              <w:t>entity</w:t>
            </w:r>
            <w:r w:rsidRPr="008F18BE">
              <w:rPr>
                <w:rFonts w:ascii="Helvetica" w:hAnsi="Helvetica" w:cs="Helvetica"/>
                <w:vertAlign w:val="superscript"/>
                <w:lang w:val="en-GB"/>
              </w:rPr>
              <w:t>xiv</w:t>
            </w:r>
            <w:proofErr w:type="spellEnd"/>
            <w:r w:rsidRPr="008F18BE">
              <w:rPr>
                <w:rFonts w:ascii="Helvetica" w:hAnsi="Helvetica" w:cs="Helvetica"/>
                <w:b/>
                <w:lang w:val="en-GB"/>
              </w:rPr>
              <w:t>:</w:t>
            </w:r>
          </w:p>
          <w:p w:rsidR="00C5065C" w:rsidRPr="00C055A5" w:rsidRDefault="00C5065C" w:rsidP="00C5065C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C5065C" w:rsidRPr="00C055A5" w:rsidTr="00F1736C">
        <w:trPr>
          <w:trHeight w:val="1149"/>
        </w:trPr>
        <w:tc>
          <w:tcPr>
            <w:tcW w:w="2655" w:type="dxa"/>
            <w:tcBorders>
              <w:top w:val="nil"/>
            </w:tcBorders>
            <w:vAlign w:val="center"/>
          </w:tcPr>
          <w:p w:rsidR="00C5065C" w:rsidRPr="008F18BE" w:rsidRDefault="00C5065C" w:rsidP="00C5065C">
            <w:pPr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proofErr w:type="spellStart"/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Name</w:t>
            </w:r>
            <w:r w:rsidRPr="008F18BE">
              <w:rPr>
                <w:rFonts w:ascii="Helvetica" w:hAnsi="Helvetica" w:cs="Helvetica"/>
                <w:sz w:val="20"/>
                <w:szCs w:val="20"/>
                <w:vertAlign w:val="superscript"/>
                <w:lang w:val="en-GB"/>
              </w:rPr>
              <w:t>xv</w:t>
            </w:r>
            <w:proofErr w:type="spellEnd"/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C5065C" w:rsidRPr="008F18BE" w:rsidRDefault="00C5065C" w:rsidP="00C5065C">
            <w:pPr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% of voting rights if it equals or is higher than the notifiable threshold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C5065C" w:rsidRPr="008F18BE" w:rsidRDefault="00C5065C" w:rsidP="00C5065C">
            <w:pPr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% of voting rights through financial instruments if it equals or is higher than the notifiable threshold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C5065C" w:rsidRPr="008F18BE" w:rsidRDefault="00C5065C" w:rsidP="00C5065C">
            <w:pPr>
              <w:rPr>
                <w:rFonts w:ascii="Helvetica" w:hAnsi="Helvetica" w:cs="Helvetica"/>
                <w:b/>
                <w:sz w:val="20"/>
                <w:szCs w:val="20"/>
                <w:lang w:val="en-GB"/>
              </w:rPr>
            </w:pPr>
            <w:r w:rsidRPr="008F18BE">
              <w:rPr>
                <w:rFonts w:ascii="Helvetica" w:hAnsi="Helvetica" w:cs="Helvetica"/>
                <w:b/>
                <w:sz w:val="20"/>
                <w:szCs w:val="20"/>
                <w:lang w:val="en-GB"/>
              </w:rPr>
              <w:t>Total of both if it equals or is higher than the notifiable threshold</w:t>
            </w:r>
          </w:p>
        </w:tc>
      </w:tr>
      <w:tr w:rsidR="004E4AC5" w:rsidRPr="00C055A5" w:rsidTr="00F1736C">
        <w:trPr>
          <w:trHeight w:val="440"/>
        </w:trPr>
        <w:tc>
          <w:tcPr>
            <w:tcW w:w="2655" w:type="dxa"/>
          </w:tcPr>
          <w:p w:rsidR="004E4AC5" w:rsidRPr="008D0961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t>Ameriprise Financial, Inc.</w:t>
            </w: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4E4AC5" w:rsidRPr="00C055A5" w:rsidTr="00F1736C">
        <w:trPr>
          <w:trHeight w:val="440"/>
        </w:trPr>
        <w:tc>
          <w:tcPr>
            <w:tcW w:w="2655" w:type="dxa"/>
          </w:tcPr>
          <w:p w:rsidR="004E4AC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t>Ameriprise International Holdings GmbH</w:t>
            </w:r>
          </w:p>
          <w:p w:rsidR="004E4AC5" w:rsidRPr="008D0961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4E4AC5" w:rsidRPr="00C055A5" w:rsidTr="00F1736C">
        <w:trPr>
          <w:trHeight w:val="440"/>
        </w:trPr>
        <w:tc>
          <w:tcPr>
            <w:tcW w:w="2655" w:type="dxa"/>
          </w:tcPr>
          <w:p w:rsidR="004E4AC5" w:rsidRPr="008D0961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t xml:space="preserve">Threadneedle Asset Management Holdings </w:t>
            </w:r>
            <w:proofErr w:type="spellStart"/>
            <w:r w:rsidRPr="008D0961">
              <w:rPr>
                <w:rFonts w:ascii="Helvetica" w:hAnsi="Helvetica" w:cs="Helvetica"/>
                <w:b/>
                <w:lang w:val="en-GB"/>
              </w:rPr>
              <w:t>Sàrl</w:t>
            </w:r>
            <w:proofErr w:type="spellEnd"/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4E4AC5" w:rsidRPr="00C055A5" w:rsidTr="00F1736C">
        <w:trPr>
          <w:trHeight w:val="440"/>
        </w:trPr>
        <w:tc>
          <w:tcPr>
            <w:tcW w:w="2655" w:type="dxa"/>
          </w:tcPr>
          <w:p w:rsidR="004E4AC5" w:rsidRPr="008D0961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t>Threadneedle Holdings Limited</w:t>
            </w: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4E4AC5" w:rsidRPr="00C055A5" w:rsidTr="00F1736C">
        <w:trPr>
          <w:trHeight w:val="440"/>
        </w:trPr>
        <w:tc>
          <w:tcPr>
            <w:tcW w:w="2655" w:type="dxa"/>
          </w:tcPr>
          <w:p w:rsidR="004E4AC5" w:rsidRPr="008D0961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t>TAM UK Holdings Limited</w:t>
            </w: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4E4AC5" w:rsidRPr="00C055A5" w:rsidTr="00F1736C">
        <w:trPr>
          <w:trHeight w:val="440"/>
        </w:trPr>
        <w:tc>
          <w:tcPr>
            <w:tcW w:w="2655" w:type="dxa"/>
          </w:tcPr>
          <w:p w:rsidR="004E4AC5" w:rsidRPr="008D0961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t>Threadneedle Asset Management Holdings Limited</w:t>
            </w:r>
          </w:p>
        </w:tc>
        <w:tc>
          <w:tcPr>
            <w:tcW w:w="2655" w:type="dxa"/>
          </w:tcPr>
          <w:p w:rsidR="004E4AC5" w:rsidRPr="00B6004E" w:rsidRDefault="004E4AC5" w:rsidP="00B6004E">
            <w:pPr>
              <w:jc w:val="center"/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655" w:type="dxa"/>
          </w:tcPr>
          <w:p w:rsidR="004E4AC5" w:rsidRPr="00B6004E" w:rsidRDefault="004E4AC5" w:rsidP="00B6004E">
            <w:pPr>
              <w:jc w:val="center"/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655" w:type="dxa"/>
          </w:tcPr>
          <w:p w:rsidR="004E4AC5" w:rsidRPr="00B6004E" w:rsidRDefault="004E4AC5" w:rsidP="00B6004E">
            <w:pPr>
              <w:jc w:val="center"/>
              <w:rPr>
                <w:rFonts w:ascii="Helvetica" w:hAnsi="Helvetica" w:cs="Helvetica"/>
                <w:lang w:val="en-GB"/>
              </w:rPr>
            </w:pPr>
          </w:p>
        </w:tc>
      </w:tr>
      <w:tr w:rsidR="004E4AC5" w:rsidRPr="00C055A5" w:rsidTr="00F1736C">
        <w:trPr>
          <w:trHeight w:val="440"/>
        </w:trPr>
        <w:tc>
          <w:tcPr>
            <w:tcW w:w="2655" w:type="dxa"/>
          </w:tcPr>
          <w:p w:rsidR="004E4AC5" w:rsidRPr="008D0961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t>TC Financing Limited</w:t>
            </w: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4E4AC5" w:rsidRPr="00C055A5" w:rsidRDefault="004E4AC5" w:rsidP="004E4AC5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F1736C">
        <w:trPr>
          <w:trHeight w:val="440"/>
        </w:trPr>
        <w:tc>
          <w:tcPr>
            <w:tcW w:w="2655" w:type="dxa"/>
          </w:tcPr>
          <w:p w:rsidR="00B6004E" w:rsidRPr="008D0961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lastRenderedPageBreak/>
              <w:t>Threadneedle Asset Management Limited</w:t>
            </w:r>
          </w:p>
        </w:tc>
        <w:tc>
          <w:tcPr>
            <w:tcW w:w="2655" w:type="dxa"/>
          </w:tcPr>
          <w:p w:rsidR="00B6004E" w:rsidRPr="00B6004E" w:rsidRDefault="00B6004E" w:rsidP="00B6004E">
            <w:pPr>
              <w:jc w:val="center"/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655" w:type="dxa"/>
          </w:tcPr>
          <w:p w:rsidR="00B6004E" w:rsidRPr="00B6004E" w:rsidRDefault="00B6004E" w:rsidP="00B6004E">
            <w:pPr>
              <w:jc w:val="center"/>
              <w:rPr>
                <w:rFonts w:ascii="Helvetica" w:hAnsi="Helvetica" w:cs="Helvetica"/>
                <w:lang w:val="en-GB"/>
              </w:rPr>
            </w:pPr>
          </w:p>
        </w:tc>
        <w:tc>
          <w:tcPr>
            <w:tcW w:w="2655" w:type="dxa"/>
          </w:tcPr>
          <w:p w:rsidR="00B6004E" w:rsidRPr="00B6004E" w:rsidRDefault="00B6004E" w:rsidP="00B6004E">
            <w:pPr>
              <w:jc w:val="center"/>
              <w:rPr>
                <w:rFonts w:ascii="Helvetica" w:hAnsi="Helvetica" w:cs="Helvetica"/>
                <w:lang w:val="en-GB"/>
              </w:rPr>
            </w:pPr>
          </w:p>
        </w:tc>
      </w:tr>
      <w:tr w:rsidR="00B6004E" w:rsidRPr="00C055A5" w:rsidTr="00F1736C">
        <w:trPr>
          <w:trHeight w:val="440"/>
        </w:trPr>
        <w:tc>
          <w:tcPr>
            <w:tcW w:w="2655" w:type="dxa"/>
          </w:tcPr>
          <w:p w:rsidR="00B6004E" w:rsidRPr="008D0961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F1736C">
        <w:trPr>
          <w:trHeight w:val="440"/>
        </w:trPr>
        <w:tc>
          <w:tcPr>
            <w:tcW w:w="2655" w:type="dxa"/>
          </w:tcPr>
          <w:p w:rsidR="00B6004E" w:rsidRPr="008D0961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t>Ameriprise Financial, Inc.</w:t>
            </w: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F1736C">
        <w:trPr>
          <w:trHeight w:val="440"/>
        </w:trPr>
        <w:tc>
          <w:tcPr>
            <w:tcW w:w="2655" w:type="dxa"/>
          </w:tcPr>
          <w:p w:rsidR="00B6004E" w:rsidRPr="008D0961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  <w:r>
              <w:rPr>
                <w:rFonts w:ascii="Helvetica" w:hAnsi="Helvetica" w:cs="Helvetica"/>
                <w:b/>
                <w:lang w:val="en-GB"/>
              </w:rPr>
              <w:t>Columbia Management Investment Advisers, LLC</w:t>
            </w: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F1736C">
        <w:trPr>
          <w:trHeight w:val="440"/>
        </w:trPr>
        <w:tc>
          <w:tcPr>
            <w:tcW w:w="2655" w:type="dxa"/>
          </w:tcPr>
          <w:p w:rsidR="00B6004E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F1736C">
        <w:trPr>
          <w:trHeight w:val="440"/>
        </w:trPr>
        <w:tc>
          <w:tcPr>
            <w:tcW w:w="2655" w:type="dxa"/>
          </w:tcPr>
          <w:p w:rsidR="00B6004E" w:rsidRPr="008D0961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  <w:r w:rsidRPr="008D0961">
              <w:rPr>
                <w:rFonts w:ascii="Helvetica" w:hAnsi="Helvetica" w:cs="Helvetica"/>
                <w:b/>
                <w:lang w:val="en-GB"/>
              </w:rPr>
              <w:t>Ameriprise Financial, Inc.</w:t>
            </w: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C0648B">
        <w:trPr>
          <w:trHeight w:val="440"/>
        </w:trPr>
        <w:tc>
          <w:tcPr>
            <w:tcW w:w="2655" w:type="dxa"/>
            <w:vAlign w:val="center"/>
          </w:tcPr>
          <w:p w:rsidR="00B6004E" w:rsidRPr="001637CD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  <w:r w:rsidRPr="001637CD">
              <w:rPr>
                <w:rFonts w:ascii="Helvetica" w:hAnsi="Helvetica" w:cs="Helvetica"/>
                <w:b/>
                <w:lang w:val="en-GB"/>
              </w:rPr>
              <w:t>AMPF</w:t>
            </w:r>
          </w:p>
          <w:p w:rsidR="00B6004E" w:rsidRPr="001637CD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  <w:r w:rsidRPr="001637CD">
              <w:rPr>
                <w:rFonts w:ascii="Helvetica" w:hAnsi="Helvetica" w:cs="Helvetica"/>
                <w:b/>
                <w:lang w:val="en-GB"/>
              </w:rPr>
              <w:t>Holding Corporation</w:t>
            </w: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C0648B">
        <w:trPr>
          <w:trHeight w:val="440"/>
        </w:trPr>
        <w:tc>
          <w:tcPr>
            <w:tcW w:w="2655" w:type="dxa"/>
            <w:vAlign w:val="center"/>
          </w:tcPr>
          <w:p w:rsidR="00B6004E" w:rsidRPr="001637CD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  <w:r w:rsidRPr="001637CD">
              <w:rPr>
                <w:rFonts w:ascii="Helvetica" w:hAnsi="Helvetica" w:cs="Helvetica"/>
                <w:b/>
                <w:lang w:val="en-GB"/>
              </w:rPr>
              <w:t>Ameriprise Financial Services, Inc.</w:t>
            </w: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  <w:tc>
          <w:tcPr>
            <w:tcW w:w="2655" w:type="dxa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F1736C">
        <w:trPr>
          <w:trHeight w:val="710"/>
        </w:trPr>
        <w:tc>
          <w:tcPr>
            <w:tcW w:w="10620" w:type="dxa"/>
            <w:gridSpan w:val="4"/>
            <w:tcBorders>
              <w:left w:val="nil"/>
              <w:right w:val="nil"/>
            </w:tcBorders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F1736C">
        <w:trPr>
          <w:trHeight w:val="694"/>
        </w:trPr>
        <w:tc>
          <w:tcPr>
            <w:tcW w:w="10620" w:type="dxa"/>
            <w:gridSpan w:val="4"/>
            <w:vAlign w:val="center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  <w:r>
              <w:rPr>
                <w:rFonts w:ascii="Helvetica" w:hAnsi="Helvetica" w:cs="Helvetica"/>
                <w:b/>
                <w:lang w:val="en-GB"/>
              </w:rPr>
              <w:t>11</w:t>
            </w:r>
            <w:r w:rsidRPr="00C055A5">
              <w:rPr>
                <w:rFonts w:ascii="Helvetica" w:hAnsi="Helvetica" w:cs="Helvetica"/>
                <w:b/>
                <w:lang w:val="en-GB"/>
              </w:rPr>
              <w:t>. In case of proxy voting: [</w:t>
            </w:r>
            <w:r w:rsidRPr="00C055A5">
              <w:rPr>
                <w:rFonts w:ascii="Helvetica" w:hAnsi="Helvetica" w:cs="Helvetica"/>
                <w:b/>
                <w:i/>
                <w:iCs/>
                <w:lang w:val="en-GB"/>
              </w:rPr>
              <w:t>name of the proxy holder</w:t>
            </w:r>
            <w:r w:rsidRPr="00C055A5">
              <w:rPr>
                <w:rFonts w:ascii="Helvetica" w:hAnsi="Helvetica" w:cs="Helvetica"/>
                <w:b/>
                <w:lang w:val="en-GB"/>
              </w:rPr>
              <w:t xml:space="preserve">] will cease to hold [% and </w:t>
            </w:r>
            <w:r w:rsidRPr="00C055A5">
              <w:rPr>
                <w:rFonts w:ascii="Helvetica" w:hAnsi="Helvetica" w:cs="Helvetica"/>
                <w:b/>
                <w:i/>
                <w:iCs/>
                <w:lang w:val="en-GB"/>
              </w:rPr>
              <w:t>number</w:t>
            </w:r>
            <w:r w:rsidRPr="00C055A5">
              <w:rPr>
                <w:rFonts w:ascii="Helvetica" w:hAnsi="Helvetica" w:cs="Helvetica"/>
                <w:b/>
                <w:lang w:val="en-GB"/>
              </w:rPr>
              <w:t>] voting rights as of [</w:t>
            </w:r>
            <w:r w:rsidRPr="00C055A5">
              <w:rPr>
                <w:rFonts w:ascii="Helvetica" w:hAnsi="Helvetica" w:cs="Helvetica"/>
                <w:b/>
                <w:i/>
                <w:iCs/>
                <w:lang w:val="en-GB"/>
              </w:rPr>
              <w:t>date</w:t>
            </w:r>
            <w:r w:rsidRPr="00C055A5">
              <w:rPr>
                <w:rFonts w:ascii="Helvetica" w:hAnsi="Helvetica" w:cs="Helvetica"/>
                <w:b/>
                <w:lang w:val="en-GB"/>
              </w:rPr>
              <w:t>]</w:t>
            </w:r>
          </w:p>
          <w:p w:rsidR="00B6004E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</w:p>
        </w:tc>
      </w:tr>
      <w:tr w:rsidR="00B6004E" w:rsidRPr="00C055A5" w:rsidTr="00F1736C">
        <w:trPr>
          <w:trHeight w:val="530"/>
        </w:trPr>
        <w:tc>
          <w:tcPr>
            <w:tcW w:w="106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004E" w:rsidRPr="00C055A5" w:rsidRDefault="00B6004E" w:rsidP="00B6004E">
            <w:pPr>
              <w:rPr>
                <w:rFonts w:ascii="Helvetica" w:hAnsi="Helvetica" w:cs="Helvetica"/>
                <w:lang w:val="en-GB"/>
              </w:rPr>
            </w:pPr>
          </w:p>
        </w:tc>
      </w:tr>
      <w:tr w:rsidR="00B6004E" w:rsidRPr="00C055A5" w:rsidTr="00F1736C">
        <w:trPr>
          <w:trHeight w:val="950"/>
        </w:trPr>
        <w:tc>
          <w:tcPr>
            <w:tcW w:w="10620" w:type="dxa"/>
            <w:gridSpan w:val="4"/>
          </w:tcPr>
          <w:p w:rsidR="00B6004E" w:rsidRPr="00C055A5" w:rsidRDefault="00B6004E" w:rsidP="00B6004E">
            <w:pPr>
              <w:rPr>
                <w:rFonts w:ascii="Helvetica" w:hAnsi="Helvetica" w:cs="Helvetica"/>
                <w:b/>
                <w:lang w:val="en-GB"/>
              </w:rPr>
            </w:pPr>
            <w:r w:rsidRPr="00C055A5">
              <w:rPr>
                <w:rFonts w:ascii="Helvetica" w:hAnsi="Helvetica" w:cs="Helvetica"/>
                <w:b/>
                <w:lang w:val="en-GB"/>
              </w:rPr>
              <w:t>1</w:t>
            </w:r>
            <w:r>
              <w:rPr>
                <w:rFonts w:ascii="Helvetica" w:hAnsi="Helvetica" w:cs="Helvetica"/>
                <w:b/>
                <w:lang w:val="en-GB"/>
              </w:rPr>
              <w:t>2</w:t>
            </w:r>
            <w:r w:rsidRPr="00C055A5">
              <w:rPr>
                <w:rFonts w:ascii="Helvetica" w:hAnsi="Helvetica" w:cs="Helvetica"/>
                <w:b/>
                <w:lang w:val="en-GB"/>
              </w:rPr>
              <w:t xml:space="preserve">. Additional </w:t>
            </w:r>
            <w:proofErr w:type="spellStart"/>
            <w:r w:rsidRPr="00C055A5">
              <w:rPr>
                <w:rFonts w:ascii="Helvetica" w:hAnsi="Helvetica" w:cs="Helvetica"/>
                <w:b/>
                <w:lang w:val="en-GB"/>
              </w:rPr>
              <w:t>information</w:t>
            </w:r>
            <w:r w:rsidRPr="00C055A5">
              <w:rPr>
                <w:rFonts w:ascii="Helvetica" w:hAnsi="Helvetica" w:cs="Helvetica"/>
                <w:vertAlign w:val="superscript"/>
                <w:lang w:val="en-GB"/>
              </w:rPr>
              <w:t>xvi</w:t>
            </w:r>
            <w:proofErr w:type="spellEnd"/>
            <w:r w:rsidRPr="00C055A5">
              <w:rPr>
                <w:rFonts w:ascii="Helvetica" w:hAnsi="Helvetica" w:cs="Helvetica"/>
                <w:b/>
                <w:lang w:val="en-GB"/>
              </w:rPr>
              <w:t>:</w:t>
            </w:r>
          </w:p>
          <w:p w:rsidR="00B6004E" w:rsidRDefault="00B6004E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28D4">
              <w:rPr>
                <w:rFonts w:ascii="Arial" w:hAnsi="Arial" w:cs="Arial"/>
                <w:sz w:val="20"/>
                <w:szCs w:val="20"/>
                <w:lang w:val="en-GB"/>
              </w:rPr>
              <w:t>The chain of control set out in Section 10 of this form represent the controlled entities within the Ameriprise Financial, Inc. group.</w:t>
            </w:r>
          </w:p>
          <w:p w:rsidR="00D8615A" w:rsidRDefault="00D8615A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15A" w:rsidRDefault="00D8615A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15A" w:rsidRDefault="00D8615A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15A" w:rsidRDefault="00D8615A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15A" w:rsidRDefault="00D8615A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15A" w:rsidRDefault="00D8615A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15A" w:rsidRDefault="00D8615A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15A" w:rsidRDefault="00D8615A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8615A" w:rsidRPr="00D8615A" w:rsidRDefault="00D8615A" w:rsidP="00B6004E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E4AC5" w:rsidRDefault="004E4AC5" w:rsidP="004E4AC5">
      <w:pPr>
        <w:rPr>
          <w:b/>
          <w:smallCaps/>
          <w:sz w:val="28"/>
        </w:rPr>
      </w:pPr>
      <w:r w:rsidRPr="008D0961">
        <w:t xml:space="preserve">Done at </w:t>
      </w:r>
      <w:r w:rsidRPr="008D0961">
        <w:rPr>
          <w:b/>
        </w:rPr>
        <w:t>Threadneedle</w:t>
      </w:r>
      <w:r w:rsidRPr="008D0961">
        <w:t xml:space="preserve"> </w:t>
      </w:r>
      <w:r w:rsidRPr="008D0961">
        <w:rPr>
          <w:b/>
        </w:rPr>
        <w:t>Asset Management Holdings Ltd, Holbrook House, Station Road, Swindon SN1 1HH</w:t>
      </w:r>
      <w:r w:rsidRPr="008D0961">
        <w:t xml:space="preserve"> </w:t>
      </w:r>
      <w:r w:rsidRPr="008D0961">
        <w:rPr>
          <w:b/>
        </w:rPr>
        <w:t xml:space="preserve">on </w:t>
      </w:r>
      <w:r w:rsidR="00D8615A">
        <w:rPr>
          <w:b/>
        </w:rPr>
        <w:t>5</w:t>
      </w:r>
      <w:r w:rsidR="00E56A61" w:rsidRPr="00E56A61">
        <w:rPr>
          <w:b/>
          <w:vertAlign w:val="superscript"/>
        </w:rPr>
        <w:t>th</w:t>
      </w:r>
      <w:r w:rsidR="00E56A61">
        <w:rPr>
          <w:b/>
        </w:rPr>
        <w:t xml:space="preserve"> </w:t>
      </w:r>
      <w:r w:rsidR="00D8615A">
        <w:rPr>
          <w:b/>
        </w:rPr>
        <w:t>November</w:t>
      </w:r>
      <w:r w:rsidR="00E56A61">
        <w:rPr>
          <w:b/>
        </w:rPr>
        <w:t xml:space="preserve"> 2019</w:t>
      </w:r>
      <w:r w:rsidRPr="008D0961">
        <w:rPr>
          <w:b/>
          <w:smallCaps/>
          <w:sz w:val="28"/>
        </w:rPr>
        <w:t>.</w:t>
      </w:r>
    </w:p>
    <w:sectPr w:rsidR="004E4AC5" w:rsidSect="00202F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D39" w:rsidRDefault="00461D39" w:rsidP="00461D39">
      <w:pPr>
        <w:spacing w:after="0" w:line="240" w:lineRule="auto"/>
      </w:pPr>
      <w:r>
        <w:separator/>
      </w:r>
    </w:p>
  </w:endnote>
  <w:endnote w:type="continuationSeparator" w:id="0">
    <w:p w:rsidR="00461D39" w:rsidRDefault="00461D39" w:rsidP="0046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E63" w:rsidRDefault="00943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E63" w:rsidRDefault="00943E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E63" w:rsidRDefault="00943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D39" w:rsidRDefault="00461D39" w:rsidP="00461D39">
      <w:pPr>
        <w:spacing w:after="0" w:line="240" w:lineRule="auto"/>
      </w:pPr>
      <w:r>
        <w:separator/>
      </w:r>
    </w:p>
  </w:footnote>
  <w:footnote w:type="continuationSeparator" w:id="0">
    <w:p w:rsidR="00461D39" w:rsidRDefault="00461D39" w:rsidP="0046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39" w:rsidRDefault="0085503E" w:rsidP="00B93452">
    <w:pPr>
      <w:pStyle w:val="Header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B93452" w:rsidRPr="00B93452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39" w:rsidRDefault="0085503E" w:rsidP="00B93452">
    <w:pPr>
      <w:pStyle w:val="Header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B93452" w:rsidRPr="00B93452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D39" w:rsidRDefault="0085503E" w:rsidP="00B93452">
    <w:pPr>
      <w:pStyle w:val="Header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B93452" w:rsidRPr="00B93452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6918"/>
    <w:multiLevelType w:val="hybridMultilevel"/>
    <w:tmpl w:val="B4A4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5C"/>
    <w:rsid w:val="00006813"/>
    <w:rsid w:val="0001164F"/>
    <w:rsid w:val="00026F31"/>
    <w:rsid w:val="00035F65"/>
    <w:rsid w:val="00045841"/>
    <w:rsid w:val="000A44F2"/>
    <w:rsid w:val="000E1522"/>
    <w:rsid w:val="000F47A3"/>
    <w:rsid w:val="0015068A"/>
    <w:rsid w:val="001637CD"/>
    <w:rsid w:val="001759DB"/>
    <w:rsid w:val="001A2BD6"/>
    <w:rsid w:val="001E50E6"/>
    <w:rsid w:val="00202FB8"/>
    <w:rsid w:val="002177A2"/>
    <w:rsid w:val="00267DDA"/>
    <w:rsid w:val="00267F11"/>
    <w:rsid w:val="0027451F"/>
    <w:rsid w:val="002772AA"/>
    <w:rsid w:val="00282022"/>
    <w:rsid w:val="002D7AA4"/>
    <w:rsid w:val="002E08F1"/>
    <w:rsid w:val="00347AA4"/>
    <w:rsid w:val="003C2D94"/>
    <w:rsid w:val="00413475"/>
    <w:rsid w:val="00461D39"/>
    <w:rsid w:val="00485978"/>
    <w:rsid w:val="004B3B38"/>
    <w:rsid w:val="004E4AC5"/>
    <w:rsid w:val="004F440A"/>
    <w:rsid w:val="005125FD"/>
    <w:rsid w:val="00521E70"/>
    <w:rsid w:val="00562726"/>
    <w:rsid w:val="005B32BC"/>
    <w:rsid w:val="005C452C"/>
    <w:rsid w:val="00692996"/>
    <w:rsid w:val="0070184B"/>
    <w:rsid w:val="00737B55"/>
    <w:rsid w:val="00795C4F"/>
    <w:rsid w:val="007C162B"/>
    <w:rsid w:val="0085503E"/>
    <w:rsid w:val="008778CE"/>
    <w:rsid w:val="00887162"/>
    <w:rsid w:val="008D6BD8"/>
    <w:rsid w:val="008F18BE"/>
    <w:rsid w:val="00943E63"/>
    <w:rsid w:val="0097390F"/>
    <w:rsid w:val="009A3405"/>
    <w:rsid w:val="009A4FBB"/>
    <w:rsid w:val="00A222B3"/>
    <w:rsid w:val="00A30A4C"/>
    <w:rsid w:val="00A826EE"/>
    <w:rsid w:val="00AE28D4"/>
    <w:rsid w:val="00AE5EC7"/>
    <w:rsid w:val="00AF5059"/>
    <w:rsid w:val="00B110A7"/>
    <w:rsid w:val="00B11398"/>
    <w:rsid w:val="00B47EB3"/>
    <w:rsid w:val="00B6004E"/>
    <w:rsid w:val="00B66ACA"/>
    <w:rsid w:val="00B73D5B"/>
    <w:rsid w:val="00B878F3"/>
    <w:rsid w:val="00B93452"/>
    <w:rsid w:val="00BA42D8"/>
    <w:rsid w:val="00BA72A7"/>
    <w:rsid w:val="00BC4BCB"/>
    <w:rsid w:val="00C055A5"/>
    <w:rsid w:val="00C5065C"/>
    <w:rsid w:val="00C62EAA"/>
    <w:rsid w:val="00D03938"/>
    <w:rsid w:val="00D2326B"/>
    <w:rsid w:val="00D2417E"/>
    <w:rsid w:val="00D31F60"/>
    <w:rsid w:val="00D363B8"/>
    <w:rsid w:val="00D8615A"/>
    <w:rsid w:val="00DB2916"/>
    <w:rsid w:val="00E56A61"/>
    <w:rsid w:val="00E91E14"/>
    <w:rsid w:val="00EA0351"/>
    <w:rsid w:val="00ED3B5E"/>
    <w:rsid w:val="00F21891"/>
    <w:rsid w:val="00F21FBB"/>
    <w:rsid w:val="00F26D04"/>
    <w:rsid w:val="00F27B89"/>
    <w:rsid w:val="00F32B37"/>
    <w:rsid w:val="00FB1DC3"/>
    <w:rsid w:val="00FB70EB"/>
    <w:rsid w:val="00FD17CE"/>
    <w:rsid w:val="00F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A72A7C0B-142D-4798-BC9B-A9016807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1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E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D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17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D39"/>
  </w:style>
  <w:style w:type="paragraph" w:styleId="Footer">
    <w:name w:val="footer"/>
    <w:basedOn w:val="Normal"/>
    <w:link w:val="FooterChar"/>
    <w:uiPriority w:val="99"/>
    <w:unhideWhenUsed/>
    <w:rsid w:val="0046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D39"/>
  </w:style>
  <w:style w:type="character" w:styleId="Hyperlink">
    <w:name w:val="Hyperlink"/>
    <w:basedOn w:val="DefaultParagraphFont"/>
    <w:uiPriority w:val="99"/>
    <w:unhideWhenUsed/>
    <w:rsid w:val="00461D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a586b747-2a7c-4f57-bcd1-e81df5c8c005" origin="userSelected">
  <element uid="33ed6465-8d2f-4fab-bbbc-787e2c148707" value=""/>
  <element uid="28c775dd-3fa7-40f2-8368-0e7fa48abc2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2019-11-05T12:44:20+00:00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4E0195E-F4F0-4063-9AA4-8E3B1A29F8CE}"/>
</file>

<file path=customXml/itemProps2.xml><?xml version="1.0" encoding="utf-8"?>
<ds:datastoreItem xmlns:ds="http://schemas.openxmlformats.org/officeDocument/2006/customXml" ds:itemID="{713D0D3F-A691-4A52-BB46-584F8368CB22}"/>
</file>

<file path=customXml/itemProps3.xml><?xml version="1.0" encoding="utf-8"?>
<ds:datastoreItem xmlns:ds="http://schemas.openxmlformats.org/officeDocument/2006/customXml" ds:itemID="{753F5358-336C-48B8-969B-D7592BFDB2D4}"/>
</file>

<file path=customXml/itemProps4.xml><?xml version="1.0" encoding="utf-8"?>
<ds:datastoreItem xmlns:ds="http://schemas.openxmlformats.org/officeDocument/2006/customXml" ds:itemID="{16BDED81-0AFD-46B5-BC95-2004BEB1A792}"/>
</file>

<file path=customXml/itemProps5.xml><?xml version="1.0" encoding="utf-8"?>
<ds:datastoreItem xmlns:ds="http://schemas.openxmlformats.org/officeDocument/2006/customXml" ds:itemID="{2FF91ED6-9F76-4C73-91FC-3AA57944BE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TR1</vt:lpstr>
    </vt:vector>
  </TitlesOfParts>
  <Company>Central Bank of Ireland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TR1</dc:title>
  <dc:creator>Robert Coules</dc:creator>
  <cp:keywords>Public</cp:keywords>
  <dc:description>Standard Form TR1</dc:description>
  <cp:lastModifiedBy>Amanda McManus</cp:lastModifiedBy>
  <cp:revision>2</cp:revision>
  <cp:lastPrinted>2019-11-04T16:10:00Z</cp:lastPrinted>
  <dcterms:created xsi:type="dcterms:W3CDTF">2019-11-05T12:35:00Z</dcterms:created>
  <dcterms:modified xsi:type="dcterms:W3CDTF">2019-11-05T12:35:00Z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docIndexRef">
    <vt:lpwstr>18b1fb66-b8bf-4a66-875a-d7559a9e2931</vt:lpwstr>
  </property>
  <property fmtid="{D5CDD505-2E9C-101B-9397-08002B2CF9AE}" pid="9" name="bjSaver">
    <vt:lpwstr>Qq+LmFWFb6qG+9E6e6KrIEtI1FlrUeMa</vt:lpwstr>
  </property>
  <property fmtid="{D5CDD505-2E9C-101B-9397-08002B2CF9AE}" pid="10" name="bjDocumentSecurityLabel">
    <vt:lpwstr>Public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policy="a586b747-2a7c-4f57-bcd1-e81df5c8c005" origin="userSelected" xmlns="http://www.boldonj</vt:lpwstr>
  </property>
  <property fmtid="{D5CDD505-2E9C-101B-9397-08002B2CF9AE}" pid="12" name="bjDocumentLabelXML-0">
    <vt:lpwstr>ames.com/2008/01/sie/internal/label"&gt;&lt;element uid="33ed6465-8d2f-4fab-bbbc-787e2c148707" value="" /&gt;&lt;element uid="28c775dd-3fa7-40f2-8368-0e7fa48abc25" value="" /&gt;&lt;/sisl&gt;</vt:lpwstr>
  </property>
  <property fmtid="{D5CDD505-2E9C-101B-9397-08002B2CF9AE}" pid="13" name="bjHeaderBothDocProperty">
    <vt:lpwstr> </vt:lpwstr>
  </property>
  <property fmtid="{D5CDD505-2E9C-101B-9397-08002B2CF9AE}" pid="14" name="bjHeaderFirstPageDocProperty">
    <vt:lpwstr> </vt:lpwstr>
  </property>
  <property fmtid="{D5CDD505-2E9C-101B-9397-08002B2CF9AE}" pid="15" name="bjHeaderEvenPageDocProperty">
    <vt:lpwstr> </vt:lpwstr>
  </property>
  <property fmtid="{D5CDD505-2E9C-101B-9397-08002B2CF9AE}" pid="16" name="_AdHocReviewCycleID">
    <vt:i4>-1851758584</vt:i4>
  </property>
  <property fmtid="{D5CDD505-2E9C-101B-9397-08002B2CF9AE}" pid="17" name="_NewReviewCycle">
    <vt:lpwstr/>
  </property>
  <property fmtid="{D5CDD505-2E9C-101B-9397-08002B2CF9AE}" pid="18" name="_EmailSubject">
    <vt:lpwstr>Request to Update Forms on CBI Website</vt:lpwstr>
  </property>
  <property fmtid="{D5CDD505-2E9C-101B-9397-08002B2CF9AE}" pid="19" name="_AuthorEmail">
    <vt:lpwstr>angela.cooney@centralbank.ie</vt:lpwstr>
  </property>
  <property fmtid="{D5CDD505-2E9C-101B-9397-08002B2CF9AE}" pid="20" name="_AuthorEmailDisplayName">
    <vt:lpwstr>Cooney, Angela</vt:lpwstr>
  </property>
  <property fmtid="{D5CDD505-2E9C-101B-9397-08002B2CF9AE}" pid="21" name="_PreviousAdHocReviewCycleID">
    <vt:i4>-1444050760</vt:i4>
  </property>
  <property fmtid="{D5CDD505-2E9C-101B-9397-08002B2CF9AE}" pid="22" name="_ReviewingToolsShownOnce">
    <vt:lpwstr/>
  </property>
  <property fmtid="{D5CDD505-2E9C-101B-9397-08002B2CF9AE}" pid="23" name="IssuerName">
    <vt:lpwstr/>
  </property>
  <property fmtid="{D5CDD505-2E9C-101B-9397-08002B2CF9AE}" pid="24" name="MigrateFolderIssueDetected">
    <vt:bool>false</vt:bool>
  </property>
  <property fmtid="{D5CDD505-2E9C-101B-9397-08002B2CF9AE}" pid="25" name="Order">
    <vt:r8>10227600</vt:r8>
  </property>
  <property fmtid="{D5CDD505-2E9C-101B-9397-08002B2CF9AE}" pid="26" name="IssuerID">
    <vt:lpwstr/>
  </property>
  <property fmtid="{D5CDD505-2E9C-101B-9397-08002B2CF9AE}" pid="27" name="SendToWeb">
    <vt:bool>false</vt:bool>
  </property>
  <property fmtid="{D5CDD505-2E9C-101B-9397-08002B2CF9AE}" pid="28" name="JobContentType">
    <vt:lpwstr/>
  </property>
  <property fmtid="{D5CDD505-2E9C-101B-9397-08002B2CF9AE}" pid="29" name="Organisation">
    <vt:lpwstr/>
  </property>
  <property fmtid="{D5CDD505-2E9C-101B-9397-08002B2CF9AE}" pid="30" name="Contact">
    <vt:lpwstr/>
  </property>
  <property fmtid="{D5CDD505-2E9C-101B-9397-08002B2CF9AE}" pid="31" name="MigrateFolderIssueDetected0">
    <vt:bool>false</vt:bool>
  </property>
  <property fmtid="{D5CDD505-2E9C-101B-9397-08002B2CF9AE}" pid="32" name="JobType">
    <vt:lpwstr/>
  </property>
</Properties>
</file>