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804" w:rsidRPr="00963306" w:rsidRDefault="00BF3090" w:rsidP="00963306">
      <w:pPr>
        <w:spacing w:after="0" w:line="240" w:lineRule="auto"/>
        <w:rPr>
          <w:rFonts w:ascii="Calibri" w:eastAsia="Times New Roman" w:hAnsi="Calibri" w:cs="Calibri"/>
          <w:b/>
          <w:bCs/>
          <w:color w:val="000000"/>
          <w:lang w:eastAsia="en-IE"/>
        </w:rPr>
      </w:pPr>
      <w:bookmarkStart w:id="0" w:name="_GoBack"/>
      <w:bookmarkEnd w:id="0"/>
      <w:r>
        <w:rPr>
          <w:rFonts w:ascii="Times New Roman" w:eastAsia="Times New Roman" w:hAnsi="Times New Roman" w:cs="Times New Roman"/>
          <w:b/>
          <w:bCs/>
          <w:color w:val="000000"/>
          <w:lang w:eastAsia="en-IE"/>
        </w:rPr>
        <w:t>UPDATE ON</w:t>
      </w:r>
      <w:r w:rsidR="00701CC0">
        <w:rPr>
          <w:rFonts w:ascii="Times New Roman" w:eastAsia="Times New Roman" w:hAnsi="Times New Roman" w:cs="Times New Roman"/>
          <w:b/>
          <w:bCs/>
          <w:color w:val="000000"/>
          <w:lang w:eastAsia="en-IE"/>
        </w:rPr>
        <w:t xml:space="preserve"> </w:t>
      </w:r>
      <w:r w:rsidR="00A40176">
        <w:rPr>
          <w:rFonts w:ascii="Times New Roman" w:eastAsia="Times New Roman" w:hAnsi="Times New Roman" w:cs="Times New Roman"/>
          <w:b/>
          <w:bCs/>
          <w:color w:val="000000"/>
          <w:lang w:eastAsia="en-IE"/>
        </w:rPr>
        <w:t xml:space="preserve">LONG TERM INCENTIVE PLAN  </w:t>
      </w:r>
      <w:r w:rsidR="000C0804">
        <w:rPr>
          <w:rFonts w:ascii="Times New Roman" w:eastAsia="Times New Roman" w:hAnsi="Times New Roman" w:cs="Times New Roman"/>
          <w:b/>
          <w:bCs/>
          <w:color w:val="000000"/>
          <w:lang w:eastAsia="en-IE"/>
        </w:rPr>
        <w:t>PERFORMANCE CONDITION RANGES</w:t>
      </w:r>
    </w:p>
    <w:p w:rsidR="00963306" w:rsidRPr="00963306" w:rsidRDefault="00963306" w:rsidP="00963306">
      <w:pPr>
        <w:spacing w:after="0" w:line="240" w:lineRule="auto"/>
        <w:rPr>
          <w:rFonts w:ascii="Arial" w:eastAsia="Times New Roman" w:hAnsi="Arial" w:cs="Arial"/>
          <w:color w:val="000000"/>
          <w:sz w:val="20"/>
          <w:szCs w:val="20"/>
          <w:lang w:eastAsia="en-IE"/>
        </w:rPr>
      </w:pPr>
      <w:r w:rsidRPr="00963306">
        <w:rPr>
          <w:rFonts w:ascii="Arial" w:eastAsia="Times New Roman" w:hAnsi="Arial" w:cs="Arial"/>
          <w:color w:val="000000"/>
          <w:sz w:val="20"/>
          <w:szCs w:val="20"/>
          <w:lang w:eastAsia="en-IE"/>
        </w:rPr>
        <w:t> </w:t>
      </w:r>
    </w:p>
    <w:p w:rsidR="00BF3090" w:rsidRPr="00451EB9" w:rsidRDefault="00BC5D25" w:rsidP="00451EB9">
      <w:pPr>
        <w:pStyle w:val="ak"/>
        <w:spacing w:before="0" w:beforeAutospacing="0" w:after="0" w:afterAutospacing="0"/>
        <w:jc w:val="both"/>
        <w:rPr>
          <w:rStyle w:val="x"/>
          <w:rFonts w:ascii="Calibri" w:eastAsiaTheme="minorHAnsi" w:hAnsi="Calibri" w:cs="Calibri"/>
          <w:color w:val="16202C"/>
          <w:sz w:val="22"/>
          <w:szCs w:val="22"/>
          <w:lang w:eastAsia="en-US"/>
        </w:rPr>
      </w:pPr>
      <w:r w:rsidRPr="00BC5D25">
        <w:rPr>
          <w:rFonts w:ascii="Calibri" w:eastAsiaTheme="minorHAnsi" w:hAnsi="Calibri" w:cs="Calibri"/>
          <w:color w:val="16202C"/>
          <w:sz w:val="22"/>
          <w:szCs w:val="22"/>
          <w:lang w:eastAsia="en-US"/>
        </w:rPr>
        <w:t>19 May 2021</w:t>
      </w:r>
      <w:r>
        <w:rPr>
          <w:rFonts w:ascii="Calibri" w:eastAsiaTheme="minorHAnsi" w:hAnsi="Calibri" w:cs="Calibri"/>
          <w:color w:val="16202C"/>
          <w:sz w:val="22"/>
          <w:szCs w:val="22"/>
          <w:lang w:eastAsia="en-US"/>
        </w:rPr>
        <w:t xml:space="preserve"> - </w:t>
      </w:r>
      <w:r w:rsidRPr="00BC5D25">
        <w:rPr>
          <w:rFonts w:ascii="Calibri" w:eastAsiaTheme="minorHAnsi" w:hAnsi="Calibri" w:cs="Calibri"/>
          <w:color w:val="16202C"/>
          <w:sz w:val="22"/>
          <w:szCs w:val="22"/>
          <w:lang w:eastAsia="en-US"/>
        </w:rPr>
        <w:t xml:space="preserve">Glanbia plc (“Group” or “Company”) the Global Nutrition Group is publishing its long term incentive plan </w:t>
      </w:r>
      <w:r>
        <w:rPr>
          <w:rFonts w:ascii="Calibri" w:eastAsiaTheme="minorHAnsi" w:hAnsi="Calibri" w:cs="Calibri"/>
          <w:color w:val="16202C"/>
          <w:sz w:val="22"/>
          <w:szCs w:val="22"/>
          <w:lang w:eastAsia="en-US"/>
        </w:rPr>
        <w:t xml:space="preserve">performance condition ranges </w:t>
      </w:r>
      <w:r w:rsidRPr="00BC5D25">
        <w:rPr>
          <w:rFonts w:ascii="Calibri" w:eastAsiaTheme="minorHAnsi" w:hAnsi="Calibri" w:cs="Calibri"/>
          <w:color w:val="16202C"/>
          <w:sz w:val="22"/>
          <w:szCs w:val="22"/>
          <w:lang w:eastAsia="en-US"/>
        </w:rPr>
        <w:t>for the three year period from the 2021 financial year.  This is the first time the Company has included environmental targets in remuneration metrics and represent an important milestone towards execution of the Company’s ESG strategy.</w:t>
      </w:r>
      <w:r w:rsidR="00F7287D">
        <w:rPr>
          <w:rFonts w:ascii="Calibri" w:eastAsiaTheme="minorHAnsi" w:hAnsi="Calibri" w:cs="Calibri"/>
          <w:color w:val="16202C"/>
          <w:sz w:val="22"/>
          <w:szCs w:val="22"/>
          <w:lang w:eastAsia="en-US"/>
        </w:rPr>
        <w:t xml:space="preserve"> </w:t>
      </w:r>
      <w:r w:rsidR="00D95613">
        <w:rPr>
          <w:rStyle w:val="x"/>
          <w:rFonts w:ascii="Calibri" w:eastAsiaTheme="minorHAnsi" w:hAnsi="Calibri" w:cs="Calibri"/>
          <w:color w:val="16202C"/>
          <w:sz w:val="22"/>
          <w:szCs w:val="22"/>
          <w:lang w:eastAsia="en-US"/>
        </w:rPr>
        <w:t>T</w:t>
      </w:r>
      <w:r w:rsidR="00BF3090" w:rsidRPr="00451EB9">
        <w:rPr>
          <w:rStyle w:val="x"/>
          <w:rFonts w:ascii="Calibri" w:eastAsiaTheme="minorHAnsi" w:hAnsi="Calibri" w:cs="Calibri"/>
          <w:color w:val="16202C"/>
          <w:sz w:val="22"/>
          <w:szCs w:val="22"/>
          <w:lang w:eastAsia="en-US"/>
        </w:rPr>
        <w:t>aking account of the </w:t>
      </w:r>
      <w:r w:rsidR="00EB29FF" w:rsidRPr="00451EB9">
        <w:rPr>
          <w:rStyle w:val="x"/>
          <w:rFonts w:ascii="Calibri" w:eastAsiaTheme="minorHAnsi" w:hAnsi="Calibri" w:cs="Calibri"/>
          <w:color w:val="16202C"/>
          <w:sz w:val="22"/>
          <w:szCs w:val="22"/>
          <w:lang w:eastAsia="en-US"/>
        </w:rPr>
        <w:t xml:space="preserve">continued volatility arising from </w:t>
      </w:r>
      <w:r w:rsidR="00BF3090" w:rsidRPr="00451EB9">
        <w:rPr>
          <w:rStyle w:val="x"/>
          <w:rFonts w:ascii="Calibri" w:eastAsiaTheme="minorHAnsi" w:hAnsi="Calibri" w:cs="Calibri"/>
          <w:color w:val="16202C"/>
          <w:sz w:val="22"/>
          <w:szCs w:val="22"/>
          <w:lang w:eastAsia="en-US"/>
        </w:rPr>
        <w:t>the Covid-19 pandemic</w:t>
      </w:r>
      <w:r w:rsidR="00146363">
        <w:rPr>
          <w:rStyle w:val="x"/>
          <w:rFonts w:ascii="Calibri" w:eastAsiaTheme="minorHAnsi" w:hAnsi="Calibri" w:cs="Calibri"/>
          <w:color w:val="16202C"/>
          <w:sz w:val="22"/>
          <w:szCs w:val="22"/>
          <w:lang w:eastAsia="en-US"/>
        </w:rPr>
        <w:t>,</w:t>
      </w:r>
      <w:r w:rsidR="00EB29FF" w:rsidRPr="00451EB9">
        <w:rPr>
          <w:rStyle w:val="x"/>
          <w:rFonts w:ascii="Calibri" w:eastAsiaTheme="minorHAnsi" w:hAnsi="Calibri" w:cs="Calibri"/>
          <w:color w:val="16202C"/>
          <w:sz w:val="22"/>
          <w:szCs w:val="22"/>
          <w:lang w:eastAsia="en-US"/>
        </w:rPr>
        <w:t xml:space="preserve"> and to allow for greater visibility of market conditions</w:t>
      </w:r>
      <w:r w:rsidR="00BF3090" w:rsidRPr="00451EB9">
        <w:rPr>
          <w:rStyle w:val="x"/>
          <w:rFonts w:ascii="Calibri" w:eastAsiaTheme="minorHAnsi" w:hAnsi="Calibri" w:cs="Calibri"/>
          <w:color w:val="16202C"/>
          <w:sz w:val="22"/>
          <w:szCs w:val="22"/>
          <w:lang w:eastAsia="en-US"/>
        </w:rPr>
        <w:t>,</w:t>
      </w:r>
      <w:r w:rsidR="00D95613">
        <w:rPr>
          <w:rStyle w:val="x"/>
          <w:rFonts w:ascii="Calibri" w:eastAsiaTheme="minorHAnsi" w:hAnsi="Calibri" w:cs="Calibri"/>
          <w:color w:val="16202C"/>
          <w:sz w:val="22"/>
          <w:szCs w:val="22"/>
          <w:lang w:eastAsia="en-US"/>
        </w:rPr>
        <w:t xml:space="preserve"> </w:t>
      </w:r>
      <w:r w:rsidR="0077198E">
        <w:rPr>
          <w:rStyle w:val="x"/>
          <w:rFonts w:ascii="Calibri" w:eastAsiaTheme="minorHAnsi" w:hAnsi="Calibri" w:cs="Calibri"/>
          <w:color w:val="16202C"/>
          <w:sz w:val="22"/>
          <w:szCs w:val="22"/>
          <w:lang w:eastAsia="en-US"/>
        </w:rPr>
        <w:t>the Com</w:t>
      </w:r>
      <w:r w:rsidR="00841EDE">
        <w:rPr>
          <w:rStyle w:val="x"/>
          <w:rFonts w:ascii="Calibri" w:eastAsiaTheme="minorHAnsi" w:hAnsi="Calibri" w:cs="Calibri"/>
          <w:color w:val="16202C"/>
          <w:sz w:val="22"/>
          <w:szCs w:val="22"/>
          <w:lang w:eastAsia="en-US"/>
        </w:rPr>
        <w:t>pany</w:t>
      </w:r>
      <w:r w:rsidR="0077198E">
        <w:rPr>
          <w:rStyle w:val="x"/>
          <w:rFonts w:ascii="Calibri" w:eastAsiaTheme="minorHAnsi" w:hAnsi="Calibri" w:cs="Calibri"/>
          <w:color w:val="16202C"/>
          <w:sz w:val="22"/>
          <w:szCs w:val="22"/>
          <w:lang w:eastAsia="en-US"/>
        </w:rPr>
        <w:t xml:space="preserve"> </w:t>
      </w:r>
      <w:r w:rsidR="00BF3090" w:rsidRPr="00451EB9">
        <w:rPr>
          <w:rStyle w:val="x"/>
          <w:rFonts w:ascii="Calibri" w:eastAsiaTheme="minorHAnsi" w:hAnsi="Calibri" w:cs="Calibri"/>
          <w:color w:val="16202C"/>
          <w:sz w:val="22"/>
          <w:szCs w:val="22"/>
          <w:lang w:eastAsia="en-US"/>
        </w:rPr>
        <w:t>defer</w:t>
      </w:r>
      <w:r w:rsidR="003B22AD">
        <w:rPr>
          <w:rStyle w:val="x"/>
          <w:rFonts w:ascii="Calibri" w:eastAsiaTheme="minorHAnsi" w:hAnsi="Calibri" w:cs="Calibri"/>
          <w:color w:val="16202C"/>
          <w:sz w:val="22"/>
          <w:szCs w:val="22"/>
          <w:lang w:eastAsia="en-US"/>
        </w:rPr>
        <w:t>red</w:t>
      </w:r>
      <w:r w:rsidR="00BF3090" w:rsidRPr="00451EB9">
        <w:rPr>
          <w:rStyle w:val="x"/>
          <w:rFonts w:ascii="Calibri" w:eastAsiaTheme="minorHAnsi" w:hAnsi="Calibri" w:cs="Calibri"/>
          <w:color w:val="16202C"/>
          <w:sz w:val="22"/>
          <w:szCs w:val="22"/>
          <w:lang w:eastAsia="en-US"/>
        </w:rPr>
        <w:t xml:space="preserve"> </w:t>
      </w:r>
      <w:r w:rsidR="003B22AD">
        <w:rPr>
          <w:rStyle w:val="x"/>
          <w:rFonts w:ascii="Calibri" w:eastAsiaTheme="minorHAnsi" w:hAnsi="Calibri" w:cs="Calibri"/>
          <w:color w:val="16202C"/>
          <w:sz w:val="22"/>
          <w:szCs w:val="22"/>
          <w:lang w:eastAsia="en-US"/>
        </w:rPr>
        <w:t>the finalisation of</w:t>
      </w:r>
      <w:r w:rsidR="00EB29FF" w:rsidRPr="00451EB9">
        <w:rPr>
          <w:rStyle w:val="x"/>
          <w:rFonts w:ascii="Calibri" w:eastAsiaTheme="minorHAnsi" w:hAnsi="Calibri" w:cs="Calibri"/>
          <w:color w:val="16202C"/>
          <w:sz w:val="22"/>
          <w:szCs w:val="22"/>
          <w:lang w:eastAsia="en-US"/>
        </w:rPr>
        <w:t xml:space="preserve"> </w:t>
      </w:r>
      <w:r w:rsidR="003B22AD" w:rsidRPr="004D0A8D">
        <w:rPr>
          <w:rStyle w:val="x"/>
          <w:rFonts w:ascii="Calibri" w:eastAsiaTheme="minorHAnsi" w:hAnsi="Calibri" w:cs="Calibri"/>
          <w:color w:val="16202C"/>
          <w:sz w:val="22"/>
          <w:szCs w:val="22"/>
          <w:lang w:eastAsia="en-US"/>
        </w:rPr>
        <w:t xml:space="preserve">the </w:t>
      </w:r>
      <w:r w:rsidR="00D95613">
        <w:rPr>
          <w:rStyle w:val="x"/>
          <w:rFonts w:ascii="Calibri" w:eastAsiaTheme="minorHAnsi" w:hAnsi="Calibri" w:cs="Calibri"/>
          <w:color w:val="16202C"/>
          <w:sz w:val="22"/>
          <w:szCs w:val="22"/>
          <w:lang w:eastAsia="en-US"/>
        </w:rPr>
        <w:t>per</w:t>
      </w:r>
      <w:r w:rsidR="0077198E">
        <w:rPr>
          <w:rStyle w:val="x"/>
          <w:rFonts w:ascii="Calibri" w:eastAsiaTheme="minorHAnsi" w:hAnsi="Calibri" w:cs="Calibri"/>
          <w:color w:val="16202C"/>
          <w:sz w:val="22"/>
          <w:szCs w:val="22"/>
          <w:lang w:eastAsia="en-US"/>
        </w:rPr>
        <w:t>f</w:t>
      </w:r>
      <w:r w:rsidR="00D95613">
        <w:rPr>
          <w:rStyle w:val="x"/>
          <w:rFonts w:ascii="Calibri" w:eastAsiaTheme="minorHAnsi" w:hAnsi="Calibri" w:cs="Calibri"/>
          <w:color w:val="16202C"/>
          <w:sz w:val="22"/>
          <w:szCs w:val="22"/>
          <w:lang w:eastAsia="en-US"/>
        </w:rPr>
        <w:t>o</w:t>
      </w:r>
      <w:r w:rsidR="0077198E">
        <w:rPr>
          <w:rStyle w:val="x"/>
          <w:rFonts w:ascii="Calibri" w:eastAsiaTheme="minorHAnsi" w:hAnsi="Calibri" w:cs="Calibri"/>
          <w:color w:val="16202C"/>
          <w:sz w:val="22"/>
          <w:szCs w:val="22"/>
          <w:lang w:eastAsia="en-US"/>
        </w:rPr>
        <w:t xml:space="preserve">rmance condition </w:t>
      </w:r>
      <w:r w:rsidR="003E56E3">
        <w:rPr>
          <w:rStyle w:val="x"/>
          <w:rFonts w:ascii="Calibri" w:eastAsiaTheme="minorHAnsi" w:hAnsi="Calibri" w:cs="Calibri"/>
          <w:color w:val="16202C"/>
          <w:sz w:val="22"/>
          <w:szCs w:val="22"/>
          <w:lang w:eastAsia="en-US"/>
        </w:rPr>
        <w:t>ranges</w:t>
      </w:r>
      <w:r w:rsidR="003B22AD" w:rsidRPr="004D0A8D">
        <w:rPr>
          <w:rStyle w:val="x"/>
          <w:rFonts w:ascii="Calibri" w:eastAsiaTheme="minorHAnsi" w:hAnsi="Calibri" w:cs="Calibri"/>
          <w:color w:val="16202C"/>
          <w:sz w:val="22"/>
          <w:szCs w:val="22"/>
          <w:lang w:eastAsia="en-US"/>
        </w:rPr>
        <w:t xml:space="preserve"> </w:t>
      </w:r>
      <w:r w:rsidR="0077198E">
        <w:rPr>
          <w:rStyle w:val="x"/>
          <w:rFonts w:ascii="Calibri" w:eastAsiaTheme="minorHAnsi" w:hAnsi="Calibri" w:cs="Calibri"/>
          <w:color w:val="16202C"/>
          <w:sz w:val="22"/>
          <w:szCs w:val="22"/>
          <w:lang w:eastAsia="en-US"/>
        </w:rPr>
        <w:t>in respect of the</w:t>
      </w:r>
      <w:r>
        <w:rPr>
          <w:rStyle w:val="x"/>
          <w:rFonts w:ascii="Calibri" w:eastAsiaTheme="minorHAnsi" w:hAnsi="Calibri" w:cs="Calibri"/>
          <w:color w:val="16202C"/>
          <w:sz w:val="22"/>
          <w:szCs w:val="22"/>
          <w:lang w:eastAsia="en-US"/>
        </w:rPr>
        <w:t xml:space="preserve"> 2021 share </w:t>
      </w:r>
      <w:r w:rsidR="0077198E">
        <w:rPr>
          <w:rStyle w:val="x"/>
          <w:rFonts w:ascii="Calibri" w:eastAsiaTheme="minorHAnsi" w:hAnsi="Calibri" w:cs="Calibri"/>
          <w:color w:val="16202C"/>
          <w:sz w:val="22"/>
          <w:szCs w:val="22"/>
          <w:lang w:eastAsia="en-US"/>
        </w:rPr>
        <w:t>awards</w:t>
      </w:r>
      <w:r>
        <w:rPr>
          <w:rStyle w:val="x"/>
          <w:rFonts w:ascii="Calibri" w:eastAsiaTheme="minorHAnsi" w:hAnsi="Calibri" w:cs="Calibri"/>
          <w:color w:val="16202C"/>
          <w:sz w:val="22"/>
          <w:szCs w:val="22"/>
          <w:lang w:eastAsia="en-US"/>
        </w:rPr>
        <w:t xml:space="preserve"> granted on 1</w:t>
      </w:r>
      <w:r w:rsidR="001C7B1E">
        <w:rPr>
          <w:rStyle w:val="x"/>
          <w:rFonts w:ascii="Calibri" w:eastAsiaTheme="minorHAnsi" w:hAnsi="Calibri" w:cs="Calibri"/>
          <w:color w:val="16202C"/>
          <w:sz w:val="22"/>
          <w:szCs w:val="22"/>
          <w:lang w:eastAsia="en-US"/>
        </w:rPr>
        <w:t>6</w:t>
      </w:r>
      <w:r>
        <w:rPr>
          <w:rStyle w:val="x"/>
          <w:rFonts w:ascii="Calibri" w:eastAsiaTheme="minorHAnsi" w:hAnsi="Calibri" w:cs="Calibri"/>
          <w:color w:val="16202C"/>
          <w:sz w:val="22"/>
          <w:szCs w:val="22"/>
          <w:lang w:eastAsia="en-US"/>
        </w:rPr>
        <w:t xml:space="preserve"> March 2021</w:t>
      </w:r>
      <w:r w:rsidR="00146363">
        <w:rPr>
          <w:rStyle w:val="x"/>
          <w:rFonts w:ascii="Calibri" w:eastAsiaTheme="minorHAnsi" w:hAnsi="Calibri" w:cs="Calibri"/>
          <w:color w:val="16202C"/>
          <w:sz w:val="22"/>
          <w:szCs w:val="22"/>
          <w:lang w:eastAsia="en-US"/>
        </w:rPr>
        <w:t xml:space="preserve"> to a date to be no later than</w:t>
      </w:r>
      <w:r w:rsidR="0077198E">
        <w:rPr>
          <w:rStyle w:val="x"/>
          <w:rFonts w:ascii="Calibri" w:eastAsiaTheme="minorHAnsi" w:hAnsi="Calibri" w:cs="Calibri"/>
          <w:color w:val="16202C"/>
          <w:sz w:val="22"/>
          <w:szCs w:val="22"/>
          <w:lang w:eastAsia="en-US"/>
        </w:rPr>
        <w:t xml:space="preserve"> </w:t>
      </w:r>
      <w:r w:rsidR="003B22AD" w:rsidRPr="004D0A8D">
        <w:rPr>
          <w:rStyle w:val="x"/>
          <w:rFonts w:ascii="Calibri" w:eastAsiaTheme="minorHAnsi" w:hAnsi="Calibri" w:cs="Calibri"/>
          <w:color w:val="16202C"/>
          <w:sz w:val="22"/>
          <w:szCs w:val="22"/>
          <w:lang w:eastAsia="en-US"/>
        </w:rPr>
        <w:t>six months</w:t>
      </w:r>
      <w:r w:rsidR="004D0A8D">
        <w:rPr>
          <w:rStyle w:val="x"/>
          <w:rFonts w:ascii="Calibri" w:eastAsiaTheme="minorHAnsi" w:hAnsi="Calibri" w:cs="Calibri"/>
          <w:color w:val="16202C"/>
          <w:sz w:val="22"/>
          <w:szCs w:val="22"/>
          <w:lang w:eastAsia="en-US"/>
        </w:rPr>
        <w:t xml:space="preserve"> </w:t>
      </w:r>
      <w:r>
        <w:rPr>
          <w:rStyle w:val="x"/>
          <w:rFonts w:ascii="Calibri" w:eastAsiaTheme="minorHAnsi" w:hAnsi="Calibri" w:cs="Calibri"/>
          <w:color w:val="16202C"/>
          <w:sz w:val="22"/>
          <w:szCs w:val="22"/>
          <w:lang w:eastAsia="en-US"/>
        </w:rPr>
        <w:t>from</w:t>
      </w:r>
      <w:r w:rsidR="004D0A8D">
        <w:rPr>
          <w:rStyle w:val="x"/>
          <w:rFonts w:ascii="Calibri" w:eastAsiaTheme="minorHAnsi" w:hAnsi="Calibri" w:cs="Calibri"/>
          <w:color w:val="16202C"/>
          <w:sz w:val="22"/>
          <w:szCs w:val="22"/>
          <w:lang w:eastAsia="en-US"/>
        </w:rPr>
        <w:t xml:space="preserve"> the date of grant of the award</w:t>
      </w:r>
      <w:r w:rsidR="003B22AD" w:rsidRPr="004D0A8D">
        <w:rPr>
          <w:rStyle w:val="x"/>
          <w:rFonts w:ascii="Calibri" w:eastAsiaTheme="minorHAnsi" w:hAnsi="Calibri" w:cs="Calibri"/>
          <w:color w:val="16202C"/>
          <w:sz w:val="22"/>
          <w:szCs w:val="22"/>
          <w:lang w:eastAsia="en-US"/>
        </w:rPr>
        <w:t>.</w:t>
      </w:r>
    </w:p>
    <w:p w:rsidR="00BF3090" w:rsidRPr="00451EB9" w:rsidRDefault="00BF3090" w:rsidP="00451EB9">
      <w:pPr>
        <w:pStyle w:val="ak"/>
        <w:spacing w:before="0" w:beforeAutospacing="0" w:after="0" w:afterAutospacing="0"/>
        <w:jc w:val="both"/>
        <w:rPr>
          <w:rStyle w:val="x"/>
          <w:rFonts w:ascii="Calibri" w:eastAsiaTheme="minorHAnsi" w:hAnsi="Calibri" w:cs="Calibri"/>
          <w:sz w:val="22"/>
          <w:szCs w:val="22"/>
          <w:lang w:eastAsia="en-US"/>
        </w:rPr>
      </w:pPr>
      <w:r w:rsidRPr="00451EB9">
        <w:rPr>
          <w:rStyle w:val="x"/>
          <w:rFonts w:ascii="Calibri" w:eastAsiaTheme="minorHAnsi" w:hAnsi="Calibri" w:cs="Calibri"/>
          <w:color w:val="16202C"/>
          <w:sz w:val="22"/>
          <w:szCs w:val="22"/>
          <w:lang w:eastAsia="en-US"/>
        </w:rPr>
        <w:t> </w:t>
      </w:r>
    </w:p>
    <w:p w:rsidR="00EB29FF" w:rsidRPr="00DA6E60" w:rsidRDefault="003B22AD" w:rsidP="004D0A8D">
      <w:pPr>
        <w:pStyle w:val="ak"/>
        <w:spacing w:before="0" w:beforeAutospacing="0" w:after="0" w:afterAutospacing="0"/>
        <w:jc w:val="both"/>
        <w:rPr>
          <w:rStyle w:val="x"/>
          <w:rFonts w:ascii="Calibri" w:eastAsiaTheme="minorHAnsi" w:hAnsi="Calibri" w:cs="Calibri"/>
          <w:color w:val="16202C"/>
          <w:sz w:val="22"/>
          <w:szCs w:val="22"/>
          <w:lang w:eastAsia="en-US"/>
        </w:rPr>
      </w:pPr>
      <w:r w:rsidRPr="00DA6E60">
        <w:rPr>
          <w:rStyle w:val="x"/>
          <w:rFonts w:ascii="Calibri" w:eastAsiaTheme="minorHAnsi" w:hAnsi="Calibri" w:cs="Calibri"/>
          <w:color w:val="16202C"/>
          <w:sz w:val="22"/>
          <w:szCs w:val="22"/>
          <w:lang w:eastAsia="en-US"/>
        </w:rPr>
        <w:t>T</w:t>
      </w:r>
      <w:r w:rsidR="00EB29FF" w:rsidRPr="00DA6E60">
        <w:rPr>
          <w:rStyle w:val="x"/>
          <w:rFonts w:ascii="Calibri" w:eastAsiaTheme="minorHAnsi" w:hAnsi="Calibri" w:cs="Calibri"/>
          <w:color w:val="16202C"/>
          <w:sz w:val="22"/>
          <w:szCs w:val="22"/>
          <w:lang w:eastAsia="en-US"/>
        </w:rPr>
        <w:t>he Company confirms that the p</w:t>
      </w:r>
      <w:r w:rsidR="00D95613" w:rsidRPr="00DA6E60">
        <w:rPr>
          <w:rStyle w:val="x"/>
          <w:rFonts w:ascii="Calibri" w:eastAsiaTheme="minorHAnsi" w:hAnsi="Calibri" w:cs="Calibri"/>
          <w:color w:val="16202C"/>
          <w:sz w:val="22"/>
          <w:szCs w:val="22"/>
          <w:lang w:eastAsia="en-US"/>
        </w:rPr>
        <w:t xml:space="preserve">erformance </w:t>
      </w:r>
      <w:r w:rsidR="00F7287D">
        <w:rPr>
          <w:rStyle w:val="x"/>
          <w:rFonts w:ascii="Calibri" w:eastAsiaTheme="minorHAnsi" w:hAnsi="Calibri" w:cs="Calibri"/>
          <w:color w:val="16202C"/>
          <w:sz w:val="22"/>
          <w:szCs w:val="22"/>
          <w:lang w:eastAsia="en-US"/>
        </w:rPr>
        <w:t xml:space="preserve">condition </w:t>
      </w:r>
      <w:r w:rsidR="00D95613" w:rsidRPr="00DA6E60">
        <w:rPr>
          <w:rStyle w:val="x"/>
          <w:rFonts w:ascii="Calibri" w:eastAsiaTheme="minorHAnsi" w:hAnsi="Calibri" w:cs="Calibri"/>
          <w:color w:val="16202C"/>
          <w:sz w:val="22"/>
          <w:szCs w:val="22"/>
          <w:lang w:eastAsia="en-US"/>
        </w:rPr>
        <w:t xml:space="preserve">measures and targets </w:t>
      </w:r>
      <w:r w:rsidR="00EB29FF" w:rsidRPr="00DA6E60">
        <w:rPr>
          <w:rStyle w:val="x"/>
          <w:rFonts w:ascii="Calibri" w:eastAsiaTheme="minorHAnsi" w:hAnsi="Calibri" w:cs="Calibri"/>
          <w:color w:val="16202C"/>
          <w:sz w:val="22"/>
          <w:szCs w:val="22"/>
          <w:lang w:eastAsia="en-US"/>
        </w:rPr>
        <w:t xml:space="preserve">in respect of the </w:t>
      </w:r>
      <w:r w:rsidR="00F7287D">
        <w:rPr>
          <w:rStyle w:val="x"/>
          <w:rFonts w:ascii="Calibri" w:eastAsiaTheme="minorHAnsi" w:hAnsi="Calibri" w:cs="Calibri"/>
          <w:color w:val="16202C"/>
          <w:sz w:val="22"/>
          <w:szCs w:val="22"/>
          <w:lang w:eastAsia="en-US"/>
        </w:rPr>
        <w:t xml:space="preserve">2021 </w:t>
      </w:r>
      <w:r w:rsidR="00BC5D25">
        <w:rPr>
          <w:rStyle w:val="x"/>
          <w:rFonts w:ascii="Calibri" w:eastAsiaTheme="minorHAnsi" w:hAnsi="Calibri" w:cs="Calibri"/>
          <w:color w:val="16202C"/>
          <w:sz w:val="22"/>
          <w:szCs w:val="22"/>
          <w:lang w:eastAsia="en-US"/>
        </w:rPr>
        <w:t xml:space="preserve">share </w:t>
      </w:r>
      <w:r w:rsidR="00A40176" w:rsidRPr="00DA6E60">
        <w:rPr>
          <w:rStyle w:val="x"/>
          <w:rFonts w:ascii="Calibri" w:eastAsiaTheme="minorHAnsi" w:hAnsi="Calibri" w:cs="Calibri"/>
          <w:color w:val="16202C"/>
          <w:sz w:val="22"/>
          <w:szCs w:val="22"/>
          <w:lang w:eastAsia="en-US"/>
        </w:rPr>
        <w:t>award</w:t>
      </w:r>
      <w:r w:rsidR="00F7287D">
        <w:rPr>
          <w:rStyle w:val="x"/>
          <w:rFonts w:ascii="Calibri" w:eastAsiaTheme="minorHAnsi" w:hAnsi="Calibri" w:cs="Calibri"/>
          <w:color w:val="16202C"/>
          <w:sz w:val="22"/>
          <w:szCs w:val="22"/>
          <w:lang w:eastAsia="en-US"/>
        </w:rPr>
        <w:t>s</w:t>
      </w:r>
      <w:r w:rsidR="00A40176" w:rsidRPr="00DA6E60">
        <w:rPr>
          <w:rStyle w:val="x"/>
          <w:rFonts w:ascii="Calibri" w:eastAsiaTheme="minorHAnsi" w:hAnsi="Calibri" w:cs="Calibri"/>
          <w:color w:val="16202C"/>
          <w:sz w:val="22"/>
          <w:szCs w:val="22"/>
          <w:lang w:eastAsia="en-US"/>
        </w:rPr>
        <w:t xml:space="preserve"> </w:t>
      </w:r>
      <w:r w:rsidR="00EB29FF" w:rsidRPr="00DA6E60">
        <w:rPr>
          <w:rStyle w:val="x"/>
          <w:rFonts w:ascii="Calibri" w:eastAsiaTheme="minorHAnsi" w:hAnsi="Calibri" w:cs="Calibri"/>
          <w:color w:val="16202C"/>
          <w:sz w:val="22"/>
          <w:szCs w:val="22"/>
          <w:lang w:eastAsia="en-US"/>
        </w:rPr>
        <w:t xml:space="preserve">made on </w:t>
      </w:r>
      <w:r w:rsidR="004D0A8D" w:rsidRPr="00DA6E60">
        <w:rPr>
          <w:rStyle w:val="x"/>
          <w:rFonts w:ascii="Calibri" w:eastAsiaTheme="minorHAnsi" w:hAnsi="Calibri" w:cs="Calibri"/>
          <w:color w:val="16202C"/>
          <w:sz w:val="22"/>
          <w:szCs w:val="22"/>
          <w:lang w:eastAsia="en-US"/>
        </w:rPr>
        <w:t>16</w:t>
      </w:r>
      <w:r w:rsidR="00460085" w:rsidRPr="00DA6E60">
        <w:rPr>
          <w:rStyle w:val="x"/>
          <w:rFonts w:ascii="Calibri" w:eastAsiaTheme="minorHAnsi" w:hAnsi="Calibri" w:cs="Calibri"/>
          <w:color w:val="16202C"/>
          <w:sz w:val="22"/>
          <w:szCs w:val="22"/>
          <w:lang w:eastAsia="en-US"/>
        </w:rPr>
        <w:t xml:space="preserve"> </w:t>
      </w:r>
      <w:r w:rsidR="004D0A8D" w:rsidRPr="00DA6E60">
        <w:rPr>
          <w:rStyle w:val="x"/>
          <w:rFonts w:ascii="Calibri" w:eastAsiaTheme="minorHAnsi" w:hAnsi="Calibri" w:cs="Calibri"/>
          <w:color w:val="16202C"/>
          <w:sz w:val="22"/>
          <w:szCs w:val="22"/>
          <w:lang w:eastAsia="en-US"/>
        </w:rPr>
        <w:t>March 2021</w:t>
      </w:r>
      <w:r w:rsidR="00F7287D">
        <w:rPr>
          <w:rStyle w:val="x"/>
          <w:rFonts w:ascii="Calibri" w:eastAsiaTheme="minorHAnsi" w:hAnsi="Calibri" w:cs="Calibri"/>
          <w:color w:val="16202C"/>
          <w:sz w:val="22"/>
          <w:szCs w:val="22"/>
          <w:lang w:eastAsia="en-US"/>
        </w:rPr>
        <w:t xml:space="preserve"> </w:t>
      </w:r>
      <w:r w:rsidR="00460085" w:rsidRPr="00DA6E60">
        <w:rPr>
          <w:rStyle w:val="x"/>
          <w:rFonts w:ascii="Calibri" w:eastAsiaTheme="minorHAnsi" w:hAnsi="Calibri" w:cs="Calibri"/>
          <w:color w:val="16202C"/>
          <w:sz w:val="22"/>
          <w:szCs w:val="22"/>
          <w:lang w:eastAsia="en-US"/>
        </w:rPr>
        <w:t>are as set out below</w:t>
      </w:r>
      <w:r w:rsidR="00EB29FF" w:rsidRPr="00DA6E60">
        <w:rPr>
          <w:rStyle w:val="x"/>
          <w:rFonts w:ascii="Calibri" w:eastAsiaTheme="minorHAnsi" w:hAnsi="Calibri" w:cs="Calibri"/>
          <w:color w:val="16202C"/>
          <w:sz w:val="22"/>
          <w:szCs w:val="22"/>
          <w:lang w:eastAsia="en-US"/>
        </w:rPr>
        <w:t>:</w:t>
      </w:r>
    </w:p>
    <w:p w:rsidR="000C0804" w:rsidRDefault="000C0804" w:rsidP="00963306">
      <w:pPr>
        <w:spacing w:after="0" w:line="240" w:lineRule="auto"/>
        <w:rPr>
          <w:rFonts w:ascii="Times New Roman" w:eastAsia="Times New Roman" w:hAnsi="Times New Roman" w:cs="Times New Roman"/>
          <w:color w:val="000000"/>
          <w:lang w:eastAsia="en-IE"/>
        </w:rPr>
      </w:pPr>
    </w:p>
    <w:tbl>
      <w:tblPr>
        <w:tblW w:w="9214" w:type="dxa"/>
        <w:jc w:val="center"/>
        <w:tblCellMar>
          <w:left w:w="0" w:type="dxa"/>
          <w:right w:w="0" w:type="dxa"/>
        </w:tblCellMar>
        <w:tblLook w:val="04A0" w:firstRow="1" w:lastRow="0" w:firstColumn="1" w:lastColumn="0" w:noHBand="0" w:noVBand="1"/>
      </w:tblPr>
      <w:tblGrid>
        <w:gridCol w:w="19"/>
        <w:gridCol w:w="1966"/>
        <w:gridCol w:w="2977"/>
        <w:gridCol w:w="1765"/>
        <w:gridCol w:w="2487"/>
      </w:tblGrid>
      <w:tr w:rsidR="003E56E3" w:rsidRPr="00644B24" w:rsidTr="00484FA1">
        <w:trPr>
          <w:jc w:val="center"/>
        </w:trPr>
        <w:tc>
          <w:tcPr>
            <w:tcW w:w="19" w:type="dxa"/>
            <w:vMerge w:val="restart"/>
            <w:tcBorders>
              <w:right w:val="single" w:sz="4" w:space="0" w:color="auto"/>
            </w:tcBorders>
            <w:shd w:val="clear" w:color="auto" w:fill="auto"/>
          </w:tcPr>
          <w:p w:rsidR="003E56E3" w:rsidRPr="00644B24" w:rsidRDefault="003E56E3" w:rsidP="00761E6B">
            <w:pPr>
              <w:pStyle w:val="PlainText"/>
              <w:jc w:val="center"/>
              <w:rPr>
                <w:rFonts w:asciiTheme="minorHAnsi" w:hAnsiTheme="minorHAnsi"/>
                <w:b/>
                <w:bCs/>
                <w:color w:val="FFFFFF"/>
                <w:sz w:val="18"/>
                <w:szCs w:val="18"/>
              </w:rPr>
            </w:pPr>
          </w:p>
        </w:tc>
        <w:tc>
          <w:tcPr>
            <w:tcW w:w="1966" w:type="dxa"/>
            <w:tcBorders>
              <w:top w:val="single" w:sz="4" w:space="0" w:color="auto"/>
              <w:left w:val="single" w:sz="4" w:space="0" w:color="auto"/>
              <w:bottom w:val="single" w:sz="4" w:space="0" w:color="auto"/>
              <w:right w:val="single" w:sz="4" w:space="0" w:color="FFFFFF" w:themeColor="background1"/>
            </w:tcBorders>
            <w:shd w:val="clear" w:color="auto" w:fill="002060"/>
            <w:tcMar>
              <w:top w:w="0" w:type="dxa"/>
              <w:left w:w="108" w:type="dxa"/>
              <w:bottom w:w="0" w:type="dxa"/>
              <w:right w:w="108" w:type="dxa"/>
            </w:tcMar>
            <w:vAlign w:val="center"/>
            <w:hideMark/>
          </w:tcPr>
          <w:p w:rsidR="003E56E3" w:rsidRPr="00644B24" w:rsidRDefault="003E56E3" w:rsidP="00761E6B">
            <w:pPr>
              <w:pStyle w:val="PlainText"/>
              <w:jc w:val="center"/>
              <w:rPr>
                <w:rFonts w:asciiTheme="minorHAnsi" w:hAnsiTheme="minorHAnsi"/>
                <w:b/>
                <w:bCs/>
                <w:color w:val="FFFFFF"/>
                <w:sz w:val="18"/>
                <w:szCs w:val="18"/>
              </w:rPr>
            </w:pPr>
            <w:r w:rsidRPr="00644B24">
              <w:rPr>
                <w:rFonts w:asciiTheme="minorHAnsi" w:hAnsiTheme="minorHAnsi"/>
                <w:b/>
                <w:bCs/>
                <w:color w:val="FFFFFF"/>
                <w:sz w:val="18"/>
                <w:szCs w:val="18"/>
              </w:rPr>
              <w:t>PERFORMANCE CONDITION</w:t>
            </w:r>
          </w:p>
        </w:tc>
        <w:tc>
          <w:tcPr>
            <w:tcW w:w="297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tcPr>
          <w:p w:rsidR="003E56E3" w:rsidRPr="004D0A8D" w:rsidRDefault="003E56E3" w:rsidP="00761E6B">
            <w:pPr>
              <w:pStyle w:val="ListParagraph"/>
              <w:spacing w:after="0" w:line="240" w:lineRule="auto"/>
              <w:ind w:left="0"/>
              <w:jc w:val="center"/>
              <w:rPr>
                <w:bCs/>
                <w:i/>
                <w:color w:val="FFFFFF"/>
                <w:sz w:val="18"/>
                <w:szCs w:val="18"/>
              </w:rPr>
            </w:pPr>
            <w:r>
              <w:rPr>
                <w:bCs/>
                <w:i/>
                <w:color w:val="FFFFFF"/>
                <w:sz w:val="18"/>
                <w:szCs w:val="18"/>
              </w:rPr>
              <w:t>Weighting</w:t>
            </w:r>
          </w:p>
        </w:tc>
        <w:tc>
          <w:tcPr>
            <w:tcW w:w="176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hideMark/>
          </w:tcPr>
          <w:p w:rsidR="003E56E3" w:rsidRPr="004D0A8D" w:rsidRDefault="003E56E3" w:rsidP="00761E6B">
            <w:pPr>
              <w:pStyle w:val="ListParagraph"/>
              <w:spacing w:after="0" w:line="240" w:lineRule="auto"/>
              <w:ind w:left="0"/>
              <w:jc w:val="center"/>
              <w:rPr>
                <w:bCs/>
                <w:i/>
                <w:color w:val="FFFFFF"/>
                <w:sz w:val="18"/>
                <w:szCs w:val="18"/>
              </w:rPr>
            </w:pPr>
            <w:r w:rsidRPr="004D0A8D">
              <w:rPr>
                <w:bCs/>
                <w:i/>
                <w:color w:val="FFFFFF"/>
                <w:sz w:val="18"/>
                <w:szCs w:val="18"/>
              </w:rPr>
              <w:t>Threshold</w:t>
            </w:r>
          </w:p>
          <w:p w:rsidR="003E56E3" w:rsidRPr="00644B24" w:rsidRDefault="003E56E3" w:rsidP="00761E6B">
            <w:pPr>
              <w:pStyle w:val="ListParagraph"/>
              <w:spacing w:after="0" w:line="240" w:lineRule="auto"/>
              <w:ind w:left="0"/>
              <w:jc w:val="center"/>
              <w:rPr>
                <w:bCs/>
                <w:i/>
                <w:color w:val="FFFFFF"/>
                <w:sz w:val="18"/>
                <w:szCs w:val="18"/>
              </w:rPr>
            </w:pPr>
            <w:r w:rsidRPr="00644B24">
              <w:rPr>
                <w:bCs/>
                <w:i/>
                <w:color w:val="FFFFFF"/>
                <w:sz w:val="18"/>
                <w:szCs w:val="18"/>
              </w:rPr>
              <w:t>(25% vesting)</w:t>
            </w:r>
            <w:r w:rsidRPr="004D0A8D">
              <w:rPr>
                <w:bCs/>
                <w:i/>
                <w:color w:val="FFFFFF" w:themeColor="background1"/>
                <w:sz w:val="18"/>
                <w:szCs w:val="18"/>
              </w:rPr>
              <w:t>*</w:t>
            </w:r>
          </w:p>
        </w:tc>
        <w:tc>
          <w:tcPr>
            <w:tcW w:w="2487" w:type="dxa"/>
            <w:tcBorders>
              <w:top w:val="single" w:sz="4" w:space="0" w:color="auto"/>
              <w:left w:val="single" w:sz="4" w:space="0" w:color="FFFFFF" w:themeColor="background1"/>
              <w:bottom w:val="single" w:sz="4" w:space="0" w:color="auto"/>
              <w:right w:val="single" w:sz="4" w:space="0" w:color="auto"/>
            </w:tcBorders>
            <w:shd w:val="clear" w:color="auto" w:fill="002060"/>
          </w:tcPr>
          <w:p w:rsidR="003E56E3" w:rsidRDefault="003E56E3" w:rsidP="00761E6B">
            <w:pPr>
              <w:pStyle w:val="ListParagraph"/>
              <w:spacing w:after="0" w:line="240" w:lineRule="auto"/>
              <w:ind w:left="0"/>
              <w:jc w:val="center"/>
              <w:rPr>
                <w:b/>
                <w:bCs/>
                <w:color w:val="FFFFFF"/>
                <w:sz w:val="18"/>
                <w:szCs w:val="18"/>
              </w:rPr>
            </w:pPr>
            <w:r>
              <w:rPr>
                <w:b/>
                <w:bCs/>
                <w:color w:val="FFFFFF"/>
                <w:sz w:val="18"/>
                <w:szCs w:val="18"/>
              </w:rPr>
              <w:t>Maximum</w:t>
            </w:r>
          </w:p>
          <w:p w:rsidR="003E56E3" w:rsidRPr="00644B24" w:rsidRDefault="003E56E3" w:rsidP="00761E6B">
            <w:pPr>
              <w:pStyle w:val="ListParagraph"/>
              <w:spacing w:after="0" w:line="240" w:lineRule="auto"/>
              <w:ind w:left="0"/>
              <w:jc w:val="center"/>
              <w:rPr>
                <w:b/>
                <w:bCs/>
                <w:color w:val="FFFFFF"/>
                <w:sz w:val="18"/>
                <w:szCs w:val="18"/>
              </w:rPr>
            </w:pPr>
            <w:r w:rsidRPr="00644B24">
              <w:rPr>
                <w:bCs/>
                <w:i/>
                <w:color w:val="FFFFFF"/>
                <w:sz w:val="18"/>
                <w:szCs w:val="18"/>
              </w:rPr>
              <w:t>(</w:t>
            </w:r>
            <w:r>
              <w:rPr>
                <w:bCs/>
                <w:i/>
                <w:color w:val="FFFFFF"/>
                <w:sz w:val="18"/>
                <w:szCs w:val="18"/>
              </w:rPr>
              <w:t>100</w:t>
            </w:r>
            <w:r w:rsidRPr="00644B24">
              <w:rPr>
                <w:bCs/>
                <w:i/>
                <w:color w:val="FFFFFF"/>
                <w:sz w:val="18"/>
                <w:szCs w:val="18"/>
              </w:rPr>
              <w:t>% vesting)</w:t>
            </w:r>
            <w:r>
              <w:rPr>
                <w:bCs/>
                <w:i/>
                <w:color w:val="FFFFFF"/>
                <w:sz w:val="18"/>
                <w:szCs w:val="18"/>
              </w:rPr>
              <w:t>*</w:t>
            </w:r>
          </w:p>
        </w:tc>
      </w:tr>
      <w:tr w:rsidR="003E56E3" w:rsidRPr="00644B24" w:rsidTr="00484FA1">
        <w:trPr>
          <w:trHeight w:val="311"/>
          <w:jc w:val="center"/>
        </w:trPr>
        <w:tc>
          <w:tcPr>
            <w:tcW w:w="19" w:type="dxa"/>
            <w:vMerge/>
            <w:tcBorders>
              <w:right w:val="single" w:sz="4" w:space="0" w:color="auto"/>
            </w:tcBorders>
            <w:shd w:val="clear" w:color="auto" w:fill="auto"/>
          </w:tcPr>
          <w:p w:rsidR="003E56E3" w:rsidRDefault="003E56E3" w:rsidP="00761E6B">
            <w:pPr>
              <w:pStyle w:val="PlainText"/>
              <w:jc w:val="center"/>
              <w:rPr>
                <w:rFonts w:eastAsia="Times New Roman"/>
                <w:b/>
                <w:color w:val="000080"/>
                <w:sz w:val="18"/>
                <w:szCs w:val="18"/>
                <w:lang w:val="en-GB"/>
              </w:rPr>
            </w:pP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56E3" w:rsidRPr="00460085" w:rsidRDefault="003E56E3" w:rsidP="00761E6B">
            <w:pPr>
              <w:pStyle w:val="PlainText"/>
              <w:jc w:val="center"/>
              <w:rPr>
                <w:rFonts w:asciiTheme="minorHAnsi" w:hAnsiTheme="minorHAnsi"/>
                <w:b/>
                <w:bCs/>
                <w:color w:val="000000" w:themeColor="text1"/>
                <w:sz w:val="20"/>
                <w:szCs w:val="20"/>
              </w:rPr>
            </w:pPr>
            <w:r w:rsidRPr="00460085">
              <w:rPr>
                <w:rFonts w:eastAsia="Times New Roman"/>
                <w:b/>
                <w:color w:val="000000" w:themeColor="text1"/>
                <w:sz w:val="20"/>
                <w:szCs w:val="20"/>
                <w:lang w:val="en-GB"/>
              </w:rPr>
              <w:t>Group Adjusted EPS</w:t>
            </w:r>
            <w:r w:rsidR="00BA2169">
              <w:rPr>
                <w:rFonts w:eastAsia="Times New Roman"/>
                <w:b/>
                <w:color w:val="000000" w:themeColor="text1"/>
                <w:sz w:val="20"/>
                <w:szCs w:val="20"/>
                <w:lang w:val="en-GB"/>
              </w:rPr>
              <w:t>**</w:t>
            </w:r>
          </w:p>
        </w:tc>
        <w:tc>
          <w:tcPr>
            <w:tcW w:w="297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jc w:val="center"/>
              <w:rPr>
                <w:sz w:val="20"/>
                <w:szCs w:val="20"/>
              </w:rPr>
            </w:pPr>
            <w:r w:rsidRPr="00460085">
              <w:rPr>
                <w:sz w:val="20"/>
                <w:szCs w:val="20"/>
              </w:rPr>
              <w:t>50%</w:t>
            </w:r>
          </w:p>
        </w:tc>
        <w:tc>
          <w:tcPr>
            <w:tcW w:w="1765" w:type="dxa"/>
            <w:tcBorders>
              <w:top w:val="single" w:sz="4" w:space="0" w:color="auto"/>
              <w:left w:val="single" w:sz="4" w:space="0" w:color="auto"/>
              <w:bottom w:val="single" w:sz="4" w:space="0" w:color="auto"/>
              <w:right w:val="single" w:sz="4" w:space="0" w:color="auto"/>
            </w:tcBorders>
            <w:hideMark/>
          </w:tcPr>
          <w:p w:rsidR="003E56E3" w:rsidRPr="00460085" w:rsidRDefault="003E56E3" w:rsidP="00D95613">
            <w:pPr>
              <w:pStyle w:val="ListParagraph"/>
              <w:spacing w:after="0" w:line="240" w:lineRule="auto"/>
              <w:ind w:left="0"/>
              <w:rPr>
                <w:sz w:val="20"/>
                <w:szCs w:val="20"/>
                <w:lang w:eastAsia="en-IE"/>
              </w:rPr>
            </w:pPr>
            <w:r w:rsidRPr="00460085">
              <w:rPr>
                <w:sz w:val="20"/>
                <w:szCs w:val="20"/>
              </w:rPr>
              <w:t xml:space="preserve">Equal to </w:t>
            </w:r>
            <w:r w:rsidR="00D95613" w:rsidRPr="00460085">
              <w:rPr>
                <w:sz w:val="20"/>
                <w:szCs w:val="20"/>
              </w:rPr>
              <w:t>6</w:t>
            </w:r>
            <w:r w:rsidRPr="00460085">
              <w:rPr>
                <w:sz w:val="20"/>
                <w:szCs w:val="20"/>
              </w:rPr>
              <w:t>% CAGR</w:t>
            </w:r>
          </w:p>
        </w:tc>
        <w:tc>
          <w:tcPr>
            <w:tcW w:w="248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rPr>
                <w:rFonts w:cstheme="minorHAnsi"/>
                <w:spacing w:val="-2"/>
                <w:sz w:val="20"/>
                <w:szCs w:val="20"/>
              </w:rPr>
            </w:pPr>
            <w:r w:rsidRPr="00460085">
              <w:rPr>
                <w:sz w:val="20"/>
                <w:szCs w:val="20"/>
              </w:rPr>
              <w:t xml:space="preserve">Equal to or greater than </w:t>
            </w:r>
            <w:r w:rsidR="00D95613" w:rsidRPr="00460085">
              <w:rPr>
                <w:sz w:val="20"/>
                <w:szCs w:val="20"/>
              </w:rPr>
              <w:t>11</w:t>
            </w:r>
            <w:r w:rsidRPr="00460085">
              <w:rPr>
                <w:sz w:val="20"/>
                <w:szCs w:val="20"/>
              </w:rPr>
              <w:t>% CAGR</w:t>
            </w:r>
          </w:p>
        </w:tc>
      </w:tr>
      <w:tr w:rsidR="003E56E3" w:rsidRPr="00644B24" w:rsidTr="00484FA1">
        <w:trPr>
          <w:jc w:val="center"/>
        </w:trPr>
        <w:tc>
          <w:tcPr>
            <w:tcW w:w="19" w:type="dxa"/>
            <w:vMerge/>
            <w:tcBorders>
              <w:right w:val="single" w:sz="4" w:space="0" w:color="auto"/>
            </w:tcBorders>
            <w:shd w:val="clear" w:color="auto" w:fill="auto"/>
          </w:tcPr>
          <w:p w:rsidR="003E56E3" w:rsidRPr="00644B24" w:rsidRDefault="003E56E3" w:rsidP="00761E6B">
            <w:pPr>
              <w:pStyle w:val="PlainText"/>
              <w:jc w:val="center"/>
              <w:rPr>
                <w:rFonts w:asciiTheme="minorHAnsi" w:hAnsiTheme="minorHAnsi"/>
                <w:b/>
                <w:bCs/>
                <w:color w:val="002060"/>
                <w:sz w:val="18"/>
                <w:szCs w:val="18"/>
              </w:rPr>
            </w:pP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E56E3" w:rsidRPr="00460085" w:rsidRDefault="003E56E3" w:rsidP="00761E6B">
            <w:pPr>
              <w:pStyle w:val="PlainText"/>
              <w:jc w:val="center"/>
              <w:rPr>
                <w:rFonts w:asciiTheme="minorHAnsi" w:hAnsiTheme="minorHAnsi"/>
                <w:b/>
                <w:bCs/>
                <w:color w:val="000000" w:themeColor="text1"/>
                <w:sz w:val="20"/>
                <w:szCs w:val="20"/>
              </w:rPr>
            </w:pPr>
            <w:r w:rsidRPr="00460085">
              <w:rPr>
                <w:rFonts w:asciiTheme="minorHAnsi" w:hAnsiTheme="minorHAnsi"/>
                <w:b/>
                <w:bCs/>
                <w:color w:val="000000" w:themeColor="text1"/>
                <w:sz w:val="20"/>
                <w:szCs w:val="20"/>
              </w:rPr>
              <w:t>GROUP ROCE</w:t>
            </w:r>
          </w:p>
        </w:tc>
        <w:tc>
          <w:tcPr>
            <w:tcW w:w="297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jc w:val="center"/>
              <w:rPr>
                <w:sz w:val="20"/>
                <w:szCs w:val="20"/>
              </w:rPr>
            </w:pPr>
            <w:r w:rsidRPr="00460085">
              <w:rPr>
                <w:sz w:val="20"/>
                <w:szCs w:val="20"/>
              </w:rPr>
              <w:t>30%</w:t>
            </w:r>
          </w:p>
        </w:tc>
        <w:tc>
          <w:tcPr>
            <w:tcW w:w="1765" w:type="dxa"/>
            <w:tcBorders>
              <w:top w:val="single" w:sz="4" w:space="0" w:color="auto"/>
              <w:left w:val="single" w:sz="4" w:space="0" w:color="auto"/>
              <w:bottom w:val="single" w:sz="4" w:space="0" w:color="auto"/>
              <w:right w:val="single" w:sz="4" w:space="0" w:color="auto"/>
            </w:tcBorders>
            <w:hideMark/>
          </w:tcPr>
          <w:p w:rsidR="003E56E3" w:rsidRPr="00460085" w:rsidRDefault="003E56E3" w:rsidP="00677250">
            <w:pPr>
              <w:pStyle w:val="ListParagraph"/>
              <w:spacing w:after="0" w:line="240" w:lineRule="auto"/>
              <w:ind w:left="0"/>
              <w:rPr>
                <w:b/>
                <w:bCs/>
                <w:sz w:val="20"/>
                <w:szCs w:val="20"/>
              </w:rPr>
            </w:pPr>
            <w:r w:rsidRPr="00460085">
              <w:rPr>
                <w:sz w:val="20"/>
                <w:szCs w:val="20"/>
              </w:rPr>
              <w:t xml:space="preserve">Equal to </w:t>
            </w:r>
            <w:r w:rsidR="00D95613" w:rsidRPr="00460085">
              <w:rPr>
                <w:sz w:val="20"/>
                <w:szCs w:val="20"/>
              </w:rPr>
              <w:t>8</w:t>
            </w:r>
            <w:r w:rsidRPr="00460085">
              <w:rPr>
                <w:sz w:val="20"/>
                <w:szCs w:val="20"/>
              </w:rPr>
              <w:t>%</w:t>
            </w:r>
          </w:p>
        </w:tc>
        <w:tc>
          <w:tcPr>
            <w:tcW w:w="248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rPr>
                <w:b/>
                <w:bCs/>
                <w:sz w:val="20"/>
                <w:szCs w:val="20"/>
              </w:rPr>
            </w:pPr>
            <w:r w:rsidRPr="00460085">
              <w:rPr>
                <w:sz w:val="20"/>
                <w:szCs w:val="20"/>
              </w:rPr>
              <w:t xml:space="preserve">Equal to or greater than </w:t>
            </w:r>
            <w:r w:rsidR="00D95613" w:rsidRPr="00460085">
              <w:rPr>
                <w:sz w:val="20"/>
                <w:szCs w:val="20"/>
              </w:rPr>
              <w:t>11</w:t>
            </w:r>
            <w:r w:rsidRPr="00460085">
              <w:rPr>
                <w:sz w:val="20"/>
                <w:szCs w:val="20"/>
              </w:rPr>
              <w:t>%</w:t>
            </w:r>
          </w:p>
        </w:tc>
      </w:tr>
      <w:tr w:rsidR="003E56E3" w:rsidRPr="00644B24" w:rsidTr="00484FA1">
        <w:trPr>
          <w:jc w:val="center"/>
        </w:trPr>
        <w:tc>
          <w:tcPr>
            <w:tcW w:w="19" w:type="dxa"/>
            <w:vMerge/>
            <w:tcBorders>
              <w:bottom w:val="single" w:sz="4" w:space="0" w:color="auto"/>
              <w:right w:val="single" w:sz="4" w:space="0" w:color="auto"/>
            </w:tcBorders>
            <w:shd w:val="clear" w:color="auto" w:fill="auto"/>
          </w:tcPr>
          <w:p w:rsidR="003E56E3" w:rsidRPr="00644B24" w:rsidRDefault="003E56E3" w:rsidP="00761E6B">
            <w:pPr>
              <w:pStyle w:val="PlainText"/>
              <w:jc w:val="center"/>
              <w:rPr>
                <w:rFonts w:asciiTheme="minorHAnsi" w:hAnsiTheme="minorHAnsi"/>
                <w:b/>
                <w:bCs/>
                <w:color w:val="002060"/>
                <w:sz w:val="18"/>
                <w:szCs w:val="18"/>
              </w:rPr>
            </w:pPr>
          </w:p>
        </w:tc>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E56E3" w:rsidRPr="00460085" w:rsidRDefault="003E56E3" w:rsidP="00761E6B">
            <w:pPr>
              <w:pStyle w:val="PlainText"/>
              <w:jc w:val="center"/>
              <w:rPr>
                <w:rFonts w:asciiTheme="minorHAnsi" w:hAnsiTheme="minorHAnsi" w:cs="Courier New"/>
                <w:b/>
                <w:bCs/>
                <w:color w:val="000000" w:themeColor="text1"/>
                <w:sz w:val="20"/>
                <w:szCs w:val="20"/>
              </w:rPr>
            </w:pPr>
            <w:r w:rsidRPr="00460085">
              <w:rPr>
                <w:rFonts w:asciiTheme="minorHAnsi" w:hAnsiTheme="minorHAnsi"/>
                <w:b/>
                <w:bCs/>
                <w:color w:val="000000" w:themeColor="text1"/>
                <w:sz w:val="20"/>
                <w:szCs w:val="20"/>
              </w:rPr>
              <w:t>TSR</w:t>
            </w:r>
          </w:p>
          <w:p w:rsidR="003E56E3" w:rsidRPr="00460085" w:rsidRDefault="003E56E3" w:rsidP="00761E6B">
            <w:pPr>
              <w:pStyle w:val="PlainText"/>
              <w:jc w:val="center"/>
              <w:rPr>
                <w:rFonts w:asciiTheme="minorHAnsi" w:hAnsiTheme="minorHAnsi" w:cs="Courier New"/>
                <w:bCs/>
                <w:color w:val="000000" w:themeColor="text1"/>
                <w:sz w:val="20"/>
                <w:szCs w:val="20"/>
              </w:rPr>
            </w:pPr>
            <w:r w:rsidRPr="00460085">
              <w:rPr>
                <w:rFonts w:asciiTheme="minorHAnsi" w:hAnsiTheme="minorHAnsi" w:cs="Courier New"/>
                <w:bCs/>
                <w:color w:val="000000" w:themeColor="text1"/>
                <w:sz w:val="20"/>
                <w:szCs w:val="20"/>
              </w:rPr>
              <w:t>(STOXX Europe 600 Food &amp; Beverage Index)</w:t>
            </w:r>
          </w:p>
        </w:tc>
        <w:tc>
          <w:tcPr>
            <w:tcW w:w="297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jc w:val="center"/>
              <w:rPr>
                <w:sz w:val="20"/>
                <w:szCs w:val="20"/>
              </w:rPr>
            </w:pPr>
            <w:r w:rsidRPr="00460085">
              <w:rPr>
                <w:sz w:val="20"/>
                <w:szCs w:val="20"/>
              </w:rPr>
              <w:t>10%</w:t>
            </w:r>
          </w:p>
        </w:tc>
        <w:tc>
          <w:tcPr>
            <w:tcW w:w="1765"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rPr>
                <w:color w:val="002060"/>
                <w:sz w:val="20"/>
                <w:szCs w:val="20"/>
                <w:lang w:eastAsia="en-IE"/>
              </w:rPr>
            </w:pPr>
            <w:r w:rsidRPr="00460085">
              <w:rPr>
                <w:sz w:val="20"/>
                <w:szCs w:val="20"/>
              </w:rPr>
              <w:t>Ranked half way</w:t>
            </w:r>
          </w:p>
        </w:tc>
        <w:tc>
          <w:tcPr>
            <w:tcW w:w="2487" w:type="dxa"/>
            <w:tcBorders>
              <w:top w:val="single" w:sz="4" w:space="0" w:color="auto"/>
              <w:left w:val="single" w:sz="4" w:space="0" w:color="auto"/>
              <w:bottom w:val="single" w:sz="4" w:space="0" w:color="auto"/>
              <w:right w:val="single" w:sz="4" w:space="0" w:color="auto"/>
            </w:tcBorders>
          </w:tcPr>
          <w:p w:rsidR="003E56E3" w:rsidRPr="00460085" w:rsidRDefault="003E56E3" w:rsidP="00677250">
            <w:pPr>
              <w:pStyle w:val="ListParagraph"/>
              <w:spacing w:after="0" w:line="240" w:lineRule="auto"/>
              <w:ind w:left="0"/>
              <w:rPr>
                <w:b/>
                <w:bCs/>
                <w:color w:val="002060"/>
                <w:sz w:val="20"/>
                <w:szCs w:val="20"/>
                <w:highlight w:val="yellow"/>
              </w:rPr>
            </w:pPr>
            <w:r w:rsidRPr="00460085">
              <w:rPr>
                <w:sz w:val="20"/>
                <w:szCs w:val="20"/>
              </w:rPr>
              <w:t>Ranked in the top quartile</w:t>
            </w:r>
          </w:p>
        </w:tc>
      </w:tr>
      <w:tr w:rsidR="00677250" w:rsidRPr="00644B24" w:rsidTr="00BB1961">
        <w:trPr>
          <w:jc w:val="center"/>
        </w:trPr>
        <w:tc>
          <w:tcPr>
            <w:tcW w:w="19" w:type="dxa"/>
            <w:tcBorders>
              <w:bottom w:val="single" w:sz="4" w:space="0" w:color="auto"/>
              <w:right w:val="single" w:sz="4" w:space="0" w:color="auto"/>
            </w:tcBorders>
            <w:shd w:val="clear" w:color="auto" w:fill="auto"/>
          </w:tcPr>
          <w:p w:rsidR="00677250" w:rsidRPr="00644B24" w:rsidRDefault="00677250" w:rsidP="00761E6B">
            <w:pPr>
              <w:pStyle w:val="PlainText"/>
              <w:jc w:val="center"/>
              <w:rPr>
                <w:rFonts w:asciiTheme="minorHAnsi" w:hAnsiTheme="minorHAnsi"/>
                <w:b/>
                <w:bCs/>
                <w:color w:val="002060"/>
                <w:sz w:val="18"/>
                <w:szCs w:val="18"/>
              </w:rPr>
            </w:pPr>
          </w:p>
        </w:tc>
        <w:tc>
          <w:tcPr>
            <w:tcW w:w="196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77250" w:rsidRPr="00460085" w:rsidRDefault="00677250" w:rsidP="00761E6B">
            <w:pPr>
              <w:pStyle w:val="PlainText"/>
              <w:jc w:val="center"/>
              <w:rPr>
                <w:rFonts w:asciiTheme="minorHAnsi" w:hAnsiTheme="minorHAnsi"/>
                <w:b/>
                <w:bCs/>
                <w:color w:val="000000" w:themeColor="text1"/>
                <w:sz w:val="20"/>
                <w:szCs w:val="20"/>
              </w:rPr>
            </w:pPr>
            <w:r w:rsidRPr="00460085">
              <w:rPr>
                <w:rFonts w:asciiTheme="minorHAnsi" w:hAnsiTheme="minorHAnsi"/>
                <w:b/>
                <w:bCs/>
                <w:color w:val="000000" w:themeColor="text1"/>
                <w:sz w:val="20"/>
                <w:szCs w:val="20"/>
              </w:rPr>
              <w:t>ESG</w:t>
            </w:r>
          </w:p>
        </w:tc>
        <w:tc>
          <w:tcPr>
            <w:tcW w:w="7229" w:type="dxa"/>
            <w:gridSpan w:val="3"/>
            <w:tcBorders>
              <w:top w:val="single" w:sz="4" w:space="0" w:color="auto"/>
              <w:left w:val="single" w:sz="4" w:space="0" w:color="auto"/>
              <w:bottom w:val="single" w:sz="4" w:space="0" w:color="auto"/>
              <w:right w:val="single" w:sz="4" w:space="0" w:color="auto"/>
            </w:tcBorders>
          </w:tcPr>
          <w:p w:rsidR="00677250" w:rsidRPr="00460085" w:rsidRDefault="00677250" w:rsidP="00677250">
            <w:pPr>
              <w:pStyle w:val="ListParagraph"/>
              <w:spacing w:after="0" w:line="240" w:lineRule="auto"/>
              <w:rPr>
                <w:i/>
                <w:sz w:val="20"/>
                <w:szCs w:val="20"/>
              </w:rPr>
            </w:pPr>
            <w:r w:rsidRPr="00460085">
              <w:rPr>
                <w:sz w:val="20"/>
                <w:szCs w:val="20"/>
              </w:rPr>
              <w:t>10%, comprised of:</w:t>
            </w:r>
          </w:p>
        </w:tc>
      </w:tr>
      <w:tr w:rsidR="00677250" w:rsidRPr="00644B24" w:rsidTr="003B37D4">
        <w:trPr>
          <w:jc w:val="center"/>
        </w:trPr>
        <w:tc>
          <w:tcPr>
            <w:tcW w:w="19" w:type="dxa"/>
            <w:tcBorders>
              <w:bottom w:val="single" w:sz="4" w:space="0" w:color="auto"/>
              <w:right w:val="single" w:sz="4" w:space="0" w:color="auto"/>
            </w:tcBorders>
            <w:shd w:val="clear" w:color="auto" w:fill="auto"/>
          </w:tcPr>
          <w:p w:rsidR="00677250" w:rsidRPr="00644B24" w:rsidRDefault="00677250" w:rsidP="00761E6B">
            <w:pPr>
              <w:pStyle w:val="PlainText"/>
              <w:jc w:val="center"/>
              <w:rPr>
                <w:rFonts w:asciiTheme="minorHAnsi" w:hAnsiTheme="minorHAnsi"/>
                <w:b/>
                <w:bCs/>
                <w:color w:val="002060"/>
                <w:sz w:val="18"/>
                <w:szCs w:val="18"/>
              </w:rPr>
            </w:pPr>
          </w:p>
        </w:tc>
        <w:tc>
          <w:tcPr>
            <w:tcW w:w="1966" w:type="dxa"/>
            <w:vMerge/>
            <w:tcBorders>
              <w:left w:val="single" w:sz="4" w:space="0" w:color="auto"/>
              <w:right w:val="single" w:sz="4" w:space="0" w:color="auto"/>
            </w:tcBorders>
            <w:tcMar>
              <w:top w:w="0" w:type="dxa"/>
              <w:left w:w="108" w:type="dxa"/>
              <w:bottom w:w="0" w:type="dxa"/>
              <w:right w:w="108" w:type="dxa"/>
            </w:tcMar>
            <w:vAlign w:val="center"/>
          </w:tcPr>
          <w:p w:rsidR="00677250" w:rsidRPr="00460085" w:rsidRDefault="00677250" w:rsidP="00761E6B">
            <w:pPr>
              <w:pStyle w:val="PlainText"/>
              <w:jc w:val="center"/>
              <w:rPr>
                <w:rFonts w:asciiTheme="minorHAnsi" w:hAnsiTheme="minorHAnsi"/>
                <w:b/>
                <w:bCs/>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677250" w:rsidRPr="00460085" w:rsidRDefault="00677250" w:rsidP="00677250">
            <w:pPr>
              <w:spacing w:after="0" w:line="240" w:lineRule="auto"/>
              <w:jc w:val="center"/>
              <w:rPr>
                <w:sz w:val="20"/>
                <w:szCs w:val="20"/>
              </w:rPr>
            </w:pPr>
            <w:r w:rsidRPr="00460085">
              <w:rPr>
                <w:sz w:val="20"/>
                <w:szCs w:val="20"/>
              </w:rPr>
              <w:t>Renewable Energy – 5%;</w:t>
            </w:r>
          </w:p>
        </w:tc>
        <w:tc>
          <w:tcPr>
            <w:tcW w:w="1765" w:type="dxa"/>
            <w:tcBorders>
              <w:top w:val="single" w:sz="4" w:space="0" w:color="auto"/>
              <w:left w:val="single" w:sz="4" w:space="0" w:color="auto"/>
              <w:bottom w:val="single" w:sz="4" w:space="0" w:color="auto"/>
              <w:right w:val="single" w:sz="4" w:space="0" w:color="auto"/>
            </w:tcBorders>
          </w:tcPr>
          <w:p w:rsidR="00841EDE" w:rsidRPr="00460085" w:rsidRDefault="00677250" w:rsidP="00841EDE">
            <w:pPr>
              <w:spacing w:after="0" w:line="240" w:lineRule="auto"/>
              <w:rPr>
                <w:sz w:val="20"/>
                <w:szCs w:val="20"/>
              </w:rPr>
            </w:pPr>
            <w:r w:rsidRPr="00460085">
              <w:rPr>
                <w:sz w:val="20"/>
                <w:szCs w:val="20"/>
              </w:rPr>
              <w:t>Equal to a 30% conversion</w:t>
            </w:r>
            <w:r w:rsidR="00841EDE" w:rsidRPr="00460085">
              <w:rPr>
                <w:sz w:val="20"/>
                <w:szCs w:val="20"/>
              </w:rPr>
              <w:t xml:space="preserve"> of existing non-renewable energy utilisation by December 2023. </w:t>
            </w:r>
          </w:p>
          <w:p w:rsidR="00677250" w:rsidRPr="00460085" w:rsidRDefault="00677250" w:rsidP="00677250">
            <w:pPr>
              <w:spacing w:after="0" w:line="240" w:lineRule="auto"/>
              <w:rPr>
                <w:i/>
                <w:sz w:val="20"/>
                <w:szCs w:val="20"/>
              </w:rPr>
            </w:pPr>
          </w:p>
        </w:tc>
        <w:tc>
          <w:tcPr>
            <w:tcW w:w="2487" w:type="dxa"/>
            <w:tcBorders>
              <w:top w:val="single" w:sz="4" w:space="0" w:color="auto"/>
              <w:left w:val="single" w:sz="4" w:space="0" w:color="auto"/>
              <w:bottom w:val="single" w:sz="4" w:space="0" w:color="auto"/>
              <w:right w:val="single" w:sz="4" w:space="0" w:color="auto"/>
            </w:tcBorders>
          </w:tcPr>
          <w:p w:rsidR="00677250" w:rsidRPr="00460085" w:rsidRDefault="00460085" w:rsidP="00677250">
            <w:pPr>
              <w:spacing w:after="0" w:line="240" w:lineRule="auto"/>
              <w:rPr>
                <w:sz w:val="20"/>
                <w:szCs w:val="20"/>
              </w:rPr>
            </w:pPr>
            <w:r>
              <w:rPr>
                <w:sz w:val="20"/>
                <w:szCs w:val="20"/>
              </w:rPr>
              <w:t xml:space="preserve">Equal to or greater than </w:t>
            </w:r>
            <w:r w:rsidR="00677250" w:rsidRPr="00460085">
              <w:rPr>
                <w:sz w:val="20"/>
                <w:szCs w:val="20"/>
              </w:rPr>
              <w:t xml:space="preserve">40% conversion of existing non-renewable energy utilisation by December 2023. </w:t>
            </w:r>
          </w:p>
          <w:p w:rsidR="00677250" w:rsidRPr="00460085" w:rsidRDefault="00677250" w:rsidP="00677250">
            <w:pPr>
              <w:spacing w:after="0" w:line="240" w:lineRule="auto"/>
              <w:rPr>
                <w:i/>
                <w:sz w:val="20"/>
                <w:szCs w:val="20"/>
              </w:rPr>
            </w:pPr>
          </w:p>
        </w:tc>
      </w:tr>
      <w:tr w:rsidR="00677250" w:rsidRPr="00644B24" w:rsidTr="003B37D4">
        <w:trPr>
          <w:jc w:val="center"/>
        </w:trPr>
        <w:tc>
          <w:tcPr>
            <w:tcW w:w="19" w:type="dxa"/>
            <w:tcBorders>
              <w:bottom w:val="single" w:sz="4" w:space="0" w:color="auto"/>
              <w:right w:val="single" w:sz="4" w:space="0" w:color="auto"/>
            </w:tcBorders>
            <w:shd w:val="clear" w:color="auto" w:fill="auto"/>
          </w:tcPr>
          <w:p w:rsidR="00677250" w:rsidRPr="00644B24" w:rsidRDefault="00677250" w:rsidP="00761E6B">
            <w:pPr>
              <w:pStyle w:val="PlainText"/>
              <w:jc w:val="center"/>
              <w:rPr>
                <w:rFonts w:asciiTheme="minorHAnsi" w:hAnsiTheme="minorHAnsi"/>
                <w:b/>
                <w:bCs/>
                <w:color w:val="002060"/>
                <w:sz w:val="18"/>
                <w:szCs w:val="18"/>
              </w:rPr>
            </w:pPr>
          </w:p>
        </w:tc>
        <w:tc>
          <w:tcPr>
            <w:tcW w:w="1966" w:type="dxa"/>
            <w:vMerge/>
            <w:tcBorders>
              <w:left w:val="single" w:sz="4" w:space="0" w:color="auto"/>
              <w:right w:val="single" w:sz="4" w:space="0" w:color="auto"/>
            </w:tcBorders>
            <w:tcMar>
              <w:top w:w="0" w:type="dxa"/>
              <w:left w:w="108" w:type="dxa"/>
              <w:bottom w:w="0" w:type="dxa"/>
              <w:right w:w="108" w:type="dxa"/>
            </w:tcMar>
            <w:vAlign w:val="center"/>
          </w:tcPr>
          <w:p w:rsidR="00677250" w:rsidRPr="00460085" w:rsidRDefault="00677250" w:rsidP="00761E6B">
            <w:pPr>
              <w:pStyle w:val="PlainText"/>
              <w:jc w:val="center"/>
              <w:rPr>
                <w:rFonts w:asciiTheme="minorHAnsi" w:hAnsiTheme="minorHAnsi"/>
                <w:b/>
                <w:bCs/>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677250" w:rsidRPr="00460085" w:rsidRDefault="00677250" w:rsidP="00677250">
            <w:pPr>
              <w:spacing w:after="0" w:line="240" w:lineRule="auto"/>
              <w:jc w:val="center"/>
              <w:rPr>
                <w:sz w:val="20"/>
                <w:szCs w:val="20"/>
              </w:rPr>
            </w:pPr>
            <w:r w:rsidRPr="00460085">
              <w:rPr>
                <w:sz w:val="20"/>
                <w:szCs w:val="20"/>
              </w:rPr>
              <w:t>Energy Efficiency – 2.5%</w:t>
            </w:r>
          </w:p>
        </w:tc>
        <w:tc>
          <w:tcPr>
            <w:tcW w:w="1765" w:type="dxa"/>
            <w:tcBorders>
              <w:top w:val="single" w:sz="4" w:space="0" w:color="auto"/>
              <w:left w:val="single" w:sz="4" w:space="0" w:color="auto"/>
              <w:bottom w:val="single" w:sz="4" w:space="0" w:color="auto"/>
              <w:right w:val="single" w:sz="4" w:space="0" w:color="auto"/>
            </w:tcBorders>
          </w:tcPr>
          <w:p w:rsidR="00677250" w:rsidRDefault="00677250" w:rsidP="0077198E">
            <w:pPr>
              <w:spacing w:after="0" w:line="240" w:lineRule="auto"/>
              <w:rPr>
                <w:sz w:val="20"/>
                <w:szCs w:val="20"/>
              </w:rPr>
            </w:pPr>
            <w:r w:rsidRPr="00460085">
              <w:rPr>
                <w:sz w:val="20"/>
                <w:szCs w:val="20"/>
              </w:rPr>
              <w:t>Audits completed and plan</w:t>
            </w:r>
            <w:r w:rsidR="0077198E" w:rsidRPr="00460085">
              <w:rPr>
                <w:sz w:val="20"/>
                <w:szCs w:val="20"/>
              </w:rPr>
              <w:t>s approved</w:t>
            </w:r>
            <w:r w:rsidR="00841EDE" w:rsidRPr="00460085">
              <w:rPr>
                <w:sz w:val="20"/>
                <w:szCs w:val="20"/>
              </w:rPr>
              <w:t xml:space="preserve"> within the performance period</w:t>
            </w:r>
            <w:r w:rsidR="00841EDE">
              <w:rPr>
                <w:sz w:val="20"/>
                <w:szCs w:val="20"/>
              </w:rPr>
              <w:t>.</w:t>
            </w:r>
          </w:p>
          <w:p w:rsidR="00841EDE" w:rsidRPr="00460085" w:rsidRDefault="00841EDE" w:rsidP="0077198E">
            <w:pPr>
              <w:spacing w:after="0" w:line="240" w:lineRule="auto"/>
              <w:rPr>
                <w:i/>
                <w:sz w:val="20"/>
                <w:szCs w:val="20"/>
              </w:rPr>
            </w:pPr>
          </w:p>
        </w:tc>
        <w:tc>
          <w:tcPr>
            <w:tcW w:w="2487" w:type="dxa"/>
            <w:tcBorders>
              <w:top w:val="single" w:sz="4" w:space="0" w:color="auto"/>
              <w:left w:val="single" w:sz="4" w:space="0" w:color="auto"/>
              <w:bottom w:val="single" w:sz="4" w:space="0" w:color="auto"/>
              <w:right w:val="single" w:sz="4" w:space="0" w:color="auto"/>
            </w:tcBorders>
          </w:tcPr>
          <w:p w:rsidR="00677250" w:rsidRPr="00460085" w:rsidRDefault="0077198E" w:rsidP="00677250">
            <w:pPr>
              <w:spacing w:after="0" w:line="240" w:lineRule="auto"/>
              <w:rPr>
                <w:sz w:val="20"/>
                <w:szCs w:val="20"/>
              </w:rPr>
            </w:pPr>
            <w:r w:rsidRPr="00460085">
              <w:rPr>
                <w:sz w:val="20"/>
                <w:szCs w:val="20"/>
              </w:rPr>
              <w:t>Completion of planned actions within the performance period.</w:t>
            </w:r>
          </w:p>
          <w:p w:rsidR="00677250" w:rsidRPr="00460085" w:rsidRDefault="00677250" w:rsidP="00677250">
            <w:pPr>
              <w:spacing w:after="0" w:line="240" w:lineRule="auto"/>
              <w:rPr>
                <w:i/>
                <w:sz w:val="20"/>
                <w:szCs w:val="20"/>
              </w:rPr>
            </w:pPr>
          </w:p>
        </w:tc>
      </w:tr>
      <w:tr w:rsidR="00677250" w:rsidRPr="00644B24" w:rsidTr="003B37D4">
        <w:trPr>
          <w:jc w:val="center"/>
        </w:trPr>
        <w:tc>
          <w:tcPr>
            <w:tcW w:w="19" w:type="dxa"/>
            <w:tcBorders>
              <w:bottom w:val="single" w:sz="4" w:space="0" w:color="auto"/>
              <w:right w:val="single" w:sz="4" w:space="0" w:color="auto"/>
            </w:tcBorders>
            <w:shd w:val="clear" w:color="auto" w:fill="auto"/>
          </w:tcPr>
          <w:p w:rsidR="00677250" w:rsidRPr="00644B24" w:rsidRDefault="00677250" w:rsidP="00761E6B">
            <w:pPr>
              <w:pStyle w:val="PlainText"/>
              <w:jc w:val="center"/>
              <w:rPr>
                <w:rFonts w:asciiTheme="minorHAnsi" w:hAnsiTheme="minorHAnsi"/>
                <w:b/>
                <w:bCs/>
                <w:color w:val="002060"/>
                <w:sz w:val="18"/>
                <w:szCs w:val="18"/>
              </w:rPr>
            </w:pPr>
          </w:p>
        </w:tc>
        <w:tc>
          <w:tcPr>
            <w:tcW w:w="196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77250" w:rsidRPr="00460085" w:rsidRDefault="00677250" w:rsidP="00761E6B">
            <w:pPr>
              <w:pStyle w:val="PlainText"/>
              <w:jc w:val="center"/>
              <w:rPr>
                <w:rFonts w:asciiTheme="minorHAnsi" w:hAnsiTheme="minorHAnsi"/>
                <w:b/>
                <w:bCs/>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677250" w:rsidRPr="00460085" w:rsidRDefault="00677250" w:rsidP="00677250">
            <w:pPr>
              <w:pStyle w:val="ListParagraph"/>
              <w:spacing w:after="0" w:line="240" w:lineRule="auto"/>
              <w:ind w:left="0"/>
              <w:jc w:val="center"/>
              <w:rPr>
                <w:sz w:val="20"/>
                <w:szCs w:val="20"/>
              </w:rPr>
            </w:pPr>
            <w:r w:rsidRPr="00460085">
              <w:rPr>
                <w:sz w:val="20"/>
                <w:szCs w:val="20"/>
              </w:rPr>
              <w:t>Waste and Water Utilisation - 2.5%</w:t>
            </w:r>
          </w:p>
        </w:tc>
        <w:tc>
          <w:tcPr>
            <w:tcW w:w="1765" w:type="dxa"/>
            <w:tcBorders>
              <w:top w:val="single" w:sz="4" w:space="0" w:color="auto"/>
              <w:left w:val="single" w:sz="4" w:space="0" w:color="auto"/>
              <w:bottom w:val="single" w:sz="4" w:space="0" w:color="auto"/>
              <w:right w:val="single" w:sz="4" w:space="0" w:color="auto"/>
            </w:tcBorders>
          </w:tcPr>
          <w:p w:rsidR="00677250" w:rsidRDefault="0077198E" w:rsidP="0077198E">
            <w:pPr>
              <w:spacing w:after="0" w:line="240" w:lineRule="auto"/>
              <w:rPr>
                <w:sz w:val="20"/>
                <w:szCs w:val="20"/>
              </w:rPr>
            </w:pPr>
            <w:r w:rsidRPr="00460085">
              <w:rPr>
                <w:sz w:val="20"/>
                <w:szCs w:val="20"/>
              </w:rPr>
              <w:t>Base</w:t>
            </w:r>
            <w:r w:rsidR="00460085">
              <w:rPr>
                <w:sz w:val="20"/>
                <w:szCs w:val="20"/>
              </w:rPr>
              <w:t xml:space="preserve"> </w:t>
            </w:r>
            <w:r w:rsidRPr="00460085">
              <w:rPr>
                <w:sz w:val="20"/>
                <w:szCs w:val="20"/>
              </w:rPr>
              <w:t>lining completed and plans approved</w:t>
            </w:r>
            <w:r w:rsidR="00841EDE" w:rsidRPr="00460085">
              <w:rPr>
                <w:sz w:val="20"/>
                <w:szCs w:val="20"/>
              </w:rPr>
              <w:t xml:space="preserve"> within the performance period</w:t>
            </w:r>
            <w:r w:rsidR="00677250" w:rsidRPr="00460085">
              <w:rPr>
                <w:sz w:val="20"/>
                <w:szCs w:val="20"/>
              </w:rPr>
              <w:t>.</w:t>
            </w:r>
          </w:p>
          <w:p w:rsidR="00841EDE" w:rsidRPr="00460085" w:rsidRDefault="00841EDE" w:rsidP="0077198E">
            <w:pPr>
              <w:spacing w:after="0" w:line="240" w:lineRule="auto"/>
              <w:rPr>
                <w:i/>
                <w:sz w:val="20"/>
                <w:szCs w:val="20"/>
              </w:rPr>
            </w:pPr>
          </w:p>
        </w:tc>
        <w:tc>
          <w:tcPr>
            <w:tcW w:w="2487" w:type="dxa"/>
            <w:tcBorders>
              <w:top w:val="single" w:sz="4" w:space="0" w:color="auto"/>
              <w:left w:val="single" w:sz="4" w:space="0" w:color="auto"/>
              <w:bottom w:val="single" w:sz="4" w:space="0" w:color="auto"/>
              <w:right w:val="single" w:sz="4" w:space="0" w:color="auto"/>
            </w:tcBorders>
          </w:tcPr>
          <w:p w:rsidR="0077198E" w:rsidRPr="00460085" w:rsidRDefault="0077198E" w:rsidP="0077198E">
            <w:pPr>
              <w:spacing w:after="0" w:line="240" w:lineRule="auto"/>
              <w:rPr>
                <w:sz w:val="20"/>
                <w:szCs w:val="20"/>
              </w:rPr>
            </w:pPr>
            <w:r w:rsidRPr="00460085">
              <w:rPr>
                <w:sz w:val="20"/>
                <w:szCs w:val="20"/>
              </w:rPr>
              <w:t>Completion of planned actions within the performance period.</w:t>
            </w:r>
          </w:p>
          <w:p w:rsidR="00677250" w:rsidRPr="00460085" w:rsidRDefault="00677250" w:rsidP="0077198E">
            <w:pPr>
              <w:spacing w:after="0" w:line="240" w:lineRule="auto"/>
              <w:rPr>
                <w:i/>
                <w:sz w:val="20"/>
                <w:szCs w:val="20"/>
              </w:rPr>
            </w:pPr>
          </w:p>
        </w:tc>
      </w:tr>
    </w:tbl>
    <w:p w:rsidR="00EB29FF" w:rsidRPr="004D0A8D" w:rsidRDefault="00EB29FF" w:rsidP="004D0A8D">
      <w:pPr>
        <w:pStyle w:val="ak"/>
        <w:spacing w:before="0" w:beforeAutospacing="0" w:after="0" w:afterAutospacing="0"/>
        <w:jc w:val="both"/>
        <w:rPr>
          <w:rStyle w:val="x"/>
          <w:rFonts w:ascii="Calibri" w:hAnsi="Calibri" w:cs="Calibri"/>
          <w:color w:val="16202C"/>
        </w:rPr>
      </w:pPr>
    </w:p>
    <w:p w:rsidR="003E56E3" w:rsidRPr="00DA6E60" w:rsidRDefault="003E56E3" w:rsidP="004D0A8D">
      <w:pPr>
        <w:pStyle w:val="ak"/>
        <w:spacing w:before="0" w:beforeAutospacing="0" w:after="0" w:afterAutospacing="0"/>
        <w:jc w:val="both"/>
        <w:rPr>
          <w:rStyle w:val="x"/>
          <w:rFonts w:ascii="Calibri" w:eastAsiaTheme="minorHAnsi" w:hAnsi="Calibri" w:cs="Calibri"/>
          <w:color w:val="16202C"/>
          <w:sz w:val="22"/>
          <w:szCs w:val="22"/>
          <w:lang w:eastAsia="en-US"/>
        </w:rPr>
      </w:pPr>
      <w:r w:rsidRPr="00DA6E60">
        <w:rPr>
          <w:rStyle w:val="x"/>
          <w:rFonts w:ascii="Calibri" w:eastAsiaTheme="minorHAnsi" w:hAnsi="Calibri" w:cs="Calibri"/>
          <w:color w:val="16202C"/>
          <w:sz w:val="22"/>
          <w:szCs w:val="22"/>
          <w:lang w:eastAsia="en-US"/>
        </w:rPr>
        <w:t>* Straight line vesting between threshold performance and maximum performance.</w:t>
      </w:r>
    </w:p>
    <w:p w:rsidR="00677250" w:rsidRDefault="00677250" w:rsidP="00677250">
      <w:pPr>
        <w:spacing w:after="0" w:line="240" w:lineRule="auto"/>
        <w:jc w:val="both"/>
        <w:rPr>
          <w:rStyle w:val="x"/>
          <w:rFonts w:ascii="Calibri" w:hAnsi="Calibri" w:cs="Calibri"/>
          <w:color w:val="16202C"/>
        </w:rPr>
      </w:pPr>
    </w:p>
    <w:p w:rsidR="00677250" w:rsidRDefault="00BA2169" w:rsidP="00677250">
      <w:pPr>
        <w:spacing w:after="0" w:line="240" w:lineRule="auto"/>
        <w:jc w:val="both"/>
        <w:rPr>
          <w:rStyle w:val="x"/>
          <w:rFonts w:ascii="Calibri" w:hAnsi="Calibri" w:cs="Calibri"/>
          <w:color w:val="16202C"/>
        </w:rPr>
      </w:pPr>
      <w:r>
        <w:rPr>
          <w:rStyle w:val="x"/>
          <w:rFonts w:ascii="Calibri" w:hAnsi="Calibri" w:cs="Calibri"/>
          <w:color w:val="16202C"/>
        </w:rPr>
        <w:t xml:space="preserve">** </w:t>
      </w:r>
      <w:r w:rsidR="00677250">
        <w:rPr>
          <w:rStyle w:val="x"/>
          <w:rFonts w:ascii="Calibri" w:hAnsi="Calibri" w:cs="Calibri"/>
          <w:color w:val="16202C"/>
        </w:rPr>
        <w:t xml:space="preserve">Group Adjusted EPS performance condition will continue to be measured using constant currency to reflect more accurately underlying earnings performance and remove any distortionary effect of currency volatility. </w:t>
      </w:r>
    </w:p>
    <w:p w:rsidR="00DA6E60" w:rsidRDefault="00DA6E60" w:rsidP="00677250">
      <w:pPr>
        <w:spacing w:after="0" w:line="240" w:lineRule="auto"/>
        <w:jc w:val="both"/>
        <w:rPr>
          <w:rStyle w:val="x"/>
          <w:rFonts w:ascii="Calibri" w:hAnsi="Calibri" w:cs="Calibri"/>
          <w:color w:val="16202C"/>
        </w:rPr>
      </w:pPr>
    </w:p>
    <w:p w:rsidR="004C720C" w:rsidRPr="00DA6E60" w:rsidRDefault="00DA6E60" w:rsidP="00B2547E">
      <w:pPr>
        <w:spacing w:after="0" w:line="240" w:lineRule="auto"/>
        <w:jc w:val="both"/>
        <w:rPr>
          <w:rStyle w:val="x"/>
          <w:rFonts w:ascii="Calibri" w:hAnsi="Calibri" w:cs="Calibri"/>
          <w:b/>
          <w:color w:val="16202C"/>
        </w:rPr>
      </w:pPr>
      <w:r w:rsidRPr="00DA6E60">
        <w:rPr>
          <w:rStyle w:val="x"/>
          <w:rFonts w:ascii="Calibri" w:hAnsi="Calibri" w:cs="Calibri"/>
          <w:b/>
          <w:color w:val="16202C"/>
        </w:rPr>
        <w:t>For further information contact</w:t>
      </w:r>
    </w:p>
    <w:p w:rsidR="00DA6E60" w:rsidRPr="00DA6E60" w:rsidRDefault="00DA6E60" w:rsidP="00DA6E60">
      <w:pPr>
        <w:spacing w:line="240" w:lineRule="auto"/>
        <w:jc w:val="both"/>
        <w:rPr>
          <w:rStyle w:val="x"/>
          <w:rFonts w:ascii="Calibri" w:hAnsi="Calibri" w:cs="Calibri"/>
          <w:color w:val="16202C"/>
        </w:rPr>
      </w:pPr>
      <w:r w:rsidRPr="00DA6E60">
        <w:rPr>
          <w:rStyle w:val="x"/>
          <w:rFonts w:ascii="Calibri" w:hAnsi="Calibri" w:cs="Calibri"/>
          <w:color w:val="16202C"/>
        </w:rPr>
        <w:t>Glanbia plc +353 (0)56 777 2200</w:t>
      </w:r>
    </w:p>
    <w:p w:rsidR="00DA6E60" w:rsidRPr="00DA6E60" w:rsidRDefault="00DA6E60" w:rsidP="00DA6E60">
      <w:pPr>
        <w:spacing w:line="240" w:lineRule="auto"/>
        <w:jc w:val="both"/>
        <w:rPr>
          <w:rStyle w:val="x"/>
          <w:rFonts w:ascii="Calibri" w:hAnsi="Calibri" w:cs="Calibri"/>
          <w:color w:val="16202C"/>
        </w:rPr>
      </w:pPr>
      <w:r w:rsidRPr="00DA6E60">
        <w:rPr>
          <w:rStyle w:val="x"/>
          <w:rFonts w:ascii="Calibri" w:hAnsi="Calibri" w:cs="Calibri"/>
          <w:color w:val="16202C"/>
        </w:rPr>
        <w:t>Liam Hennigan, Group Director of Strategic Planning &amp; Investor Relations: +353 (0)86 046 8375</w:t>
      </w:r>
    </w:p>
    <w:p w:rsidR="00DA6E60" w:rsidRDefault="00DA6E60" w:rsidP="00DA6E60">
      <w:pPr>
        <w:spacing w:line="240" w:lineRule="auto"/>
        <w:jc w:val="both"/>
        <w:rPr>
          <w:rStyle w:val="x"/>
          <w:rFonts w:ascii="Calibri" w:hAnsi="Calibri" w:cs="Calibri"/>
          <w:color w:val="16202C"/>
        </w:rPr>
      </w:pPr>
      <w:r w:rsidRPr="00DA6E60">
        <w:rPr>
          <w:rStyle w:val="x"/>
          <w:rFonts w:ascii="Calibri" w:hAnsi="Calibri" w:cs="Calibri"/>
          <w:color w:val="16202C"/>
        </w:rPr>
        <w:t>Martha Kavanagh, Head of Corporate Communications: +353 (0)87 646 2006</w:t>
      </w:r>
      <w:r w:rsidRPr="00DA6E60">
        <w:rPr>
          <w:rStyle w:val="x"/>
          <w:rFonts w:ascii="Calibri" w:hAnsi="Calibri" w:cs="Calibri"/>
          <w:color w:val="16202C"/>
        </w:rPr>
        <w:cr/>
      </w:r>
    </w:p>
    <w:sectPr w:rsidR="00DA6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37E9"/>
    <w:multiLevelType w:val="hybridMultilevel"/>
    <w:tmpl w:val="E7E01060"/>
    <w:lvl w:ilvl="0" w:tplc="60D8C882">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7D6402"/>
    <w:multiLevelType w:val="hybridMultilevel"/>
    <w:tmpl w:val="20E0B780"/>
    <w:lvl w:ilvl="0" w:tplc="311C8E7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A60E21"/>
    <w:multiLevelType w:val="hybridMultilevel"/>
    <w:tmpl w:val="20E0B780"/>
    <w:lvl w:ilvl="0" w:tplc="311C8E7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34F4E6F"/>
    <w:multiLevelType w:val="hybridMultilevel"/>
    <w:tmpl w:val="EC7C071E"/>
    <w:lvl w:ilvl="0" w:tplc="99027A3C">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8A93C9D"/>
    <w:multiLevelType w:val="hybridMultilevel"/>
    <w:tmpl w:val="1CC64AC0"/>
    <w:lvl w:ilvl="0" w:tplc="1809000B">
      <w:start w:val="2020"/>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AB718B0"/>
    <w:multiLevelType w:val="hybridMultilevel"/>
    <w:tmpl w:val="20E0B780"/>
    <w:lvl w:ilvl="0" w:tplc="311C8E7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14"/>
    <w:rsid w:val="00033CFB"/>
    <w:rsid w:val="000C0804"/>
    <w:rsid w:val="00146363"/>
    <w:rsid w:val="001C7B1E"/>
    <w:rsid w:val="00245D8A"/>
    <w:rsid w:val="002B5D6B"/>
    <w:rsid w:val="003B22AD"/>
    <w:rsid w:val="003E56E3"/>
    <w:rsid w:val="003F2D66"/>
    <w:rsid w:val="0042080B"/>
    <w:rsid w:val="00451EB9"/>
    <w:rsid w:val="00460085"/>
    <w:rsid w:val="004771F8"/>
    <w:rsid w:val="00484FA1"/>
    <w:rsid w:val="004C720C"/>
    <w:rsid w:val="004D0A8D"/>
    <w:rsid w:val="00526BCE"/>
    <w:rsid w:val="00677250"/>
    <w:rsid w:val="00701CC0"/>
    <w:rsid w:val="0077198E"/>
    <w:rsid w:val="00841EDE"/>
    <w:rsid w:val="008C15EA"/>
    <w:rsid w:val="00963306"/>
    <w:rsid w:val="00A40176"/>
    <w:rsid w:val="00A61D39"/>
    <w:rsid w:val="00AA2275"/>
    <w:rsid w:val="00AA3EA3"/>
    <w:rsid w:val="00AC0230"/>
    <w:rsid w:val="00AD311E"/>
    <w:rsid w:val="00AF4D45"/>
    <w:rsid w:val="00AF7F92"/>
    <w:rsid w:val="00B2547E"/>
    <w:rsid w:val="00BA2169"/>
    <w:rsid w:val="00BC5D25"/>
    <w:rsid w:val="00BF3090"/>
    <w:rsid w:val="00C72671"/>
    <w:rsid w:val="00D55814"/>
    <w:rsid w:val="00D93A29"/>
    <w:rsid w:val="00D95613"/>
    <w:rsid w:val="00DA6E60"/>
    <w:rsid w:val="00EB29FF"/>
    <w:rsid w:val="00F5117B"/>
    <w:rsid w:val="00F54269"/>
    <w:rsid w:val="00F728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EBA7E-D64D-45F9-94B7-2FD68F43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306"/>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q">
    <w:name w:val="q"/>
    <w:basedOn w:val="Normal"/>
    <w:rsid w:val="0096330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
    <w:name w:val="o"/>
    <w:basedOn w:val="DefaultParagraphFont"/>
    <w:rsid w:val="00963306"/>
  </w:style>
  <w:style w:type="paragraph" w:customStyle="1" w:styleId="r">
    <w:name w:val="r"/>
    <w:basedOn w:val="Normal"/>
    <w:rsid w:val="00963306"/>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477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C0"/>
    <w:pPr>
      <w:ind w:left="720"/>
      <w:contextualSpacing/>
    </w:pPr>
  </w:style>
  <w:style w:type="paragraph" w:customStyle="1" w:styleId="ak">
    <w:name w:val="ak"/>
    <w:basedOn w:val="Normal"/>
    <w:rsid w:val="00BF309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x">
    <w:name w:val="x"/>
    <w:basedOn w:val="DefaultParagraphFont"/>
    <w:rsid w:val="00BF3090"/>
  </w:style>
  <w:style w:type="paragraph" w:styleId="PlainText">
    <w:name w:val="Plain Text"/>
    <w:basedOn w:val="Normal"/>
    <w:link w:val="PlainTextChar"/>
    <w:uiPriority w:val="99"/>
    <w:unhideWhenUsed/>
    <w:rsid w:val="00A40176"/>
    <w:pPr>
      <w:spacing w:after="0" w:line="240" w:lineRule="auto"/>
    </w:pPr>
    <w:rPr>
      <w:rFonts w:ascii="Calibri" w:hAnsi="Calibri" w:cs="Calibri"/>
      <w:lang w:eastAsia="en-IE"/>
    </w:rPr>
  </w:style>
  <w:style w:type="character" w:customStyle="1" w:styleId="PlainTextChar">
    <w:name w:val="Plain Text Char"/>
    <w:basedOn w:val="DefaultParagraphFont"/>
    <w:link w:val="PlainText"/>
    <w:uiPriority w:val="99"/>
    <w:rsid w:val="00A40176"/>
    <w:rPr>
      <w:rFonts w:ascii="Calibri" w:hAnsi="Calibri" w:cs="Calibri"/>
      <w:lang w:eastAsia="en-IE"/>
    </w:rPr>
  </w:style>
  <w:style w:type="character" w:customStyle="1" w:styleId="bs">
    <w:name w:val="bs"/>
    <w:basedOn w:val="DefaultParagraphFont"/>
    <w:rsid w:val="003B22AD"/>
    <w:rPr>
      <w:rFonts w:ascii="Arial" w:hAnsi="Arial" w:cs="Arial" w:hint="default"/>
    </w:rPr>
  </w:style>
  <w:style w:type="paragraph" w:styleId="BalloonText">
    <w:name w:val="Balloon Text"/>
    <w:basedOn w:val="Normal"/>
    <w:link w:val="BalloonTextChar"/>
    <w:uiPriority w:val="99"/>
    <w:semiHidden/>
    <w:unhideWhenUsed/>
    <w:rsid w:val="003B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1780">
      <w:bodyDiv w:val="1"/>
      <w:marLeft w:val="0"/>
      <w:marRight w:val="0"/>
      <w:marTop w:val="0"/>
      <w:marBottom w:val="0"/>
      <w:divBdr>
        <w:top w:val="none" w:sz="0" w:space="0" w:color="auto"/>
        <w:left w:val="none" w:sz="0" w:space="0" w:color="auto"/>
        <w:bottom w:val="none" w:sz="0" w:space="0" w:color="auto"/>
        <w:right w:val="none" w:sz="0" w:space="0" w:color="auto"/>
      </w:divBdr>
    </w:div>
    <w:div w:id="257522790">
      <w:bodyDiv w:val="1"/>
      <w:marLeft w:val="0"/>
      <w:marRight w:val="0"/>
      <w:marTop w:val="0"/>
      <w:marBottom w:val="0"/>
      <w:divBdr>
        <w:top w:val="none" w:sz="0" w:space="0" w:color="auto"/>
        <w:left w:val="none" w:sz="0" w:space="0" w:color="auto"/>
        <w:bottom w:val="none" w:sz="0" w:space="0" w:color="auto"/>
        <w:right w:val="none" w:sz="0" w:space="0" w:color="auto"/>
      </w:divBdr>
      <w:divsChild>
        <w:div w:id="1978415355">
          <w:marLeft w:val="0"/>
          <w:marRight w:val="0"/>
          <w:marTop w:val="0"/>
          <w:marBottom w:val="0"/>
          <w:divBdr>
            <w:top w:val="none" w:sz="0" w:space="0" w:color="auto"/>
            <w:left w:val="none" w:sz="0" w:space="0" w:color="auto"/>
            <w:bottom w:val="none" w:sz="0" w:space="0" w:color="auto"/>
            <w:right w:val="none" w:sz="0" w:space="0" w:color="auto"/>
          </w:divBdr>
          <w:divsChild>
            <w:div w:id="1720855858">
              <w:marLeft w:val="0"/>
              <w:marRight w:val="0"/>
              <w:marTop w:val="0"/>
              <w:marBottom w:val="0"/>
              <w:divBdr>
                <w:top w:val="none" w:sz="0" w:space="0" w:color="auto"/>
                <w:left w:val="none" w:sz="0" w:space="0" w:color="auto"/>
                <w:bottom w:val="none" w:sz="0" w:space="0" w:color="auto"/>
                <w:right w:val="none" w:sz="0" w:space="0" w:color="auto"/>
              </w:divBdr>
            </w:div>
            <w:div w:id="1965891782">
              <w:marLeft w:val="0"/>
              <w:marRight w:val="0"/>
              <w:marTop w:val="0"/>
              <w:marBottom w:val="0"/>
              <w:divBdr>
                <w:top w:val="none" w:sz="0" w:space="0" w:color="auto"/>
                <w:left w:val="none" w:sz="0" w:space="0" w:color="auto"/>
                <w:bottom w:val="none" w:sz="0" w:space="0" w:color="auto"/>
                <w:right w:val="none" w:sz="0" w:space="0" w:color="auto"/>
              </w:divBdr>
            </w:div>
            <w:div w:id="1819151124">
              <w:marLeft w:val="0"/>
              <w:marRight w:val="0"/>
              <w:marTop w:val="0"/>
              <w:marBottom w:val="0"/>
              <w:divBdr>
                <w:top w:val="none" w:sz="0" w:space="0" w:color="auto"/>
                <w:left w:val="none" w:sz="0" w:space="0" w:color="auto"/>
                <w:bottom w:val="none" w:sz="0" w:space="0" w:color="auto"/>
                <w:right w:val="none" w:sz="0" w:space="0" w:color="auto"/>
              </w:divBdr>
            </w:div>
            <w:div w:id="313340313">
              <w:marLeft w:val="0"/>
              <w:marRight w:val="0"/>
              <w:marTop w:val="0"/>
              <w:marBottom w:val="0"/>
              <w:divBdr>
                <w:top w:val="none" w:sz="0" w:space="0" w:color="auto"/>
                <w:left w:val="none" w:sz="0" w:space="0" w:color="auto"/>
                <w:bottom w:val="none" w:sz="0" w:space="0" w:color="auto"/>
                <w:right w:val="none" w:sz="0" w:space="0" w:color="auto"/>
              </w:divBdr>
            </w:div>
            <w:div w:id="1680349445">
              <w:marLeft w:val="1440"/>
              <w:marRight w:val="1440"/>
              <w:marTop w:val="1440"/>
              <w:marBottom w:val="1440"/>
              <w:divBdr>
                <w:top w:val="none" w:sz="0" w:space="0" w:color="auto"/>
                <w:left w:val="none" w:sz="0" w:space="0" w:color="auto"/>
                <w:bottom w:val="none" w:sz="0" w:space="0" w:color="auto"/>
                <w:right w:val="none" w:sz="0" w:space="0" w:color="auto"/>
              </w:divBdr>
            </w:div>
          </w:divsChild>
        </w:div>
      </w:divsChild>
    </w:div>
    <w:div w:id="1677002266">
      <w:bodyDiv w:val="1"/>
      <w:marLeft w:val="0"/>
      <w:marRight w:val="0"/>
      <w:marTop w:val="0"/>
      <w:marBottom w:val="0"/>
      <w:divBdr>
        <w:top w:val="none" w:sz="0" w:space="0" w:color="auto"/>
        <w:left w:val="none" w:sz="0" w:space="0" w:color="auto"/>
        <w:bottom w:val="none" w:sz="0" w:space="0" w:color="auto"/>
        <w:right w:val="none" w:sz="0" w:space="0" w:color="auto"/>
      </w:divBdr>
    </w:div>
    <w:div w:id="18326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2021-05-19T11:04:30+00:00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0B44BA4C-D049-4198-9D10-C697B3C122FB}"/>
</file>

<file path=customXml/itemProps2.xml><?xml version="1.0" encoding="utf-8"?>
<ds:datastoreItem xmlns:ds="http://schemas.openxmlformats.org/officeDocument/2006/customXml" ds:itemID="{01DFDE52-33AF-4EE0-AE82-39DE50C39A9E}"/>
</file>

<file path=customXml/itemProps3.xml><?xml version="1.0" encoding="utf-8"?>
<ds:datastoreItem xmlns:ds="http://schemas.openxmlformats.org/officeDocument/2006/customXml" ds:itemID="{0E4D6BDF-3355-4E6E-8B3F-646A2A06ACF5}"/>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Glanbia Plc</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Enright, Elaine</dc:creator>
  <cp:keywords/>
  <dc:description/>
  <cp:lastModifiedBy>Kennington, Olivia</cp:lastModifiedBy>
  <cp:revision>2</cp:revision>
  <dcterms:created xsi:type="dcterms:W3CDTF">2021-05-19T10:57:00Z</dcterms:created>
  <dcterms:modified xsi:type="dcterms:W3CDTF">2021-05-19T10:57:00Z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173307600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