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BE300" w14:textId="618CCA53" w:rsidR="00573101" w:rsidRPr="000142E5" w:rsidRDefault="0064277C" w:rsidP="0064051C">
      <w:pPr>
        <w:jc w:val="center"/>
        <w:rPr>
          <w:rFonts w:ascii="Arial" w:hAnsi="Arial" w:cs="Arial"/>
          <w:b/>
          <w:color w:val="F79646" w:themeColor="accent6"/>
          <w:sz w:val="20"/>
          <w:szCs w:val="20"/>
        </w:rPr>
      </w:pPr>
      <w:r>
        <w:rPr>
          <w:rFonts w:ascii="Arial" w:hAnsi="Arial" w:cs="Arial"/>
          <w:b/>
          <w:color w:val="F79646" w:themeColor="accent6"/>
          <w:sz w:val="20"/>
          <w:szCs w:val="20"/>
        </w:rPr>
        <w:t>THIRD</w:t>
      </w:r>
      <w:r w:rsidR="00D0489C" w:rsidRPr="000142E5">
        <w:rPr>
          <w:rFonts w:ascii="Arial" w:hAnsi="Arial" w:cs="Arial"/>
          <w:b/>
          <w:color w:val="F79646" w:themeColor="accent6"/>
          <w:sz w:val="20"/>
          <w:szCs w:val="20"/>
        </w:rPr>
        <w:t xml:space="preserve"> </w:t>
      </w:r>
      <w:r w:rsidR="00785AA1" w:rsidRPr="000142E5">
        <w:rPr>
          <w:rFonts w:ascii="Arial" w:hAnsi="Arial" w:cs="Arial"/>
          <w:b/>
          <w:color w:val="F79646" w:themeColor="accent6"/>
          <w:sz w:val="20"/>
          <w:szCs w:val="20"/>
        </w:rPr>
        <w:t xml:space="preserve">QUARTER </w:t>
      </w:r>
      <w:r w:rsidR="00D0489C" w:rsidRPr="000142E5">
        <w:rPr>
          <w:rFonts w:ascii="Arial" w:hAnsi="Arial" w:cs="Arial"/>
          <w:b/>
          <w:color w:val="F79646" w:themeColor="accent6"/>
          <w:sz w:val="20"/>
          <w:szCs w:val="20"/>
        </w:rPr>
        <w:t>202</w:t>
      </w:r>
      <w:r w:rsidR="00BC36DA" w:rsidRPr="000142E5">
        <w:rPr>
          <w:rFonts w:ascii="Arial" w:hAnsi="Arial" w:cs="Arial"/>
          <w:b/>
          <w:color w:val="F79646" w:themeColor="accent6"/>
          <w:sz w:val="20"/>
          <w:szCs w:val="20"/>
        </w:rPr>
        <w:t>5</w:t>
      </w:r>
      <w:r w:rsidR="00D0489C" w:rsidRPr="000142E5">
        <w:rPr>
          <w:rFonts w:ascii="Arial" w:hAnsi="Arial" w:cs="Arial"/>
          <w:b/>
          <w:color w:val="F79646" w:themeColor="accent6"/>
          <w:sz w:val="20"/>
          <w:szCs w:val="20"/>
        </w:rPr>
        <w:t xml:space="preserve"> </w:t>
      </w:r>
      <w:r w:rsidR="00573101" w:rsidRPr="000142E5">
        <w:rPr>
          <w:rFonts w:ascii="Arial" w:hAnsi="Arial" w:cs="Arial"/>
          <w:b/>
          <w:color w:val="F79646" w:themeColor="accent6"/>
          <w:sz w:val="20"/>
          <w:szCs w:val="20"/>
        </w:rPr>
        <w:t>INTERIM MANAGEMENT STATEMENT</w:t>
      </w:r>
    </w:p>
    <w:p w14:paraId="471D79A1" w14:textId="364B43C2" w:rsidR="003958BB" w:rsidRPr="0064051C" w:rsidRDefault="003637B4" w:rsidP="003958BB">
      <w:pPr>
        <w:jc w:val="center"/>
        <w:rPr>
          <w:rFonts w:ascii="Arial" w:hAnsi="Arial" w:cs="Arial"/>
          <w:b/>
          <w:color w:val="283A59"/>
          <w:sz w:val="20"/>
          <w:szCs w:val="20"/>
        </w:rPr>
      </w:pPr>
      <w:r w:rsidRPr="00C70B45">
        <w:rPr>
          <w:rFonts w:ascii="Arial" w:hAnsi="Arial" w:cs="Arial"/>
          <w:b/>
          <w:color w:val="283A59"/>
          <w:sz w:val="20"/>
          <w:szCs w:val="20"/>
        </w:rPr>
        <w:t>Strong t</w:t>
      </w:r>
      <w:r w:rsidR="0064277C" w:rsidRPr="00C70B45">
        <w:rPr>
          <w:rFonts w:ascii="Arial" w:hAnsi="Arial" w:cs="Arial"/>
          <w:b/>
          <w:color w:val="283A59"/>
          <w:sz w:val="20"/>
          <w:szCs w:val="20"/>
        </w:rPr>
        <w:t>hird</w:t>
      </w:r>
      <w:r w:rsidR="00394221" w:rsidRPr="00C70B45">
        <w:rPr>
          <w:rFonts w:ascii="Arial" w:hAnsi="Arial" w:cs="Arial"/>
          <w:b/>
          <w:color w:val="283A59"/>
          <w:sz w:val="20"/>
          <w:szCs w:val="20"/>
        </w:rPr>
        <w:t xml:space="preserve"> quarter </w:t>
      </w:r>
      <w:r w:rsidRPr="00C70B45">
        <w:rPr>
          <w:rFonts w:ascii="Arial" w:hAnsi="Arial" w:cs="Arial"/>
          <w:b/>
          <w:color w:val="283A59"/>
          <w:sz w:val="20"/>
          <w:szCs w:val="20"/>
        </w:rPr>
        <w:t>revenue momentum,</w:t>
      </w:r>
      <w:r w:rsidR="00C972B6" w:rsidRPr="00C70B45">
        <w:rPr>
          <w:rFonts w:ascii="Arial" w:hAnsi="Arial" w:cs="Arial"/>
          <w:b/>
          <w:color w:val="283A59"/>
          <w:sz w:val="20"/>
          <w:szCs w:val="20"/>
        </w:rPr>
        <w:t xml:space="preserve"> full year </w:t>
      </w:r>
      <w:r w:rsidR="00743B14" w:rsidRPr="00C70B45">
        <w:rPr>
          <w:rFonts w:ascii="Arial" w:hAnsi="Arial" w:cs="Arial"/>
          <w:b/>
          <w:color w:val="283A59"/>
          <w:sz w:val="20"/>
          <w:szCs w:val="20"/>
        </w:rPr>
        <w:t xml:space="preserve">revenue </w:t>
      </w:r>
      <w:r w:rsidR="00C972B6" w:rsidRPr="00C70B45">
        <w:rPr>
          <w:rFonts w:ascii="Arial" w:hAnsi="Arial" w:cs="Arial"/>
          <w:b/>
          <w:color w:val="283A59"/>
          <w:sz w:val="20"/>
          <w:szCs w:val="20"/>
        </w:rPr>
        <w:t xml:space="preserve">guidance </w:t>
      </w:r>
      <w:r w:rsidR="00FA34E0" w:rsidRPr="00C70B45">
        <w:rPr>
          <w:rFonts w:ascii="Arial" w:hAnsi="Arial" w:cs="Arial"/>
          <w:b/>
          <w:color w:val="283A59"/>
          <w:sz w:val="20"/>
          <w:szCs w:val="20"/>
        </w:rPr>
        <w:t>upgraded</w:t>
      </w:r>
    </w:p>
    <w:p w14:paraId="4AD3DA9D" w14:textId="11582199" w:rsidR="00573101" w:rsidRPr="000142E5" w:rsidRDefault="0064277C" w:rsidP="000142E5">
      <w:pPr>
        <w:jc w:val="both"/>
        <w:rPr>
          <w:rFonts w:ascii="Arial" w:hAnsi="Arial" w:cs="Arial"/>
          <w:sz w:val="20"/>
          <w:szCs w:val="20"/>
        </w:rPr>
      </w:pPr>
      <w:r>
        <w:rPr>
          <w:rFonts w:ascii="Arial" w:hAnsi="Arial" w:cs="Arial"/>
          <w:sz w:val="20"/>
          <w:szCs w:val="20"/>
        </w:rPr>
        <w:t>5 November 2025</w:t>
      </w:r>
      <w:r w:rsidR="00D0489C" w:rsidRPr="000142E5">
        <w:rPr>
          <w:rFonts w:ascii="Arial" w:hAnsi="Arial" w:cs="Arial"/>
          <w:sz w:val="20"/>
          <w:szCs w:val="20"/>
        </w:rPr>
        <w:t xml:space="preserve"> </w:t>
      </w:r>
      <w:r w:rsidR="00573101" w:rsidRPr="000142E5">
        <w:rPr>
          <w:rFonts w:ascii="Arial" w:hAnsi="Arial" w:cs="Arial"/>
          <w:sz w:val="20"/>
          <w:szCs w:val="20"/>
        </w:rPr>
        <w:t xml:space="preserve">– Glanbia plc, the </w:t>
      </w:r>
      <w:r w:rsidR="00690424" w:rsidRPr="000142E5">
        <w:rPr>
          <w:rFonts w:ascii="Arial" w:hAnsi="Arial" w:cs="Arial"/>
          <w:sz w:val="20"/>
          <w:szCs w:val="20"/>
        </w:rPr>
        <w:t xml:space="preserve">Better Nutrition </w:t>
      </w:r>
      <w:r w:rsidR="002A2556" w:rsidRPr="000142E5">
        <w:rPr>
          <w:rFonts w:ascii="Arial" w:hAnsi="Arial" w:cs="Arial"/>
          <w:sz w:val="20"/>
          <w:szCs w:val="20"/>
        </w:rPr>
        <w:t xml:space="preserve">company </w:t>
      </w:r>
      <w:r w:rsidR="00573101" w:rsidRPr="000142E5">
        <w:rPr>
          <w:rFonts w:ascii="Arial" w:hAnsi="Arial" w:cs="Arial"/>
          <w:sz w:val="20"/>
          <w:szCs w:val="20"/>
        </w:rPr>
        <w:t>(</w:t>
      </w:r>
      <w:r w:rsidR="00B41115" w:rsidRPr="000142E5">
        <w:rPr>
          <w:rFonts w:ascii="Arial" w:hAnsi="Arial" w:cs="Arial"/>
          <w:sz w:val="20"/>
          <w:szCs w:val="20"/>
        </w:rPr>
        <w:t>“</w:t>
      </w:r>
      <w:r w:rsidR="00573101" w:rsidRPr="000142E5">
        <w:rPr>
          <w:rFonts w:ascii="Arial" w:hAnsi="Arial" w:cs="Arial"/>
          <w:sz w:val="20"/>
          <w:szCs w:val="20"/>
        </w:rPr>
        <w:t>G</w:t>
      </w:r>
      <w:r w:rsidR="00012E7E" w:rsidRPr="000142E5">
        <w:rPr>
          <w:rFonts w:ascii="Arial" w:hAnsi="Arial" w:cs="Arial"/>
          <w:sz w:val="20"/>
          <w:szCs w:val="20"/>
        </w:rPr>
        <w:t>lanbia</w:t>
      </w:r>
      <w:r w:rsidR="00B41115" w:rsidRPr="000142E5">
        <w:rPr>
          <w:rFonts w:ascii="Arial" w:hAnsi="Arial" w:cs="Arial"/>
          <w:sz w:val="20"/>
          <w:szCs w:val="20"/>
        </w:rPr>
        <w:t>”</w:t>
      </w:r>
      <w:r w:rsidR="00F45EFC">
        <w:rPr>
          <w:rFonts w:ascii="Arial" w:hAnsi="Arial" w:cs="Arial"/>
          <w:sz w:val="20"/>
          <w:szCs w:val="20"/>
        </w:rPr>
        <w:t xml:space="preserve"> or</w:t>
      </w:r>
      <w:r w:rsidR="00012E7E" w:rsidRPr="000142E5">
        <w:rPr>
          <w:rFonts w:ascii="Arial" w:hAnsi="Arial" w:cs="Arial"/>
          <w:sz w:val="20"/>
          <w:szCs w:val="20"/>
        </w:rPr>
        <w:t xml:space="preserve"> the </w:t>
      </w:r>
      <w:r w:rsidR="00E80DA8">
        <w:rPr>
          <w:rFonts w:ascii="Arial" w:hAnsi="Arial" w:cs="Arial"/>
          <w:sz w:val="20"/>
          <w:szCs w:val="20"/>
        </w:rPr>
        <w:t>“</w:t>
      </w:r>
      <w:r w:rsidR="00012E7E" w:rsidRPr="000142E5">
        <w:rPr>
          <w:rFonts w:ascii="Arial" w:hAnsi="Arial" w:cs="Arial"/>
          <w:sz w:val="20"/>
          <w:szCs w:val="20"/>
        </w:rPr>
        <w:t>Group</w:t>
      </w:r>
      <w:r w:rsidR="00E80DA8">
        <w:rPr>
          <w:rFonts w:ascii="Arial" w:hAnsi="Arial" w:cs="Arial"/>
          <w:sz w:val="20"/>
          <w:szCs w:val="20"/>
        </w:rPr>
        <w:t>”</w:t>
      </w:r>
      <w:r w:rsidR="00573101" w:rsidRPr="000142E5">
        <w:rPr>
          <w:rFonts w:ascii="Arial" w:hAnsi="Arial" w:cs="Arial"/>
          <w:sz w:val="20"/>
          <w:szCs w:val="20"/>
        </w:rPr>
        <w:t>)</w:t>
      </w:r>
      <w:r w:rsidR="00E80DA8">
        <w:rPr>
          <w:rFonts w:ascii="Arial" w:hAnsi="Arial" w:cs="Arial"/>
          <w:sz w:val="20"/>
          <w:szCs w:val="20"/>
        </w:rPr>
        <w:t>,</w:t>
      </w:r>
      <w:r w:rsidR="00573101" w:rsidRPr="000142E5">
        <w:rPr>
          <w:rFonts w:ascii="Arial" w:hAnsi="Arial" w:cs="Arial"/>
          <w:sz w:val="20"/>
          <w:szCs w:val="20"/>
        </w:rPr>
        <w:t xml:space="preserve"> is issuing this Interim Management Statement fo</w:t>
      </w:r>
      <w:r w:rsidR="00785AA1" w:rsidRPr="000142E5">
        <w:rPr>
          <w:rFonts w:ascii="Arial" w:hAnsi="Arial" w:cs="Arial"/>
          <w:sz w:val="20"/>
          <w:szCs w:val="20"/>
        </w:rPr>
        <w:t xml:space="preserve">r the </w:t>
      </w:r>
      <w:r>
        <w:rPr>
          <w:rFonts w:ascii="Arial" w:hAnsi="Arial" w:cs="Arial"/>
          <w:sz w:val="20"/>
          <w:szCs w:val="20"/>
        </w:rPr>
        <w:t>nine</w:t>
      </w:r>
      <w:r w:rsidR="00D0489C" w:rsidRPr="000142E5">
        <w:rPr>
          <w:rFonts w:ascii="Arial" w:hAnsi="Arial" w:cs="Arial"/>
          <w:sz w:val="20"/>
          <w:szCs w:val="20"/>
        </w:rPr>
        <w:t xml:space="preserve"> </w:t>
      </w:r>
      <w:r w:rsidR="00785AA1" w:rsidRPr="000142E5">
        <w:rPr>
          <w:rFonts w:ascii="Arial" w:hAnsi="Arial" w:cs="Arial"/>
          <w:sz w:val="20"/>
          <w:szCs w:val="20"/>
        </w:rPr>
        <w:t xml:space="preserve">month period ended </w:t>
      </w:r>
      <w:r>
        <w:rPr>
          <w:rFonts w:ascii="Arial" w:hAnsi="Arial" w:cs="Arial"/>
          <w:sz w:val="20"/>
          <w:szCs w:val="20"/>
        </w:rPr>
        <w:t>4 October 2025</w:t>
      </w:r>
      <w:r w:rsidR="00E54B1D" w:rsidRPr="000142E5">
        <w:rPr>
          <w:rFonts w:ascii="Arial" w:hAnsi="Arial" w:cs="Arial"/>
          <w:sz w:val="20"/>
          <w:szCs w:val="20"/>
        </w:rPr>
        <w:t xml:space="preserve"> (</w:t>
      </w:r>
      <w:r w:rsidR="00110AF2">
        <w:rPr>
          <w:rFonts w:ascii="Arial" w:hAnsi="Arial" w:cs="Arial"/>
          <w:sz w:val="20"/>
          <w:szCs w:val="20"/>
        </w:rPr>
        <w:t>“the period”,</w:t>
      </w:r>
      <w:r w:rsidR="0033146A" w:rsidRPr="000142E5">
        <w:rPr>
          <w:rFonts w:ascii="Arial" w:hAnsi="Arial" w:cs="Arial"/>
          <w:sz w:val="20"/>
          <w:szCs w:val="20"/>
        </w:rPr>
        <w:t xml:space="preserve"> or </w:t>
      </w:r>
      <w:r w:rsidR="00E54B1D" w:rsidRPr="000142E5">
        <w:rPr>
          <w:rFonts w:ascii="Arial" w:hAnsi="Arial" w:cs="Arial"/>
          <w:sz w:val="20"/>
          <w:szCs w:val="20"/>
        </w:rPr>
        <w:t>“</w:t>
      </w:r>
      <w:r w:rsidR="009D61F5">
        <w:rPr>
          <w:rFonts w:ascii="Arial" w:hAnsi="Arial" w:cs="Arial"/>
          <w:sz w:val="20"/>
          <w:szCs w:val="20"/>
        </w:rPr>
        <w:t xml:space="preserve">YTD </w:t>
      </w:r>
      <w:r w:rsidR="00E54B1D" w:rsidRPr="000142E5">
        <w:rPr>
          <w:rFonts w:ascii="Arial" w:hAnsi="Arial" w:cs="Arial"/>
          <w:sz w:val="20"/>
          <w:szCs w:val="20"/>
        </w:rPr>
        <w:t>Q</w:t>
      </w:r>
      <w:r>
        <w:rPr>
          <w:rFonts w:ascii="Arial" w:hAnsi="Arial" w:cs="Arial"/>
          <w:sz w:val="20"/>
          <w:szCs w:val="20"/>
        </w:rPr>
        <w:t>3</w:t>
      </w:r>
      <w:r w:rsidR="00E54B1D" w:rsidRPr="000142E5">
        <w:rPr>
          <w:rFonts w:ascii="Arial" w:hAnsi="Arial" w:cs="Arial"/>
          <w:sz w:val="20"/>
          <w:szCs w:val="20"/>
        </w:rPr>
        <w:t xml:space="preserve"> 202</w:t>
      </w:r>
      <w:r w:rsidR="007D54A1">
        <w:rPr>
          <w:rFonts w:ascii="Arial" w:hAnsi="Arial" w:cs="Arial"/>
          <w:sz w:val="20"/>
          <w:szCs w:val="20"/>
        </w:rPr>
        <w:t>5</w:t>
      </w:r>
      <w:r w:rsidR="00596221" w:rsidRPr="000142E5">
        <w:rPr>
          <w:rFonts w:ascii="Arial" w:hAnsi="Arial" w:cs="Arial"/>
          <w:sz w:val="20"/>
          <w:szCs w:val="20"/>
        </w:rPr>
        <w:t>”</w:t>
      </w:r>
      <w:r w:rsidR="00541815" w:rsidRPr="000142E5">
        <w:rPr>
          <w:rFonts w:ascii="Arial" w:hAnsi="Arial" w:cs="Arial"/>
          <w:sz w:val="20"/>
          <w:szCs w:val="20"/>
        </w:rPr>
        <w:t>)</w:t>
      </w:r>
      <w:r w:rsidR="00573101" w:rsidRPr="000142E5">
        <w:rPr>
          <w:rFonts w:ascii="Arial" w:hAnsi="Arial" w:cs="Arial"/>
          <w:sz w:val="20"/>
          <w:szCs w:val="20"/>
        </w:rPr>
        <w:t>.</w:t>
      </w:r>
      <w:r w:rsidR="00EB55BC" w:rsidRPr="000142E5">
        <w:rPr>
          <w:rFonts w:ascii="Arial" w:hAnsi="Arial" w:cs="Arial"/>
          <w:sz w:val="20"/>
          <w:szCs w:val="20"/>
        </w:rPr>
        <w:t xml:space="preserve"> </w:t>
      </w:r>
    </w:p>
    <w:p w14:paraId="3C769CD7" w14:textId="0A606B82" w:rsidR="0074786A" w:rsidRPr="000142E5" w:rsidRDefault="00A76BC2" w:rsidP="000142E5">
      <w:pPr>
        <w:jc w:val="both"/>
        <w:rPr>
          <w:rFonts w:ascii="Arial" w:hAnsi="Arial" w:cs="Arial"/>
          <w:b/>
          <w:color w:val="283A59"/>
          <w:sz w:val="20"/>
          <w:szCs w:val="20"/>
        </w:rPr>
      </w:pPr>
      <w:r>
        <w:rPr>
          <w:rFonts w:ascii="Arial" w:hAnsi="Arial" w:cs="Arial"/>
          <w:b/>
          <w:color w:val="283A59"/>
          <w:sz w:val="20"/>
          <w:szCs w:val="20"/>
        </w:rPr>
        <w:t xml:space="preserve">YTD Q3 2025 </w:t>
      </w:r>
      <w:r w:rsidR="00E87088" w:rsidRPr="000142E5">
        <w:rPr>
          <w:rFonts w:ascii="Arial" w:hAnsi="Arial" w:cs="Arial"/>
          <w:b/>
          <w:color w:val="283A59"/>
          <w:sz w:val="20"/>
          <w:szCs w:val="20"/>
        </w:rPr>
        <w:t>Highlights</w:t>
      </w:r>
      <w:r w:rsidR="00A41B20" w:rsidRPr="00A41B20">
        <w:rPr>
          <w:rFonts w:ascii="Arial" w:hAnsi="Arial" w:cs="Arial"/>
          <w:b/>
          <w:color w:val="283A59"/>
          <w:sz w:val="20"/>
          <w:szCs w:val="20"/>
          <w:vertAlign w:val="superscript"/>
        </w:rPr>
        <w:t>1</w:t>
      </w:r>
    </w:p>
    <w:p w14:paraId="495BE32E" w14:textId="3E1BA55F" w:rsidR="009F269F" w:rsidRPr="000142E5" w:rsidRDefault="00C70B45" w:rsidP="000142E5">
      <w:pPr>
        <w:widowControl w:val="0"/>
        <w:numPr>
          <w:ilvl w:val="0"/>
          <w:numId w:val="1"/>
        </w:numPr>
        <w:autoSpaceDE w:val="0"/>
        <w:autoSpaceDN w:val="0"/>
        <w:spacing w:after="0"/>
        <w:ind w:left="357" w:hanging="357"/>
        <w:jc w:val="both"/>
        <w:rPr>
          <w:rFonts w:ascii="Arial" w:hAnsi="Arial" w:cs="Arial"/>
          <w:sz w:val="20"/>
          <w:szCs w:val="20"/>
        </w:rPr>
      </w:pPr>
      <w:r>
        <w:rPr>
          <w:rFonts w:ascii="Arial" w:hAnsi="Arial" w:cs="Arial"/>
          <w:sz w:val="20"/>
          <w:szCs w:val="20"/>
        </w:rPr>
        <w:t>Group nine-month like-for-like</w:t>
      </w:r>
      <w:r w:rsidR="00262AED">
        <w:rPr>
          <w:rFonts w:ascii="Arial" w:hAnsi="Arial" w:cs="Arial"/>
          <w:sz w:val="20"/>
          <w:szCs w:val="20"/>
        </w:rPr>
        <w:t xml:space="preserve"> revenue </w:t>
      </w:r>
      <w:r w:rsidR="00266D62">
        <w:rPr>
          <w:rFonts w:ascii="Arial" w:hAnsi="Arial" w:cs="Arial"/>
          <w:sz w:val="20"/>
          <w:szCs w:val="20"/>
        </w:rPr>
        <w:t>growth</w:t>
      </w:r>
      <w:r>
        <w:rPr>
          <w:rFonts w:ascii="Arial" w:hAnsi="Arial" w:cs="Arial"/>
          <w:sz w:val="20"/>
          <w:szCs w:val="20"/>
        </w:rPr>
        <w:t xml:space="preserve"> of 3.3%</w:t>
      </w:r>
      <w:r w:rsidR="00A56E60">
        <w:rPr>
          <w:rFonts w:ascii="Arial" w:hAnsi="Arial" w:cs="Arial"/>
          <w:sz w:val="20"/>
          <w:szCs w:val="20"/>
        </w:rPr>
        <w:t xml:space="preserve"> </w:t>
      </w:r>
      <w:r>
        <w:rPr>
          <w:rFonts w:ascii="Arial" w:hAnsi="Arial" w:cs="Arial"/>
          <w:sz w:val="20"/>
          <w:szCs w:val="20"/>
        </w:rPr>
        <w:t xml:space="preserve">with strong growth </w:t>
      </w:r>
      <w:r w:rsidR="004477B0">
        <w:rPr>
          <w:rFonts w:ascii="Arial" w:hAnsi="Arial" w:cs="Arial"/>
          <w:sz w:val="20"/>
          <w:szCs w:val="20"/>
        </w:rPr>
        <w:t xml:space="preserve">in the third quarter </w:t>
      </w:r>
      <w:r w:rsidR="00A56E60">
        <w:rPr>
          <w:rFonts w:ascii="Arial" w:hAnsi="Arial" w:cs="Arial"/>
          <w:sz w:val="20"/>
          <w:szCs w:val="20"/>
        </w:rPr>
        <w:t>across all segments</w:t>
      </w:r>
      <w:r w:rsidR="000737D8" w:rsidRPr="000142E5">
        <w:rPr>
          <w:rFonts w:ascii="Arial" w:hAnsi="Arial" w:cs="Arial"/>
          <w:sz w:val="20"/>
          <w:szCs w:val="20"/>
        </w:rPr>
        <w:t>;</w:t>
      </w:r>
    </w:p>
    <w:p w14:paraId="0BA1D199" w14:textId="04D8ECAD" w:rsidR="0064277C" w:rsidRDefault="00830C83" w:rsidP="00561887">
      <w:pPr>
        <w:widowControl w:val="0"/>
        <w:numPr>
          <w:ilvl w:val="0"/>
          <w:numId w:val="1"/>
        </w:numPr>
        <w:autoSpaceDE w:val="0"/>
        <w:autoSpaceDN w:val="0"/>
        <w:spacing w:after="0"/>
        <w:ind w:left="357" w:hanging="357"/>
        <w:jc w:val="both"/>
        <w:rPr>
          <w:rFonts w:ascii="Arial" w:hAnsi="Arial" w:cs="Arial"/>
          <w:sz w:val="20"/>
          <w:szCs w:val="20"/>
        </w:rPr>
      </w:pPr>
      <w:r w:rsidRPr="00561887">
        <w:rPr>
          <w:rFonts w:ascii="Arial" w:hAnsi="Arial" w:cs="Arial"/>
          <w:sz w:val="20"/>
          <w:szCs w:val="20"/>
        </w:rPr>
        <w:t>Performance Nutrition</w:t>
      </w:r>
      <w:r w:rsidR="008C0292" w:rsidRPr="00561887">
        <w:rPr>
          <w:rFonts w:ascii="Arial" w:hAnsi="Arial" w:cs="Arial"/>
          <w:sz w:val="20"/>
          <w:szCs w:val="20"/>
        </w:rPr>
        <w:t xml:space="preserve"> (“PN”)</w:t>
      </w:r>
      <w:r w:rsidR="00394221" w:rsidRPr="00561887">
        <w:rPr>
          <w:rFonts w:ascii="Arial" w:hAnsi="Arial" w:cs="Arial"/>
          <w:sz w:val="20"/>
          <w:szCs w:val="20"/>
        </w:rPr>
        <w:t xml:space="preserve"> </w:t>
      </w:r>
      <w:r w:rsidR="0064277C">
        <w:rPr>
          <w:rFonts w:ascii="Arial" w:hAnsi="Arial" w:cs="Arial"/>
          <w:sz w:val="20"/>
          <w:szCs w:val="20"/>
        </w:rPr>
        <w:t xml:space="preserve">like-for-like </w:t>
      </w:r>
      <w:r w:rsidRPr="00561887">
        <w:rPr>
          <w:rFonts w:ascii="Arial" w:hAnsi="Arial" w:cs="Arial"/>
          <w:sz w:val="20"/>
          <w:szCs w:val="20"/>
        </w:rPr>
        <w:t xml:space="preserve">revenue </w:t>
      </w:r>
      <w:r w:rsidR="00A76BC2">
        <w:rPr>
          <w:rFonts w:ascii="Arial" w:hAnsi="Arial" w:cs="Arial"/>
          <w:sz w:val="20"/>
          <w:szCs w:val="20"/>
        </w:rPr>
        <w:t>increased</w:t>
      </w:r>
      <w:r w:rsidR="004477B0">
        <w:rPr>
          <w:rFonts w:ascii="Arial" w:hAnsi="Arial" w:cs="Arial"/>
          <w:sz w:val="20"/>
          <w:szCs w:val="20"/>
        </w:rPr>
        <w:t xml:space="preserve"> by</w:t>
      </w:r>
      <w:r w:rsidR="0064277C">
        <w:rPr>
          <w:rFonts w:ascii="Arial" w:hAnsi="Arial" w:cs="Arial"/>
          <w:sz w:val="20"/>
          <w:szCs w:val="20"/>
        </w:rPr>
        <w:t xml:space="preserve"> </w:t>
      </w:r>
      <w:r w:rsidR="00E67211">
        <w:rPr>
          <w:rFonts w:ascii="Arial" w:hAnsi="Arial" w:cs="Arial"/>
          <w:sz w:val="20"/>
          <w:szCs w:val="20"/>
        </w:rPr>
        <w:t>2.5</w:t>
      </w:r>
      <w:r w:rsidR="0064277C">
        <w:rPr>
          <w:rFonts w:ascii="Arial" w:hAnsi="Arial" w:cs="Arial"/>
          <w:sz w:val="20"/>
          <w:szCs w:val="20"/>
        </w:rPr>
        <w:t>% excluding SlimFast and Body &amp; Fit;</w:t>
      </w:r>
    </w:p>
    <w:p w14:paraId="64F8DD2D" w14:textId="28FD6CAC" w:rsidR="00A76BC2" w:rsidRDefault="0064277C" w:rsidP="00A76BC2">
      <w:pPr>
        <w:widowControl w:val="0"/>
        <w:numPr>
          <w:ilvl w:val="1"/>
          <w:numId w:val="1"/>
        </w:numPr>
        <w:autoSpaceDE w:val="0"/>
        <w:autoSpaceDN w:val="0"/>
        <w:spacing w:after="0"/>
        <w:jc w:val="both"/>
        <w:rPr>
          <w:rFonts w:ascii="Arial" w:hAnsi="Arial" w:cs="Arial"/>
          <w:sz w:val="20"/>
          <w:szCs w:val="20"/>
        </w:rPr>
      </w:pPr>
      <w:r w:rsidRPr="00A76BC2">
        <w:rPr>
          <w:rFonts w:ascii="Arial" w:hAnsi="Arial" w:cs="Arial"/>
          <w:sz w:val="20"/>
          <w:szCs w:val="20"/>
        </w:rPr>
        <w:t>O</w:t>
      </w:r>
      <w:r w:rsidR="003B6F43" w:rsidRPr="00A76BC2">
        <w:rPr>
          <w:rFonts w:ascii="Arial" w:hAnsi="Arial" w:cs="Arial"/>
          <w:sz w:val="20"/>
          <w:szCs w:val="20"/>
        </w:rPr>
        <w:t>ptimum Nutrition</w:t>
      </w:r>
      <w:r w:rsidR="005177E0" w:rsidRPr="00A76BC2">
        <w:rPr>
          <w:rFonts w:ascii="Arial" w:hAnsi="Arial" w:cs="Arial"/>
          <w:sz w:val="20"/>
          <w:szCs w:val="20"/>
        </w:rPr>
        <w:t xml:space="preserve"> like-for-like</w:t>
      </w:r>
      <w:r w:rsidR="003B6F43" w:rsidRPr="00A76BC2">
        <w:rPr>
          <w:rFonts w:ascii="Arial" w:hAnsi="Arial" w:cs="Arial"/>
          <w:sz w:val="20"/>
          <w:szCs w:val="20"/>
        </w:rPr>
        <w:t xml:space="preserve"> revenue </w:t>
      </w:r>
      <w:r w:rsidR="00AE60A8">
        <w:rPr>
          <w:rFonts w:ascii="Arial" w:hAnsi="Arial" w:cs="Arial"/>
          <w:sz w:val="20"/>
          <w:szCs w:val="20"/>
        </w:rPr>
        <w:t>grew</w:t>
      </w:r>
      <w:r w:rsidR="00A76BC2">
        <w:rPr>
          <w:rFonts w:ascii="Arial" w:hAnsi="Arial" w:cs="Arial"/>
          <w:sz w:val="20"/>
          <w:szCs w:val="20"/>
        </w:rPr>
        <w:t xml:space="preserve"> by 4.6% in the period (+</w:t>
      </w:r>
      <w:r w:rsidRPr="00A76BC2">
        <w:rPr>
          <w:rFonts w:ascii="Arial" w:hAnsi="Arial" w:cs="Arial"/>
          <w:sz w:val="20"/>
          <w:szCs w:val="20"/>
        </w:rPr>
        <w:t>14.</w:t>
      </w:r>
      <w:r w:rsidR="007D7B56">
        <w:rPr>
          <w:rFonts w:ascii="Arial" w:hAnsi="Arial" w:cs="Arial"/>
          <w:sz w:val="20"/>
          <w:szCs w:val="20"/>
        </w:rPr>
        <w:t>3</w:t>
      </w:r>
      <w:r w:rsidRPr="00A76BC2">
        <w:rPr>
          <w:rFonts w:ascii="Arial" w:hAnsi="Arial" w:cs="Arial"/>
          <w:sz w:val="20"/>
          <w:szCs w:val="20"/>
        </w:rPr>
        <w:t>% in the third quarter</w:t>
      </w:r>
      <w:r w:rsidR="00A76BC2">
        <w:rPr>
          <w:rFonts w:ascii="Arial" w:hAnsi="Arial" w:cs="Arial"/>
          <w:sz w:val="20"/>
          <w:szCs w:val="20"/>
        </w:rPr>
        <w:t>),</w:t>
      </w:r>
      <w:r w:rsidRPr="00A76BC2">
        <w:rPr>
          <w:rFonts w:ascii="Arial" w:hAnsi="Arial" w:cs="Arial"/>
          <w:sz w:val="20"/>
          <w:szCs w:val="20"/>
        </w:rPr>
        <w:t xml:space="preserve"> showing sequential improvement</w:t>
      </w:r>
      <w:r w:rsidR="00B61C11">
        <w:rPr>
          <w:rFonts w:ascii="Arial" w:hAnsi="Arial" w:cs="Arial"/>
          <w:sz w:val="20"/>
          <w:szCs w:val="20"/>
        </w:rPr>
        <w:t xml:space="preserve"> driven by strong volume growth</w:t>
      </w:r>
      <w:r w:rsidR="00177209" w:rsidRPr="00A76BC2">
        <w:rPr>
          <w:rFonts w:ascii="Arial" w:hAnsi="Arial" w:cs="Arial"/>
          <w:sz w:val="20"/>
          <w:szCs w:val="20"/>
        </w:rPr>
        <w:t>;</w:t>
      </w:r>
    </w:p>
    <w:p w14:paraId="74ADB122" w14:textId="0A43C568" w:rsidR="00BC36DA" w:rsidRPr="00A76BC2" w:rsidRDefault="00BC36DA" w:rsidP="00D62A11">
      <w:pPr>
        <w:widowControl w:val="0"/>
        <w:numPr>
          <w:ilvl w:val="0"/>
          <w:numId w:val="1"/>
        </w:numPr>
        <w:autoSpaceDE w:val="0"/>
        <w:autoSpaceDN w:val="0"/>
        <w:spacing w:after="0"/>
        <w:ind w:left="357" w:hanging="357"/>
        <w:jc w:val="both"/>
        <w:rPr>
          <w:rFonts w:ascii="Arial" w:hAnsi="Arial" w:cs="Arial"/>
          <w:sz w:val="20"/>
          <w:szCs w:val="20"/>
        </w:rPr>
      </w:pPr>
      <w:r w:rsidRPr="00A76BC2">
        <w:rPr>
          <w:rFonts w:ascii="Arial" w:hAnsi="Arial" w:cs="Arial"/>
          <w:sz w:val="20"/>
          <w:szCs w:val="20"/>
        </w:rPr>
        <w:t>Health &amp; Nutrition (“H&amp;N”)</w:t>
      </w:r>
      <w:r w:rsidR="00E736D3" w:rsidRPr="00A76BC2">
        <w:rPr>
          <w:rFonts w:ascii="Arial" w:hAnsi="Arial" w:cs="Arial"/>
          <w:sz w:val="20"/>
          <w:szCs w:val="20"/>
        </w:rPr>
        <w:t xml:space="preserve"> </w:t>
      </w:r>
      <w:r w:rsidR="0064277C" w:rsidRPr="00A76BC2">
        <w:rPr>
          <w:rFonts w:ascii="Arial" w:hAnsi="Arial" w:cs="Arial"/>
          <w:sz w:val="20"/>
          <w:szCs w:val="20"/>
        </w:rPr>
        <w:t xml:space="preserve">like-for-like </w:t>
      </w:r>
      <w:r w:rsidR="00E736D3" w:rsidRPr="00A76BC2">
        <w:rPr>
          <w:rFonts w:ascii="Arial" w:hAnsi="Arial" w:cs="Arial"/>
          <w:sz w:val="20"/>
          <w:szCs w:val="20"/>
        </w:rPr>
        <w:t xml:space="preserve">revenue </w:t>
      </w:r>
      <w:r w:rsidR="003503FC" w:rsidRPr="00A76BC2">
        <w:rPr>
          <w:rFonts w:ascii="Arial" w:hAnsi="Arial" w:cs="Arial"/>
          <w:sz w:val="20"/>
          <w:szCs w:val="20"/>
        </w:rPr>
        <w:t>growth</w:t>
      </w:r>
      <w:r w:rsidR="00E736D3" w:rsidRPr="00A76BC2">
        <w:rPr>
          <w:rFonts w:ascii="Arial" w:hAnsi="Arial" w:cs="Arial"/>
          <w:sz w:val="20"/>
          <w:szCs w:val="20"/>
        </w:rPr>
        <w:t xml:space="preserve"> of </w:t>
      </w:r>
      <w:r w:rsidR="0064277C" w:rsidRPr="00A76BC2">
        <w:rPr>
          <w:rFonts w:ascii="Arial" w:hAnsi="Arial" w:cs="Arial"/>
          <w:sz w:val="20"/>
          <w:szCs w:val="20"/>
        </w:rPr>
        <w:t>6.1</w:t>
      </w:r>
      <w:r w:rsidR="00E736D3" w:rsidRPr="00A76BC2">
        <w:rPr>
          <w:rFonts w:ascii="Arial" w:hAnsi="Arial" w:cs="Arial"/>
          <w:sz w:val="20"/>
          <w:szCs w:val="20"/>
        </w:rPr>
        <w:t>%</w:t>
      </w:r>
      <w:r w:rsidR="00E80DA8" w:rsidRPr="00A76BC2">
        <w:rPr>
          <w:rFonts w:ascii="Arial" w:hAnsi="Arial" w:cs="Arial"/>
          <w:sz w:val="20"/>
          <w:szCs w:val="20"/>
        </w:rPr>
        <w:t>,</w:t>
      </w:r>
      <w:r w:rsidR="00374583" w:rsidRPr="00A76BC2">
        <w:rPr>
          <w:rFonts w:ascii="Arial" w:hAnsi="Arial" w:cs="Arial"/>
          <w:sz w:val="20"/>
          <w:szCs w:val="20"/>
        </w:rPr>
        <w:t xml:space="preserve"> driven by</w:t>
      </w:r>
      <w:r w:rsidR="00977434" w:rsidRPr="00A76BC2">
        <w:rPr>
          <w:rFonts w:ascii="Arial" w:hAnsi="Arial" w:cs="Arial"/>
          <w:sz w:val="20"/>
          <w:szCs w:val="20"/>
        </w:rPr>
        <w:t xml:space="preserve"> </w:t>
      </w:r>
      <w:r w:rsidR="00374583" w:rsidRPr="00A76BC2">
        <w:rPr>
          <w:rFonts w:ascii="Arial" w:hAnsi="Arial" w:cs="Arial"/>
          <w:sz w:val="20"/>
          <w:szCs w:val="20"/>
        </w:rPr>
        <w:t>s</w:t>
      </w:r>
      <w:r w:rsidR="003B6F43" w:rsidRPr="00A76BC2">
        <w:rPr>
          <w:rFonts w:ascii="Arial" w:hAnsi="Arial" w:cs="Arial"/>
          <w:sz w:val="20"/>
          <w:szCs w:val="20"/>
        </w:rPr>
        <w:t xml:space="preserve">trong volume </w:t>
      </w:r>
      <w:r w:rsidR="00374583" w:rsidRPr="00A76BC2">
        <w:rPr>
          <w:rFonts w:ascii="Arial" w:hAnsi="Arial" w:cs="Arial"/>
          <w:sz w:val="20"/>
          <w:szCs w:val="20"/>
        </w:rPr>
        <w:t>growth</w:t>
      </w:r>
      <w:r w:rsidR="003B6F43" w:rsidRPr="00A76BC2">
        <w:rPr>
          <w:rFonts w:ascii="Arial" w:hAnsi="Arial" w:cs="Arial"/>
          <w:sz w:val="20"/>
          <w:szCs w:val="20"/>
        </w:rPr>
        <w:t>;</w:t>
      </w:r>
    </w:p>
    <w:p w14:paraId="533ADEDC" w14:textId="172CB3E1" w:rsidR="00BC36DA" w:rsidRPr="000142E5" w:rsidRDefault="00BC36DA" w:rsidP="000142E5">
      <w:pPr>
        <w:widowControl w:val="0"/>
        <w:numPr>
          <w:ilvl w:val="0"/>
          <w:numId w:val="1"/>
        </w:numPr>
        <w:autoSpaceDE w:val="0"/>
        <w:autoSpaceDN w:val="0"/>
        <w:spacing w:after="0"/>
        <w:ind w:left="357" w:hanging="357"/>
        <w:jc w:val="both"/>
        <w:rPr>
          <w:rFonts w:ascii="Arial" w:eastAsia="HelveticaNeueLT Std Lt" w:hAnsi="Arial" w:cs="Arial"/>
          <w:sz w:val="20"/>
          <w:szCs w:val="20"/>
          <w:lang w:val="en-GB"/>
        </w:rPr>
      </w:pPr>
      <w:r w:rsidRPr="000142E5">
        <w:rPr>
          <w:rFonts w:ascii="Arial" w:eastAsia="HelveticaNeueLT Std Lt" w:hAnsi="Arial" w:cs="Arial"/>
          <w:sz w:val="20"/>
          <w:szCs w:val="20"/>
          <w:lang w:val="en-GB"/>
        </w:rPr>
        <w:t xml:space="preserve">Dairy Nutrition </w:t>
      </w:r>
      <w:r w:rsidR="003B6F43">
        <w:rPr>
          <w:rFonts w:ascii="Arial" w:eastAsia="HelveticaNeueLT Std Lt" w:hAnsi="Arial" w:cs="Arial"/>
          <w:sz w:val="20"/>
          <w:szCs w:val="20"/>
          <w:lang w:val="en-GB"/>
        </w:rPr>
        <w:t xml:space="preserve">(“DN”) </w:t>
      </w:r>
      <w:r w:rsidR="0064277C">
        <w:rPr>
          <w:rFonts w:ascii="Arial" w:eastAsia="HelveticaNeueLT Std Lt" w:hAnsi="Arial" w:cs="Arial"/>
          <w:sz w:val="20"/>
          <w:szCs w:val="20"/>
          <w:lang w:val="en-GB"/>
        </w:rPr>
        <w:t xml:space="preserve">like-for-like </w:t>
      </w:r>
      <w:r w:rsidR="003B6F43">
        <w:rPr>
          <w:rFonts w:ascii="Arial" w:eastAsia="HelveticaNeueLT Std Lt" w:hAnsi="Arial" w:cs="Arial"/>
          <w:sz w:val="20"/>
          <w:szCs w:val="20"/>
          <w:lang w:val="en-GB"/>
        </w:rPr>
        <w:t xml:space="preserve">revenue </w:t>
      </w:r>
      <w:r w:rsidR="003503FC">
        <w:rPr>
          <w:rFonts w:ascii="Arial" w:eastAsia="HelveticaNeueLT Std Lt" w:hAnsi="Arial" w:cs="Arial"/>
          <w:sz w:val="20"/>
          <w:szCs w:val="20"/>
          <w:lang w:val="en-GB"/>
        </w:rPr>
        <w:t>growth</w:t>
      </w:r>
      <w:r w:rsidR="003B6F43">
        <w:rPr>
          <w:rFonts w:ascii="Arial" w:eastAsia="HelveticaNeueLT Std Lt" w:hAnsi="Arial" w:cs="Arial"/>
          <w:sz w:val="20"/>
          <w:szCs w:val="20"/>
          <w:lang w:val="en-GB"/>
        </w:rPr>
        <w:t xml:space="preserve"> of </w:t>
      </w:r>
      <w:r w:rsidR="0064277C">
        <w:rPr>
          <w:rFonts w:ascii="Arial" w:eastAsia="HelveticaNeueLT Std Lt" w:hAnsi="Arial" w:cs="Arial"/>
          <w:sz w:val="20"/>
          <w:szCs w:val="20"/>
          <w:lang w:val="en-GB"/>
        </w:rPr>
        <w:t>6.1</w:t>
      </w:r>
      <w:r w:rsidR="003B6F43">
        <w:rPr>
          <w:rFonts w:ascii="Arial" w:eastAsia="HelveticaNeueLT Std Lt" w:hAnsi="Arial" w:cs="Arial"/>
          <w:sz w:val="20"/>
          <w:szCs w:val="20"/>
          <w:lang w:val="en-GB"/>
        </w:rPr>
        <w:t>%</w:t>
      </w:r>
      <w:r w:rsidR="00D057BB">
        <w:rPr>
          <w:rFonts w:ascii="Arial" w:eastAsia="HelveticaNeueLT Std Lt" w:hAnsi="Arial" w:cs="Arial"/>
          <w:sz w:val="20"/>
          <w:szCs w:val="20"/>
          <w:lang w:val="en-GB"/>
        </w:rPr>
        <w:t xml:space="preserve">, </w:t>
      </w:r>
      <w:r w:rsidR="0064277C">
        <w:rPr>
          <w:rFonts w:ascii="Arial" w:eastAsia="HelveticaNeueLT Std Lt" w:hAnsi="Arial" w:cs="Arial"/>
          <w:sz w:val="20"/>
          <w:szCs w:val="20"/>
          <w:lang w:val="en-GB"/>
        </w:rPr>
        <w:t>driven by</w:t>
      </w:r>
      <w:r w:rsidR="00D057BB">
        <w:rPr>
          <w:rFonts w:ascii="Arial" w:eastAsia="HelveticaNeueLT Std Lt" w:hAnsi="Arial" w:cs="Arial"/>
          <w:sz w:val="20"/>
          <w:szCs w:val="20"/>
          <w:lang w:val="en-GB"/>
        </w:rPr>
        <w:t xml:space="preserve"> </w:t>
      </w:r>
      <w:r w:rsidR="007D2AB7">
        <w:rPr>
          <w:rFonts w:ascii="Arial" w:eastAsia="HelveticaNeueLT Std Lt" w:hAnsi="Arial" w:cs="Arial"/>
          <w:sz w:val="20"/>
          <w:szCs w:val="20"/>
          <w:lang w:val="en-GB"/>
        </w:rPr>
        <w:t>strong dairy</w:t>
      </w:r>
      <w:r w:rsidR="004B2E94">
        <w:rPr>
          <w:rFonts w:ascii="Arial" w:eastAsia="HelveticaNeueLT Std Lt" w:hAnsi="Arial" w:cs="Arial"/>
          <w:sz w:val="20"/>
          <w:szCs w:val="20"/>
          <w:lang w:val="en-GB"/>
        </w:rPr>
        <w:t xml:space="preserve"> </w:t>
      </w:r>
      <w:r w:rsidR="007D2AB7">
        <w:rPr>
          <w:rFonts w:ascii="Arial" w:eastAsia="HelveticaNeueLT Std Lt" w:hAnsi="Arial" w:cs="Arial"/>
          <w:sz w:val="20"/>
          <w:szCs w:val="20"/>
          <w:lang w:val="en-GB"/>
        </w:rPr>
        <w:t>markets</w:t>
      </w:r>
      <w:r w:rsidRPr="000142E5">
        <w:rPr>
          <w:rFonts w:ascii="Arial" w:eastAsia="HelveticaNeueLT Std Lt" w:hAnsi="Arial" w:cs="Arial"/>
          <w:sz w:val="20"/>
          <w:szCs w:val="20"/>
          <w:lang w:val="en-GB"/>
        </w:rPr>
        <w:t>;</w:t>
      </w:r>
      <w:r w:rsidR="00AE60A8">
        <w:rPr>
          <w:rFonts w:ascii="Arial" w:eastAsia="HelveticaNeueLT Std Lt" w:hAnsi="Arial" w:cs="Arial"/>
          <w:sz w:val="20"/>
          <w:szCs w:val="20"/>
          <w:lang w:val="en-GB"/>
        </w:rPr>
        <w:t xml:space="preserve"> </w:t>
      </w:r>
    </w:p>
    <w:p w14:paraId="257D6EDB" w14:textId="0B09CDA2" w:rsidR="00E736D3" w:rsidRDefault="009545C1" w:rsidP="00E736D3">
      <w:pPr>
        <w:widowControl w:val="0"/>
        <w:numPr>
          <w:ilvl w:val="0"/>
          <w:numId w:val="1"/>
        </w:numPr>
        <w:autoSpaceDE w:val="0"/>
        <w:autoSpaceDN w:val="0"/>
        <w:spacing w:after="0"/>
        <w:ind w:left="357" w:hanging="357"/>
        <w:jc w:val="both"/>
        <w:rPr>
          <w:rFonts w:ascii="Arial" w:hAnsi="Arial" w:cs="Arial"/>
          <w:color w:val="000000" w:themeColor="text1"/>
          <w:sz w:val="20"/>
          <w:szCs w:val="20"/>
        </w:rPr>
      </w:pPr>
      <w:r w:rsidRPr="009545C1">
        <w:rPr>
          <w:rFonts w:ascii="Arial" w:hAnsi="Arial" w:cs="Arial"/>
          <w:color w:val="000000" w:themeColor="text1"/>
          <w:sz w:val="20"/>
          <w:szCs w:val="20"/>
        </w:rPr>
        <w:t xml:space="preserve">€197 million </w:t>
      </w:r>
      <w:r>
        <w:rPr>
          <w:rFonts w:ascii="Arial" w:hAnsi="Arial" w:cs="Arial"/>
          <w:color w:val="000000" w:themeColor="text1"/>
          <w:sz w:val="20"/>
          <w:szCs w:val="20"/>
        </w:rPr>
        <w:t xml:space="preserve">returned </w:t>
      </w:r>
      <w:r w:rsidRPr="009545C1">
        <w:rPr>
          <w:rFonts w:ascii="Arial" w:hAnsi="Arial" w:cs="Arial"/>
          <w:color w:val="000000" w:themeColor="text1"/>
          <w:sz w:val="20"/>
          <w:szCs w:val="20"/>
        </w:rPr>
        <w:t xml:space="preserve">to shareholders </w:t>
      </w:r>
      <w:r w:rsidR="00F849BD">
        <w:rPr>
          <w:rFonts w:ascii="Arial" w:hAnsi="Arial" w:cs="Arial"/>
          <w:color w:val="000000" w:themeColor="text1"/>
          <w:sz w:val="20"/>
          <w:szCs w:val="20"/>
        </w:rPr>
        <w:t xml:space="preserve">via </w:t>
      </w:r>
      <w:r w:rsidRPr="009545C1">
        <w:rPr>
          <w:rFonts w:ascii="Arial" w:hAnsi="Arial" w:cs="Arial"/>
          <w:color w:val="000000" w:themeColor="text1"/>
          <w:sz w:val="20"/>
          <w:szCs w:val="20"/>
        </w:rPr>
        <w:t>share buyback</w:t>
      </w:r>
      <w:r>
        <w:rPr>
          <w:rFonts w:ascii="Arial" w:hAnsi="Arial" w:cs="Arial"/>
          <w:color w:val="000000" w:themeColor="text1"/>
          <w:sz w:val="20"/>
          <w:szCs w:val="20"/>
        </w:rPr>
        <w:t>s</w:t>
      </w:r>
      <w:r w:rsidR="00FB5009">
        <w:rPr>
          <w:rFonts w:ascii="Arial" w:hAnsi="Arial" w:cs="Arial"/>
          <w:color w:val="000000" w:themeColor="text1"/>
          <w:sz w:val="20"/>
          <w:szCs w:val="20"/>
        </w:rPr>
        <w:t>;</w:t>
      </w:r>
    </w:p>
    <w:p w14:paraId="1C5423C4" w14:textId="516035FB" w:rsidR="00A76BC2" w:rsidRDefault="00A76BC2" w:rsidP="00A76BC2">
      <w:pPr>
        <w:widowControl w:val="0"/>
        <w:numPr>
          <w:ilvl w:val="0"/>
          <w:numId w:val="1"/>
        </w:numPr>
        <w:autoSpaceDE w:val="0"/>
        <w:autoSpaceDN w:val="0"/>
        <w:spacing w:after="0"/>
        <w:ind w:left="357" w:hanging="357"/>
        <w:jc w:val="both"/>
        <w:rPr>
          <w:rFonts w:ascii="Arial" w:hAnsi="Arial" w:cs="Arial"/>
          <w:color w:val="000000" w:themeColor="text1"/>
          <w:sz w:val="20"/>
          <w:szCs w:val="20"/>
        </w:rPr>
      </w:pPr>
      <w:r>
        <w:rPr>
          <w:rFonts w:ascii="Arial" w:hAnsi="Arial" w:cs="Arial"/>
          <w:color w:val="000000" w:themeColor="text1"/>
          <w:sz w:val="20"/>
          <w:szCs w:val="20"/>
        </w:rPr>
        <w:t>Continued execution across strategic initiatives including the acquisition of Sweetmix in H&amp;N</w:t>
      </w:r>
      <w:r>
        <w:rPr>
          <w:rFonts w:ascii="Arial" w:hAnsi="Arial" w:cs="Arial"/>
          <w:color w:val="FF0000"/>
          <w:sz w:val="20"/>
          <w:szCs w:val="20"/>
        </w:rPr>
        <w:t xml:space="preserve"> </w:t>
      </w:r>
      <w:r>
        <w:rPr>
          <w:rFonts w:ascii="Arial" w:hAnsi="Arial" w:cs="Arial"/>
          <w:color w:val="000000" w:themeColor="text1"/>
          <w:sz w:val="20"/>
          <w:szCs w:val="20"/>
        </w:rPr>
        <w:t xml:space="preserve">and completion of the sale of SlimFast and Body &amp; Fit in PN; </w:t>
      </w:r>
      <w:r w:rsidR="000D3F63">
        <w:rPr>
          <w:rFonts w:ascii="Arial" w:hAnsi="Arial" w:cs="Arial"/>
          <w:color w:val="000000" w:themeColor="text1"/>
          <w:sz w:val="20"/>
          <w:szCs w:val="20"/>
        </w:rPr>
        <w:t>and</w:t>
      </w:r>
    </w:p>
    <w:p w14:paraId="504936F0" w14:textId="52D225A8" w:rsidR="00A76BC2" w:rsidRPr="000142E5" w:rsidRDefault="00A76BC2" w:rsidP="00A76BC2">
      <w:pPr>
        <w:widowControl w:val="0"/>
        <w:numPr>
          <w:ilvl w:val="0"/>
          <w:numId w:val="1"/>
        </w:numPr>
        <w:autoSpaceDE w:val="0"/>
        <w:autoSpaceDN w:val="0"/>
        <w:spacing w:after="0"/>
        <w:ind w:left="357" w:hanging="357"/>
        <w:jc w:val="both"/>
        <w:rPr>
          <w:rFonts w:ascii="Arial" w:hAnsi="Arial" w:cs="Arial"/>
          <w:color w:val="000000" w:themeColor="text1"/>
          <w:sz w:val="20"/>
          <w:szCs w:val="20"/>
        </w:rPr>
      </w:pPr>
      <w:r>
        <w:rPr>
          <w:rFonts w:ascii="Arial" w:eastAsia="HelveticaNeueLT Std Lt" w:hAnsi="Arial" w:cs="Arial"/>
          <w:color w:val="000000" w:themeColor="text1"/>
          <w:sz w:val="20"/>
          <w:szCs w:val="20"/>
        </w:rPr>
        <w:t xml:space="preserve">Capital Markets </w:t>
      </w:r>
      <w:r w:rsidR="00B61C11">
        <w:rPr>
          <w:rFonts w:ascii="Arial" w:eastAsia="HelveticaNeueLT Std Lt" w:hAnsi="Arial" w:cs="Arial"/>
          <w:color w:val="000000" w:themeColor="text1"/>
          <w:sz w:val="20"/>
          <w:szCs w:val="20"/>
        </w:rPr>
        <w:t>D</w:t>
      </w:r>
      <w:r>
        <w:rPr>
          <w:rFonts w:ascii="Arial" w:eastAsia="HelveticaNeueLT Std Lt" w:hAnsi="Arial" w:cs="Arial"/>
          <w:color w:val="000000" w:themeColor="text1"/>
          <w:sz w:val="20"/>
          <w:szCs w:val="20"/>
        </w:rPr>
        <w:t>ay being held in London on 19</w:t>
      </w:r>
      <w:r w:rsidRPr="00B36A7E">
        <w:rPr>
          <w:rFonts w:ascii="Arial" w:eastAsia="HelveticaNeueLT Std Lt" w:hAnsi="Arial" w:cs="Arial"/>
          <w:color w:val="000000" w:themeColor="text1"/>
          <w:sz w:val="20"/>
          <w:szCs w:val="20"/>
          <w:vertAlign w:val="superscript"/>
        </w:rPr>
        <w:t>th</w:t>
      </w:r>
      <w:r>
        <w:rPr>
          <w:rFonts w:ascii="Arial" w:eastAsia="HelveticaNeueLT Std Lt" w:hAnsi="Arial" w:cs="Arial"/>
          <w:color w:val="000000" w:themeColor="text1"/>
          <w:sz w:val="20"/>
          <w:szCs w:val="20"/>
        </w:rPr>
        <w:t xml:space="preserve"> November 2025. </w:t>
      </w:r>
    </w:p>
    <w:p w14:paraId="2FE4ADB0" w14:textId="77777777" w:rsidR="00432CFA" w:rsidRDefault="00432CFA" w:rsidP="00432CFA">
      <w:pPr>
        <w:widowControl w:val="0"/>
        <w:autoSpaceDE w:val="0"/>
        <w:autoSpaceDN w:val="0"/>
        <w:spacing w:after="0"/>
        <w:jc w:val="both"/>
        <w:rPr>
          <w:rFonts w:ascii="Arial" w:hAnsi="Arial" w:cs="Arial"/>
          <w:sz w:val="20"/>
          <w:szCs w:val="20"/>
        </w:rPr>
      </w:pPr>
    </w:p>
    <w:p w14:paraId="6FFE3DE5" w14:textId="45FB7FDE" w:rsidR="00573101" w:rsidRDefault="00573101" w:rsidP="000142E5">
      <w:pPr>
        <w:spacing w:after="0" w:line="240" w:lineRule="auto"/>
        <w:jc w:val="both"/>
        <w:rPr>
          <w:rFonts w:ascii="Arial" w:hAnsi="Arial" w:cs="Arial"/>
          <w:b/>
          <w:color w:val="283A59"/>
          <w:sz w:val="20"/>
          <w:szCs w:val="20"/>
        </w:rPr>
      </w:pPr>
      <w:r w:rsidRPr="000142E5">
        <w:rPr>
          <w:rFonts w:ascii="Arial" w:hAnsi="Arial" w:cs="Arial"/>
          <w:b/>
          <w:color w:val="283A59"/>
          <w:sz w:val="20"/>
          <w:szCs w:val="20"/>
        </w:rPr>
        <w:t>Commenting today</w:t>
      </w:r>
      <w:r w:rsidR="00CE6E71" w:rsidRPr="000142E5">
        <w:rPr>
          <w:rFonts w:ascii="Arial" w:hAnsi="Arial" w:cs="Arial"/>
          <w:b/>
          <w:color w:val="283A59"/>
          <w:sz w:val="20"/>
          <w:szCs w:val="20"/>
        </w:rPr>
        <w:t xml:space="preserve"> </w:t>
      </w:r>
      <w:r w:rsidR="00F362C6" w:rsidRPr="000142E5">
        <w:rPr>
          <w:rFonts w:ascii="Arial" w:hAnsi="Arial" w:cs="Arial"/>
          <w:b/>
          <w:color w:val="283A59"/>
          <w:sz w:val="20"/>
          <w:szCs w:val="20"/>
        </w:rPr>
        <w:t>Hugh McGuire</w:t>
      </w:r>
      <w:r w:rsidRPr="000142E5">
        <w:rPr>
          <w:rFonts w:ascii="Arial" w:hAnsi="Arial" w:cs="Arial"/>
          <w:b/>
          <w:color w:val="283A59"/>
          <w:sz w:val="20"/>
          <w:szCs w:val="20"/>
        </w:rPr>
        <w:t xml:space="preserve">, </w:t>
      </w:r>
      <w:r w:rsidR="00CE6E71" w:rsidRPr="000142E5">
        <w:rPr>
          <w:rFonts w:ascii="Arial" w:hAnsi="Arial" w:cs="Arial"/>
          <w:b/>
          <w:color w:val="283A59"/>
          <w:sz w:val="20"/>
          <w:szCs w:val="20"/>
        </w:rPr>
        <w:t>Chief Executive Officer,</w:t>
      </w:r>
      <w:r w:rsidRPr="000142E5">
        <w:rPr>
          <w:rFonts w:ascii="Arial" w:hAnsi="Arial" w:cs="Arial"/>
          <w:b/>
          <w:color w:val="283A59"/>
          <w:sz w:val="20"/>
          <w:szCs w:val="20"/>
        </w:rPr>
        <w:t xml:space="preserve"> said:</w:t>
      </w:r>
    </w:p>
    <w:p w14:paraId="57163E12" w14:textId="77777777" w:rsidR="00F90CA9" w:rsidRPr="000142E5" w:rsidRDefault="00F90CA9" w:rsidP="000142E5">
      <w:pPr>
        <w:spacing w:after="0" w:line="240" w:lineRule="auto"/>
        <w:jc w:val="both"/>
        <w:rPr>
          <w:rFonts w:ascii="Arial" w:hAnsi="Arial" w:cs="Arial"/>
          <w:b/>
          <w:color w:val="283A59"/>
          <w:sz w:val="20"/>
          <w:szCs w:val="20"/>
        </w:rPr>
      </w:pPr>
    </w:p>
    <w:p w14:paraId="6840A2A9" w14:textId="5CF4B471" w:rsidR="003B6F43" w:rsidRDefault="0072426F" w:rsidP="003B6F43">
      <w:pPr>
        <w:spacing w:after="0" w:line="240" w:lineRule="auto"/>
        <w:jc w:val="both"/>
        <w:rPr>
          <w:rFonts w:ascii="Arial" w:hAnsi="Arial" w:cs="Arial"/>
          <w:sz w:val="20"/>
          <w:szCs w:val="20"/>
        </w:rPr>
      </w:pPr>
      <w:r>
        <w:rPr>
          <w:rFonts w:ascii="Arial" w:hAnsi="Arial" w:cs="Arial"/>
          <w:sz w:val="20"/>
          <w:szCs w:val="20"/>
        </w:rPr>
        <w:t xml:space="preserve">“I am pleased to report that Glanbia delivered a </w:t>
      </w:r>
      <w:r w:rsidR="00A76BC2">
        <w:rPr>
          <w:rFonts w:ascii="Arial" w:hAnsi="Arial" w:cs="Arial"/>
          <w:sz w:val="20"/>
          <w:szCs w:val="20"/>
        </w:rPr>
        <w:t>good</w:t>
      </w:r>
      <w:r>
        <w:rPr>
          <w:rFonts w:ascii="Arial" w:hAnsi="Arial" w:cs="Arial"/>
          <w:sz w:val="20"/>
          <w:szCs w:val="20"/>
        </w:rPr>
        <w:t xml:space="preserve"> performance during the </w:t>
      </w:r>
      <w:r w:rsidR="004477B0">
        <w:rPr>
          <w:rFonts w:ascii="Arial" w:hAnsi="Arial" w:cs="Arial"/>
          <w:sz w:val="20"/>
          <w:szCs w:val="20"/>
        </w:rPr>
        <w:t>period</w:t>
      </w:r>
      <w:r w:rsidR="0069418A">
        <w:rPr>
          <w:rFonts w:ascii="Arial" w:hAnsi="Arial" w:cs="Arial"/>
          <w:sz w:val="20"/>
          <w:szCs w:val="20"/>
        </w:rPr>
        <w:t xml:space="preserve">, </w:t>
      </w:r>
      <w:r w:rsidR="00ED4C27">
        <w:rPr>
          <w:rFonts w:ascii="Arial" w:hAnsi="Arial" w:cs="Arial"/>
          <w:sz w:val="20"/>
          <w:szCs w:val="20"/>
        </w:rPr>
        <w:t xml:space="preserve">delivering </w:t>
      </w:r>
      <w:r w:rsidR="00210F37">
        <w:rPr>
          <w:rFonts w:ascii="Arial" w:hAnsi="Arial" w:cs="Arial"/>
          <w:sz w:val="20"/>
          <w:szCs w:val="20"/>
        </w:rPr>
        <w:t xml:space="preserve">Group </w:t>
      </w:r>
      <w:r w:rsidR="001D4CEB">
        <w:rPr>
          <w:rFonts w:ascii="Arial" w:hAnsi="Arial" w:cs="Arial"/>
          <w:sz w:val="20"/>
          <w:szCs w:val="20"/>
        </w:rPr>
        <w:t>like</w:t>
      </w:r>
      <w:r w:rsidR="00210F37">
        <w:rPr>
          <w:rFonts w:ascii="Arial" w:hAnsi="Arial" w:cs="Arial"/>
          <w:sz w:val="20"/>
          <w:szCs w:val="20"/>
        </w:rPr>
        <w:t>-</w:t>
      </w:r>
      <w:r w:rsidR="001D4CEB">
        <w:rPr>
          <w:rFonts w:ascii="Arial" w:hAnsi="Arial" w:cs="Arial"/>
          <w:sz w:val="20"/>
          <w:szCs w:val="20"/>
        </w:rPr>
        <w:t>for</w:t>
      </w:r>
      <w:r w:rsidR="00210F37">
        <w:rPr>
          <w:rFonts w:ascii="Arial" w:hAnsi="Arial" w:cs="Arial"/>
          <w:sz w:val="20"/>
          <w:szCs w:val="20"/>
        </w:rPr>
        <w:t>-</w:t>
      </w:r>
      <w:r w:rsidR="001D4CEB">
        <w:rPr>
          <w:rFonts w:ascii="Arial" w:hAnsi="Arial" w:cs="Arial"/>
          <w:sz w:val="20"/>
          <w:szCs w:val="20"/>
        </w:rPr>
        <w:t xml:space="preserve">like </w:t>
      </w:r>
      <w:r w:rsidR="005E4E05">
        <w:rPr>
          <w:rFonts w:ascii="Arial" w:hAnsi="Arial" w:cs="Arial"/>
          <w:sz w:val="20"/>
          <w:szCs w:val="20"/>
        </w:rPr>
        <w:t xml:space="preserve">revenue growth of </w:t>
      </w:r>
      <w:r w:rsidR="009D61F5">
        <w:rPr>
          <w:rFonts w:ascii="Arial" w:hAnsi="Arial" w:cs="Arial"/>
          <w:sz w:val="20"/>
          <w:szCs w:val="20"/>
        </w:rPr>
        <w:t>3.</w:t>
      </w:r>
      <w:r w:rsidR="007D7B56">
        <w:rPr>
          <w:rFonts w:ascii="Arial" w:hAnsi="Arial" w:cs="Arial"/>
          <w:sz w:val="20"/>
          <w:szCs w:val="20"/>
        </w:rPr>
        <w:t>3</w:t>
      </w:r>
      <w:r w:rsidR="001D4CEB">
        <w:rPr>
          <w:rFonts w:ascii="Arial" w:hAnsi="Arial" w:cs="Arial"/>
          <w:sz w:val="20"/>
          <w:szCs w:val="20"/>
        </w:rPr>
        <w:t>%</w:t>
      </w:r>
      <w:r w:rsidR="00210F37">
        <w:rPr>
          <w:rFonts w:ascii="Arial" w:hAnsi="Arial" w:cs="Arial"/>
          <w:sz w:val="20"/>
          <w:szCs w:val="20"/>
        </w:rPr>
        <w:t xml:space="preserve"> </w:t>
      </w:r>
      <w:r w:rsidR="009D61F5">
        <w:rPr>
          <w:rFonts w:ascii="Arial" w:hAnsi="Arial" w:cs="Arial"/>
          <w:sz w:val="20"/>
          <w:szCs w:val="20"/>
        </w:rPr>
        <w:t xml:space="preserve">across our portfolio of better nutrition brands and ingredients. </w:t>
      </w:r>
    </w:p>
    <w:p w14:paraId="0E309A9D" w14:textId="77777777" w:rsidR="00643CD9" w:rsidRDefault="00643CD9" w:rsidP="003B6F43">
      <w:pPr>
        <w:spacing w:after="0" w:line="240" w:lineRule="auto"/>
        <w:jc w:val="both"/>
        <w:rPr>
          <w:rFonts w:ascii="Arial" w:hAnsi="Arial" w:cs="Arial"/>
          <w:sz w:val="20"/>
          <w:szCs w:val="20"/>
        </w:rPr>
      </w:pPr>
    </w:p>
    <w:p w14:paraId="5B19EAE8" w14:textId="1274D4F3" w:rsidR="006C4C72" w:rsidRDefault="004A369F" w:rsidP="003B6F43">
      <w:pPr>
        <w:spacing w:after="0" w:line="240" w:lineRule="auto"/>
        <w:jc w:val="both"/>
        <w:rPr>
          <w:rFonts w:ascii="Arial" w:hAnsi="Arial" w:cs="Arial"/>
          <w:sz w:val="20"/>
          <w:szCs w:val="20"/>
        </w:rPr>
      </w:pPr>
      <w:r w:rsidRPr="004A369F">
        <w:rPr>
          <w:rFonts w:ascii="Arial" w:hAnsi="Arial" w:cs="Arial"/>
          <w:sz w:val="20"/>
          <w:szCs w:val="20"/>
        </w:rPr>
        <w:t xml:space="preserve">Our Performance Nutrition </w:t>
      </w:r>
      <w:r w:rsidR="007D2AB7">
        <w:rPr>
          <w:rFonts w:ascii="Arial" w:hAnsi="Arial" w:cs="Arial"/>
          <w:sz w:val="20"/>
          <w:szCs w:val="20"/>
        </w:rPr>
        <w:t xml:space="preserve">segment </w:t>
      </w:r>
      <w:r w:rsidRPr="004A369F">
        <w:rPr>
          <w:rFonts w:ascii="Arial" w:hAnsi="Arial" w:cs="Arial"/>
          <w:sz w:val="20"/>
          <w:szCs w:val="20"/>
        </w:rPr>
        <w:t xml:space="preserve">delivered a </w:t>
      </w:r>
      <w:r w:rsidR="00A76BC2">
        <w:rPr>
          <w:rFonts w:ascii="Arial" w:hAnsi="Arial" w:cs="Arial"/>
          <w:sz w:val="20"/>
          <w:szCs w:val="20"/>
        </w:rPr>
        <w:t>very strong performance in the third quarter, with o</w:t>
      </w:r>
      <w:r w:rsidR="005177E0">
        <w:rPr>
          <w:rFonts w:ascii="Arial" w:hAnsi="Arial" w:cs="Arial"/>
          <w:sz w:val="20"/>
          <w:szCs w:val="20"/>
        </w:rPr>
        <w:t>ur Optimum Nutrition and Isopure brands deliver</w:t>
      </w:r>
      <w:r w:rsidR="00A76BC2">
        <w:rPr>
          <w:rFonts w:ascii="Arial" w:hAnsi="Arial" w:cs="Arial"/>
          <w:sz w:val="20"/>
          <w:szCs w:val="20"/>
        </w:rPr>
        <w:t>ing</w:t>
      </w:r>
      <w:r w:rsidR="005177E0">
        <w:rPr>
          <w:rFonts w:ascii="Arial" w:hAnsi="Arial" w:cs="Arial"/>
          <w:sz w:val="20"/>
          <w:szCs w:val="20"/>
        </w:rPr>
        <w:t xml:space="preserve"> d</w:t>
      </w:r>
      <w:r w:rsidRPr="004A369F">
        <w:rPr>
          <w:rFonts w:ascii="Arial" w:hAnsi="Arial" w:cs="Arial"/>
          <w:sz w:val="20"/>
          <w:szCs w:val="20"/>
        </w:rPr>
        <w:t>ouble digit volume growth</w:t>
      </w:r>
      <w:r w:rsidR="005177E0">
        <w:rPr>
          <w:rFonts w:ascii="Arial" w:hAnsi="Arial" w:cs="Arial"/>
          <w:sz w:val="20"/>
          <w:szCs w:val="20"/>
        </w:rPr>
        <w:t xml:space="preserve">. </w:t>
      </w:r>
      <w:r w:rsidR="006C4C72" w:rsidRPr="004A369F">
        <w:rPr>
          <w:rFonts w:ascii="Arial" w:hAnsi="Arial" w:cs="Arial"/>
          <w:sz w:val="20"/>
          <w:szCs w:val="20"/>
        </w:rPr>
        <w:t xml:space="preserve">Our </w:t>
      </w:r>
      <w:r w:rsidR="0047759D" w:rsidRPr="004A369F">
        <w:rPr>
          <w:rFonts w:ascii="Arial" w:hAnsi="Arial" w:cs="Arial"/>
          <w:sz w:val="20"/>
          <w:szCs w:val="20"/>
        </w:rPr>
        <w:t xml:space="preserve">Health &amp; Nutrition and </w:t>
      </w:r>
      <w:r w:rsidR="006C4C72" w:rsidRPr="004A369F">
        <w:rPr>
          <w:rFonts w:ascii="Arial" w:hAnsi="Arial" w:cs="Arial"/>
          <w:sz w:val="20"/>
          <w:szCs w:val="20"/>
        </w:rPr>
        <w:t xml:space="preserve">Dairy Nutrition segments </w:t>
      </w:r>
      <w:r w:rsidR="000D3F63">
        <w:rPr>
          <w:rFonts w:ascii="Arial" w:hAnsi="Arial" w:cs="Arial"/>
          <w:sz w:val="20"/>
          <w:szCs w:val="20"/>
        </w:rPr>
        <w:t xml:space="preserve">also </w:t>
      </w:r>
      <w:r w:rsidRPr="004A369F">
        <w:rPr>
          <w:rFonts w:ascii="Arial" w:hAnsi="Arial" w:cs="Arial"/>
          <w:sz w:val="20"/>
          <w:szCs w:val="20"/>
        </w:rPr>
        <w:t xml:space="preserve">continued to </w:t>
      </w:r>
      <w:r w:rsidR="003C2CDB">
        <w:rPr>
          <w:rFonts w:ascii="Arial" w:hAnsi="Arial" w:cs="Arial"/>
          <w:sz w:val="20"/>
          <w:szCs w:val="20"/>
        </w:rPr>
        <w:t>perform well</w:t>
      </w:r>
      <w:r w:rsidRPr="004A369F">
        <w:rPr>
          <w:rFonts w:ascii="Arial" w:hAnsi="Arial" w:cs="Arial"/>
          <w:sz w:val="20"/>
          <w:szCs w:val="20"/>
        </w:rPr>
        <w:t xml:space="preserve">, with Health &amp; Nutrition volumes </w:t>
      </w:r>
      <w:r w:rsidR="003C2CDB">
        <w:rPr>
          <w:rFonts w:ascii="Arial" w:hAnsi="Arial" w:cs="Arial"/>
          <w:sz w:val="20"/>
          <w:szCs w:val="20"/>
        </w:rPr>
        <w:t>showing</w:t>
      </w:r>
      <w:r w:rsidRPr="004A369F">
        <w:rPr>
          <w:rFonts w:ascii="Arial" w:hAnsi="Arial" w:cs="Arial"/>
          <w:sz w:val="20"/>
          <w:szCs w:val="20"/>
        </w:rPr>
        <w:t xml:space="preserve"> strong growth in</w:t>
      </w:r>
      <w:r w:rsidR="000D3F63">
        <w:rPr>
          <w:rFonts w:ascii="Arial" w:hAnsi="Arial" w:cs="Arial"/>
          <w:sz w:val="20"/>
          <w:szCs w:val="20"/>
        </w:rPr>
        <w:t xml:space="preserve"> its priority</w:t>
      </w:r>
      <w:r w:rsidRPr="004A369F">
        <w:rPr>
          <w:rFonts w:ascii="Arial" w:hAnsi="Arial" w:cs="Arial"/>
          <w:sz w:val="20"/>
          <w:szCs w:val="20"/>
        </w:rPr>
        <w:t xml:space="preserve"> end-use markets</w:t>
      </w:r>
      <w:r w:rsidR="00D47DE2" w:rsidRPr="004A369F">
        <w:rPr>
          <w:rFonts w:ascii="Arial" w:hAnsi="Arial" w:cs="Arial"/>
          <w:sz w:val="20"/>
          <w:szCs w:val="20"/>
        </w:rPr>
        <w:t>.</w:t>
      </w:r>
      <w:r w:rsidR="00C14924" w:rsidRPr="004A369F">
        <w:rPr>
          <w:rFonts w:ascii="Arial" w:hAnsi="Arial" w:cs="Arial"/>
          <w:sz w:val="20"/>
          <w:szCs w:val="20"/>
        </w:rPr>
        <w:t xml:space="preserve"> </w:t>
      </w:r>
    </w:p>
    <w:p w14:paraId="6D0B1627" w14:textId="77777777" w:rsidR="00A76BC2" w:rsidRDefault="00A76BC2" w:rsidP="003B6F43">
      <w:pPr>
        <w:spacing w:after="0" w:line="240" w:lineRule="auto"/>
        <w:jc w:val="both"/>
        <w:rPr>
          <w:rFonts w:ascii="Arial" w:hAnsi="Arial" w:cs="Arial"/>
          <w:sz w:val="20"/>
          <w:szCs w:val="20"/>
        </w:rPr>
      </w:pPr>
    </w:p>
    <w:p w14:paraId="719FE728" w14:textId="7A0FB342" w:rsidR="00A76BC2" w:rsidRPr="004A369F" w:rsidRDefault="00A76BC2" w:rsidP="003B6F43">
      <w:pPr>
        <w:spacing w:after="0" w:line="240" w:lineRule="auto"/>
        <w:jc w:val="both"/>
        <w:rPr>
          <w:rFonts w:ascii="Arial" w:hAnsi="Arial" w:cs="Arial"/>
          <w:sz w:val="20"/>
          <w:szCs w:val="20"/>
        </w:rPr>
      </w:pPr>
      <w:r>
        <w:rPr>
          <w:rFonts w:ascii="Arial" w:hAnsi="Arial" w:cs="Arial"/>
          <w:sz w:val="20"/>
          <w:szCs w:val="20"/>
        </w:rPr>
        <w:t>We continue to progress our group-wide transformation programme and completed the sale of non-core brands, SlimFast and Body &amp; Fit</w:t>
      </w:r>
      <w:r w:rsidR="00C70B45">
        <w:rPr>
          <w:rFonts w:ascii="Arial" w:hAnsi="Arial" w:cs="Arial"/>
          <w:sz w:val="20"/>
          <w:szCs w:val="20"/>
        </w:rPr>
        <w:t>,</w:t>
      </w:r>
      <w:r>
        <w:rPr>
          <w:rFonts w:ascii="Arial" w:hAnsi="Arial" w:cs="Arial"/>
          <w:sz w:val="20"/>
          <w:szCs w:val="20"/>
        </w:rPr>
        <w:t xml:space="preserve"> as well as the acquisition of Sweetmix </w:t>
      </w:r>
      <w:r w:rsidR="000D3F63">
        <w:rPr>
          <w:rFonts w:ascii="Arial" w:hAnsi="Arial" w:cs="Arial"/>
          <w:sz w:val="20"/>
          <w:szCs w:val="20"/>
        </w:rPr>
        <w:t xml:space="preserve">in Brazil </w:t>
      </w:r>
      <w:r>
        <w:rPr>
          <w:rFonts w:ascii="Arial" w:hAnsi="Arial" w:cs="Arial"/>
          <w:sz w:val="20"/>
          <w:szCs w:val="20"/>
        </w:rPr>
        <w:t xml:space="preserve">within our H&amp;N division. </w:t>
      </w:r>
    </w:p>
    <w:p w14:paraId="2FCCD425" w14:textId="77777777" w:rsidR="006C4C72" w:rsidRPr="009D61F5" w:rsidRDefault="006C4C72" w:rsidP="003B6F43">
      <w:pPr>
        <w:spacing w:after="0" w:line="240" w:lineRule="auto"/>
        <w:jc w:val="both"/>
        <w:rPr>
          <w:rFonts w:ascii="Arial" w:hAnsi="Arial" w:cs="Arial"/>
          <w:sz w:val="20"/>
          <w:szCs w:val="20"/>
          <w:highlight w:val="yellow"/>
        </w:rPr>
      </w:pPr>
    </w:p>
    <w:p w14:paraId="775B5202" w14:textId="20C3A65A" w:rsidR="00643CD9" w:rsidRDefault="00643CD9" w:rsidP="003B6F43">
      <w:pPr>
        <w:spacing w:after="0" w:line="240" w:lineRule="auto"/>
        <w:jc w:val="both"/>
        <w:rPr>
          <w:rFonts w:ascii="Arial" w:hAnsi="Arial" w:cs="Arial"/>
          <w:sz w:val="20"/>
          <w:szCs w:val="20"/>
        </w:rPr>
      </w:pPr>
      <w:r w:rsidRPr="00B36A7E">
        <w:rPr>
          <w:rFonts w:ascii="Arial" w:hAnsi="Arial" w:cs="Arial"/>
          <w:sz w:val="20"/>
          <w:szCs w:val="20"/>
        </w:rPr>
        <w:t xml:space="preserve">With the </w:t>
      </w:r>
      <w:r w:rsidR="00B36A7E" w:rsidRPr="00B36A7E">
        <w:rPr>
          <w:rFonts w:ascii="Arial" w:hAnsi="Arial" w:cs="Arial"/>
          <w:sz w:val="20"/>
          <w:szCs w:val="20"/>
        </w:rPr>
        <w:t>third</w:t>
      </w:r>
      <w:r w:rsidRPr="00B36A7E">
        <w:rPr>
          <w:rFonts w:ascii="Arial" w:hAnsi="Arial" w:cs="Arial"/>
          <w:sz w:val="20"/>
          <w:szCs w:val="20"/>
        </w:rPr>
        <w:t xml:space="preserve"> quarter </w:t>
      </w:r>
      <w:r w:rsidR="00B36A7E" w:rsidRPr="00B36A7E">
        <w:rPr>
          <w:rFonts w:ascii="Arial" w:hAnsi="Arial" w:cs="Arial"/>
          <w:sz w:val="20"/>
          <w:szCs w:val="20"/>
        </w:rPr>
        <w:t xml:space="preserve">showing strong sequential improvement in Performance Nutrition, </w:t>
      </w:r>
      <w:r w:rsidRPr="00B36A7E">
        <w:rPr>
          <w:rFonts w:ascii="Arial" w:hAnsi="Arial" w:cs="Arial"/>
          <w:sz w:val="20"/>
          <w:szCs w:val="20"/>
        </w:rPr>
        <w:t xml:space="preserve">we </w:t>
      </w:r>
      <w:r w:rsidR="00180001" w:rsidRPr="00B36A7E">
        <w:rPr>
          <w:rFonts w:ascii="Arial" w:hAnsi="Arial" w:cs="Arial"/>
          <w:sz w:val="20"/>
          <w:szCs w:val="20"/>
        </w:rPr>
        <w:t xml:space="preserve">are pleased to </w:t>
      </w:r>
      <w:r w:rsidR="00A76BC2">
        <w:rPr>
          <w:rFonts w:ascii="Arial" w:hAnsi="Arial" w:cs="Arial"/>
          <w:sz w:val="20"/>
          <w:szCs w:val="20"/>
        </w:rPr>
        <w:t>upgrade our full year</w:t>
      </w:r>
      <w:r w:rsidR="00B9741D">
        <w:rPr>
          <w:rFonts w:ascii="Arial" w:hAnsi="Arial" w:cs="Arial"/>
          <w:sz w:val="20"/>
          <w:szCs w:val="20"/>
        </w:rPr>
        <w:t xml:space="preserve"> revenue</w:t>
      </w:r>
      <w:r w:rsidR="00A76BC2">
        <w:rPr>
          <w:rFonts w:ascii="Arial" w:hAnsi="Arial" w:cs="Arial"/>
          <w:sz w:val="20"/>
          <w:szCs w:val="20"/>
        </w:rPr>
        <w:t xml:space="preserve"> guidance for PN to 3</w:t>
      </w:r>
      <w:r w:rsidR="004000A2">
        <w:rPr>
          <w:rFonts w:ascii="Arial" w:hAnsi="Arial" w:cs="Arial"/>
          <w:sz w:val="20"/>
          <w:szCs w:val="20"/>
        </w:rPr>
        <w:t>-</w:t>
      </w:r>
      <w:r w:rsidR="00A76BC2">
        <w:rPr>
          <w:rFonts w:ascii="Arial" w:hAnsi="Arial" w:cs="Arial"/>
          <w:sz w:val="20"/>
          <w:szCs w:val="20"/>
        </w:rPr>
        <w:t xml:space="preserve">4% like-for-like </w:t>
      </w:r>
      <w:r w:rsidR="00AE60A8">
        <w:rPr>
          <w:rFonts w:ascii="Arial" w:hAnsi="Arial" w:cs="Arial"/>
          <w:sz w:val="20"/>
          <w:szCs w:val="20"/>
        </w:rPr>
        <w:t xml:space="preserve">revenue </w:t>
      </w:r>
      <w:r w:rsidR="00A76BC2">
        <w:rPr>
          <w:rFonts w:ascii="Arial" w:hAnsi="Arial" w:cs="Arial"/>
          <w:sz w:val="20"/>
          <w:szCs w:val="20"/>
        </w:rPr>
        <w:t xml:space="preserve">growth and </w:t>
      </w:r>
      <w:r w:rsidR="00C70B45">
        <w:rPr>
          <w:rFonts w:ascii="Arial" w:hAnsi="Arial" w:cs="Arial"/>
          <w:sz w:val="20"/>
          <w:szCs w:val="20"/>
        </w:rPr>
        <w:t>now expect our</w:t>
      </w:r>
      <w:r w:rsidRPr="00B36A7E">
        <w:rPr>
          <w:rFonts w:ascii="Arial" w:hAnsi="Arial" w:cs="Arial"/>
          <w:sz w:val="20"/>
          <w:szCs w:val="20"/>
        </w:rPr>
        <w:t xml:space="preserve"> full</w:t>
      </w:r>
      <w:r w:rsidR="00C70B45">
        <w:rPr>
          <w:rFonts w:ascii="Arial" w:hAnsi="Arial" w:cs="Arial"/>
          <w:sz w:val="20"/>
          <w:szCs w:val="20"/>
        </w:rPr>
        <w:t xml:space="preserve"> year</w:t>
      </w:r>
      <w:r w:rsidRPr="00B36A7E">
        <w:rPr>
          <w:rFonts w:ascii="Arial" w:hAnsi="Arial" w:cs="Arial"/>
          <w:sz w:val="20"/>
          <w:szCs w:val="20"/>
        </w:rPr>
        <w:t xml:space="preserve"> adjusted EPS </w:t>
      </w:r>
      <w:r w:rsidR="00D20CA6">
        <w:rPr>
          <w:rFonts w:ascii="Arial" w:hAnsi="Arial" w:cs="Arial"/>
          <w:sz w:val="20"/>
          <w:szCs w:val="20"/>
        </w:rPr>
        <w:t xml:space="preserve">to </w:t>
      </w:r>
      <w:r w:rsidR="00C70B45">
        <w:rPr>
          <w:rFonts w:ascii="Arial" w:hAnsi="Arial" w:cs="Arial"/>
          <w:sz w:val="20"/>
          <w:szCs w:val="20"/>
        </w:rPr>
        <w:t xml:space="preserve">be in </w:t>
      </w:r>
      <w:r w:rsidR="00D20CA6">
        <w:rPr>
          <w:rFonts w:ascii="Arial" w:hAnsi="Arial" w:cs="Arial"/>
          <w:sz w:val="20"/>
          <w:szCs w:val="20"/>
        </w:rPr>
        <w:t>the upper end of</w:t>
      </w:r>
      <w:r w:rsidRPr="00B36A7E">
        <w:rPr>
          <w:rFonts w:ascii="Arial" w:hAnsi="Arial" w:cs="Arial"/>
          <w:sz w:val="20"/>
          <w:szCs w:val="20"/>
        </w:rPr>
        <w:t xml:space="preserve"> the </w:t>
      </w:r>
      <w:r w:rsidR="00C70B45">
        <w:rPr>
          <w:rFonts w:ascii="Arial" w:hAnsi="Arial" w:cs="Arial"/>
          <w:sz w:val="20"/>
          <w:szCs w:val="20"/>
        </w:rPr>
        <w:t xml:space="preserve">guidance </w:t>
      </w:r>
      <w:r w:rsidRPr="00B36A7E">
        <w:rPr>
          <w:rFonts w:ascii="Arial" w:hAnsi="Arial" w:cs="Arial"/>
          <w:sz w:val="20"/>
          <w:szCs w:val="20"/>
        </w:rPr>
        <w:t>range of 1</w:t>
      </w:r>
      <w:r w:rsidR="00B36A7E" w:rsidRPr="00B36A7E">
        <w:rPr>
          <w:rFonts w:ascii="Arial" w:hAnsi="Arial" w:cs="Arial"/>
          <w:sz w:val="20"/>
          <w:szCs w:val="20"/>
        </w:rPr>
        <w:t>30</w:t>
      </w:r>
      <w:r w:rsidRPr="00B36A7E">
        <w:rPr>
          <w:rFonts w:ascii="Arial" w:hAnsi="Arial" w:cs="Arial"/>
          <w:sz w:val="20"/>
          <w:szCs w:val="20"/>
        </w:rPr>
        <w:t xml:space="preserve"> $cent </w:t>
      </w:r>
      <w:r w:rsidR="004000A2">
        <w:rPr>
          <w:rFonts w:ascii="Arial" w:hAnsi="Arial" w:cs="Arial"/>
          <w:sz w:val="20"/>
          <w:szCs w:val="20"/>
        </w:rPr>
        <w:t>-</w:t>
      </w:r>
      <w:r w:rsidRPr="00B36A7E">
        <w:rPr>
          <w:rFonts w:ascii="Arial" w:hAnsi="Arial" w:cs="Arial"/>
          <w:sz w:val="20"/>
          <w:szCs w:val="20"/>
        </w:rPr>
        <w:t xml:space="preserve"> 13</w:t>
      </w:r>
      <w:r w:rsidR="00B36A7E" w:rsidRPr="00B36A7E">
        <w:rPr>
          <w:rFonts w:ascii="Arial" w:hAnsi="Arial" w:cs="Arial"/>
          <w:sz w:val="20"/>
          <w:szCs w:val="20"/>
        </w:rPr>
        <w:t>3</w:t>
      </w:r>
      <w:r w:rsidRPr="00B36A7E">
        <w:rPr>
          <w:rFonts w:ascii="Arial" w:hAnsi="Arial" w:cs="Arial"/>
          <w:sz w:val="20"/>
          <w:szCs w:val="20"/>
        </w:rPr>
        <w:t xml:space="preserve"> $</w:t>
      </w:r>
      <w:r w:rsidR="00CD0217">
        <w:rPr>
          <w:rFonts w:ascii="Arial" w:hAnsi="Arial" w:cs="Arial"/>
          <w:sz w:val="20"/>
          <w:szCs w:val="20"/>
        </w:rPr>
        <w:t>cent</w:t>
      </w:r>
      <w:r w:rsidRPr="00B36A7E">
        <w:rPr>
          <w:rFonts w:ascii="Arial" w:hAnsi="Arial" w:cs="Arial"/>
          <w:sz w:val="20"/>
          <w:szCs w:val="20"/>
        </w:rPr>
        <w:t>.</w:t>
      </w:r>
      <w:r w:rsidR="00266D62">
        <w:rPr>
          <w:rFonts w:ascii="Arial" w:hAnsi="Arial" w:cs="Arial"/>
          <w:sz w:val="20"/>
          <w:szCs w:val="20"/>
        </w:rPr>
        <w:t>”</w:t>
      </w:r>
    </w:p>
    <w:p w14:paraId="2CF79683" w14:textId="77777777" w:rsidR="00FA233F" w:rsidRDefault="00FA233F" w:rsidP="003B6F43">
      <w:pPr>
        <w:spacing w:after="0" w:line="240" w:lineRule="auto"/>
        <w:jc w:val="both"/>
        <w:rPr>
          <w:rFonts w:ascii="Arial" w:hAnsi="Arial" w:cs="Arial"/>
          <w:sz w:val="20"/>
          <w:szCs w:val="20"/>
        </w:rPr>
      </w:pPr>
    </w:p>
    <w:p w14:paraId="71FCABC0" w14:textId="77777777" w:rsidR="00A41B20" w:rsidRDefault="00A41B20" w:rsidP="003B6F43">
      <w:pPr>
        <w:spacing w:after="0" w:line="240" w:lineRule="auto"/>
        <w:jc w:val="both"/>
        <w:rPr>
          <w:rFonts w:ascii="Arial" w:hAnsi="Arial" w:cs="Arial"/>
          <w:sz w:val="20"/>
          <w:szCs w:val="20"/>
        </w:rPr>
      </w:pPr>
    </w:p>
    <w:p w14:paraId="48FE5041" w14:textId="5FF9C7DD" w:rsidR="00A41B20" w:rsidRPr="00A41B20" w:rsidRDefault="00A41B20" w:rsidP="003B6F43">
      <w:pPr>
        <w:spacing w:after="0" w:line="240" w:lineRule="auto"/>
        <w:jc w:val="both"/>
        <w:rPr>
          <w:rFonts w:ascii="Arial" w:hAnsi="Arial" w:cs="Arial"/>
          <w:sz w:val="14"/>
          <w:szCs w:val="14"/>
        </w:rPr>
      </w:pPr>
      <w:r w:rsidRPr="00A41B20">
        <w:rPr>
          <w:rFonts w:ascii="Arial" w:hAnsi="Arial" w:cs="Arial"/>
          <w:sz w:val="14"/>
          <w:szCs w:val="14"/>
          <w:vertAlign w:val="superscript"/>
        </w:rPr>
        <w:t>1</w:t>
      </w:r>
      <w:r w:rsidRPr="00A41B20">
        <w:rPr>
          <w:rFonts w:ascii="Arial" w:hAnsi="Arial" w:cs="Arial"/>
          <w:sz w:val="14"/>
          <w:szCs w:val="14"/>
        </w:rPr>
        <w:t xml:space="preserve">  On 6 November 2024, Glanbia announced a change in its operating model, separating the Glanbia </w:t>
      </w:r>
      <w:proofErr w:type="spellStart"/>
      <w:r w:rsidRPr="00A41B20">
        <w:rPr>
          <w:rFonts w:ascii="Arial" w:hAnsi="Arial" w:cs="Arial"/>
          <w:sz w:val="14"/>
          <w:szCs w:val="14"/>
        </w:rPr>
        <w:t>Nutritionals</w:t>
      </w:r>
      <w:proofErr w:type="spellEnd"/>
      <w:r w:rsidRPr="00A41B20">
        <w:rPr>
          <w:rFonts w:ascii="Arial" w:hAnsi="Arial" w:cs="Arial"/>
          <w:sz w:val="14"/>
          <w:szCs w:val="14"/>
        </w:rPr>
        <w:t xml:space="preserve"> business into two new divisions, Health &amp; Nutrition (“H&amp;N”) and Dairy Nutrition (“DN”) and from 5 January 2025, Glanbia has reported in line with the revised segment structure. Comparative segment information for the prior year was restated for comparability purposes. The change does not impact total Group or Performance Nutrition revenues or margins. Like-for-like revenue growth excludes the impact of the 53rd week in the prior year and the net impact from acquisitions and disposals and is shown on a constant currency basis.</w:t>
      </w:r>
    </w:p>
    <w:p w14:paraId="63667AC7" w14:textId="77777777" w:rsidR="00C70B45" w:rsidRDefault="00C70B45">
      <w:pPr>
        <w:rPr>
          <w:rFonts w:ascii="Arial" w:hAnsi="Arial" w:cs="Arial"/>
          <w:b/>
          <w:color w:val="283A59"/>
          <w:sz w:val="20"/>
          <w:szCs w:val="20"/>
        </w:rPr>
      </w:pPr>
      <w:r>
        <w:rPr>
          <w:rFonts w:ascii="Arial" w:hAnsi="Arial" w:cs="Arial"/>
          <w:b/>
          <w:color w:val="283A59"/>
          <w:sz w:val="20"/>
          <w:szCs w:val="20"/>
        </w:rPr>
        <w:br w:type="page"/>
      </w:r>
    </w:p>
    <w:p w14:paraId="2A4AA456" w14:textId="24FB9A98" w:rsidR="003D0A3C" w:rsidRPr="000142E5" w:rsidRDefault="003D0A3C" w:rsidP="000142E5">
      <w:pPr>
        <w:jc w:val="both"/>
        <w:rPr>
          <w:rFonts w:ascii="Arial" w:hAnsi="Arial" w:cs="Arial"/>
          <w:b/>
          <w:color w:val="283A59"/>
          <w:sz w:val="20"/>
          <w:szCs w:val="20"/>
        </w:rPr>
      </w:pPr>
      <w:r w:rsidRPr="000142E5">
        <w:rPr>
          <w:rFonts w:ascii="Arial" w:hAnsi="Arial" w:cs="Arial"/>
          <w:b/>
          <w:color w:val="283A59"/>
          <w:sz w:val="20"/>
          <w:szCs w:val="20"/>
        </w:rPr>
        <w:lastRenderedPageBreak/>
        <w:t>Summary revenue progression</w:t>
      </w:r>
      <w:r w:rsidR="0027577D" w:rsidRPr="000142E5">
        <w:rPr>
          <w:rFonts w:ascii="Arial" w:hAnsi="Arial" w:cs="Arial"/>
          <w:b/>
          <w:color w:val="283A59"/>
          <w:sz w:val="20"/>
          <w:szCs w:val="20"/>
        </w:rPr>
        <w:t xml:space="preserve"> </w:t>
      </w:r>
      <w:r w:rsidR="00650421" w:rsidRPr="000142E5">
        <w:rPr>
          <w:rFonts w:ascii="Arial" w:hAnsi="Arial" w:cs="Arial"/>
          <w:b/>
          <w:color w:val="283A59"/>
          <w:sz w:val="20"/>
          <w:szCs w:val="20"/>
        </w:rPr>
        <w:t>(all commentary is on a constant currency basis)</w:t>
      </w:r>
      <w:r w:rsidR="00177209">
        <w:rPr>
          <w:rFonts w:ascii="Arial" w:hAnsi="Arial" w:cs="Arial"/>
          <w:b/>
          <w:color w:val="283A59"/>
          <w:sz w:val="20"/>
          <w:szCs w:val="20"/>
        </w:rPr>
        <w:t xml:space="preserve"> </w:t>
      </w:r>
    </w:p>
    <w:tbl>
      <w:tblPr>
        <w:tblW w:w="10206" w:type="dxa"/>
        <w:tblLayout w:type="fixed"/>
        <w:tblLook w:val="04A0" w:firstRow="1" w:lastRow="0" w:firstColumn="1" w:lastColumn="0" w:noHBand="0" w:noVBand="1"/>
      </w:tblPr>
      <w:tblGrid>
        <w:gridCol w:w="2410"/>
        <w:gridCol w:w="992"/>
        <w:gridCol w:w="993"/>
        <w:gridCol w:w="992"/>
        <w:gridCol w:w="1134"/>
        <w:gridCol w:w="1417"/>
        <w:gridCol w:w="1134"/>
        <w:gridCol w:w="1134"/>
      </w:tblGrid>
      <w:tr w:rsidR="009D61F5" w:rsidRPr="000142E5" w14:paraId="6EA1C23D" w14:textId="77777777" w:rsidTr="00BB637B">
        <w:trPr>
          <w:trHeight w:hRule="exact" w:val="227"/>
        </w:trPr>
        <w:tc>
          <w:tcPr>
            <w:tcW w:w="2410" w:type="dxa"/>
            <w:tcBorders>
              <w:right w:val="single" w:sz="4" w:space="0" w:color="auto"/>
            </w:tcBorders>
            <w:noWrap/>
            <w:vAlign w:val="bottom"/>
          </w:tcPr>
          <w:p w14:paraId="4067157B" w14:textId="77777777" w:rsidR="009D61F5" w:rsidRPr="000142E5" w:rsidRDefault="009D61F5" w:rsidP="000142E5">
            <w:pPr>
              <w:suppressAutoHyphens/>
              <w:autoSpaceDE w:val="0"/>
              <w:autoSpaceDN w:val="0"/>
              <w:adjustRightInd w:val="0"/>
              <w:spacing w:after="0" w:line="200" w:lineRule="atLeast"/>
              <w:jc w:val="both"/>
              <w:textAlignment w:val="center"/>
              <w:rPr>
                <w:rFonts w:ascii="Arial" w:hAnsi="Arial" w:cs="Arial"/>
                <w:color w:val="000000" w:themeColor="text1"/>
                <w:sz w:val="20"/>
                <w:szCs w:val="20"/>
              </w:rPr>
            </w:pPr>
          </w:p>
        </w:tc>
        <w:tc>
          <w:tcPr>
            <w:tcW w:w="7796" w:type="dxa"/>
            <w:gridSpan w:val="7"/>
            <w:tcBorders>
              <w:top w:val="single" w:sz="4" w:space="0" w:color="auto"/>
              <w:bottom w:val="single" w:sz="4" w:space="0" w:color="auto"/>
              <w:right w:val="single" w:sz="4" w:space="0" w:color="auto"/>
            </w:tcBorders>
          </w:tcPr>
          <w:p w14:paraId="602175A1" w14:textId="739D4420" w:rsidR="009D61F5" w:rsidRPr="000142E5" w:rsidRDefault="009D61F5" w:rsidP="000142E5">
            <w:pPr>
              <w:suppressAutoHyphens/>
              <w:autoSpaceDE w:val="0"/>
              <w:autoSpaceDN w:val="0"/>
              <w:adjustRightInd w:val="0"/>
              <w:spacing w:after="0" w:line="200" w:lineRule="atLeast"/>
              <w:jc w:val="center"/>
              <w:textAlignment w:val="center"/>
              <w:rPr>
                <w:rFonts w:ascii="Arial" w:hAnsi="Arial" w:cs="Arial"/>
                <w:b/>
                <w:color w:val="000000" w:themeColor="text1"/>
                <w:sz w:val="20"/>
                <w:szCs w:val="20"/>
              </w:rPr>
            </w:pPr>
            <w:r w:rsidRPr="000142E5">
              <w:rPr>
                <w:rFonts w:ascii="Arial" w:hAnsi="Arial" w:cs="Arial"/>
                <w:b/>
                <w:color w:val="000000" w:themeColor="text1"/>
                <w:sz w:val="20"/>
                <w:szCs w:val="20"/>
              </w:rPr>
              <w:t xml:space="preserve">Summary of </w:t>
            </w:r>
            <w:r>
              <w:rPr>
                <w:rFonts w:ascii="Arial" w:hAnsi="Arial" w:cs="Arial"/>
                <w:b/>
                <w:color w:val="000000" w:themeColor="text1"/>
                <w:sz w:val="20"/>
                <w:szCs w:val="20"/>
              </w:rPr>
              <w:t>YTD Q3</w:t>
            </w:r>
            <w:r w:rsidRPr="000142E5">
              <w:rPr>
                <w:rFonts w:ascii="Arial" w:hAnsi="Arial" w:cs="Arial"/>
                <w:b/>
                <w:color w:val="000000" w:themeColor="text1"/>
                <w:sz w:val="20"/>
                <w:szCs w:val="20"/>
              </w:rPr>
              <w:t xml:space="preserve"> 2025 revenue progression versus prior year</w:t>
            </w:r>
          </w:p>
        </w:tc>
      </w:tr>
      <w:tr w:rsidR="009D61F5" w:rsidRPr="000142E5" w14:paraId="29154B9F" w14:textId="77777777" w:rsidTr="00BB637B">
        <w:trPr>
          <w:trHeight w:hRule="exact" w:val="227"/>
        </w:trPr>
        <w:tc>
          <w:tcPr>
            <w:tcW w:w="2410" w:type="dxa"/>
            <w:tcBorders>
              <w:right w:val="single" w:sz="4" w:space="0" w:color="5B6770"/>
            </w:tcBorders>
            <w:noWrap/>
            <w:vAlign w:val="bottom"/>
          </w:tcPr>
          <w:p w14:paraId="4EA59E70" w14:textId="77777777" w:rsidR="009D61F5" w:rsidRPr="000142E5" w:rsidRDefault="009D61F5" w:rsidP="000142E5">
            <w:pPr>
              <w:suppressAutoHyphens/>
              <w:autoSpaceDE w:val="0"/>
              <w:autoSpaceDN w:val="0"/>
              <w:adjustRightInd w:val="0"/>
              <w:spacing w:after="0" w:line="200" w:lineRule="atLeast"/>
              <w:jc w:val="both"/>
              <w:textAlignment w:val="center"/>
              <w:rPr>
                <w:rFonts w:ascii="Arial" w:hAnsi="Arial" w:cs="Arial"/>
                <w:color w:val="000000" w:themeColor="text1"/>
                <w:sz w:val="20"/>
                <w:szCs w:val="20"/>
              </w:rPr>
            </w:pPr>
          </w:p>
        </w:tc>
        <w:tc>
          <w:tcPr>
            <w:tcW w:w="7796" w:type="dxa"/>
            <w:gridSpan w:val="7"/>
            <w:tcBorders>
              <w:top w:val="single" w:sz="4" w:space="0" w:color="auto"/>
              <w:right w:val="single" w:sz="4" w:space="0" w:color="5B6770"/>
            </w:tcBorders>
          </w:tcPr>
          <w:p w14:paraId="7B587CA6" w14:textId="042BC603" w:rsidR="009D61F5" w:rsidRPr="000142E5" w:rsidRDefault="009D61F5" w:rsidP="009D61F5">
            <w:pPr>
              <w:suppressAutoHyphens/>
              <w:autoSpaceDE w:val="0"/>
              <w:autoSpaceDN w:val="0"/>
              <w:adjustRightInd w:val="0"/>
              <w:spacing w:after="0" w:line="200" w:lineRule="atLeast"/>
              <w:jc w:val="center"/>
              <w:textAlignment w:val="center"/>
              <w:rPr>
                <w:rFonts w:ascii="Arial" w:hAnsi="Arial" w:cs="Arial"/>
                <w:b/>
                <w:color w:val="000000" w:themeColor="text1"/>
                <w:sz w:val="20"/>
                <w:szCs w:val="20"/>
              </w:rPr>
            </w:pPr>
            <w:r w:rsidRPr="000142E5">
              <w:rPr>
                <w:rFonts w:ascii="Arial" w:hAnsi="Arial" w:cs="Arial"/>
                <w:b/>
                <w:color w:val="000000" w:themeColor="text1"/>
                <w:sz w:val="20"/>
                <w:szCs w:val="20"/>
              </w:rPr>
              <w:t>Constant currency movement</w:t>
            </w:r>
            <w:r w:rsidR="0009709E">
              <w:rPr>
                <w:rFonts w:ascii="Arial" w:hAnsi="Arial" w:cs="Arial"/>
                <w:b/>
                <w:color w:val="000000" w:themeColor="text1"/>
                <w:sz w:val="20"/>
                <w:szCs w:val="20"/>
              </w:rPr>
              <w:t xml:space="preserve"> </w:t>
            </w:r>
          </w:p>
        </w:tc>
      </w:tr>
      <w:tr w:rsidR="009D61F5" w:rsidRPr="000142E5" w14:paraId="21727B4C" w14:textId="77777777" w:rsidTr="009340A1">
        <w:trPr>
          <w:trHeight w:hRule="exact" w:val="787"/>
        </w:trPr>
        <w:tc>
          <w:tcPr>
            <w:tcW w:w="2410" w:type="dxa"/>
            <w:tcBorders>
              <w:right w:val="single" w:sz="4" w:space="0" w:color="5B6770"/>
            </w:tcBorders>
            <w:noWrap/>
            <w:vAlign w:val="bottom"/>
            <w:hideMark/>
          </w:tcPr>
          <w:p w14:paraId="3102DAFE" w14:textId="77777777" w:rsidR="009D61F5" w:rsidRPr="000142E5" w:rsidRDefault="009D61F5" w:rsidP="000142E5">
            <w:pPr>
              <w:suppressAutoHyphens/>
              <w:autoSpaceDE w:val="0"/>
              <w:autoSpaceDN w:val="0"/>
              <w:adjustRightInd w:val="0"/>
              <w:spacing w:after="0" w:line="200" w:lineRule="atLeast"/>
              <w:jc w:val="both"/>
              <w:textAlignment w:val="center"/>
              <w:rPr>
                <w:rFonts w:ascii="Arial" w:hAnsi="Arial" w:cs="Arial"/>
                <w:color w:val="000000" w:themeColor="text1"/>
                <w:sz w:val="20"/>
                <w:szCs w:val="20"/>
              </w:rPr>
            </w:pPr>
          </w:p>
        </w:tc>
        <w:tc>
          <w:tcPr>
            <w:tcW w:w="992" w:type="dxa"/>
            <w:tcBorders>
              <w:top w:val="single" w:sz="4" w:space="0" w:color="5B6770"/>
              <w:left w:val="single" w:sz="4" w:space="0" w:color="5B6770"/>
              <w:bottom w:val="single" w:sz="4" w:space="0" w:color="5B6770"/>
              <w:right w:val="single" w:sz="4" w:space="0" w:color="5B6770"/>
            </w:tcBorders>
            <w:vAlign w:val="bottom"/>
          </w:tcPr>
          <w:p w14:paraId="55982002" w14:textId="77777777" w:rsidR="009D61F5" w:rsidRPr="000142E5" w:rsidRDefault="009D61F5" w:rsidP="003503FC">
            <w:pPr>
              <w:suppressAutoHyphens/>
              <w:autoSpaceDE w:val="0"/>
              <w:autoSpaceDN w:val="0"/>
              <w:adjustRightInd w:val="0"/>
              <w:spacing w:after="0" w:line="200" w:lineRule="atLeast"/>
              <w:jc w:val="center"/>
              <w:textAlignment w:val="center"/>
              <w:rPr>
                <w:rFonts w:ascii="Arial" w:hAnsi="Arial" w:cs="Arial"/>
                <w:b/>
                <w:color w:val="000000" w:themeColor="text1"/>
                <w:sz w:val="20"/>
                <w:szCs w:val="20"/>
              </w:rPr>
            </w:pPr>
            <w:r w:rsidRPr="000142E5">
              <w:rPr>
                <w:rFonts w:ascii="Arial" w:hAnsi="Arial" w:cs="Arial"/>
                <w:b/>
                <w:color w:val="000000" w:themeColor="text1"/>
                <w:sz w:val="20"/>
                <w:szCs w:val="20"/>
              </w:rPr>
              <w:t>Volume</w:t>
            </w:r>
          </w:p>
        </w:tc>
        <w:tc>
          <w:tcPr>
            <w:tcW w:w="993" w:type="dxa"/>
            <w:tcBorders>
              <w:top w:val="single" w:sz="4" w:space="0" w:color="5B6770"/>
              <w:left w:val="single" w:sz="4" w:space="0" w:color="5B6770"/>
              <w:bottom w:val="single" w:sz="4" w:space="0" w:color="5B6770"/>
              <w:right w:val="single" w:sz="4" w:space="0" w:color="5B6770"/>
            </w:tcBorders>
            <w:vAlign w:val="bottom"/>
          </w:tcPr>
          <w:p w14:paraId="4810CF7B" w14:textId="77777777" w:rsidR="009D61F5" w:rsidRPr="000142E5" w:rsidRDefault="009D61F5" w:rsidP="003503FC">
            <w:pPr>
              <w:suppressAutoHyphens/>
              <w:autoSpaceDE w:val="0"/>
              <w:autoSpaceDN w:val="0"/>
              <w:adjustRightInd w:val="0"/>
              <w:spacing w:after="0" w:line="200" w:lineRule="atLeast"/>
              <w:jc w:val="center"/>
              <w:textAlignment w:val="center"/>
              <w:rPr>
                <w:rFonts w:ascii="Arial" w:hAnsi="Arial" w:cs="Arial"/>
                <w:b/>
                <w:color w:val="000000" w:themeColor="text1"/>
                <w:sz w:val="20"/>
                <w:szCs w:val="20"/>
              </w:rPr>
            </w:pPr>
            <w:r w:rsidRPr="000142E5">
              <w:rPr>
                <w:rFonts w:ascii="Arial" w:hAnsi="Arial" w:cs="Arial"/>
                <w:b/>
                <w:color w:val="000000" w:themeColor="text1"/>
                <w:sz w:val="20"/>
                <w:szCs w:val="20"/>
              </w:rPr>
              <w:t>Price</w:t>
            </w:r>
          </w:p>
        </w:tc>
        <w:tc>
          <w:tcPr>
            <w:tcW w:w="992" w:type="dxa"/>
            <w:tcBorders>
              <w:top w:val="single" w:sz="4" w:space="0" w:color="5B6770"/>
              <w:left w:val="single" w:sz="4" w:space="0" w:color="5B6770"/>
              <w:bottom w:val="single" w:sz="4" w:space="0" w:color="5B6770"/>
              <w:right w:val="single" w:sz="4" w:space="0" w:color="5B6770"/>
            </w:tcBorders>
            <w:shd w:val="clear" w:color="auto" w:fill="EEECE1"/>
            <w:vAlign w:val="bottom"/>
          </w:tcPr>
          <w:p w14:paraId="47F48AF5" w14:textId="4E9E06D8" w:rsidR="009D61F5" w:rsidRPr="000142E5" w:rsidRDefault="009D61F5" w:rsidP="003503FC">
            <w:pPr>
              <w:suppressAutoHyphens/>
              <w:autoSpaceDE w:val="0"/>
              <w:autoSpaceDN w:val="0"/>
              <w:adjustRightInd w:val="0"/>
              <w:spacing w:after="0" w:line="200" w:lineRule="atLeast"/>
              <w:jc w:val="center"/>
              <w:textAlignment w:val="center"/>
              <w:rPr>
                <w:rFonts w:ascii="Arial" w:hAnsi="Arial" w:cs="Arial"/>
                <w:b/>
                <w:color w:val="000000" w:themeColor="text1"/>
                <w:sz w:val="20"/>
                <w:szCs w:val="20"/>
              </w:rPr>
            </w:pPr>
            <w:r w:rsidRPr="000142E5">
              <w:rPr>
                <w:rFonts w:ascii="Arial" w:hAnsi="Arial" w:cs="Arial"/>
                <w:b/>
                <w:color w:val="000000" w:themeColor="text1"/>
                <w:sz w:val="20"/>
                <w:szCs w:val="20"/>
              </w:rPr>
              <w:t>Like-for-like</w:t>
            </w:r>
          </w:p>
        </w:tc>
        <w:tc>
          <w:tcPr>
            <w:tcW w:w="1134" w:type="dxa"/>
            <w:tcBorders>
              <w:top w:val="single" w:sz="4" w:space="0" w:color="5B6770"/>
              <w:left w:val="single" w:sz="4" w:space="0" w:color="5B6770"/>
              <w:bottom w:val="single" w:sz="4" w:space="0" w:color="5B6770"/>
              <w:right w:val="single" w:sz="4" w:space="0" w:color="5B6770"/>
            </w:tcBorders>
            <w:vAlign w:val="bottom"/>
          </w:tcPr>
          <w:p w14:paraId="658473E7" w14:textId="0BB0C1B5" w:rsidR="009D61F5" w:rsidRDefault="00B61C11" w:rsidP="009D61F5">
            <w:pPr>
              <w:suppressAutoHyphens/>
              <w:autoSpaceDE w:val="0"/>
              <w:autoSpaceDN w:val="0"/>
              <w:adjustRightInd w:val="0"/>
              <w:spacing w:after="0" w:line="200" w:lineRule="atLeast"/>
              <w:jc w:val="center"/>
              <w:textAlignment w:val="center"/>
              <w:rPr>
                <w:rFonts w:ascii="Arial" w:hAnsi="Arial" w:cs="Arial"/>
                <w:b/>
                <w:sz w:val="20"/>
                <w:szCs w:val="20"/>
              </w:rPr>
            </w:pPr>
            <w:r>
              <w:rPr>
                <w:rFonts w:ascii="Arial" w:hAnsi="Arial" w:cs="Arial"/>
                <w:b/>
                <w:sz w:val="20"/>
                <w:szCs w:val="20"/>
              </w:rPr>
              <w:t xml:space="preserve">Prior Year </w:t>
            </w:r>
            <w:r w:rsidR="009D61F5">
              <w:rPr>
                <w:rFonts w:ascii="Arial" w:hAnsi="Arial" w:cs="Arial"/>
                <w:b/>
                <w:sz w:val="20"/>
                <w:szCs w:val="20"/>
              </w:rPr>
              <w:t>53</w:t>
            </w:r>
            <w:r w:rsidR="009D61F5" w:rsidRPr="009D61F5">
              <w:rPr>
                <w:rFonts w:ascii="Arial" w:hAnsi="Arial" w:cs="Arial"/>
                <w:b/>
                <w:sz w:val="20"/>
                <w:szCs w:val="20"/>
                <w:vertAlign w:val="superscript"/>
              </w:rPr>
              <w:t>rd</w:t>
            </w:r>
            <w:r w:rsidR="009D61F5">
              <w:rPr>
                <w:rFonts w:ascii="Arial" w:hAnsi="Arial" w:cs="Arial"/>
                <w:b/>
                <w:sz w:val="20"/>
                <w:szCs w:val="20"/>
              </w:rPr>
              <w:t xml:space="preserve"> </w:t>
            </w:r>
          </w:p>
          <w:p w14:paraId="2EBBF7DD" w14:textId="2CF8F2B9" w:rsidR="009D61F5" w:rsidRPr="000142E5" w:rsidRDefault="009D61F5" w:rsidP="009D61F5">
            <w:pPr>
              <w:suppressAutoHyphens/>
              <w:autoSpaceDE w:val="0"/>
              <w:autoSpaceDN w:val="0"/>
              <w:adjustRightInd w:val="0"/>
              <w:spacing w:after="0" w:line="200" w:lineRule="atLeast"/>
              <w:jc w:val="center"/>
              <w:textAlignment w:val="center"/>
              <w:rPr>
                <w:rFonts w:ascii="Arial" w:hAnsi="Arial" w:cs="Arial"/>
                <w:b/>
                <w:sz w:val="20"/>
                <w:szCs w:val="20"/>
              </w:rPr>
            </w:pPr>
            <w:r>
              <w:rPr>
                <w:rFonts w:ascii="Arial" w:hAnsi="Arial" w:cs="Arial"/>
                <w:b/>
                <w:sz w:val="20"/>
                <w:szCs w:val="20"/>
              </w:rPr>
              <w:t>week</w:t>
            </w:r>
          </w:p>
        </w:tc>
        <w:tc>
          <w:tcPr>
            <w:tcW w:w="1417" w:type="dxa"/>
            <w:tcBorders>
              <w:top w:val="single" w:sz="4" w:space="0" w:color="5B6770"/>
              <w:left w:val="single" w:sz="4" w:space="0" w:color="5B6770"/>
              <w:bottom w:val="single" w:sz="4" w:space="0" w:color="5B6770"/>
              <w:right w:val="single" w:sz="4" w:space="0" w:color="5B6770"/>
            </w:tcBorders>
            <w:vAlign w:val="bottom"/>
          </w:tcPr>
          <w:p w14:paraId="0B83BAB7" w14:textId="293D463A" w:rsidR="009D61F5" w:rsidRPr="000142E5" w:rsidRDefault="009D61F5" w:rsidP="003503FC">
            <w:pPr>
              <w:suppressAutoHyphens/>
              <w:autoSpaceDE w:val="0"/>
              <w:autoSpaceDN w:val="0"/>
              <w:adjustRightInd w:val="0"/>
              <w:spacing w:after="0" w:line="200" w:lineRule="atLeast"/>
              <w:jc w:val="center"/>
              <w:textAlignment w:val="center"/>
              <w:rPr>
                <w:rFonts w:ascii="Arial" w:hAnsi="Arial" w:cs="Arial"/>
                <w:b/>
                <w:color w:val="000000" w:themeColor="text1"/>
                <w:sz w:val="20"/>
                <w:szCs w:val="20"/>
              </w:rPr>
            </w:pPr>
            <w:r w:rsidRPr="000142E5">
              <w:rPr>
                <w:rFonts w:ascii="Arial" w:hAnsi="Arial" w:cs="Arial"/>
                <w:b/>
                <w:sz w:val="20"/>
                <w:szCs w:val="20"/>
              </w:rPr>
              <w:t>Acquisition / Disposals</w:t>
            </w:r>
          </w:p>
        </w:tc>
        <w:tc>
          <w:tcPr>
            <w:tcW w:w="1134" w:type="dxa"/>
            <w:tcBorders>
              <w:top w:val="single" w:sz="4" w:space="0" w:color="5B6770"/>
              <w:left w:val="single" w:sz="4" w:space="0" w:color="5B6770"/>
              <w:bottom w:val="single" w:sz="4" w:space="0" w:color="5B6770"/>
              <w:right w:val="single" w:sz="4" w:space="0" w:color="5B6770"/>
            </w:tcBorders>
            <w:vAlign w:val="bottom"/>
          </w:tcPr>
          <w:p w14:paraId="579EAC8F" w14:textId="77777777" w:rsidR="009D61F5" w:rsidRPr="000142E5" w:rsidRDefault="009D61F5" w:rsidP="003503FC">
            <w:pPr>
              <w:suppressAutoHyphens/>
              <w:autoSpaceDE w:val="0"/>
              <w:autoSpaceDN w:val="0"/>
              <w:adjustRightInd w:val="0"/>
              <w:spacing w:after="0" w:line="200" w:lineRule="atLeast"/>
              <w:jc w:val="center"/>
              <w:textAlignment w:val="center"/>
              <w:rPr>
                <w:rFonts w:ascii="Arial" w:hAnsi="Arial" w:cs="Arial"/>
                <w:b/>
                <w:color w:val="000000" w:themeColor="text1"/>
                <w:sz w:val="20"/>
                <w:szCs w:val="20"/>
              </w:rPr>
            </w:pPr>
            <w:r w:rsidRPr="000142E5">
              <w:rPr>
                <w:rFonts w:ascii="Arial" w:hAnsi="Arial" w:cs="Arial"/>
                <w:b/>
                <w:color w:val="000000" w:themeColor="text1"/>
                <w:sz w:val="20"/>
                <w:szCs w:val="20"/>
              </w:rPr>
              <w:t>Total constant currency</w:t>
            </w:r>
          </w:p>
        </w:tc>
        <w:tc>
          <w:tcPr>
            <w:tcW w:w="1134" w:type="dxa"/>
            <w:tcBorders>
              <w:top w:val="single" w:sz="4" w:space="0" w:color="5B6770"/>
              <w:left w:val="single" w:sz="4" w:space="0" w:color="5B6770"/>
              <w:bottom w:val="single" w:sz="4" w:space="0" w:color="5B6770"/>
              <w:right w:val="single" w:sz="4" w:space="0" w:color="5B6770"/>
            </w:tcBorders>
            <w:shd w:val="clear" w:color="auto" w:fill="FFFFFF" w:themeFill="background1"/>
            <w:vAlign w:val="bottom"/>
          </w:tcPr>
          <w:p w14:paraId="70B9A6DF" w14:textId="77777777" w:rsidR="009D61F5" w:rsidRPr="000142E5" w:rsidRDefault="009D61F5" w:rsidP="003503FC">
            <w:pPr>
              <w:suppressAutoHyphens/>
              <w:autoSpaceDE w:val="0"/>
              <w:autoSpaceDN w:val="0"/>
              <w:adjustRightInd w:val="0"/>
              <w:spacing w:after="0" w:line="200" w:lineRule="atLeast"/>
              <w:jc w:val="center"/>
              <w:textAlignment w:val="center"/>
              <w:rPr>
                <w:rFonts w:ascii="Arial" w:hAnsi="Arial" w:cs="Arial"/>
                <w:b/>
                <w:color w:val="000000" w:themeColor="text1"/>
                <w:sz w:val="20"/>
                <w:szCs w:val="20"/>
              </w:rPr>
            </w:pPr>
            <w:r w:rsidRPr="000142E5">
              <w:rPr>
                <w:rFonts w:ascii="Arial" w:hAnsi="Arial" w:cs="Arial"/>
                <w:b/>
                <w:color w:val="000000" w:themeColor="text1"/>
                <w:sz w:val="20"/>
                <w:szCs w:val="20"/>
              </w:rPr>
              <w:t>Total</w:t>
            </w:r>
          </w:p>
          <w:p w14:paraId="450021CE" w14:textId="33E38CE0" w:rsidR="009D61F5" w:rsidRPr="000142E5" w:rsidRDefault="009D61F5" w:rsidP="003503FC">
            <w:pPr>
              <w:suppressAutoHyphens/>
              <w:autoSpaceDE w:val="0"/>
              <w:autoSpaceDN w:val="0"/>
              <w:adjustRightInd w:val="0"/>
              <w:spacing w:after="0" w:line="200" w:lineRule="atLeast"/>
              <w:jc w:val="center"/>
              <w:textAlignment w:val="center"/>
              <w:rPr>
                <w:rFonts w:ascii="Arial" w:hAnsi="Arial" w:cs="Arial"/>
                <w:b/>
                <w:color w:val="000000" w:themeColor="text1"/>
                <w:sz w:val="20"/>
                <w:szCs w:val="20"/>
              </w:rPr>
            </w:pPr>
            <w:r w:rsidRPr="000142E5">
              <w:rPr>
                <w:rFonts w:ascii="Arial" w:hAnsi="Arial" w:cs="Arial"/>
                <w:b/>
                <w:color w:val="000000" w:themeColor="text1"/>
                <w:sz w:val="20"/>
                <w:szCs w:val="20"/>
              </w:rPr>
              <w:t>reported currency</w:t>
            </w:r>
          </w:p>
        </w:tc>
      </w:tr>
      <w:tr w:rsidR="009D61F5" w:rsidRPr="000142E5" w14:paraId="6088B873" w14:textId="77777777" w:rsidTr="009340A1">
        <w:trPr>
          <w:trHeight w:hRule="exact" w:val="252"/>
        </w:trPr>
        <w:tc>
          <w:tcPr>
            <w:tcW w:w="2410" w:type="dxa"/>
            <w:tcBorders>
              <w:top w:val="single" w:sz="4" w:space="0" w:color="5B6770"/>
              <w:bottom w:val="single" w:sz="4" w:space="0" w:color="auto"/>
              <w:right w:val="single" w:sz="4" w:space="0" w:color="5B6770"/>
            </w:tcBorders>
            <w:noWrap/>
            <w:vAlign w:val="bottom"/>
          </w:tcPr>
          <w:p w14:paraId="42C68EDC" w14:textId="198CFF33" w:rsidR="009D61F5" w:rsidRPr="000142E5" w:rsidRDefault="009D61F5" w:rsidP="000142E5">
            <w:pPr>
              <w:suppressAutoHyphens/>
              <w:autoSpaceDE w:val="0"/>
              <w:autoSpaceDN w:val="0"/>
              <w:adjustRightInd w:val="0"/>
              <w:spacing w:after="0" w:line="200" w:lineRule="atLeast"/>
              <w:jc w:val="both"/>
              <w:textAlignment w:val="center"/>
              <w:rPr>
                <w:rFonts w:ascii="Arial" w:hAnsi="Arial" w:cs="Arial"/>
                <w:b/>
                <w:color w:val="000000" w:themeColor="text1"/>
                <w:sz w:val="20"/>
                <w:szCs w:val="20"/>
              </w:rPr>
            </w:pPr>
            <w:r w:rsidRPr="000142E5">
              <w:rPr>
                <w:rFonts w:ascii="Arial" w:hAnsi="Arial" w:cs="Arial"/>
                <w:b/>
                <w:color w:val="000000" w:themeColor="text1"/>
                <w:sz w:val="20"/>
                <w:szCs w:val="20"/>
              </w:rPr>
              <w:t>Performance Nutrition</w:t>
            </w:r>
          </w:p>
        </w:tc>
        <w:tc>
          <w:tcPr>
            <w:tcW w:w="992" w:type="dxa"/>
            <w:tcBorders>
              <w:top w:val="single" w:sz="4" w:space="0" w:color="5B6770"/>
              <w:left w:val="single" w:sz="4" w:space="0" w:color="5B6770"/>
              <w:bottom w:val="single" w:sz="4" w:space="0" w:color="auto"/>
              <w:right w:val="single" w:sz="4" w:space="0" w:color="5B6770"/>
            </w:tcBorders>
          </w:tcPr>
          <w:p w14:paraId="56637805" w14:textId="0360A0E1" w:rsidR="009D61F5" w:rsidRPr="009D61F5" w:rsidRDefault="009D61F5" w:rsidP="003503FC">
            <w:pPr>
              <w:suppressAutoHyphens/>
              <w:autoSpaceDE w:val="0"/>
              <w:autoSpaceDN w:val="0"/>
              <w:adjustRightInd w:val="0"/>
              <w:spacing w:after="0" w:line="200" w:lineRule="atLeast"/>
              <w:jc w:val="center"/>
              <w:textAlignment w:val="center"/>
              <w:rPr>
                <w:rFonts w:ascii="Arial" w:hAnsi="Arial" w:cs="Arial"/>
                <w:color w:val="000000" w:themeColor="text1"/>
                <w:sz w:val="20"/>
                <w:szCs w:val="20"/>
              </w:rPr>
            </w:pPr>
            <w:r w:rsidRPr="009D61F5">
              <w:rPr>
                <w:rFonts w:ascii="Arial" w:hAnsi="Arial" w:cs="Arial"/>
                <w:color w:val="000000" w:themeColor="text1"/>
                <w:sz w:val="20"/>
                <w:szCs w:val="20"/>
              </w:rPr>
              <w:t>0.5%</w:t>
            </w:r>
          </w:p>
        </w:tc>
        <w:tc>
          <w:tcPr>
            <w:tcW w:w="993" w:type="dxa"/>
            <w:tcBorders>
              <w:top w:val="single" w:sz="4" w:space="0" w:color="5B6770"/>
              <w:left w:val="single" w:sz="4" w:space="0" w:color="5B6770"/>
              <w:bottom w:val="single" w:sz="4" w:space="0" w:color="auto"/>
              <w:right w:val="single" w:sz="4" w:space="0" w:color="5B6770"/>
            </w:tcBorders>
          </w:tcPr>
          <w:p w14:paraId="41003973" w14:textId="68833539" w:rsidR="009D61F5" w:rsidRPr="009D61F5" w:rsidRDefault="009D61F5" w:rsidP="003503FC">
            <w:pPr>
              <w:suppressAutoHyphens/>
              <w:autoSpaceDE w:val="0"/>
              <w:autoSpaceDN w:val="0"/>
              <w:adjustRightInd w:val="0"/>
              <w:spacing w:after="0" w:line="200" w:lineRule="atLeast"/>
              <w:jc w:val="center"/>
              <w:textAlignment w:val="center"/>
              <w:rPr>
                <w:rFonts w:ascii="Arial" w:hAnsi="Arial" w:cs="Arial"/>
                <w:color w:val="000000" w:themeColor="text1"/>
                <w:sz w:val="20"/>
                <w:szCs w:val="20"/>
              </w:rPr>
            </w:pPr>
            <w:r w:rsidRPr="009D61F5">
              <w:rPr>
                <w:rFonts w:ascii="Arial" w:hAnsi="Arial" w:cs="Arial"/>
                <w:color w:val="000000" w:themeColor="text1"/>
                <w:sz w:val="20"/>
                <w:szCs w:val="20"/>
              </w:rPr>
              <w:t>(0.5%)</w:t>
            </w:r>
          </w:p>
        </w:tc>
        <w:tc>
          <w:tcPr>
            <w:tcW w:w="992" w:type="dxa"/>
            <w:tcBorders>
              <w:top w:val="single" w:sz="4" w:space="0" w:color="5B6770"/>
              <w:left w:val="single" w:sz="4" w:space="0" w:color="5B6770"/>
              <w:bottom w:val="single" w:sz="4" w:space="0" w:color="auto"/>
              <w:right w:val="single" w:sz="4" w:space="0" w:color="5B6770"/>
            </w:tcBorders>
            <w:shd w:val="clear" w:color="auto" w:fill="EEECE1"/>
          </w:tcPr>
          <w:p w14:paraId="40A8BE41" w14:textId="21C67AC8" w:rsidR="009D61F5" w:rsidRPr="009D61F5" w:rsidRDefault="009D61F5" w:rsidP="003503FC">
            <w:pPr>
              <w:suppressAutoHyphens/>
              <w:autoSpaceDE w:val="0"/>
              <w:autoSpaceDN w:val="0"/>
              <w:adjustRightInd w:val="0"/>
              <w:spacing w:after="0" w:line="200" w:lineRule="atLeast"/>
              <w:jc w:val="center"/>
              <w:textAlignment w:val="center"/>
              <w:rPr>
                <w:rFonts w:ascii="Arial" w:hAnsi="Arial" w:cs="Arial"/>
                <w:b/>
                <w:bCs/>
                <w:color w:val="000000" w:themeColor="text1"/>
                <w:sz w:val="20"/>
                <w:szCs w:val="20"/>
              </w:rPr>
            </w:pPr>
            <w:r>
              <w:rPr>
                <w:rFonts w:ascii="Arial" w:hAnsi="Arial" w:cs="Arial"/>
                <w:b/>
                <w:bCs/>
                <w:color w:val="000000" w:themeColor="text1"/>
                <w:sz w:val="20"/>
                <w:szCs w:val="20"/>
              </w:rPr>
              <w:t>0.0%</w:t>
            </w:r>
          </w:p>
        </w:tc>
        <w:tc>
          <w:tcPr>
            <w:tcW w:w="1134" w:type="dxa"/>
            <w:tcBorders>
              <w:top w:val="single" w:sz="4" w:space="0" w:color="5B6770"/>
              <w:left w:val="single" w:sz="4" w:space="0" w:color="5B6770"/>
              <w:bottom w:val="single" w:sz="4" w:space="0" w:color="auto"/>
              <w:right w:val="single" w:sz="4" w:space="0" w:color="5B6770"/>
            </w:tcBorders>
          </w:tcPr>
          <w:p w14:paraId="092C365A" w14:textId="637C2397" w:rsidR="009D61F5" w:rsidRPr="009D61F5" w:rsidRDefault="009D61F5" w:rsidP="003503FC">
            <w:pPr>
              <w:suppressAutoHyphens/>
              <w:autoSpaceDE w:val="0"/>
              <w:autoSpaceDN w:val="0"/>
              <w:adjustRightInd w:val="0"/>
              <w:spacing w:after="0" w:line="200" w:lineRule="atLeast"/>
              <w:jc w:val="center"/>
              <w:textAlignment w:val="center"/>
              <w:rPr>
                <w:rFonts w:ascii="Arial" w:hAnsi="Arial" w:cs="Arial"/>
                <w:color w:val="000000" w:themeColor="text1"/>
                <w:sz w:val="20"/>
                <w:szCs w:val="20"/>
              </w:rPr>
            </w:pPr>
            <w:r>
              <w:rPr>
                <w:rFonts w:ascii="Arial" w:hAnsi="Arial" w:cs="Arial"/>
                <w:color w:val="000000" w:themeColor="text1"/>
                <w:sz w:val="20"/>
                <w:szCs w:val="20"/>
              </w:rPr>
              <w:t>(2.4%)</w:t>
            </w:r>
          </w:p>
        </w:tc>
        <w:tc>
          <w:tcPr>
            <w:tcW w:w="1417" w:type="dxa"/>
            <w:tcBorders>
              <w:top w:val="single" w:sz="4" w:space="0" w:color="5B6770"/>
              <w:left w:val="single" w:sz="4" w:space="0" w:color="5B6770"/>
              <w:bottom w:val="single" w:sz="4" w:space="0" w:color="auto"/>
              <w:right w:val="single" w:sz="4" w:space="0" w:color="5B6770"/>
            </w:tcBorders>
          </w:tcPr>
          <w:p w14:paraId="24979669" w14:textId="57A11178" w:rsidR="009D61F5" w:rsidRPr="009D61F5" w:rsidRDefault="009D61F5" w:rsidP="003503FC">
            <w:pPr>
              <w:suppressAutoHyphens/>
              <w:autoSpaceDE w:val="0"/>
              <w:autoSpaceDN w:val="0"/>
              <w:adjustRightInd w:val="0"/>
              <w:spacing w:after="0" w:line="200" w:lineRule="atLeast"/>
              <w:jc w:val="center"/>
              <w:textAlignment w:val="center"/>
              <w:rPr>
                <w:rFonts w:ascii="Arial" w:hAnsi="Arial" w:cs="Arial"/>
                <w:color w:val="000000" w:themeColor="text1"/>
                <w:sz w:val="20"/>
                <w:szCs w:val="20"/>
              </w:rPr>
            </w:pPr>
            <w:r>
              <w:rPr>
                <w:rFonts w:ascii="Arial" w:hAnsi="Arial" w:cs="Arial"/>
                <w:color w:val="000000" w:themeColor="text1"/>
                <w:sz w:val="20"/>
                <w:szCs w:val="20"/>
              </w:rPr>
              <w:t>(0.2%)</w:t>
            </w:r>
          </w:p>
        </w:tc>
        <w:tc>
          <w:tcPr>
            <w:tcW w:w="1134" w:type="dxa"/>
            <w:tcBorders>
              <w:top w:val="single" w:sz="4" w:space="0" w:color="5B6770"/>
              <w:left w:val="single" w:sz="4" w:space="0" w:color="5B6770"/>
              <w:bottom w:val="single" w:sz="4" w:space="0" w:color="auto"/>
              <w:right w:val="single" w:sz="4" w:space="0" w:color="5B6770"/>
            </w:tcBorders>
          </w:tcPr>
          <w:p w14:paraId="667208F8" w14:textId="43E28D69" w:rsidR="009D61F5" w:rsidRPr="009D61F5" w:rsidRDefault="009D61F5" w:rsidP="003503FC">
            <w:pPr>
              <w:suppressAutoHyphens/>
              <w:autoSpaceDE w:val="0"/>
              <w:autoSpaceDN w:val="0"/>
              <w:adjustRightInd w:val="0"/>
              <w:spacing w:after="0" w:line="200" w:lineRule="atLeast"/>
              <w:jc w:val="center"/>
              <w:textAlignment w:val="center"/>
              <w:rPr>
                <w:rFonts w:ascii="Arial" w:hAnsi="Arial" w:cs="Arial"/>
                <w:color w:val="000000" w:themeColor="text1"/>
                <w:sz w:val="20"/>
                <w:szCs w:val="20"/>
              </w:rPr>
            </w:pPr>
            <w:r>
              <w:rPr>
                <w:rFonts w:ascii="Arial" w:hAnsi="Arial" w:cs="Arial"/>
                <w:color w:val="000000" w:themeColor="text1"/>
                <w:sz w:val="20"/>
                <w:szCs w:val="20"/>
              </w:rPr>
              <w:t>(2.6%)</w:t>
            </w:r>
          </w:p>
        </w:tc>
        <w:tc>
          <w:tcPr>
            <w:tcW w:w="1134" w:type="dxa"/>
            <w:tcBorders>
              <w:top w:val="single" w:sz="4" w:space="0" w:color="5B6770"/>
              <w:left w:val="single" w:sz="4" w:space="0" w:color="5B6770"/>
              <w:bottom w:val="single" w:sz="4" w:space="0" w:color="auto"/>
              <w:right w:val="single" w:sz="4" w:space="0" w:color="5B6770"/>
            </w:tcBorders>
            <w:shd w:val="clear" w:color="auto" w:fill="FFFFFF" w:themeFill="background1"/>
          </w:tcPr>
          <w:p w14:paraId="5AA1AD19" w14:textId="5035A0CB" w:rsidR="009D61F5" w:rsidRPr="009D61F5" w:rsidRDefault="003F3F6A" w:rsidP="003503FC">
            <w:pPr>
              <w:suppressAutoHyphens/>
              <w:autoSpaceDE w:val="0"/>
              <w:autoSpaceDN w:val="0"/>
              <w:adjustRightInd w:val="0"/>
              <w:spacing w:after="0" w:line="200" w:lineRule="atLeast"/>
              <w:jc w:val="center"/>
              <w:textAlignment w:val="center"/>
              <w:rPr>
                <w:rFonts w:ascii="Arial" w:hAnsi="Arial" w:cs="Arial"/>
                <w:color w:val="000000" w:themeColor="text1"/>
                <w:sz w:val="20"/>
                <w:szCs w:val="20"/>
              </w:rPr>
            </w:pPr>
            <w:r>
              <w:rPr>
                <w:rFonts w:ascii="Arial" w:hAnsi="Arial" w:cs="Arial"/>
                <w:color w:val="000000" w:themeColor="text1"/>
                <w:sz w:val="20"/>
                <w:szCs w:val="20"/>
              </w:rPr>
              <w:t>(2.2%)</w:t>
            </w:r>
          </w:p>
        </w:tc>
      </w:tr>
      <w:tr w:rsidR="00E760CF" w:rsidRPr="000142E5" w14:paraId="3B7B20EB" w14:textId="77777777" w:rsidTr="009340A1">
        <w:trPr>
          <w:trHeight w:hRule="exact" w:val="252"/>
        </w:trPr>
        <w:tc>
          <w:tcPr>
            <w:tcW w:w="2410" w:type="dxa"/>
            <w:tcBorders>
              <w:top w:val="single" w:sz="4" w:space="0" w:color="5B6770"/>
              <w:bottom w:val="single" w:sz="4" w:space="0" w:color="auto"/>
              <w:right w:val="single" w:sz="4" w:space="0" w:color="5B6770"/>
            </w:tcBorders>
            <w:noWrap/>
            <w:vAlign w:val="bottom"/>
          </w:tcPr>
          <w:p w14:paraId="59E671B7" w14:textId="7FA2A4CB" w:rsidR="00E760CF" w:rsidRPr="000142E5" w:rsidRDefault="00E760CF" w:rsidP="00E760CF">
            <w:pPr>
              <w:suppressAutoHyphens/>
              <w:autoSpaceDE w:val="0"/>
              <w:autoSpaceDN w:val="0"/>
              <w:adjustRightInd w:val="0"/>
              <w:spacing w:after="0" w:line="200" w:lineRule="atLeast"/>
              <w:jc w:val="both"/>
              <w:textAlignment w:val="center"/>
              <w:rPr>
                <w:rFonts w:ascii="Arial" w:hAnsi="Arial" w:cs="Arial"/>
                <w:b/>
                <w:color w:val="000000" w:themeColor="text1"/>
                <w:sz w:val="20"/>
                <w:szCs w:val="20"/>
              </w:rPr>
            </w:pPr>
            <w:r w:rsidRPr="000142E5">
              <w:rPr>
                <w:rFonts w:ascii="Arial" w:hAnsi="Arial" w:cs="Arial"/>
                <w:b/>
                <w:color w:val="000000" w:themeColor="text1"/>
                <w:sz w:val="20"/>
                <w:szCs w:val="20"/>
              </w:rPr>
              <w:t>Health &amp; Nutrition</w:t>
            </w:r>
          </w:p>
        </w:tc>
        <w:tc>
          <w:tcPr>
            <w:tcW w:w="992" w:type="dxa"/>
            <w:tcBorders>
              <w:top w:val="single" w:sz="4" w:space="0" w:color="5B6770"/>
              <w:left w:val="single" w:sz="4" w:space="0" w:color="5B6770"/>
              <w:bottom w:val="single" w:sz="4" w:space="0" w:color="auto"/>
              <w:right w:val="single" w:sz="4" w:space="0" w:color="5B6770"/>
            </w:tcBorders>
          </w:tcPr>
          <w:p w14:paraId="78A55830" w14:textId="161831FE" w:rsidR="00E760CF" w:rsidRPr="009D61F5" w:rsidRDefault="00E760CF" w:rsidP="00E760CF">
            <w:pPr>
              <w:suppressAutoHyphens/>
              <w:autoSpaceDE w:val="0"/>
              <w:autoSpaceDN w:val="0"/>
              <w:adjustRightInd w:val="0"/>
              <w:spacing w:after="0" w:line="200" w:lineRule="atLeast"/>
              <w:jc w:val="center"/>
              <w:textAlignment w:val="center"/>
              <w:rPr>
                <w:rFonts w:ascii="Arial" w:hAnsi="Arial" w:cs="Arial"/>
                <w:color w:val="000000" w:themeColor="text1"/>
                <w:sz w:val="20"/>
                <w:szCs w:val="20"/>
              </w:rPr>
            </w:pPr>
            <w:r>
              <w:rPr>
                <w:rFonts w:ascii="Arial" w:hAnsi="Arial" w:cs="Arial"/>
                <w:color w:val="000000" w:themeColor="text1"/>
                <w:sz w:val="20"/>
                <w:szCs w:val="20"/>
              </w:rPr>
              <w:t>6.9%</w:t>
            </w:r>
          </w:p>
        </w:tc>
        <w:tc>
          <w:tcPr>
            <w:tcW w:w="993" w:type="dxa"/>
            <w:tcBorders>
              <w:top w:val="single" w:sz="4" w:space="0" w:color="5B6770"/>
              <w:left w:val="single" w:sz="4" w:space="0" w:color="5B6770"/>
              <w:bottom w:val="single" w:sz="4" w:space="0" w:color="auto"/>
              <w:right w:val="single" w:sz="4" w:space="0" w:color="5B6770"/>
            </w:tcBorders>
          </w:tcPr>
          <w:p w14:paraId="7A352584" w14:textId="7F89B39D" w:rsidR="00E760CF" w:rsidRPr="009D61F5" w:rsidRDefault="00E760CF" w:rsidP="00E760CF">
            <w:pPr>
              <w:suppressAutoHyphens/>
              <w:autoSpaceDE w:val="0"/>
              <w:autoSpaceDN w:val="0"/>
              <w:adjustRightInd w:val="0"/>
              <w:spacing w:after="0" w:line="200" w:lineRule="atLeast"/>
              <w:jc w:val="center"/>
              <w:textAlignment w:val="center"/>
              <w:rPr>
                <w:rFonts w:ascii="Arial" w:hAnsi="Arial" w:cs="Arial"/>
                <w:color w:val="000000" w:themeColor="text1"/>
                <w:sz w:val="20"/>
                <w:szCs w:val="20"/>
              </w:rPr>
            </w:pPr>
            <w:r>
              <w:rPr>
                <w:rFonts w:ascii="Arial" w:hAnsi="Arial" w:cs="Arial"/>
                <w:color w:val="000000" w:themeColor="text1"/>
                <w:sz w:val="20"/>
                <w:szCs w:val="20"/>
              </w:rPr>
              <w:t>(0.8%)</w:t>
            </w:r>
          </w:p>
        </w:tc>
        <w:tc>
          <w:tcPr>
            <w:tcW w:w="992" w:type="dxa"/>
            <w:tcBorders>
              <w:top w:val="single" w:sz="4" w:space="0" w:color="5B6770"/>
              <w:left w:val="single" w:sz="4" w:space="0" w:color="5B6770"/>
              <w:bottom w:val="single" w:sz="4" w:space="0" w:color="auto"/>
              <w:right w:val="single" w:sz="4" w:space="0" w:color="5B6770"/>
            </w:tcBorders>
            <w:shd w:val="clear" w:color="auto" w:fill="EEECE1"/>
          </w:tcPr>
          <w:p w14:paraId="63ED315C" w14:textId="61837FC9" w:rsidR="00E760CF" w:rsidRPr="009D61F5" w:rsidRDefault="00E760CF" w:rsidP="00E760CF">
            <w:pPr>
              <w:suppressAutoHyphens/>
              <w:autoSpaceDE w:val="0"/>
              <w:autoSpaceDN w:val="0"/>
              <w:adjustRightInd w:val="0"/>
              <w:spacing w:after="0" w:line="200" w:lineRule="atLeast"/>
              <w:jc w:val="center"/>
              <w:textAlignment w:val="center"/>
              <w:rPr>
                <w:rFonts w:ascii="Arial" w:hAnsi="Arial" w:cs="Arial"/>
                <w:b/>
                <w:bCs/>
                <w:color w:val="000000" w:themeColor="text1"/>
                <w:sz w:val="20"/>
                <w:szCs w:val="20"/>
              </w:rPr>
            </w:pPr>
            <w:r>
              <w:rPr>
                <w:rFonts w:ascii="Arial" w:hAnsi="Arial" w:cs="Arial"/>
                <w:b/>
                <w:bCs/>
                <w:color w:val="000000" w:themeColor="text1"/>
                <w:sz w:val="20"/>
                <w:szCs w:val="20"/>
              </w:rPr>
              <w:t>6.1%</w:t>
            </w:r>
          </w:p>
        </w:tc>
        <w:tc>
          <w:tcPr>
            <w:tcW w:w="1134" w:type="dxa"/>
            <w:tcBorders>
              <w:top w:val="single" w:sz="4" w:space="0" w:color="5B6770"/>
              <w:left w:val="single" w:sz="4" w:space="0" w:color="5B6770"/>
              <w:bottom w:val="single" w:sz="4" w:space="0" w:color="auto"/>
              <w:right w:val="single" w:sz="4" w:space="0" w:color="5B6770"/>
            </w:tcBorders>
          </w:tcPr>
          <w:p w14:paraId="75C75C9F" w14:textId="438FD506" w:rsidR="00E760CF" w:rsidRPr="009D61F5" w:rsidRDefault="00E760CF" w:rsidP="00E760CF">
            <w:pPr>
              <w:suppressAutoHyphens/>
              <w:autoSpaceDE w:val="0"/>
              <w:autoSpaceDN w:val="0"/>
              <w:adjustRightInd w:val="0"/>
              <w:spacing w:after="0" w:line="200" w:lineRule="atLeast"/>
              <w:jc w:val="center"/>
              <w:textAlignment w:val="center"/>
              <w:rPr>
                <w:rFonts w:ascii="Arial" w:hAnsi="Arial" w:cs="Arial"/>
                <w:color w:val="000000" w:themeColor="text1"/>
                <w:sz w:val="20"/>
                <w:szCs w:val="20"/>
              </w:rPr>
            </w:pPr>
            <w:r>
              <w:rPr>
                <w:rFonts w:ascii="Arial" w:hAnsi="Arial" w:cs="Arial"/>
                <w:color w:val="000000" w:themeColor="text1"/>
                <w:sz w:val="20"/>
                <w:szCs w:val="20"/>
              </w:rPr>
              <w:t>(2.2%)</w:t>
            </w:r>
          </w:p>
        </w:tc>
        <w:tc>
          <w:tcPr>
            <w:tcW w:w="1417" w:type="dxa"/>
            <w:tcBorders>
              <w:top w:val="single" w:sz="4" w:space="0" w:color="5B6770"/>
              <w:left w:val="single" w:sz="4" w:space="0" w:color="5B6770"/>
              <w:bottom w:val="single" w:sz="4" w:space="0" w:color="auto"/>
              <w:right w:val="single" w:sz="4" w:space="0" w:color="5B6770"/>
            </w:tcBorders>
          </w:tcPr>
          <w:p w14:paraId="1D8B92BB" w14:textId="6FA67B76" w:rsidR="00E760CF" w:rsidRPr="009D61F5" w:rsidRDefault="00E760CF" w:rsidP="00E760CF">
            <w:pPr>
              <w:suppressAutoHyphens/>
              <w:autoSpaceDE w:val="0"/>
              <w:autoSpaceDN w:val="0"/>
              <w:adjustRightInd w:val="0"/>
              <w:spacing w:after="0" w:line="200" w:lineRule="atLeast"/>
              <w:jc w:val="center"/>
              <w:textAlignment w:val="center"/>
              <w:rPr>
                <w:rFonts w:ascii="Arial" w:hAnsi="Arial" w:cs="Arial"/>
                <w:color w:val="000000" w:themeColor="text1"/>
                <w:sz w:val="20"/>
                <w:szCs w:val="20"/>
              </w:rPr>
            </w:pPr>
            <w:r>
              <w:rPr>
                <w:rFonts w:ascii="Arial" w:hAnsi="Arial" w:cs="Arial"/>
                <w:color w:val="000000" w:themeColor="text1"/>
                <w:sz w:val="20"/>
                <w:szCs w:val="20"/>
              </w:rPr>
              <w:t>7.6%</w:t>
            </w:r>
          </w:p>
        </w:tc>
        <w:tc>
          <w:tcPr>
            <w:tcW w:w="1134" w:type="dxa"/>
            <w:tcBorders>
              <w:top w:val="single" w:sz="4" w:space="0" w:color="5B6770"/>
              <w:left w:val="single" w:sz="4" w:space="0" w:color="5B6770"/>
              <w:bottom w:val="single" w:sz="4" w:space="0" w:color="auto"/>
              <w:right w:val="single" w:sz="4" w:space="0" w:color="5B6770"/>
            </w:tcBorders>
          </w:tcPr>
          <w:p w14:paraId="0E88D086" w14:textId="15611E19" w:rsidR="00E760CF" w:rsidRPr="009D61F5" w:rsidRDefault="00E760CF" w:rsidP="00E760CF">
            <w:pPr>
              <w:suppressAutoHyphens/>
              <w:autoSpaceDE w:val="0"/>
              <w:autoSpaceDN w:val="0"/>
              <w:adjustRightInd w:val="0"/>
              <w:spacing w:after="0" w:line="200" w:lineRule="atLeast"/>
              <w:jc w:val="center"/>
              <w:textAlignment w:val="center"/>
              <w:rPr>
                <w:rFonts w:ascii="Arial" w:hAnsi="Arial" w:cs="Arial"/>
                <w:color w:val="000000" w:themeColor="text1"/>
                <w:sz w:val="20"/>
                <w:szCs w:val="20"/>
              </w:rPr>
            </w:pPr>
            <w:r>
              <w:rPr>
                <w:rFonts w:ascii="Arial" w:hAnsi="Arial" w:cs="Arial"/>
                <w:color w:val="000000" w:themeColor="text1"/>
                <w:sz w:val="20"/>
                <w:szCs w:val="20"/>
              </w:rPr>
              <w:t>11.5%</w:t>
            </w:r>
          </w:p>
        </w:tc>
        <w:tc>
          <w:tcPr>
            <w:tcW w:w="1134" w:type="dxa"/>
            <w:tcBorders>
              <w:top w:val="single" w:sz="4" w:space="0" w:color="5B6770"/>
              <w:left w:val="single" w:sz="4" w:space="0" w:color="5B6770"/>
              <w:bottom w:val="single" w:sz="4" w:space="0" w:color="auto"/>
              <w:right w:val="single" w:sz="4" w:space="0" w:color="5B6770"/>
            </w:tcBorders>
            <w:shd w:val="clear" w:color="auto" w:fill="FFFFFF" w:themeFill="background1"/>
          </w:tcPr>
          <w:p w14:paraId="00FB0AB1" w14:textId="23A03906" w:rsidR="00E760CF" w:rsidRPr="009D61F5" w:rsidRDefault="003F3F6A" w:rsidP="00E760CF">
            <w:pPr>
              <w:suppressAutoHyphens/>
              <w:autoSpaceDE w:val="0"/>
              <w:autoSpaceDN w:val="0"/>
              <w:adjustRightInd w:val="0"/>
              <w:spacing w:after="0" w:line="200" w:lineRule="atLeast"/>
              <w:jc w:val="center"/>
              <w:textAlignment w:val="center"/>
              <w:rPr>
                <w:rFonts w:ascii="Arial" w:hAnsi="Arial" w:cs="Arial"/>
                <w:color w:val="000000" w:themeColor="text1"/>
                <w:sz w:val="20"/>
                <w:szCs w:val="20"/>
              </w:rPr>
            </w:pPr>
            <w:r>
              <w:rPr>
                <w:rFonts w:ascii="Arial" w:hAnsi="Arial" w:cs="Arial"/>
                <w:color w:val="000000" w:themeColor="text1"/>
                <w:sz w:val="20"/>
                <w:szCs w:val="20"/>
              </w:rPr>
              <w:t>12.3%</w:t>
            </w:r>
          </w:p>
        </w:tc>
      </w:tr>
      <w:tr w:rsidR="00E760CF" w:rsidRPr="000142E5" w14:paraId="34C8E1D9" w14:textId="77777777" w:rsidTr="009340A1">
        <w:trPr>
          <w:trHeight w:hRule="exact" w:val="252"/>
        </w:trPr>
        <w:tc>
          <w:tcPr>
            <w:tcW w:w="2410" w:type="dxa"/>
            <w:tcBorders>
              <w:top w:val="single" w:sz="4" w:space="0" w:color="5B6770"/>
              <w:bottom w:val="single" w:sz="4" w:space="0" w:color="auto"/>
              <w:right w:val="single" w:sz="4" w:space="0" w:color="5B6770"/>
            </w:tcBorders>
            <w:noWrap/>
            <w:vAlign w:val="bottom"/>
          </w:tcPr>
          <w:p w14:paraId="7446FBC6" w14:textId="02251354" w:rsidR="00E760CF" w:rsidRPr="000142E5" w:rsidRDefault="00E760CF" w:rsidP="00E760CF">
            <w:pPr>
              <w:suppressAutoHyphens/>
              <w:autoSpaceDE w:val="0"/>
              <w:autoSpaceDN w:val="0"/>
              <w:adjustRightInd w:val="0"/>
              <w:spacing w:after="0" w:line="200" w:lineRule="atLeast"/>
              <w:jc w:val="both"/>
              <w:textAlignment w:val="center"/>
              <w:rPr>
                <w:rFonts w:ascii="Arial" w:hAnsi="Arial" w:cs="Arial"/>
                <w:b/>
                <w:color w:val="000000" w:themeColor="text1"/>
                <w:sz w:val="20"/>
                <w:szCs w:val="20"/>
              </w:rPr>
            </w:pPr>
            <w:r w:rsidRPr="000142E5">
              <w:rPr>
                <w:rFonts w:ascii="Arial" w:hAnsi="Arial" w:cs="Arial"/>
                <w:b/>
                <w:color w:val="000000" w:themeColor="text1"/>
                <w:sz w:val="20"/>
                <w:szCs w:val="20"/>
              </w:rPr>
              <w:t>Dairy Nutrition</w:t>
            </w:r>
          </w:p>
        </w:tc>
        <w:tc>
          <w:tcPr>
            <w:tcW w:w="992" w:type="dxa"/>
            <w:tcBorders>
              <w:top w:val="single" w:sz="4" w:space="0" w:color="5B6770"/>
              <w:left w:val="single" w:sz="4" w:space="0" w:color="5B6770"/>
              <w:bottom w:val="single" w:sz="4" w:space="0" w:color="auto"/>
              <w:right w:val="single" w:sz="4" w:space="0" w:color="5B6770"/>
            </w:tcBorders>
          </w:tcPr>
          <w:p w14:paraId="6235E313" w14:textId="2FF5AF39" w:rsidR="00E760CF" w:rsidRPr="009D61F5" w:rsidRDefault="00E760CF" w:rsidP="00E760CF">
            <w:pPr>
              <w:suppressAutoHyphens/>
              <w:autoSpaceDE w:val="0"/>
              <w:autoSpaceDN w:val="0"/>
              <w:adjustRightInd w:val="0"/>
              <w:spacing w:after="0" w:line="200" w:lineRule="atLeast"/>
              <w:jc w:val="center"/>
              <w:textAlignment w:val="center"/>
              <w:rPr>
                <w:rFonts w:ascii="Arial" w:hAnsi="Arial" w:cs="Arial"/>
                <w:color w:val="000000" w:themeColor="text1"/>
                <w:sz w:val="20"/>
                <w:szCs w:val="20"/>
              </w:rPr>
            </w:pPr>
            <w:r>
              <w:rPr>
                <w:rFonts w:ascii="Arial" w:hAnsi="Arial" w:cs="Arial"/>
                <w:color w:val="000000" w:themeColor="text1"/>
                <w:sz w:val="20"/>
                <w:szCs w:val="20"/>
              </w:rPr>
              <w:t>3.5%</w:t>
            </w:r>
          </w:p>
        </w:tc>
        <w:tc>
          <w:tcPr>
            <w:tcW w:w="993" w:type="dxa"/>
            <w:tcBorders>
              <w:top w:val="single" w:sz="4" w:space="0" w:color="5B6770"/>
              <w:left w:val="single" w:sz="4" w:space="0" w:color="5B6770"/>
              <w:bottom w:val="single" w:sz="4" w:space="0" w:color="auto"/>
              <w:right w:val="single" w:sz="4" w:space="0" w:color="5B6770"/>
            </w:tcBorders>
          </w:tcPr>
          <w:p w14:paraId="48552B64" w14:textId="7B9F829F" w:rsidR="00E760CF" w:rsidRPr="009D61F5" w:rsidRDefault="00E760CF" w:rsidP="00E760CF">
            <w:pPr>
              <w:suppressAutoHyphens/>
              <w:autoSpaceDE w:val="0"/>
              <w:autoSpaceDN w:val="0"/>
              <w:adjustRightInd w:val="0"/>
              <w:spacing w:after="0" w:line="200" w:lineRule="atLeast"/>
              <w:jc w:val="center"/>
              <w:textAlignment w:val="center"/>
              <w:rPr>
                <w:rFonts w:ascii="Arial" w:hAnsi="Arial" w:cs="Arial"/>
                <w:color w:val="000000" w:themeColor="text1"/>
                <w:sz w:val="20"/>
                <w:szCs w:val="20"/>
              </w:rPr>
            </w:pPr>
            <w:r>
              <w:rPr>
                <w:rFonts w:ascii="Arial" w:hAnsi="Arial" w:cs="Arial"/>
                <w:color w:val="000000" w:themeColor="text1"/>
                <w:sz w:val="20"/>
                <w:szCs w:val="20"/>
              </w:rPr>
              <w:t>2.6%</w:t>
            </w:r>
          </w:p>
        </w:tc>
        <w:tc>
          <w:tcPr>
            <w:tcW w:w="992" w:type="dxa"/>
            <w:tcBorders>
              <w:top w:val="single" w:sz="4" w:space="0" w:color="5B6770"/>
              <w:left w:val="single" w:sz="4" w:space="0" w:color="5B6770"/>
              <w:bottom w:val="single" w:sz="4" w:space="0" w:color="auto"/>
              <w:right w:val="single" w:sz="4" w:space="0" w:color="5B6770"/>
            </w:tcBorders>
            <w:shd w:val="clear" w:color="auto" w:fill="EEECE1"/>
          </w:tcPr>
          <w:p w14:paraId="066E6CDB" w14:textId="6EFE1726" w:rsidR="00E760CF" w:rsidRPr="009D61F5" w:rsidRDefault="00E760CF" w:rsidP="00E760CF">
            <w:pPr>
              <w:suppressAutoHyphens/>
              <w:autoSpaceDE w:val="0"/>
              <w:autoSpaceDN w:val="0"/>
              <w:adjustRightInd w:val="0"/>
              <w:spacing w:after="0" w:line="200" w:lineRule="atLeast"/>
              <w:jc w:val="center"/>
              <w:textAlignment w:val="center"/>
              <w:rPr>
                <w:rFonts w:ascii="Arial" w:hAnsi="Arial" w:cs="Arial"/>
                <w:b/>
                <w:bCs/>
                <w:color w:val="000000" w:themeColor="text1"/>
                <w:sz w:val="20"/>
                <w:szCs w:val="20"/>
              </w:rPr>
            </w:pPr>
            <w:r>
              <w:rPr>
                <w:rFonts w:ascii="Arial" w:hAnsi="Arial" w:cs="Arial"/>
                <w:b/>
                <w:bCs/>
                <w:color w:val="000000" w:themeColor="text1"/>
                <w:sz w:val="20"/>
                <w:szCs w:val="20"/>
              </w:rPr>
              <w:t>6.1%</w:t>
            </w:r>
          </w:p>
        </w:tc>
        <w:tc>
          <w:tcPr>
            <w:tcW w:w="1134" w:type="dxa"/>
            <w:tcBorders>
              <w:top w:val="single" w:sz="4" w:space="0" w:color="5B6770"/>
              <w:left w:val="single" w:sz="4" w:space="0" w:color="5B6770"/>
              <w:bottom w:val="single" w:sz="4" w:space="0" w:color="auto"/>
              <w:right w:val="single" w:sz="4" w:space="0" w:color="5B6770"/>
            </w:tcBorders>
          </w:tcPr>
          <w:p w14:paraId="3BA28380" w14:textId="52455739" w:rsidR="00E760CF" w:rsidRPr="009D61F5" w:rsidRDefault="00E760CF" w:rsidP="00E760CF">
            <w:pPr>
              <w:suppressAutoHyphens/>
              <w:autoSpaceDE w:val="0"/>
              <w:autoSpaceDN w:val="0"/>
              <w:adjustRightInd w:val="0"/>
              <w:spacing w:after="0" w:line="200" w:lineRule="atLeast"/>
              <w:jc w:val="center"/>
              <w:textAlignment w:val="center"/>
              <w:rPr>
                <w:rFonts w:ascii="Arial" w:hAnsi="Arial" w:cs="Arial"/>
                <w:color w:val="000000" w:themeColor="text1"/>
                <w:sz w:val="20"/>
                <w:szCs w:val="20"/>
              </w:rPr>
            </w:pPr>
            <w:r>
              <w:rPr>
                <w:rFonts w:ascii="Arial" w:hAnsi="Arial" w:cs="Arial"/>
                <w:color w:val="000000" w:themeColor="text1"/>
                <w:sz w:val="20"/>
                <w:szCs w:val="20"/>
              </w:rPr>
              <w:t>(2.9%)</w:t>
            </w:r>
          </w:p>
        </w:tc>
        <w:tc>
          <w:tcPr>
            <w:tcW w:w="1417" w:type="dxa"/>
            <w:tcBorders>
              <w:top w:val="single" w:sz="4" w:space="0" w:color="5B6770"/>
              <w:left w:val="single" w:sz="4" w:space="0" w:color="5B6770"/>
              <w:bottom w:val="single" w:sz="4" w:space="0" w:color="auto"/>
              <w:right w:val="single" w:sz="4" w:space="0" w:color="5B6770"/>
            </w:tcBorders>
          </w:tcPr>
          <w:p w14:paraId="5552B2A6" w14:textId="492FFFFF" w:rsidR="00E760CF" w:rsidRPr="009D61F5" w:rsidRDefault="00E760CF" w:rsidP="00E760CF">
            <w:pPr>
              <w:suppressAutoHyphens/>
              <w:autoSpaceDE w:val="0"/>
              <w:autoSpaceDN w:val="0"/>
              <w:adjustRightInd w:val="0"/>
              <w:spacing w:after="0" w:line="200" w:lineRule="atLeast"/>
              <w:jc w:val="center"/>
              <w:textAlignment w:val="center"/>
              <w:rPr>
                <w:rFonts w:ascii="Arial" w:hAnsi="Arial" w:cs="Arial"/>
                <w:color w:val="000000" w:themeColor="text1"/>
                <w:sz w:val="20"/>
                <w:szCs w:val="20"/>
              </w:rPr>
            </w:pPr>
            <w:r>
              <w:rPr>
                <w:rFonts w:ascii="Arial" w:hAnsi="Arial" w:cs="Arial"/>
                <w:color w:val="000000" w:themeColor="text1"/>
                <w:sz w:val="20"/>
                <w:szCs w:val="20"/>
              </w:rPr>
              <w:t>-</w:t>
            </w:r>
          </w:p>
        </w:tc>
        <w:tc>
          <w:tcPr>
            <w:tcW w:w="1134" w:type="dxa"/>
            <w:tcBorders>
              <w:top w:val="single" w:sz="4" w:space="0" w:color="5B6770"/>
              <w:left w:val="single" w:sz="4" w:space="0" w:color="5B6770"/>
              <w:bottom w:val="single" w:sz="4" w:space="0" w:color="auto"/>
              <w:right w:val="single" w:sz="4" w:space="0" w:color="5B6770"/>
            </w:tcBorders>
          </w:tcPr>
          <w:p w14:paraId="609C60C5" w14:textId="52B1FE42" w:rsidR="00E760CF" w:rsidRPr="009D61F5" w:rsidRDefault="00E760CF" w:rsidP="00E760CF">
            <w:pPr>
              <w:suppressAutoHyphens/>
              <w:autoSpaceDE w:val="0"/>
              <w:autoSpaceDN w:val="0"/>
              <w:adjustRightInd w:val="0"/>
              <w:spacing w:after="0" w:line="200" w:lineRule="atLeast"/>
              <w:jc w:val="center"/>
              <w:textAlignment w:val="center"/>
              <w:rPr>
                <w:rFonts w:ascii="Arial" w:hAnsi="Arial" w:cs="Arial"/>
                <w:color w:val="000000" w:themeColor="text1"/>
                <w:sz w:val="20"/>
                <w:szCs w:val="20"/>
              </w:rPr>
            </w:pPr>
            <w:r>
              <w:rPr>
                <w:rFonts w:ascii="Arial" w:hAnsi="Arial" w:cs="Arial"/>
                <w:color w:val="000000" w:themeColor="text1"/>
                <w:sz w:val="20"/>
                <w:szCs w:val="20"/>
              </w:rPr>
              <w:t>3.2%</w:t>
            </w:r>
          </w:p>
        </w:tc>
        <w:tc>
          <w:tcPr>
            <w:tcW w:w="1134" w:type="dxa"/>
            <w:tcBorders>
              <w:top w:val="single" w:sz="4" w:space="0" w:color="5B6770"/>
              <w:left w:val="single" w:sz="4" w:space="0" w:color="5B6770"/>
              <w:bottom w:val="single" w:sz="4" w:space="0" w:color="auto"/>
              <w:right w:val="single" w:sz="4" w:space="0" w:color="5B6770"/>
            </w:tcBorders>
            <w:shd w:val="clear" w:color="auto" w:fill="FFFFFF" w:themeFill="background1"/>
          </w:tcPr>
          <w:p w14:paraId="6A3956EE" w14:textId="165D356B" w:rsidR="00E760CF" w:rsidRPr="009D61F5" w:rsidRDefault="003F3F6A" w:rsidP="00E760CF">
            <w:pPr>
              <w:suppressAutoHyphens/>
              <w:autoSpaceDE w:val="0"/>
              <w:autoSpaceDN w:val="0"/>
              <w:adjustRightInd w:val="0"/>
              <w:spacing w:after="0" w:line="200" w:lineRule="atLeast"/>
              <w:jc w:val="center"/>
              <w:textAlignment w:val="center"/>
              <w:rPr>
                <w:rFonts w:ascii="Arial" w:hAnsi="Arial" w:cs="Arial"/>
                <w:color w:val="000000" w:themeColor="text1"/>
                <w:sz w:val="20"/>
                <w:szCs w:val="20"/>
              </w:rPr>
            </w:pPr>
            <w:r>
              <w:rPr>
                <w:rFonts w:ascii="Arial" w:hAnsi="Arial" w:cs="Arial"/>
                <w:color w:val="000000" w:themeColor="text1"/>
                <w:sz w:val="20"/>
                <w:szCs w:val="20"/>
              </w:rPr>
              <w:t>3.3%</w:t>
            </w:r>
          </w:p>
        </w:tc>
      </w:tr>
      <w:tr w:rsidR="00E760CF" w:rsidRPr="000142E5" w14:paraId="5BDE8B8B" w14:textId="77777777" w:rsidTr="009340A1">
        <w:trPr>
          <w:trHeight w:hRule="exact" w:val="252"/>
        </w:trPr>
        <w:tc>
          <w:tcPr>
            <w:tcW w:w="2410" w:type="dxa"/>
            <w:tcBorders>
              <w:top w:val="single" w:sz="4" w:space="0" w:color="auto"/>
              <w:bottom w:val="double" w:sz="4" w:space="0" w:color="auto"/>
              <w:right w:val="single" w:sz="4" w:space="0" w:color="5B6770"/>
            </w:tcBorders>
            <w:noWrap/>
            <w:vAlign w:val="bottom"/>
            <w:hideMark/>
          </w:tcPr>
          <w:p w14:paraId="2DE0BA36" w14:textId="2F44B06C" w:rsidR="00E760CF" w:rsidRPr="000142E5" w:rsidRDefault="00E760CF" w:rsidP="00E760CF">
            <w:pPr>
              <w:suppressAutoHyphens/>
              <w:autoSpaceDE w:val="0"/>
              <w:autoSpaceDN w:val="0"/>
              <w:adjustRightInd w:val="0"/>
              <w:spacing w:after="0" w:line="200" w:lineRule="atLeast"/>
              <w:textAlignment w:val="center"/>
              <w:rPr>
                <w:rFonts w:ascii="Arial" w:hAnsi="Arial" w:cs="Arial"/>
                <w:b/>
                <w:color w:val="000000" w:themeColor="text1"/>
                <w:sz w:val="20"/>
                <w:szCs w:val="20"/>
              </w:rPr>
            </w:pPr>
            <w:r w:rsidRPr="000142E5">
              <w:rPr>
                <w:rFonts w:ascii="Arial" w:hAnsi="Arial" w:cs="Arial"/>
                <w:b/>
                <w:color w:val="000000" w:themeColor="text1"/>
                <w:sz w:val="20"/>
                <w:szCs w:val="20"/>
              </w:rPr>
              <w:t>Tota</w:t>
            </w:r>
            <w:r>
              <w:rPr>
                <w:rFonts w:ascii="Arial" w:hAnsi="Arial" w:cs="Arial"/>
                <w:b/>
                <w:color w:val="000000" w:themeColor="text1"/>
                <w:sz w:val="20"/>
                <w:szCs w:val="20"/>
              </w:rPr>
              <w:t xml:space="preserve">l </w:t>
            </w:r>
            <w:r w:rsidRPr="000142E5">
              <w:rPr>
                <w:rFonts w:ascii="Arial" w:hAnsi="Arial" w:cs="Arial"/>
                <w:b/>
                <w:color w:val="000000" w:themeColor="text1"/>
                <w:sz w:val="20"/>
                <w:szCs w:val="20"/>
              </w:rPr>
              <w:t>wholly-owned businesses</w:t>
            </w:r>
          </w:p>
        </w:tc>
        <w:tc>
          <w:tcPr>
            <w:tcW w:w="992" w:type="dxa"/>
            <w:tcBorders>
              <w:top w:val="single" w:sz="4" w:space="0" w:color="auto"/>
              <w:left w:val="single" w:sz="4" w:space="0" w:color="5B6770"/>
              <w:bottom w:val="double" w:sz="4" w:space="0" w:color="auto"/>
              <w:right w:val="single" w:sz="4" w:space="0" w:color="5B6770"/>
            </w:tcBorders>
          </w:tcPr>
          <w:p w14:paraId="215466E9" w14:textId="48E86EFF" w:rsidR="00E760CF" w:rsidRPr="000142E5" w:rsidRDefault="00E760CF" w:rsidP="00E760CF">
            <w:pPr>
              <w:suppressAutoHyphens/>
              <w:autoSpaceDE w:val="0"/>
              <w:autoSpaceDN w:val="0"/>
              <w:adjustRightInd w:val="0"/>
              <w:spacing w:after="0" w:line="200" w:lineRule="atLeast"/>
              <w:jc w:val="center"/>
              <w:textAlignment w:val="center"/>
              <w:rPr>
                <w:rFonts w:ascii="Arial" w:hAnsi="Arial" w:cs="Arial"/>
                <w:b/>
                <w:bCs/>
                <w:color w:val="000000" w:themeColor="text1"/>
                <w:sz w:val="20"/>
                <w:szCs w:val="20"/>
              </w:rPr>
            </w:pPr>
            <w:r>
              <w:rPr>
                <w:rFonts w:ascii="Arial" w:hAnsi="Arial" w:cs="Arial"/>
                <w:b/>
                <w:bCs/>
                <w:color w:val="000000" w:themeColor="text1"/>
                <w:sz w:val="20"/>
                <w:szCs w:val="20"/>
              </w:rPr>
              <w:t>2.6%</w:t>
            </w:r>
          </w:p>
        </w:tc>
        <w:tc>
          <w:tcPr>
            <w:tcW w:w="993" w:type="dxa"/>
            <w:tcBorders>
              <w:top w:val="single" w:sz="4" w:space="0" w:color="auto"/>
              <w:left w:val="single" w:sz="4" w:space="0" w:color="5B6770"/>
              <w:bottom w:val="double" w:sz="4" w:space="0" w:color="auto"/>
              <w:right w:val="single" w:sz="4" w:space="0" w:color="5B6770"/>
            </w:tcBorders>
          </w:tcPr>
          <w:p w14:paraId="3DFCC273" w14:textId="4083DD26" w:rsidR="00E760CF" w:rsidRPr="000142E5" w:rsidRDefault="00E760CF" w:rsidP="00E760CF">
            <w:pPr>
              <w:suppressAutoHyphens/>
              <w:autoSpaceDE w:val="0"/>
              <w:autoSpaceDN w:val="0"/>
              <w:adjustRightInd w:val="0"/>
              <w:spacing w:after="0" w:line="200" w:lineRule="atLeast"/>
              <w:jc w:val="center"/>
              <w:textAlignment w:val="center"/>
              <w:rPr>
                <w:rFonts w:ascii="Arial" w:hAnsi="Arial" w:cs="Arial"/>
                <w:b/>
                <w:bCs/>
                <w:color w:val="000000" w:themeColor="text1"/>
                <w:sz w:val="20"/>
                <w:szCs w:val="20"/>
              </w:rPr>
            </w:pPr>
            <w:r>
              <w:rPr>
                <w:rFonts w:ascii="Arial" w:hAnsi="Arial" w:cs="Arial"/>
                <w:b/>
                <w:bCs/>
                <w:color w:val="000000" w:themeColor="text1"/>
                <w:sz w:val="20"/>
                <w:szCs w:val="20"/>
              </w:rPr>
              <w:t>0.7%</w:t>
            </w:r>
          </w:p>
        </w:tc>
        <w:tc>
          <w:tcPr>
            <w:tcW w:w="992" w:type="dxa"/>
            <w:tcBorders>
              <w:top w:val="single" w:sz="4" w:space="0" w:color="auto"/>
              <w:left w:val="single" w:sz="4" w:space="0" w:color="5B6770"/>
              <w:bottom w:val="double" w:sz="4" w:space="0" w:color="auto"/>
              <w:right w:val="single" w:sz="4" w:space="0" w:color="5B6770"/>
            </w:tcBorders>
            <w:shd w:val="clear" w:color="auto" w:fill="EEECE1"/>
          </w:tcPr>
          <w:p w14:paraId="24BC8C65" w14:textId="64D0DC02" w:rsidR="00E760CF" w:rsidRPr="009D61F5" w:rsidRDefault="00E760CF" w:rsidP="00E760CF">
            <w:pPr>
              <w:suppressAutoHyphens/>
              <w:autoSpaceDE w:val="0"/>
              <w:autoSpaceDN w:val="0"/>
              <w:adjustRightInd w:val="0"/>
              <w:spacing w:after="0" w:line="200" w:lineRule="atLeast"/>
              <w:jc w:val="center"/>
              <w:textAlignment w:val="center"/>
              <w:rPr>
                <w:rFonts w:ascii="Arial" w:hAnsi="Arial" w:cs="Arial"/>
                <w:b/>
                <w:bCs/>
                <w:color w:val="000000" w:themeColor="text1"/>
                <w:sz w:val="20"/>
                <w:szCs w:val="20"/>
              </w:rPr>
            </w:pPr>
            <w:r>
              <w:rPr>
                <w:rFonts w:ascii="Arial" w:hAnsi="Arial" w:cs="Arial"/>
                <w:b/>
                <w:bCs/>
                <w:color w:val="000000" w:themeColor="text1"/>
                <w:sz w:val="20"/>
                <w:szCs w:val="20"/>
              </w:rPr>
              <w:t>3.</w:t>
            </w:r>
            <w:r w:rsidR="007D7B56">
              <w:rPr>
                <w:rFonts w:ascii="Arial" w:hAnsi="Arial" w:cs="Arial"/>
                <w:b/>
                <w:bCs/>
                <w:color w:val="000000" w:themeColor="text1"/>
                <w:sz w:val="20"/>
                <w:szCs w:val="20"/>
              </w:rPr>
              <w:t>3</w:t>
            </w:r>
            <w:r>
              <w:rPr>
                <w:rFonts w:ascii="Arial" w:hAnsi="Arial" w:cs="Arial"/>
                <w:b/>
                <w:bCs/>
                <w:color w:val="000000" w:themeColor="text1"/>
                <w:sz w:val="20"/>
                <w:szCs w:val="20"/>
              </w:rPr>
              <w:t>%</w:t>
            </w:r>
          </w:p>
        </w:tc>
        <w:tc>
          <w:tcPr>
            <w:tcW w:w="1134" w:type="dxa"/>
            <w:tcBorders>
              <w:top w:val="single" w:sz="4" w:space="0" w:color="auto"/>
              <w:left w:val="single" w:sz="4" w:space="0" w:color="5B6770"/>
              <w:bottom w:val="double" w:sz="4" w:space="0" w:color="auto"/>
              <w:right w:val="single" w:sz="4" w:space="0" w:color="5B6770"/>
            </w:tcBorders>
          </w:tcPr>
          <w:p w14:paraId="42B24D77" w14:textId="64B34B48" w:rsidR="00E760CF" w:rsidRDefault="00E760CF" w:rsidP="00E760CF">
            <w:pPr>
              <w:suppressAutoHyphens/>
              <w:autoSpaceDE w:val="0"/>
              <w:autoSpaceDN w:val="0"/>
              <w:adjustRightInd w:val="0"/>
              <w:spacing w:after="0" w:line="200" w:lineRule="atLeast"/>
              <w:jc w:val="center"/>
              <w:textAlignment w:val="center"/>
              <w:rPr>
                <w:rFonts w:ascii="Arial" w:hAnsi="Arial" w:cs="Arial"/>
                <w:b/>
                <w:bCs/>
                <w:color w:val="000000" w:themeColor="text1"/>
                <w:sz w:val="20"/>
                <w:szCs w:val="20"/>
              </w:rPr>
            </w:pPr>
            <w:r>
              <w:rPr>
                <w:rFonts w:ascii="Arial" w:hAnsi="Arial" w:cs="Arial"/>
                <w:b/>
                <w:bCs/>
                <w:color w:val="000000" w:themeColor="text1"/>
                <w:sz w:val="20"/>
                <w:szCs w:val="20"/>
              </w:rPr>
              <w:t>(2.</w:t>
            </w:r>
            <w:r w:rsidR="007D7B56">
              <w:rPr>
                <w:rFonts w:ascii="Arial" w:hAnsi="Arial" w:cs="Arial"/>
                <w:b/>
                <w:bCs/>
                <w:color w:val="000000" w:themeColor="text1"/>
                <w:sz w:val="20"/>
                <w:szCs w:val="20"/>
              </w:rPr>
              <w:t>5</w:t>
            </w:r>
            <w:r>
              <w:rPr>
                <w:rFonts w:ascii="Arial" w:hAnsi="Arial" w:cs="Arial"/>
                <w:b/>
                <w:bCs/>
                <w:color w:val="000000" w:themeColor="text1"/>
                <w:sz w:val="20"/>
                <w:szCs w:val="20"/>
              </w:rPr>
              <w:t>%)</w:t>
            </w:r>
          </w:p>
        </w:tc>
        <w:tc>
          <w:tcPr>
            <w:tcW w:w="1417" w:type="dxa"/>
            <w:tcBorders>
              <w:top w:val="single" w:sz="4" w:space="0" w:color="auto"/>
              <w:left w:val="single" w:sz="4" w:space="0" w:color="5B6770"/>
              <w:bottom w:val="double" w:sz="4" w:space="0" w:color="auto"/>
              <w:right w:val="single" w:sz="4" w:space="0" w:color="5B6770"/>
            </w:tcBorders>
          </w:tcPr>
          <w:p w14:paraId="7062D7A1" w14:textId="62C961B1" w:rsidR="00E760CF" w:rsidRPr="000142E5" w:rsidRDefault="007D7B56" w:rsidP="00E760CF">
            <w:pPr>
              <w:suppressAutoHyphens/>
              <w:autoSpaceDE w:val="0"/>
              <w:autoSpaceDN w:val="0"/>
              <w:adjustRightInd w:val="0"/>
              <w:spacing w:after="0" w:line="200" w:lineRule="atLeast"/>
              <w:jc w:val="center"/>
              <w:textAlignment w:val="center"/>
              <w:rPr>
                <w:rFonts w:ascii="Arial" w:hAnsi="Arial" w:cs="Arial"/>
                <w:b/>
                <w:bCs/>
                <w:color w:val="000000" w:themeColor="text1"/>
                <w:sz w:val="20"/>
                <w:szCs w:val="20"/>
              </w:rPr>
            </w:pPr>
            <w:r>
              <w:rPr>
                <w:rFonts w:ascii="Arial" w:hAnsi="Arial" w:cs="Arial"/>
                <w:b/>
                <w:bCs/>
                <w:color w:val="000000" w:themeColor="text1"/>
                <w:sz w:val="20"/>
                <w:szCs w:val="20"/>
              </w:rPr>
              <w:t>0.9</w:t>
            </w:r>
            <w:r w:rsidR="00E760CF">
              <w:rPr>
                <w:rFonts w:ascii="Arial" w:hAnsi="Arial" w:cs="Arial"/>
                <w:b/>
                <w:bCs/>
                <w:color w:val="000000" w:themeColor="text1"/>
                <w:sz w:val="20"/>
                <w:szCs w:val="20"/>
              </w:rPr>
              <w:t>%</w:t>
            </w:r>
          </w:p>
        </w:tc>
        <w:tc>
          <w:tcPr>
            <w:tcW w:w="1134" w:type="dxa"/>
            <w:tcBorders>
              <w:top w:val="single" w:sz="4" w:space="0" w:color="auto"/>
              <w:left w:val="single" w:sz="4" w:space="0" w:color="5B6770"/>
              <w:bottom w:val="double" w:sz="4" w:space="0" w:color="auto"/>
              <w:right w:val="single" w:sz="4" w:space="0" w:color="5B6770"/>
            </w:tcBorders>
          </w:tcPr>
          <w:p w14:paraId="1AF72CA2" w14:textId="3ED709E7" w:rsidR="00E760CF" w:rsidRPr="000142E5" w:rsidRDefault="00E760CF" w:rsidP="00E760CF">
            <w:pPr>
              <w:suppressAutoHyphens/>
              <w:autoSpaceDE w:val="0"/>
              <w:autoSpaceDN w:val="0"/>
              <w:adjustRightInd w:val="0"/>
              <w:spacing w:after="0" w:line="200" w:lineRule="atLeast"/>
              <w:jc w:val="center"/>
              <w:textAlignment w:val="center"/>
              <w:rPr>
                <w:rFonts w:ascii="Arial" w:hAnsi="Arial" w:cs="Arial"/>
                <w:b/>
                <w:bCs/>
                <w:color w:val="000000" w:themeColor="text1"/>
                <w:sz w:val="20"/>
                <w:szCs w:val="20"/>
              </w:rPr>
            </w:pPr>
            <w:r>
              <w:rPr>
                <w:rFonts w:ascii="Arial" w:hAnsi="Arial" w:cs="Arial"/>
                <w:b/>
                <w:bCs/>
                <w:color w:val="000000" w:themeColor="text1"/>
                <w:sz w:val="20"/>
                <w:szCs w:val="20"/>
              </w:rPr>
              <w:t>1.7%</w:t>
            </w:r>
          </w:p>
        </w:tc>
        <w:tc>
          <w:tcPr>
            <w:tcW w:w="1134" w:type="dxa"/>
            <w:tcBorders>
              <w:top w:val="single" w:sz="4" w:space="0" w:color="auto"/>
              <w:left w:val="single" w:sz="4" w:space="0" w:color="5B6770"/>
              <w:bottom w:val="double" w:sz="4" w:space="0" w:color="auto"/>
              <w:right w:val="single" w:sz="4" w:space="0" w:color="5B6770"/>
            </w:tcBorders>
            <w:shd w:val="clear" w:color="auto" w:fill="FFFFFF" w:themeFill="background1"/>
          </w:tcPr>
          <w:p w14:paraId="2622D341" w14:textId="45A9B0FB" w:rsidR="00E760CF" w:rsidRPr="00E760CF" w:rsidRDefault="003F3F6A" w:rsidP="00E760CF">
            <w:pPr>
              <w:suppressAutoHyphens/>
              <w:autoSpaceDE w:val="0"/>
              <w:autoSpaceDN w:val="0"/>
              <w:adjustRightInd w:val="0"/>
              <w:spacing w:after="0" w:line="200" w:lineRule="atLeast"/>
              <w:jc w:val="center"/>
              <w:textAlignment w:val="center"/>
              <w:rPr>
                <w:rFonts w:ascii="Arial" w:hAnsi="Arial" w:cs="Arial"/>
                <w:b/>
                <w:bCs/>
                <w:color w:val="000000" w:themeColor="text1"/>
                <w:sz w:val="20"/>
                <w:szCs w:val="20"/>
              </w:rPr>
            </w:pPr>
            <w:r>
              <w:rPr>
                <w:rFonts w:ascii="Arial" w:hAnsi="Arial" w:cs="Arial"/>
                <w:b/>
                <w:bCs/>
                <w:color w:val="000000" w:themeColor="text1"/>
                <w:sz w:val="20"/>
                <w:szCs w:val="20"/>
              </w:rPr>
              <w:t>2.1%</w:t>
            </w:r>
          </w:p>
        </w:tc>
      </w:tr>
    </w:tbl>
    <w:p w14:paraId="48288915" w14:textId="77777777" w:rsidR="00047082" w:rsidRPr="000142E5" w:rsidRDefault="00047082" w:rsidP="000142E5">
      <w:pPr>
        <w:pStyle w:val="NoSpacing"/>
        <w:jc w:val="both"/>
        <w:rPr>
          <w:rFonts w:ascii="Arial" w:hAnsi="Arial" w:cs="Arial"/>
          <w:sz w:val="20"/>
          <w:szCs w:val="20"/>
        </w:rPr>
      </w:pPr>
    </w:p>
    <w:p w14:paraId="34D676AC" w14:textId="36165606" w:rsidR="008C731B" w:rsidRPr="000142E5" w:rsidRDefault="000544BD" w:rsidP="000142E5">
      <w:pPr>
        <w:jc w:val="both"/>
        <w:rPr>
          <w:rFonts w:ascii="Arial" w:hAnsi="Arial" w:cs="Arial"/>
          <w:b/>
          <w:color w:val="283A59"/>
          <w:sz w:val="20"/>
          <w:szCs w:val="20"/>
        </w:rPr>
      </w:pPr>
      <w:r w:rsidRPr="000142E5">
        <w:rPr>
          <w:rFonts w:ascii="Arial" w:hAnsi="Arial" w:cs="Arial"/>
          <w:sz w:val="20"/>
          <w:szCs w:val="20"/>
        </w:rPr>
        <w:t xml:space="preserve">In the </w:t>
      </w:r>
      <w:r w:rsidR="009D61F5">
        <w:rPr>
          <w:rFonts w:ascii="Arial" w:hAnsi="Arial" w:cs="Arial"/>
          <w:sz w:val="20"/>
          <w:szCs w:val="20"/>
        </w:rPr>
        <w:t>nine</w:t>
      </w:r>
      <w:r w:rsidRPr="000142E5">
        <w:rPr>
          <w:rFonts w:ascii="Arial" w:hAnsi="Arial" w:cs="Arial"/>
          <w:sz w:val="20"/>
          <w:szCs w:val="20"/>
        </w:rPr>
        <w:t xml:space="preserve"> months ended </w:t>
      </w:r>
      <w:r w:rsidR="009D61F5">
        <w:rPr>
          <w:rFonts w:ascii="Arial" w:hAnsi="Arial" w:cs="Arial"/>
          <w:sz w:val="20"/>
          <w:szCs w:val="20"/>
        </w:rPr>
        <w:t>4 October</w:t>
      </w:r>
      <w:r w:rsidR="009F3027" w:rsidRPr="000142E5">
        <w:rPr>
          <w:rFonts w:ascii="Arial" w:hAnsi="Arial" w:cs="Arial"/>
          <w:sz w:val="20"/>
          <w:szCs w:val="20"/>
        </w:rPr>
        <w:t xml:space="preserve"> 2025</w:t>
      </w:r>
      <w:r w:rsidRPr="000142E5">
        <w:rPr>
          <w:rFonts w:ascii="Arial" w:hAnsi="Arial" w:cs="Arial"/>
          <w:sz w:val="20"/>
          <w:szCs w:val="20"/>
        </w:rPr>
        <w:t xml:space="preserve">, </w:t>
      </w:r>
      <w:r w:rsidR="003C2CDB">
        <w:rPr>
          <w:rFonts w:ascii="Arial" w:hAnsi="Arial" w:cs="Arial"/>
          <w:sz w:val="20"/>
          <w:szCs w:val="20"/>
        </w:rPr>
        <w:t>Group</w:t>
      </w:r>
      <w:r w:rsidRPr="000142E5">
        <w:rPr>
          <w:rFonts w:ascii="Arial" w:hAnsi="Arial" w:cs="Arial"/>
          <w:sz w:val="20"/>
          <w:szCs w:val="20"/>
        </w:rPr>
        <w:t xml:space="preserve"> revenue </w:t>
      </w:r>
      <w:r w:rsidR="000375D1">
        <w:rPr>
          <w:rFonts w:ascii="Arial" w:hAnsi="Arial" w:cs="Arial"/>
          <w:sz w:val="20"/>
          <w:szCs w:val="20"/>
        </w:rPr>
        <w:t xml:space="preserve">increased by </w:t>
      </w:r>
      <w:r w:rsidR="009D61F5">
        <w:rPr>
          <w:rFonts w:ascii="Arial" w:hAnsi="Arial" w:cs="Arial"/>
          <w:sz w:val="20"/>
          <w:szCs w:val="20"/>
        </w:rPr>
        <w:t>1.7</w:t>
      </w:r>
      <w:r w:rsidRPr="000142E5">
        <w:rPr>
          <w:rFonts w:ascii="Arial" w:hAnsi="Arial" w:cs="Arial"/>
          <w:sz w:val="20"/>
          <w:szCs w:val="20"/>
        </w:rPr>
        <w:t>%</w:t>
      </w:r>
      <w:r w:rsidR="00DA6FCC" w:rsidRPr="000142E5">
        <w:rPr>
          <w:rFonts w:ascii="Arial" w:hAnsi="Arial" w:cs="Arial"/>
          <w:sz w:val="20"/>
          <w:szCs w:val="20"/>
        </w:rPr>
        <w:t xml:space="preserve"> </w:t>
      </w:r>
      <w:r w:rsidR="00132680" w:rsidRPr="000142E5">
        <w:rPr>
          <w:rFonts w:ascii="Arial" w:hAnsi="Arial" w:cs="Arial"/>
          <w:sz w:val="20"/>
          <w:szCs w:val="20"/>
        </w:rPr>
        <w:t>compared to the same period in 202</w:t>
      </w:r>
      <w:r w:rsidR="009F3027" w:rsidRPr="000142E5">
        <w:rPr>
          <w:rFonts w:ascii="Arial" w:hAnsi="Arial" w:cs="Arial"/>
          <w:sz w:val="20"/>
          <w:szCs w:val="20"/>
        </w:rPr>
        <w:t>4</w:t>
      </w:r>
      <w:r w:rsidRPr="000142E5">
        <w:rPr>
          <w:rFonts w:ascii="Arial" w:hAnsi="Arial" w:cs="Arial"/>
          <w:sz w:val="20"/>
          <w:szCs w:val="20"/>
        </w:rPr>
        <w:t xml:space="preserve">. The </w:t>
      </w:r>
      <w:r w:rsidR="00132680" w:rsidRPr="000142E5">
        <w:rPr>
          <w:rFonts w:ascii="Arial" w:hAnsi="Arial" w:cs="Arial"/>
          <w:sz w:val="20"/>
          <w:szCs w:val="20"/>
        </w:rPr>
        <w:t xml:space="preserve">main </w:t>
      </w:r>
      <w:r w:rsidRPr="000142E5">
        <w:rPr>
          <w:rFonts w:ascii="Arial" w:hAnsi="Arial" w:cs="Arial"/>
          <w:sz w:val="20"/>
          <w:szCs w:val="20"/>
        </w:rPr>
        <w:t xml:space="preserve">drivers of the revenue </w:t>
      </w:r>
      <w:r w:rsidR="000375D1">
        <w:rPr>
          <w:rFonts w:ascii="Arial" w:hAnsi="Arial" w:cs="Arial"/>
          <w:sz w:val="20"/>
          <w:szCs w:val="20"/>
        </w:rPr>
        <w:t>increase</w:t>
      </w:r>
      <w:r w:rsidR="007D54A1">
        <w:rPr>
          <w:rFonts w:ascii="Arial" w:hAnsi="Arial" w:cs="Arial"/>
          <w:sz w:val="20"/>
          <w:szCs w:val="20"/>
        </w:rPr>
        <w:t xml:space="preserve"> </w:t>
      </w:r>
      <w:r w:rsidR="00C07D6E">
        <w:rPr>
          <w:rFonts w:ascii="Arial" w:hAnsi="Arial" w:cs="Arial"/>
          <w:sz w:val="20"/>
          <w:szCs w:val="20"/>
        </w:rPr>
        <w:t xml:space="preserve">were </w:t>
      </w:r>
      <w:r w:rsidR="003859E4" w:rsidRPr="000142E5">
        <w:rPr>
          <w:rFonts w:ascii="Arial" w:hAnsi="Arial" w:cs="Arial"/>
          <w:sz w:val="20"/>
          <w:szCs w:val="20"/>
        </w:rPr>
        <w:t>a</w:t>
      </w:r>
      <w:r w:rsidR="00F5063A" w:rsidRPr="000142E5">
        <w:rPr>
          <w:rFonts w:ascii="Arial" w:hAnsi="Arial" w:cs="Arial"/>
          <w:sz w:val="20"/>
          <w:szCs w:val="20"/>
        </w:rPr>
        <w:t xml:space="preserve"> </w:t>
      </w:r>
      <w:r w:rsidR="009D61F5">
        <w:rPr>
          <w:rFonts w:ascii="Arial" w:hAnsi="Arial" w:cs="Arial"/>
          <w:sz w:val="20"/>
          <w:szCs w:val="20"/>
        </w:rPr>
        <w:t>volume</w:t>
      </w:r>
      <w:r w:rsidR="003859E4" w:rsidRPr="000142E5">
        <w:rPr>
          <w:rFonts w:ascii="Arial" w:hAnsi="Arial" w:cs="Arial"/>
          <w:sz w:val="20"/>
          <w:szCs w:val="20"/>
        </w:rPr>
        <w:t xml:space="preserve"> </w:t>
      </w:r>
      <w:r w:rsidR="000375D1">
        <w:rPr>
          <w:rFonts w:ascii="Arial" w:hAnsi="Arial" w:cs="Arial"/>
          <w:sz w:val="20"/>
          <w:szCs w:val="20"/>
        </w:rPr>
        <w:t>increase</w:t>
      </w:r>
      <w:r w:rsidR="003859E4" w:rsidRPr="000142E5">
        <w:rPr>
          <w:rFonts w:ascii="Arial" w:hAnsi="Arial" w:cs="Arial"/>
          <w:sz w:val="20"/>
          <w:szCs w:val="20"/>
        </w:rPr>
        <w:t xml:space="preserve"> of </w:t>
      </w:r>
      <w:r w:rsidR="009D61F5">
        <w:rPr>
          <w:rFonts w:ascii="Arial" w:hAnsi="Arial" w:cs="Arial"/>
          <w:sz w:val="20"/>
          <w:szCs w:val="20"/>
        </w:rPr>
        <w:t>2.6</w:t>
      </w:r>
      <w:r w:rsidR="003859E4" w:rsidRPr="000142E5">
        <w:rPr>
          <w:rFonts w:ascii="Arial" w:hAnsi="Arial" w:cs="Arial"/>
          <w:sz w:val="20"/>
          <w:szCs w:val="20"/>
        </w:rPr>
        <w:t>%</w:t>
      </w:r>
      <w:bookmarkStart w:id="0" w:name="_Hlk117081378"/>
      <w:r w:rsidR="009D61F5">
        <w:rPr>
          <w:rFonts w:ascii="Arial" w:hAnsi="Arial" w:cs="Arial"/>
          <w:sz w:val="20"/>
          <w:szCs w:val="20"/>
        </w:rPr>
        <w:t xml:space="preserve">, a price increase </w:t>
      </w:r>
      <w:r w:rsidR="00B61C11">
        <w:rPr>
          <w:rFonts w:ascii="Arial" w:hAnsi="Arial" w:cs="Arial"/>
          <w:sz w:val="20"/>
          <w:szCs w:val="20"/>
        </w:rPr>
        <w:t>o</w:t>
      </w:r>
      <w:r w:rsidR="009D61F5">
        <w:rPr>
          <w:rFonts w:ascii="Arial" w:hAnsi="Arial" w:cs="Arial"/>
          <w:sz w:val="20"/>
          <w:szCs w:val="20"/>
        </w:rPr>
        <w:t xml:space="preserve">f 0.7% and </w:t>
      </w:r>
      <w:r w:rsidR="000375D1">
        <w:rPr>
          <w:rFonts w:ascii="Arial" w:hAnsi="Arial" w:cs="Arial"/>
          <w:sz w:val="20"/>
          <w:szCs w:val="20"/>
        </w:rPr>
        <w:t>an</w:t>
      </w:r>
      <w:r w:rsidR="009F3027" w:rsidRPr="000142E5">
        <w:rPr>
          <w:rFonts w:ascii="Arial" w:hAnsi="Arial" w:cs="Arial"/>
          <w:sz w:val="20"/>
          <w:szCs w:val="20"/>
        </w:rPr>
        <w:t xml:space="preserve"> increase of </w:t>
      </w:r>
      <w:r w:rsidR="007D7B56">
        <w:rPr>
          <w:rFonts w:ascii="Arial" w:hAnsi="Arial" w:cs="Arial"/>
          <w:sz w:val="20"/>
          <w:szCs w:val="20"/>
        </w:rPr>
        <w:t>0.9</w:t>
      </w:r>
      <w:r w:rsidR="000375D1">
        <w:rPr>
          <w:rFonts w:ascii="Arial" w:hAnsi="Arial" w:cs="Arial"/>
          <w:sz w:val="20"/>
          <w:szCs w:val="20"/>
        </w:rPr>
        <w:t>%</w:t>
      </w:r>
      <w:r w:rsidR="009F3027" w:rsidRPr="000142E5">
        <w:rPr>
          <w:rFonts w:ascii="Arial" w:hAnsi="Arial" w:cs="Arial"/>
          <w:sz w:val="20"/>
          <w:szCs w:val="20"/>
        </w:rPr>
        <w:t xml:space="preserve"> </w:t>
      </w:r>
      <w:r w:rsidR="009D61F5">
        <w:rPr>
          <w:rFonts w:ascii="Arial" w:hAnsi="Arial" w:cs="Arial"/>
          <w:sz w:val="20"/>
          <w:szCs w:val="20"/>
        </w:rPr>
        <w:t>from the net impact of</w:t>
      </w:r>
      <w:r w:rsidR="009F3027" w:rsidRPr="000142E5">
        <w:rPr>
          <w:rFonts w:ascii="Arial" w:hAnsi="Arial" w:cs="Arial"/>
          <w:sz w:val="20"/>
          <w:szCs w:val="20"/>
        </w:rPr>
        <w:t xml:space="preserve"> acquisitions</w:t>
      </w:r>
      <w:r w:rsidR="009D61F5">
        <w:rPr>
          <w:rFonts w:ascii="Arial" w:hAnsi="Arial" w:cs="Arial"/>
          <w:sz w:val="20"/>
          <w:szCs w:val="20"/>
        </w:rPr>
        <w:t xml:space="preserve"> and disposals</w:t>
      </w:r>
      <w:r w:rsidR="00D33674">
        <w:rPr>
          <w:rFonts w:ascii="Arial" w:hAnsi="Arial" w:cs="Arial"/>
          <w:sz w:val="20"/>
          <w:szCs w:val="20"/>
        </w:rPr>
        <w:t xml:space="preserve">, </w:t>
      </w:r>
      <w:r w:rsidR="004000A2">
        <w:rPr>
          <w:rFonts w:ascii="Arial" w:hAnsi="Arial" w:cs="Arial"/>
          <w:sz w:val="20"/>
          <w:szCs w:val="20"/>
        </w:rPr>
        <w:t>partly</w:t>
      </w:r>
      <w:r w:rsidR="00D33674">
        <w:rPr>
          <w:rFonts w:ascii="Arial" w:hAnsi="Arial" w:cs="Arial"/>
          <w:sz w:val="20"/>
          <w:szCs w:val="20"/>
        </w:rPr>
        <w:t xml:space="preserve"> offset by </w:t>
      </w:r>
      <w:r w:rsidR="009D61F5">
        <w:rPr>
          <w:rFonts w:ascii="Arial" w:hAnsi="Arial" w:cs="Arial"/>
          <w:sz w:val="20"/>
          <w:szCs w:val="20"/>
        </w:rPr>
        <w:t xml:space="preserve">a decrease of </w:t>
      </w:r>
      <w:r w:rsidR="005177E0">
        <w:rPr>
          <w:rFonts w:ascii="Arial" w:hAnsi="Arial" w:cs="Arial"/>
          <w:sz w:val="20"/>
          <w:szCs w:val="20"/>
        </w:rPr>
        <w:t>-</w:t>
      </w:r>
      <w:r w:rsidR="009D61F5">
        <w:rPr>
          <w:rFonts w:ascii="Arial" w:hAnsi="Arial" w:cs="Arial"/>
          <w:sz w:val="20"/>
          <w:szCs w:val="20"/>
        </w:rPr>
        <w:t>2.</w:t>
      </w:r>
      <w:r w:rsidR="007D7B56">
        <w:rPr>
          <w:rFonts w:ascii="Arial" w:hAnsi="Arial" w:cs="Arial"/>
          <w:sz w:val="20"/>
          <w:szCs w:val="20"/>
        </w:rPr>
        <w:t>5</w:t>
      </w:r>
      <w:r w:rsidR="009D61F5">
        <w:rPr>
          <w:rFonts w:ascii="Arial" w:hAnsi="Arial" w:cs="Arial"/>
          <w:sz w:val="20"/>
          <w:szCs w:val="20"/>
        </w:rPr>
        <w:t>% from the impact of the 53</w:t>
      </w:r>
      <w:r w:rsidR="009D61F5" w:rsidRPr="009D61F5">
        <w:rPr>
          <w:rFonts w:ascii="Arial" w:hAnsi="Arial" w:cs="Arial"/>
          <w:sz w:val="20"/>
          <w:szCs w:val="20"/>
          <w:vertAlign w:val="superscript"/>
        </w:rPr>
        <w:t>rd</w:t>
      </w:r>
      <w:r w:rsidR="009D61F5">
        <w:rPr>
          <w:rFonts w:ascii="Arial" w:hAnsi="Arial" w:cs="Arial"/>
          <w:sz w:val="20"/>
          <w:szCs w:val="20"/>
        </w:rPr>
        <w:t xml:space="preserve"> week</w:t>
      </w:r>
      <w:r w:rsidR="007D2AB7">
        <w:rPr>
          <w:rFonts w:ascii="Arial" w:hAnsi="Arial" w:cs="Arial"/>
          <w:sz w:val="20"/>
          <w:szCs w:val="20"/>
        </w:rPr>
        <w:t xml:space="preserve"> in the prior year</w:t>
      </w:r>
      <w:r w:rsidR="009D61F5">
        <w:rPr>
          <w:rFonts w:ascii="Arial" w:hAnsi="Arial" w:cs="Arial"/>
          <w:sz w:val="20"/>
          <w:szCs w:val="20"/>
        </w:rPr>
        <w:t xml:space="preserve">. </w:t>
      </w:r>
      <w:r w:rsidR="009F3027" w:rsidRPr="000142E5">
        <w:rPr>
          <w:rFonts w:ascii="Arial" w:hAnsi="Arial" w:cs="Arial"/>
          <w:sz w:val="20"/>
          <w:szCs w:val="20"/>
        </w:rPr>
        <w:t xml:space="preserve"> </w:t>
      </w:r>
    </w:p>
    <w:p w14:paraId="6B6090BA" w14:textId="5C1D4AF5" w:rsidR="00573101" w:rsidRPr="000142E5" w:rsidRDefault="00573101" w:rsidP="000142E5">
      <w:pPr>
        <w:jc w:val="both"/>
        <w:rPr>
          <w:rFonts w:ascii="Arial" w:hAnsi="Arial" w:cs="Arial"/>
          <w:b/>
          <w:color w:val="283A59"/>
          <w:sz w:val="20"/>
          <w:szCs w:val="20"/>
        </w:rPr>
      </w:pPr>
      <w:r w:rsidRPr="000142E5">
        <w:rPr>
          <w:rFonts w:ascii="Arial" w:hAnsi="Arial" w:cs="Arial"/>
          <w:b/>
          <w:color w:val="283A59"/>
          <w:sz w:val="20"/>
          <w:szCs w:val="20"/>
        </w:rPr>
        <w:t>Performance Nutrition</w:t>
      </w:r>
    </w:p>
    <w:p w14:paraId="424EFCCE" w14:textId="77777777" w:rsidR="00FB5009" w:rsidRDefault="000F7D48" w:rsidP="000142E5">
      <w:pPr>
        <w:jc w:val="both"/>
        <w:rPr>
          <w:rFonts w:ascii="Arial" w:hAnsi="Arial" w:cs="Arial"/>
          <w:sz w:val="20"/>
          <w:szCs w:val="20"/>
        </w:rPr>
      </w:pPr>
      <w:r w:rsidRPr="000142E5">
        <w:rPr>
          <w:rFonts w:ascii="Arial" w:hAnsi="Arial" w:cs="Arial"/>
          <w:sz w:val="20"/>
          <w:szCs w:val="20"/>
        </w:rPr>
        <w:t xml:space="preserve">PN </w:t>
      </w:r>
      <w:r w:rsidR="004000A2">
        <w:rPr>
          <w:rFonts w:ascii="Arial" w:hAnsi="Arial" w:cs="Arial"/>
          <w:sz w:val="20"/>
          <w:szCs w:val="20"/>
        </w:rPr>
        <w:t xml:space="preserve">like-for-like </w:t>
      </w:r>
      <w:r w:rsidRPr="000142E5">
        <w:rPr>
          <w:rFonts w:ascii="Arial" w:hAnsi="Arial" w:cs="Arial"/>
          <w:sz w:val="20"/>
          <w:szCs w:val="20"/>
        </w:rPr>
        <w:t>revenue</w:t>
      </w:r>
      <w:r w:rsidR="009D61F5">
        <w:rPr>
          <w:rFonts w:ascii="Arial" w:hAnsi="Arial" w:cs="Arial"/>
          <w:sz w:val="20"/>
          <w:szCs w:val="20"/>
        </w:rPr>
        <w:t xml:space="preserve"> was </w:t>
      </w:r>
      <w:r w:rsidR="00E67211">
        <w:rPr>
          <w:rFonts w:ascii="Arial" w:hAnsi="Arial" w:cs="Arial"/>
          <w:sz w:val="20"/>
          <w:szCs w:val="20"/>
        </w:rPr>
        <w:t xml:space="preserve">broadly </w:t>
      </w:r>
      <w:r w:rsidR="009D61F5">
        <w:rPr>
          <w:rFonts w:ascii="Arial" w:hAnsi="Arial" w:cs="Arial"/>
          <w:sz w:val="20"/>
          <w:szCs w:val="20"/>
        </w:rPr>
        <w:t>in line with the prior year</w:t>
      </w:r>
      <w:r w:rsidRPr="000142E5">
        <w:rPr>
          <w:rFonts w:ascii="Arial" w:hAnsi="Arial" w:cs="Arial"/>
          <w:sz w:val="20"/>
          <w:szCs w:val="20"/>
        </w:rPr>
        <w:t xml:space="preserve"> </w:t>
      </w:r>
      <w:r w:rsidR="009D61F5">
        <w:rPr>
          <w:rFonts w:ascii="Arial" w:hAnsi="Arial" w:cs="Arial"/>
          <w:sz w:val="20"/>
          <w:szCs w:val="20"/>
        </w:rPr>
        <w:t xml:space="preserve">for </w:t>
      </w:r>
      <w:r w:rsidRPr="000142E5">
        <w:rPr>
          <w:rFonts w:ascii="Arial" w:hAnsi="Arial" w:cs="Arial"/>
          <w:sz w:val="20"/>
          <w:szCs w:val="20"/>
        </w:rPr>
        <w:t xml:space="preserve">the </w:t>
      </w:r>
      <w:r w:rsidR="009D61F5">
        <w:rPr>
          <w:rFonts w:ascii="Arial" w:hAnsi="Arial" w:cs="Arial"/>
          <w:sz w:val="20"/>
          <w:szCs w:val="20"/>
        </w:rPr>
        <w:t>first nine</w:t>
      </w:r>
      <w:r w:rsidRPr="000142E5">
        <w:rPr>
          <w:rFonts w:ascii="Arial" w:hAnsi="Arial" w:cs="Arial"/>
          <w:sz w:val="20"/>
          <w:szCs w:val="20"/>
        </w:rPr>
        <w:t xml:space="preserve"> months of 202</w:t>
      </w:r>
      <w:r w:rsidR="009F3027" w:rsidRPr="000142E5">
        <w:rPr>
          <w:rFonts w:ascii="Arial" w:hAnsi="Arial" w:cs="Arial"/>
          <w:sz w:val="20"/>
          <w:szCs w:val="20"/>
        </w:rPr>
        <w:t>5, driven by a vo</w:t>
      </w:r>
      <w:r w:rsidR="00F5063A" w:rsidRPr="000142E5">
        <w:rPr>
          <w:rFonts w:ascii="Arial" w:hAnsi="Arial" w:cs="Arial"/>
          <w:sz w:val="20"/>
          <w:szCs w:val="20"/>
        </w:rPr>
        <w:t xml:space="preserve">lume </w:t>
      </w:r>
      <w:r w:rsidR="00E67211">
        <w:rPr>
          <w:rFonts w:ascii="Arial" w:hAnsi="Arial" w:cs="Arial"/>
          <w:sz w:val="20"/>
          <w:szCs w:val="20"/>
        </w:rPr>
        <w:t>in</w:t>
      </w:r>
      <w:r w:rsidR="000375D1">
        <w:rPr>
          <w:rFonts w:ascii="Arial" w:hAnsi="Arial" w:cs="Arial"/>
          <w:sz w:val="20"/>
          <w:szCs w:val="20"/>
        </w:rPr>
        <w:t>crease</w:t>
      </w:r>
      <w:r w:rsidR="00F5063A" w:rsidRPr="000142E5">
        <w:rPr>
          <w:rFonts w:ascii="Arial" w:hAnsi="Arial" w:cs="Arial"/>
          <w:sz w:val="20"/>
          <w:szCs w:val="20"/>
        </w:rPr>
        <w:t xml:space="preserve"> of </w:t>
      </w:r>
      <w:r w:rsidR="00E67211">
        <w:rPr>
          <w:rFonts w:ascii="Arial" w:hAnsi="Arial" w:cs="Arial"/>
          <w:sz w:val="20"/>
          <w:szCs w:val="20"/>
        </w:rPr>
        <w:t>0.5</w:t>
      </w:r>
      <w:r w:rsidR="00F5063A" w:rsidRPr="000142E5">
        <w:rPr>
          <w:rFonts w:ascii="Arial" w:hAnsi="Arial" w:cs="Arial"/>
          <w:sz w:val="20"/>
          <w:szCs w:val="20"/>
        </w:rPr>
        <w:t xml:space="preserve">% </w:t>
      </w:r>
      <w:r w:rsidR="00E67211">
        <w:rPr>
          <w:rFonts w:ascii="Arial" w:hAnsi="Arial" w:cs="Arial"/>
          <w:sz w:val="20"/>
          <w:szCs w:val="20"/>
        </w:rPr>
        <w:t>offset by</w:t>
      </w:r>
      <w:r w:rsidR="00F5063A" w:rsidRPr="000142E5">
        <w:rPr>
          <w:rFonts w:ascii="Arial" w:hAnsi="Arial" w:cs="Arial"/>
          <w:sz w:val="20"/>
          <w:szCs w:val="20"/>
        </w:rPr>
        <w:t xml:space="preserve"> a price </w:t>
      </w:r>
      <w:r w:rsidR="000375D1">
        <w:rPr>
          <w:rFonts w:ascii="Arial" w:hAnsi="Arial" w:cs="Arial"/>
          <w:sz w:val="20"/>
          <w:szCs w:val="20"/>
        </w:rPr>
        <w:t>decrease</w:t>
      </w:r>
      <w:r w:rsidR="00C47403" w:rsidRPr="000142E5">
        <w:rPr>
          <w:rFonts w:ascii="Arial" w:hAnsi="Arial" w:cs="Arial"/>
          <w:sz w:val="20"/>
          <w:szCs w:val="20"/>
        </w:rPr>
        <w:t xml:space="preserve"> </w:t>
      </w:r>
      <w:r w:rsidR="00F5063A" w:rsidRPr="000142E5">
        <w:rPr>
          <w:rFonts w:ascii="Arial" w:hAnsi="Arial" w:cs="Arial"/>
          <w:sz w:val="20"/>
          <w:szCs w:val="20"/>
        </w:rPr>
        <w:t xml:space="preserve">of </w:t>
      </w:r>
      <w:r w:rsidR="00110AF2">
        <w:rPr>
          <w:rFonts w:ascii="Arial" w:hAnsi="Arial" w:cs="Arial"/>
          <w:sz w:val="20"/>
          <w:szCs w:val="20"/>
        </w:rPr>
        <w:t>-0.</w:t>
      </w:r>
      <w:r w:rsidR="00E67211">
        <w:rPr>
          <w:rFonts w:ascii="Arial" w:hAnsi="Arial" w:cs="Arial"/>
          <w:sz w:val="20"/>
          <w:szCs w:val="20"/>
        </w:rPr>
        <w:t>5</w:t>
      </w:r>
      <w:r w:rsidR="00FA76C2" w:rsidRPr="000142E5">
        <w:rPr>
          <w:rFonts w:ascii="Arial" w:hAnsi="Arial" w:cs="Arial"/>
          <w:sz w:val="20"/>
          <w:szCs w:val="20"/>
        </w:rPr>
        <w:t>%</w:t>
      </w:r>
      <w:r w:rsidRPr="000142E5">
        <w:rPr>
          <w:rFonts w:ascii="Arial" w:hAnsi="Arial" w:cs="Arial"/>
          <w:sz w:val="20"/>
          <w:szCs w:val="20"/>
        </w:rPr>
        <w:t xml:space="preserve">. </w:t>
      </w:r>
      <w:r w:rsidR="00C56F8A">
        <w:rPr>
          <w:rFonts w:ascii="Arial" w:hAnsi="Arial" w:cs="Arial"/>
          <w:sz w:val="20"/>
          <w:szCs w:val="20"/>
        </w:rPr>
        <w:t>Excluding SlimFast and Body &amp; Fit</w:t>
      </w:r>
      <w:r w:rsidR="004000A2">
        <w:rPr>
          <w:rFonts w:ascii="Arial" w:hAnsi="Arial" w:cs="Arial"/>
          <w:sz w:val="20"/>
          <w:szCs w:val="20"/>
        </w:rPr>
        <w:t xml:space="preserve">, </w:t>
      </w:r>
      <w:r w:rsidR="00DA1F3B">
        <w:rPr>
          <w:rFonts w:ascii="Arial" w:hAnsi="Arial" w:cs="Arial"/>
          <w:sz w:val="20"/>
          <w:szCs w:val="20"/>
        </w:rPr>
        <w:t>PN</w:t>
      </w:r>
      <w:r w:rsidR="004000A2">
        <w:rPr>
          <w:rFonts w:ascii="Arial" w:hAnsi="Arial" w:cs="Arial"/>
          <w:sz w:val="20"/>
          <w:szCs w:val="20"/>
        </w:rPr>
        <w:t xml:space="preserve"> like-for-like</w:t>
      </w:r>
      <w:r w:rsidR="00C56F8A">
        <w:rPr>
          <w:rFonts w:ascii="Arial" w:hAnsi="Arial" w:cs="Arial"/>
          <w:sz w:val="20"/>
          <w:szCs w:val="20"/>
        </w:rPr>
        <w:t xml:space="preserve"> revenue </w:t>
      </w:r>
      <w:r w:rsidR="00E67211">
        <w:rPr>
          <w:rFonts w:ascii="Arial" w:hAnsi="Arial" w:cs="Arial"/>
          <w:sz w:val="20"/>
          <w:szCs w:val="20"/>
        </w:rPr>
        <w:t>increased</w:t>
      </w:r>
      <w:r w:rsidR="006E780E">
        <w:rPr>
          <w:rFonts w:ascii="Arial" w:hAnsi="Arial" w:cs="Arial"/>
          <w:sz w:val="20"/>
          <w:szCs w:val="20"/>
        </w:rPr>
        <w:t xml:space="preserve"> by</w:t>
      </w:r>
      <w:r w:rsidR="00C56F8A">
        <w:rPr>
          <w:rFonts w:ascii="Arial" w:hAnsi="Arial" w:cs="Arial"/>
          <w:sz w:val="20"/>
          <w:szCs w:val="20"/>
        </w:rPr>
        <w:t xml:space="preserve"> </w:t>
      </w:r>
      <w:r w:rsidR="00E67211">
        <w:rPr>
          <w:rFonts w:ascii="Arial" w:hAnsi="Arial" w:cs="Arial"/>
          <w:sz w:val="20"/>
          <w:szCs w:val="20"/>
        </w:rPr>
        <w:t>2.5</w:t>
      </w:r>
      <w:r w:rsidR="00C56F8A">
        <w:rPr>
          <w:rFonts w:ascii="Arial" w:hAnsi="Arial" w:cs="Arial"/>
          <w:sz w:val="20"/>
          <w:szCs w:val="20"/>
        </w:rPr>
        <w:t xml:space="preserve">%. </w:t>
      </w:r>
      <w:r w:rsidR="003F1B7C">
        <w:rPr>
          <w:rFonts w:ascii="Arial" w:hAnsi="Arial" w:cs="Arial"/>
          <w:sz w:val="20"/>
          <w:szCs w:val="20"/>
        </w:rPr>
        <w:t>M</w:t>
      </w:r>
      <w:r w:rsidR="002D2A0B">
        <w:rPr>
          <w:rFonts w:ascii="Arial" w:hAnsi="Arial" w:cs="Arial"/>
          <w:sz w:val="20"/>
          <w:szCs w:val="20"/>
        </w:rPr>
        <w:t xml:space="preserve">omentum </w:t>
      </w:r>
      <w:r w:rsidR="003F1B7C">
        <w:rPr>
          <w:rFonts w:ascii="Arial" w:hAnsi="Arial" w:cs="Arial"/>
          <w:sz w:val="20"/>
          <w:szCs w:val="20"/>
        </w:rPr>
        <w:t>continued to improve</w:t>
      </w:r>
      <w:r w:rsidR="002D2A0B">
        <w:rPr>
          <w:rFonts w:ascii="Arial" w:hAnsi="Arial" w:cs="Arial"/>
          <w:sz w:val="20"/>
          <w:szCs w:val="20"/>
        </w:rPr>
        <w:t xml:space="preserve"> with double digit volume growth across Optimum Nutrition and Isopure </w:t>
      </w:r>
      <w:r w:rsidR="004A369F">
        <w:rPr>
          <w:rFonts w:ascii="Arial" w:hAnsi="Arial" w:cs="Arial"/>
          <w:sz w:val="20"/>
          <w:szCs w:val="20"/>
        </w:rPr>
        <w:t xml:space="preserve">in </w:t>
      </w:r>
      <w:r w:rsidR="0054144A">
        <w:rPr>
          <w:rFonts w:ascii="Arial" w:hAnsi="Arial" w:cs="Arial"/>
          <w:sz w:val="20"/>
          <w:szCs w:val="20"/>
        </w:rPr>
        <w:t>the third quarter</w:t>
      </w:r>
      <w:r w:rsidR="004A369F">
        <w:rPr>
          <w:rFonts w:ascii="Arial" w:hAnsi="Arial" w:cs="Arial"/>
          <w:sz w:val="20"/>
          <w:szCs w:val="20"/>
        </w:rPr>
        <w:t xml:space="preserve">, </w:t>
      </w:r>
      <w:r w:rsidR="002D2A0B">
        <w:rPr>
          <w:rFonts w:ascii="Arial" w:hAnsi="Arial" w:cs="Arial"/>
          <w:sz w:val="20"/>
          <w:szCs w:val="20"/>
        </w:rPr>
        <w:t xml:space="preserve">led </w:t>
      </w:r>
      <w:r w:rsidR="00436A51">
        <w:rPr>
          <w:rFonts w:ascii="Arial" w:hAnsi="Arial" w:cs="Arial"/>
          <w:sz w:val="20"/>
          <w:szCs w:val="20"/>
        </w:rPr>
        <w:t xml:space="preserve">predominantly </w:t>
      </w:r>
      <w:r w:rsidR="008D5706">
        <w:rPr>
          <w:rFonts w:ascii="Arial" w:hAnsi="Arial" w:cs="Arial"/>
          <w:sz w:val="20"/>
          <w:szCs w:val="20"/>
        </w:rPr>
        <w:t xml:space="preserve">by </w:t>
      </w:r>
      <w:r w:rsidR="002D2A0B">
        <w:rPr>
          <w:rFonts w:ascii="Arial" w:hAnsi="Arial" w:cs="Arial"/>
          <w:sz w:val="20"/>
          <w:szCs w:val="20"/>
        </w:rPr>
        <w:t>strong category growth</w:t>
      </w:r>
      <w:r w:rsidR="008D5706">
        <w:rPr>
          <w:rFonts w:ascii="Arial" w:hAnsi="Arial" w:cs="Arial"/>
          <w:sz w:val="20"/>
          <w:szCs w:val="20"/>
        </w:rPr>
        <w:t xml:space="preserve">, </w:t>
      </w:r>
      <w:r w:rsidR="000D3F63">
        <w:rPr>
          <w:rFonts w:ascii="Arial" w:hAnsi="Arial" w:cs="Arial"/>
          <w:sz w:val="20"/>
          <w:szCs w:val="20"/>
        </w:rPr>
        <w:t xml:space="preserve">new </w:t>
      </w:r>
      <w:r w:rsidR="00436A51">
        <w:rPr>
          <w:rFonts w:ascii="Arial" w:hAnsi="Arial" w:cs="Arial"/>
          <w:sz w:val="20"/>
          <w:szCs w:val="20"/>
        </w:rPr>
        <w:t>distribution</w:t>
      </w:r>
      <w:r w:rsidR="002D2A0B">
        <w:rPr>
          <w:rFonts w:ascii="Arial" w:hAnsi="Arial" w:cs="Arial"/>
          <w:sz w:val="20"/>
          <w:szCs w:val="20"/>
        </w:rPr>
        <w:t xml:space="preserve"> and innovation. </w:t>
      </w:r>
    </w:p>
    <w:p w14:paraId="5F053D36" w14:textId="39D8840F" w:rsidR="00B36A7E" w:rsidRDefault="00B36A7E" w:rsidP="000142E5">
      <w:pPr>
        <w:jc w:val="both"/>
        <w:rPr>
          <w:rFonts w:ascii="Arial" w:hAnsi="Arial" w:cs="Arial"/>
          <w:sz w:val="20"/>
          <w:szCs w:val="20"/>
        </w:rPr>
      </w:pPr>
      <w:r>
        <w:rPr>
          <w:rFonts w:ascii="Arial" w:hAnsi="Arial" w:cs="Arial"/>
          <w:sz w:val="20"/>
          <w:szCs w:val="20"/>
        </w:rPr>
        <w:t xml:space="preserve">Pricing decreased by -0.5% as a result of some tactical price reductions, which offset price increases implemented in international markets during the first </w:t>
      </w:r>
      <w:r w:rsidR="005177E0">
        <w:rPr>
          <w:rFonts w:ascii="Arial" w:hAnsi="Arial" w:cs="Arial"/>
          <w:sz w:val="20"/>
          <w:szCs w:val="20"/>
        </w:rPr>
        <w:t>half</w:t>
      </w:r>
      <w:r>
        <w:rPr>
          <w:rFonts w:ascii="Arial" w:hAnsi="Arial" w:cs="Arial"/>
          <w:sz w:val="20"/>
          <w:szCs w:val="20"/>
        </w:rPr>
        <w:t xml:space="preserve"> of the year. Price increases </w:t>
      </w:r>
      <w:r w:rsidR="004000A2">
        <w:rPr>
          <w:rFonts w:ascii="Arial" w:hAnsi="Arial" w:cs="Arial"/>
          <w:sz w:val="20"/>
          <w:szCs w:val="20"/>
        </w:rPr>
        <w:t>were</w:t>
      </w:r>
      <w:r w:rsidR="004477B0">
        <w:rPr>
          <w:rFonts w:ascii="Arial" w:hAnsi="Arial" w:cs="Arial"/>
          <w:sz w:val="20"/>
          <w:szCs w:val="20"/>
        </w:rPr>
        <w:t xml:space="preserve"> </w:t>
      </w:r>
      <w:r>
        <w:rPr>
          <w:rFonts w:ascii="Arial" w:hAnsi="Arial" w:cs="Arial"/>
          <w:sz w:val="20"/>
          <w:szCs w:val="20"/>
        </w:rPr>
        <w:t>implemented in the Americas in the fourth quarter.</w:t>
      </w:r>
      <w:r w:rsidR="005177E0">
        <w:rPr>
          <w:rFonts w:ascii="Arial" w:hAnsi="Arial" w:cs="Arial"/>
          <w:sz w:val="20"/>
          <w:szCs w:val="20"/>
        </w:rPr>
        <w:t xml:space="preserve"> </w:t>
      </w:r>
    </w:p>
    <w:p w14:paraId="1BEF7F79" w14:textId="30CA5EFD" w:rsidR="00561887" w:rsidRDefault="00796165" w:rsidP="000142E5">
      <w:pPr>
        <w:jc w:val="both"/>
        <w:rPr>
          <w:rFonts w:ascii="Arial" w:hAnsi="Arial" w:cs="Arial"/>
          <w:sz w:val="20"/>
          <w:szCs w:val="20"/>
        </w:rPr>
      </w:pPr>
      <w:r w:rsidRPr="004908AF">
        <w:rPr>
          <w:rFonts w:ascii="Arial" w:hAnsi="Arial" w:cs="Arial"/>
          <w:sz w:val="20"/>
          <w:szCs w:val="20"/>
        </w:rPr>
        <w:t xml:space="preserve">PN Americas </w:t>
      </w:r>
      <w:r w:rsidR="004000A2" w:rsidRPr="004908AF">
        <w:rPr>
          <w:rFonts w:ascii="Arial" w:hAnsi="Arial" w:cs="Arial"/>
          <w:sz w:val="20"/>
          <w:szCs w:val="20"/>
        </w:rPr>
        <w:t xml:space="preserve">like-for-like </w:t>
      </w:r>
      <w:r w:rsidRPr="004908AF">
        <w:rPr>
          <w:rFonts w:ascii="Arial" w:hAnsi="Arial" w:cs="Arial"/>
          <w:sz w:val="20"/>
          <w:szCs w:val="20"/>
        </w:rPr>
        <w:t>revenue</w:t>
      </w:r>
      <w:r w:rsidR="00A01AE7" w:rsidRPr="004908AF">
        <w:rPr>
          <w:rFonts w:ascii="Arial" w:hAnsi="Arial" w:cs="Arial"/>
          <w:sz w:val="20"/>
          <w:szCs w:val="20"/>
        </w:rPr>
        <w:t>,</w:t>
      </w:r>
      <w:r w:rsidRPr="004908AF">
        <w:rPr>
          <w:rFonts w:ascii="Arial" w:hAnsi="Arial" w:cs="Arial"/>
          <w:sz w:val="20"/>
          <w:szCs w:val="20"/>
        </w:rPr>
        <w:t xml:space="preserve"> </w:t>
      </w:r>
      <w:r w:rsidR="00A01AE7" w:rsidRPr="004908AF">
        <w:rPr>
          <w:rFonts w:ascii="Arial" w:hAnsi="Arial" w:cs="Arial"/>
          <w:sz w:val="20"/>
          <w:szCs w:val="20"/>
        </w:rPr>
        <w:t xml:space="preserve">excluding the impact of SlimFast, </w:t>
      </w:r>
      <w:r w:rsidR="002D2A0B" w:rsidRPr="004908AF">
        <w:rPr>
          <w:rFonts w:ascii="Arial" w:hAnsi="Arial" w:cs="Arial"/>
          <w:sz w:val="20"/>
          <w:szCs w:val="20"/>
        </w:rPr>
        <w:t>declined</w:t>
      </w:r>
      <w:r w:rsidRPr="004908AF">
        <w:rPr>
          <w:rFonts w:ascii="Arial" w:hAnsi="Arial" w:cs="Arial"/>
          <w:sz w:val="20"/>
          <w:szCs w:val="20"/>
        </w:rPr>
        <w:t xml:space="preserve"> by</w:t>
      </w:r>
      <w:r w:rsidR="002D2A0B" w:rsidRPr="004908AF">
        <w:rPr>
          <w:rFonts w:ascii="Arial" w:hAnsi="Arial" w:cs="Arial"/>
          <w:sz w:val="20"/>
          <w:szCs w:val="20"/>
        </w:rPr>
        <w:t xml:space="preserve"> -0.</w:t>
      </w:r>
      <w:r w:rsidR="007D7B56" w:rsidRPr="004908AF">
        <w:rPr>
          <w:rFonts w:ascii="Arial" w:hAnsi="Arial" w:cs="Arial"/>
          <w:sz w:val="20"/>
          <w:szCs w:val="20"/>
        </w:rPr>
        <w:t>9</w:t>
      </w:r>
      <w:r w:rsidR="002D2A0B" w:rsidRPr="004908AF">
        <w:rPr>
          <w:rFonts w:ascii="Arial" w:hAnsi="Arial" w:cs="Arial"/>
          <w:sz w:val="20"/>
          <w:szCs w:val="20"/>
        </w:rPr>
        <w:t>%</w:t>
      </w:r>
      <w:r w:rsidR="00CD0217" w:rsidRPr="004908AF">
        <w:rPr>
          <w:rFonts w:ascii="Arial" w:hAnsi="Arial" w:cs="Arial"/>
          <w:sz w:val="20"/>
          <w:szCs w:val="20"/>
        </w:rPr>
        <w:t xml:space="preserve"> in the first nine months</w:t>
      </w:r>
      <w:r w:rsidR="002D2A0B" w:rsidRPr="004908AF">
        <w:rPr>
          <w:rFonts w:ascii="Arial" w:hAnsi="Arial" w:cs="Arial"/>
          <w:sz w:val="20"/>
          <w:szCs w:val="20"/>
        </w:rPr>
        <w:t xml:space="preserve"> predominantly driven by </w:t>
      </w:r>
      <w:r w:rsidR="004908AF" w:rsidRPr="004908AF">
        <w:rPr>
          <w:rFonts w:ascii="Arial" w:hAnsi="Arial" w:cs="Arial"/>
          <w:sz w:val="20"/>
          <w:szCs w:val="20"/>
        </w:rPr>
        <w:t>lower revenue</w:t>
      </w:r>
      <w:r w:rsidR="002D2A0B" w:rsidRPr="004908AF">
        <w:rPr>
          <w:rFonts w:ascii="Arial" w:hAnsi="Arial" w:cs="Arial"/>
          <w:sz w:val="20"/>
          <w:szCs w:val="20"/>
        </w:rPr>
        <w:t xml:space="preserve"> in the </w:t>
      </w:r>
      <w:r w:rsidR="00FB5009" w:rsidRPr="004908AF">
        <w:rPr>
          <w:rFonts w:ascii="Arial" w:hAnsi="Arial" w:cs="Arial"/>
          <w:sz w:val="20"/>
          <w:szCs w:val="20"/>
        </w:rPr>
        <w:t>club</w:t>
      </w:r>
      <w:r w:rsidR="002D2A0B" w:rsidRPr="004908AF">
        <w:rPr>
          <w:rFonts w:ascii="Arial" w:hAnsi="Arial" w:cs="Arial"/>
          <w:sz w:val="20"/>
          <w:szCs w:val="20"/>
        </w:rPr>
        <w:t xml:space="preserve"> </w:t>
      </w:r>
      <w:r w:rsidR="00FB5009" w:rsidRPr="004908AF">
        <w:rPr>
          <w:rFonts w:ascii="Arial" w:hAnsi="Arial" w:cs="Arial"/>
          <w:sz w:val="20"/>
          <w:szCs w:val="20"/>
        </w:rPr>
        <w:t>and specialty</w:t>
      </w:r>
      <w:r w:rsidR="002D2A0B" w:rsidRPr="004908AF">
        <w:rPr>
          <w:rFonts w:ascii="Arial" w:hAnsi="Arial" w:cs="Arial"/>
          <w:sz w:val="20"/>
          <w:szCs w:val="20"/>
        </w:rPr>
        <w:t xml:space="preserve"> </w:t>
      </w:r>
      <w:r w:rsidR="004601EC" w:rsidRPr="004908AF">
        <w:rPr>
          <w:rFonts w:ascii="Arial" w:hAnsi="Arial" w:cs="Arial"/>
          <w:sz w:val="20"/>
          <w:szCs w:val="20"/>
        </w:rPr>
        <w:t>channel</w:t>
      </w:r>
      <w:r w:rsidR="004908AF" w:rsidRPr="004908AF">
        <w:rPr>
          <w:rFonts w:ascii="Arial" w:hAnsi="Arial" w:cs="Arial"/>
          <w:sz w:val="20"/>
          <w:szCs w:val="20"/>
        </w:rPr>
        <w:t>s in the US</w:t>
      </w:r>
      <w:r w:rsidR="00BA32CB" w:rsidRPr="004908AF">
        <w:rPr>
          <w:rFonts w:ascii="Arial" w:hAnsi="Arial" w:cs="Arial"/>
          <w:sz w:val="20"/>
          <w:szCs w:val="20"/>
        </w:rPr>
        <w:t xml:space="preserve">, </w:t>
      </w:r>
      <w:r w:rsidR="006D22D7" w:rsidRPr="004908AF">
        <w:rPr>
          <w:rFonts w:ascii="Arial" w:hAnsi="Arial" w:cs="Arial"/>
          <w:sz w:val="20"/>
          <w:szCs w:val="20"/>
        </w:rPr>
        <w:t xml:space="preserve">which more than offset growth in the FDM </w:t>
      </w:r>
      <w:r w:rsidR="004908AF" w:rsidRPr="004908AF">
        <w:rPr>
          <w:rFonts w:ascii="Arial" w:hAnsi="Arial" w:cs="Arial"/>
          <w:sz w:val="20"/>
          <w:szCs w:val="20"/>
        </w:rPr>
        <w:t xml:space="preserve">and e-commerce </w:t>
      </w:r>
      <w:r w:rsidR="006D22D7" w:rsidRPr="004908AF">
        <w:rPr>
          <w:rFonts w:ascii="Arial" w:hAnsi="Arial" w:cs="Arial"/>
          <w:sz w:val="20"/>
          <w:szCs w:val="20"/>
        </w:rPr>
        <w:t>channel</w:t>
      </w:r>
      <w:r w:rsidR="00BA32CB" w:rsidRPr="004908AF">
        <w:rPr>
          <w:rFonts w:ascii="Arial" w:hAnsi="Arial" w:cs="Arial"/>
          <w:sz w:val="20"/>
          <w:szCs w:val="20"/>
        </w:rPr>
        <w:t>s</w:t>
      </w:r>
      <w:r w:rsidR="002D2A0B" w:rsidRPr="004908AF">
        <w:rPr>
          <w:rFonts w:ascii="Arial" w:hAnsi="Arial" w:cs="Arial"/>
          <w:sz w:val="20"/>
          <w:szCs w:val="20"/>
        </w:rPr>
        <w:t xml:space="preserve">. </w:t>
      </w:r>
      <w:r w:rsidR="00A01AE7" w:rsidRPr="004908AF">
        <w:rPr>
          <w:rFonts w:ascii="Arial" w:hAnsi="Arial" w:cs="Arial"/>
          <w:sz w:val="20"/>
          <w:szCs w:val="20"/>
        </w:rPr>
        <w:t xml:space="preserve">On the same basis, </w:t>
      </w:r>
      <w:r w:rsidR="00D20CA6" w:rsidRPr="004908AF">
        <w:rPr>
          <w:rFonts w:ascii="Arial" w:hAnsi="Arial" w:cs="Arial"/>
          <w:sz w:val="20"/>
          <w:szCs w:val="20"/>
        </w:rPr>
        <w:t>PN Americas delivered</w:t>
      </w:r>
      <w:r w:rsidR="00EA79DA" w:rsidRPr="004908AF">
        <w:rPr>
          <w:rFonts w:ascii="Arial" w:hAnsi="Arial" w:cs="Arial"/>
          <w:sz w:val="20"/>
          <w:szCs w:val="20"/>
        </w:rPr>
        <w:t xml:space="preserve"> revenue </w:t>
      </w:r>
      <w:r w:rsidR="00D20CA6" w:rsidRPr="004908AF">
        <w:rPr>
          <w:rFonts w:ascii="Arial" w:hAnsi="Arial" w:cs="Arial"/>
          <w:sz w:val="20"/>
          <w:szCs w:val="20"/>
        </w:rPr>
        <w:t>growth</w:t>
      </w:r>
      <w:r w:rsidR="004000A2" w:rsidRPr="004908AF">
        <w:rPr>
          <w:rFonts w:ascii="Arial" w:hAnsi="Arial" w:cs="Arial"/>
          <w:sz w:val="20"/>
          <w:szCs w:val="20"/>
        </w:rPr>
        <w:t xml:space="preserve"> of 9.6%</w:t>
      </w:r>
      <w:r w:rsidR="00D20CA6" w:rsidRPr="004908AF">
        <w:rPr>
          <w:rFonts w:ascii="Arial" w:hAnsi="Arial" w:cs="Arial"/>
          <w:sz w:val="20"/>
          <w:szCs w:val="20"/>
        </w:rPr>
        <w:t xml:space="preserve"> in the third quarter</w:t>
      </w:r>
      <w:r w:rsidR="004000A2" w:rsidRPr="004908AF">
        <w:rPr>
          <w:rFonts w:ascii="Arial" w:hAnsi="Arial" w:cs="Arial"/>
          <w:sz w:val="20"/>
          <w:szCs w:val="20"/>
        </w:rPr>
        <w:t>,</w:t>
      </w:r>
      <w:r w:rsidR="00D20CA6" w:rsidRPr="004908AF">
        <w:rPr>
          <w:rFonts w:ascii="Arial" w:hAnsi="Arial" w:cs="Arial"/>
          <w:sz w:val="20"/>
          <w:szCs w:val="20"/>
        </w:rPr>
        <w:t xml:space="preserve"> reflecting improved trends. </w:t>
      </w:r>
      <w:r w:rsidRPr="004908AF">
        <w:rPr>
          <w:rFonts w:ascii="Arial" w:hAnsi="Arial" w:cs="Arial"/>
          <w:sz w:val="20"/>
          <w:szCs w:val="20"/>
        </w:rPr>
        <w:t>PN International</w:t>
      </w:r>
      <w:r w:rsidR="004000A2" w:rsidRPr="004908AF">
        <w:rPr>
          <w:rFonts w:ascii="Arial" w:hAnsi="Arial" w:cs="Arial"/>
          <w:sz w:val="20"/>
          <w:szCs w:val="20"/>
        </w:rPr>
        <w:t xml:space="preserve"> like-for-like</w:t>
      </w:r>
      <w:r w:rsidRPr="004908AF">
        <w:rPr>
          <w:rFonts w:ascii="Arial" w:hAnsi="Arial" w:cs="Arial"/>
          <w:sz w:val="20"/>
          <w:szCs w:val="20"/>
        </w:rPr>
        <w:t xml:space="preserve"> revenue</w:t>
      </w:r>
      <w:r w:rsidR="00A01AE7" w:rsidRPr="004908AF">
        <w:rPr>
          <w:rFonts w:ascii="Arial" w:hAnsi="Arial" w:cs="Arial"/>
          <w:sz w:val="20"/>
          <w:szCs w:val="20"/>
        </w:rPr>
        <w:t xml:space="preserve">, excluding SlimFast and Body &amp; Fit, </w:t>
      </w:r>
      <w:r w:rsidR="002D2A0B" w:rsidRPr="004908AF">
        <w:rPr>
          <w:rFonts w:ascii="Arial" w:hAnsi="Arial" w:cs="Arial"/>
          <w:sz w:val="20"/>
          <w:szCs w:val="20"/>
        </w:rPr>
        <w:t>increased</w:t>
      </w:r>
      <w:r w:rsidRPr="004908AF">
        <w:rPr>
          <w:rFonts w:ascii="Arial" w:hAnsi="Arial" w:cs="Arial"/>
          <w:sz w:val="20"/>
          <w:szCs w:val="20"/>
        </w:rPr>
        <w:t xml:space="preserve"> by </w:t>
      </w:r>
      <w:r w:rsidR="00BA32CB" w:rsidRPr="004908AF">
        <w:rPr>
          <w:rFonts w:ascii="Arial" w:hAnsi="Arial" w:cs="Arial"/>
          <w:sz w:val="20"/>
          <w:szCs w:val="20"/>
        </w:rPr>
        <w:t>8</w:t>
      </w:r>
      <w:r w:rsidR="002D2A0B" w:rsidRPr="004908AF">
        <w:rPr>
          <w:rFonts w:ascii="Arial" w:hAnsi="Arial" w:cs="Arial"/>
          <w:sz w:val="20"/>
          <w:szCs w:val="20"/>
        </w:rPr>
        <w:t>.8</w:t>
      </w:r>
      <w:r w:rsidRPr="004908AF">
        <w:rPr>
          <w:rFonts w:ascii="Arial" w:hAnsi="Arial" w:cs="Arial"/>
          <w:sz w:val="20"/>
          <w:szCs w:val="20"/>
        </w:rPr>
        <w:t>%</w:t>
      </w:r>
      <w:r w:rsidR="00AA437D" w:rsidRPr="004908AF">
        <w:rPr>
          <w:rFonts w:ascii="Arial" w:hAnsi="Arial" w:cs="Arial"/>
          <w:sz w:val="20"/>
          <w:szCs w:val="20"/>
        </w:rPr>
        <w:t>, driven by volume and pricing growth across priority growth markets.</w:t>
      </w:r>
      <w:r w:rsidR="00AA437D">
        <w:rPr>
          <w:rFonts w:ascii="Arial" w:hAnsi="Arial" w:cs="Arial"/>
          <w:sz w:val="20"/>
          <w:szCs w:val="20"/>
        </w:rPr>
        <w:t xml:space="preserve"> </w:t>
      </w:r>
    </w:p>
    <w:p w14:paraId="5620D050" w14:textId="778C794A" w:rsidR="005971D1" w:rsidRDefault="005E66EB" w:rsidP="000142E5">
      <w:pPr>
        <w:jc w:val="both"/>
        <w:rPr>
          <w:rFonts w:ascii="Arial" w:hAnsi="Arial" w:cs="Arial"/>
          <w:sz w:val="20"/>
          <w:szCs w:val="20"/>
        </w:rPr>
      </w:pPr>
      <w:r w:rsidRPr="004F0296">
        <w:rPr>
          <w:rFonts w:ascii="Arial" w:hAnsi="Arial" w:cs="Arial"/>
          <w:sz w:val="20"/>
          <w:szCs w:val="20"/>
        </w:rPr>
        <w:t>O</w:t>
      </w:r>
      <w:r w:rsidR="00180355" w:rsidRPr="004F0296">
        <w:rPr>
          <w:rFonts w:ascii="Arial" w:hAnsi="Arial" w:cs="Arial"/>
          <w:sz w:val="20"/>
          <w:szCs w:val="20"/>
        </w:rPr>
        <w:t>ptimum Nutrition</w:t>
      </w:r>
      <w:r w:rsidRPr="004F0296">
        <w:rPr>
          <w:rFonts w:ascii="Arial" w:hAnsi="Arial" w:cs="Arial"/>
          <w:sz w:val="20"/>
          <w:szCs w:val="20"/>
        </w:rPr>
        <w:t xml:space="preserve"> delivered </w:t>
      </w:r>
      <w:r w:rsidR="00A01AE7">
        <w:rPr>
          <w:rFonts w:ascii="Arial" w:hAnsi="Arial" w:cs="Arial"/>
          <w:sz w:val="20"/>
          <w:szCs w:val="20"/>
        </w:rPr>
        <w:t xml:space="preserve">accelerating </w:t>
      </w:r>
      <w:r w:rsidRPr="004F0296">
        <w:rPr>
          <w:rFonts w:ascii="Arial" w:hAnsi="Arial" w:cs="Arial"/>
          <w:sz w:val="20"/>
          <w:szCs w:val="20"/>
        </w:rPr>
        <w:t>US consumption</w:t>
      </w:r>
      <w:r w:rsidR="00A41B20" w:rsidRPr="00A41B20">
        <w:rPr>
          <w:rFonts w:ascii="Arial" w:hAnsi="Arial" w:cs="Arial"/>
          <w:sz w:val="20"/>
          <w:szCs w:val="20"/>
          <w:vertAlign w:val="superscript"/>
        </w:rPr>
        <w:t>2</w:t>
      </w:r>
      <w:r w:rsidRPr="004F0296">
        <w:rPr>
          <w:rFonts w:ascii="Arial" w:hAnsi="Arial" w:cs="Arial"/>
          <w:sz w:val="20"/>
          <w:szCs w:val="20"/>
        </w:rPr>
        <w:t xml:space="preserve"> </w:t>
      </w:r>
      <w:r w:rsidR="00B36A7E">
        <w:rPr>
          <w:rFonts w:ascii="Arial" w:hAnsi="Arial" w:cs="Arial"/>
          <w:sz w:val="20"/>
          <w:szCs w:val="20"/>
        </w:rPr>
        <w:t xml:space="preserve">growth </w:t>
      </w:r>
      <w:r w:rsidR="004F0296" w:rsidRPr="004F0296">
        <w:rPr>
          <w:rFonts w:ascii="Arial" w:hAnsi="Arial" w:cs="Arial"/>
          <w:sz w:val="20"/>
          <w:szCs w:val="20"/>
        </w:rPr>
        <w:t xml:space="preserve">of </w:t>
      </w:r>
      <w:r w:rsidR="00E67211">
        <w:rPr>
          <w:rFonts w:ascii="Arial" w:eastAsia="HelveticaNeueLT Std Lt" w:hAnsi="Arial" w:cs="Arial"/>
          <w:sz w:val="20"/>
          <w:szCs w:val="20"/>
        </w:rPr>
        <w:t>8.8</w:t>
      </w:r>
      <w:r w:rsidR="004F0296" w:rsidRPr="003165EE">
        <w:rPr>
          <w:rFonts w:ascii="Arial" w:eastAsia="HelveticaNeueLT Std Lt" w:hAnsi="Arial" w:cs="Arial"/>
          <w:sz w:val="20"/>
          <w:szCs w:val="20"/>
        </w:rPr>
        <w:t>%</w:t>
      </w:r>
      <w:r w:rsidR="00436A51">
        <w:rPr>
          <w:rFonts w:ascii="Arial" w:eastAsia="HelveticaNeueLT Std Lt" w:hAnsi="Arial" w:cs="Arial"/>
          <w:sz w:val="20"/>
          <w:szCs w:val="20"/>
        </w:rPr>
        <w:t xml:space="preserve"> and the </w:t>
      </w:r>
      <w:r w:rsidR="00436A51" w:rsidRPr="00561887">
        <w:rPr>
          <w:rFonts w:ascii="Arial" w:hAnsi="Arial" w:cs="Arial"/>
          <w:sz w:val="20"/>
          <w:szCs w:val="20"/>
        </w:rPr>
        <w:t xml:space="preserve">healthy lifestyle portfolio delivered </w:t>
      </w:r>
      <w:r w:rsidR="00A01AE7">
        <w:rPr>
          <w:rFonts w:ascii="Arial" w:hAnsi="Arial" w:cs="Arial"/>
          <w:sz w:val="20"/>
          <w:szCs w:val="20"/>
        </w:rPr>
        <w:t xml:space="preserve">improved </w:t>
      </w:r>
      <w:r w:rsidR="00436A51" w:rsidRPr="00561887">
        <w:rPr>
          <w:rFonts w:ascii="Arial" w:hAnsi="Arial" w:cs="Arial"/>
          <w:sz w:val="20"/>
          <w:szCs w:val="20"/>
        </w:rPr>
        <w:t>US consumption</w:t>
      </w:r>
      <w:r w:rsidR="004908AF">
        <w:rPr>
          <w:rFonts w:ascii="Arial" w:hAnsi="Arial" w:cs="Arial"/>
          <w:sz w:val="20"/>
          <w:szCs w:val="20"/>
          <w:vertAlign w:val="superscript"/>
        </w:rPr>
        <w:t>2</w:t>
      </w:r>
      <w:r w:rsidR="00436A51" w:rsidRPr="00561887">
        <w:rPr>
          <w:rFonts w:ascii="Arial" w:hAnsi="Arial" w:cs="Arial"/>
          <w:sz w:val="20"/>
          <w:szCs w:val="20"/>
        </w:rPr>
        <w:t xml:space="preserve"> </w:t>
      </w:r>
      <w:r w:rsidR="00436A51">
        <w:rPr>
          <w:rFonts w:ascii="Arial" w:hAnsi="Arial" w:cs="Arial"/>
          <w:sz w:val="20"/>
          <w:szCs w:val="20"/>
        </w:rPr>
        <w:t xml:space="preserve">growth </w:t>
      </w:r>
      <w:r w:rsidR="00436A51" w:rsidRPr="00561887">
        <w:rPr>
          <w:rFonts w:ascii="Arial" w:hAnsi="Arial" w:cs="Arial"/>
          <w:sz w:val="20"/>
          <w:szCs w:val="20"/>
        </w:rPr>
        <w:t xml:space="preserve">of </w:t>
      </w:r>
      <w:r w:rsidR="00436A51">
        <w:rPr>
          <w:rFonts w:ascii="Arial" w:eastAsia="HelveticaNeueLT Std Lt" w:hAnsi="Arial" w:cs="Arial"/>
          <w:sz w:val="20"/>
          <w:szCs w:val="20"/>
        </w:rPr>
        <w:t>6.8</w:t>
      </w:r>
      <w:r w:rsidR="00436A51" w:rsidRPr="00561887">
        <w:rPr>
          <w:rFonts w:ascii="Arial" w:hAnsi="Arial" w:cs="Arial"/>
          <w:sz w:val="20"/>
          <w:szCs w:val="20"/>
        </w:rPr>
        <w:t>%</w:t>
      </w:r>
      <w:r w:rsidR="00505944" w:rsidRPr="003165EE">
        <w:rPr>
          <w:rFonts w:ascii="Arial" w:hAnsi="Arial" w:cs="Arial"/>
          <w:sz w:val="20"/>
          <w:szCs w:val="20"/>
        </w:rPr>
        <w:t>,</w:t>
      </w:r>
      <w:r w:rsidR="001A1C38" w:rsidRPr="004F0296">
        <w:rPr>
          <w:rFonts w:ascii="Arial" w:hAnsi="Arial" w:cs="Arial"/>
          <w:sz w:val="20"/>
          <w:szCs w:val="20"/>
        </w:rPr>
        <w:t xml:space="preserve"> with </w:t>
      </w:r>
      <w:r w:rsidR="004A369F">
        <w:rPr>
          <w:rFonts w:ascii="Arial" w:hAnsi="Arial" w:cs="Arial"/>
          <w:sz w:val="20"/>
          <w:szCs w:val="20"/>
        </w:rPr>
        <w:t>strong</w:t>
      </w:r>
      <w:r w:rsidR="00C56F8A">
        <w:rPr>
          <w:rFonts w:ascii="Arial" w:hAnsi="Arial" w:cs="Arial"/>
          <w:sz w:val="20"/>
          <w:szCs w:val="20"/>
        </w:rPr>
        <w:t xml:space="preserve"> growth in the online and FDM channels</w:t>
      </w:r>
      <w:r w:rsidR="0054144A">
        <w:rPr>
          <w:rFonts w:ascii="Arial" w:hAnsi="Arial" w:cs="Arial"/>
          <w:sz w:val="20"/>
          <w:szCs w:val="20"/>
        </w:rPr>
        <w:t xml:space="preserve"> across </w:t>
      </w:r>
      <w:r w:rsidR="00CD0217">
        <w:rPr>
          <w:rFonts w:ascii="Arial" w:hAnsi="Arial" w:cs="Arial"/>
          <w:sz w:val="20"/>
          <w:szCs w:val="20"/>
        </w:rPr>
        <w:t>Optimum Nutrition and Isopure</w:t>
      </w:r>
      <w:r w:rsidR="000375D1">
        <w:rPr>
          <w:rFonts w:ascii="Arial" w:hAnsi="Arial" w:cs="Arial"/>
          <w:sz w:val="20"/>
          <w:szCs w:val="20"/>
        </w:rPr>
        <w:t>.</w:t>
      </w:r>
      <w:r w:rsidRPr="004F0296">
        <w:rPr>
          <w:rFonts w:ascii="Arial" w:hAnsi="Arial" w:cs="Arial"/>
          <w:sz w:val="20"/>
          <w:szCs w:val="20"/>
        </w:rPr>
        <w:t xml:space="preserve"> </w:t>
      </w:r>
      <w:bookmarkStart w:id="1" w:name="_Hlk118197486"/>
    </w:p>
    <w:p w14:paraId="66179036" w14:textId="53EA48AD" w:rsidR="004C1485" w:rsidRPr="000142E5" w:rsidRDefault="004C1485" w:rsidP="000142E5">
      <w:pPr>
        <w:jc w:val="both"/>
        <w:rPr>
          <w:rFonts w:ascii="Arial" w:hAnsi="Arial" w:cs="Arial"/>
          <w:b/>
          <w:color w:val="283A59"/>
          <w:sz w:val="20"/>
          <w:szCs w:val="20"/>
        </w:rPr>
      </w:pPr>
      <w:bookmarkStart w:id="2" w:name="_Hlk117083693"/>
      <w:bookmarkEnd w:id="0"/>
      <w:bookmarkEnd w:id="1"/>
      <w:r w:rsidRPr="000142E5">
        <w:rPr>
          <w:rFonts w:ascii="Arial" w:hAnsi="Arial" w:cs="Arial"/>
          <w:b/>
          <w:color w:val="283A59"/>
          <w:sz w:val="20"/>
          <w:szCs w:val="20"/>
        </w:rPr>
        <w:t>Health &amp; Nutrition</w:t>
      </w:r>
    </w:p>
    <w:p w14:paraId="4F971F79" w14:textId="2E83DD0E" w:rsidR="004C1485" w:rsidRPr="000142E5" w:rsidRDefault="00093D07" w:rsidP="000142E5">
      <w:pPr>
        <w:jc w:val="both"/>
        <w:rPr>
          <w:rFonts w:ascii="Arial" w:hAnsi="Arial" w:cs="Arial"/>
          <w:sz w:val="20"/>
          <w:szCs w:val="20"/>
        </w:rPr>
      </w:pPr>
      <w:r>
        <w:rPr>
          <w:rFonts w:ascii="Arial" w:hAnsi="Arial" w:cs="Arial"/>
          <w:sz w:val="20"/>
          <w:szCs w:val="20"/>
        </w:rPr>
        <w:t>Health &amp; Nutrition is a l</w:t>
      </w:r>
      <w:r w:rsidR="004A3E65">
        <w:rPr>
          <w:rFonts w:ascii="Arial" w:hAnsi="Arial" w:cs="Arial"/>
          <w:sz w:val="20"/>
          <w:szCs w:val="20"/>
        </w:rPr>
        <w:t xml:space="preserve">eading </w:t>
      </w:r>
      <w:r>
        <w:rPr>
          <w:rFonts w:ascii="Arial" w:hAnsi="Arial" w:cs="Arial"/>
          <w:sz w:val="20"/>
          <w:szCs w:val="20"/>
        </w:rPr>
        <w:t>global ingredient solutions business, providing</w:t>
      </w:r>
      <w:r w:rsidR="00966A62">
        <w:rPr>
          <w:rFonts w:ascii="Arial" w:hAnsi="Arial" w:cs="Arial"/>
          <w:sz w:val="20"/>
          <w:szCs w:val="20"/>
        </w:rPr>
        <w:t xml:space="preserve"> value added</w:t>
      </w:r>
      <w:r>
        <w:rPr>
          <w:rFonts w:ascii="Arial" w:hAnsi="Arial" w:cs="Arial"/>
          <w:sz w:val="20"/>
          <w:szCs w:val="20"/>
        </w:rPr>
        <w:t xml:space="preserve"> ingredient and flavour</w:t>
      </w:r>
      <w:r w:rsidR="004A3E65">
        <w:rPr>
          <w:rFonts w:ascii="Arial" w:hAnsi="Arial" w:cs="Arial"/>
          <w:sz w:val="20"/>
          <w:szCs w:val="20"/>
        </w:rPr>
        <w:t xml:space="preserve"> solutions </w:t>
      </w:r>
      <w:r>
        <w:rPr>
          <w:rFonts w:ascii="Arial" w:hAnsi="Arial" w:cs="Arial"/>
          <w:sz w:val="20"/>
          <w:szCs w:val="20"/>
        </w:rPr>
        <w:t>to</w:t>
      </w:r>
      <w:r w:rsidR="004A3E65">
        <w:rPr>
          <w:rFonts w:ascii="Arial" w:hAnsi="Arial" w:cs="Arial"/>
          <w:sz w:val="20"/>
          <w:szCs w:val="20"/>
        </w:rPr>
        <w:t xml:space="preserve"> a range of </w:t>
      </w:r>
      <w:r>
        <w:rPr>
          <w:rFonts w:ascii="Arial" w:hAnsi="Arial" w:cs="Arial"/>
          <w:sz w:val="20"/>
          <w:szCs w:val="20"/>
        </w:rPr>
        <w:t xml:space="preserve">attractive, high-growth </w:t>
      </w:r>
      <w:r w:rsidR="004A3E65">
        <w:rPr>
          <w:rFonts w:ascii="Arial" w:hAnsi="Arial" w:cs="Arial"/>
          <w:sz w:val="20"/>
          <w:szCs w:val="20"/>
        </w:rPr>
        <w:t>end markets</w:t>
      </w:r>
      <w:r>
        <w:rPr>
          <w:rFonts w:ascii="Arial" w:hAnsi="Arial" w:cs="Arial"/>
          <w:sz w:val="20"/>
          <w:szCs w:val="20"/>
        </w:rPr>
        <w:t>.</w:t>
      </w:r>
      <w:r w:rsidR="004A3E65">
        <w:rPr>
          <w:rFonts w:ascii="Arial" w:hAnsi="Arial" w:cs="Arial"/>
          <w:sz w:val="20"/>
          <w:szCs w:val="20"/>
        </w:rPr>
        <w:t xml:space="preserve"> </w:t>
      </w:r>
      <w:r w:rsidR="004C1485" w:rsidRPr="000142E5">
        <w:rPr>
          <w:rFonts w:ascii="Arial" w:hAnsi="Arial" w:cs="Arial"/>
          <w:sz w:val="20"/>
          <w:szCs w:val="20"/>
        </w:rPr>
        <w:t xml:space="preserve">H&amp;N revenue increased by </w:t>
      </w:r>
      <w:r w:rsidR="00B36A7E">
        <w:rPr>
          <w:rFonts w:ascii="Arial" w:hAnsi="Arial" w:cs="Arial"/>
          <w:sz w:val="20"/>
          <w:szCs w:val="20"/>
        </w:rPr>
        <w:t>11.5</w:t>
      </w:r>
      <w:r w:rsidR="00C56F8A">
        <w:rPr>
          <w:rFonts w:ascii="Arial" w:hAnsi="Arial" w:cs="Arial"/>
          <w:sz w:val="20"/>
          <w:szCs w:val="20"/>
        </w:rPr>
        <w:t>%</w:t>
      </w:r>
      <w:r w:rsidR="003C2CDB">
        <w:rPr>
          <w:rFonts w:ascii="Arial" w:hAnsi="Arial" w:cs="Arial"/>
          <w:sz w:val="20"/>
          <w:szCs w:val="20"/>
        </w:rPr>
        <w:t xml:space="preserve"> in the period</w:t>
      </w:r>
      <w:r w:rsidR="004000A2">
        <w:rPr>
          <w:rFonts w:ascii="Arial" w:hAnsi="Arial" w:cs="Arial"/>
          <w:sz w:val="20"/>
          <w:szCs w:val="20"/>
        </w:rPr>
        <w:t>,</w:t>
      </w:r>
      <w:r w:rsidR="004C1485" w:rsidRPr="000142E5">
        <w:rPr>
          <w:rFonts w:ascii="Arial" w:hAnsi="Arial" w:cs="Arial"/>
          <w:sz w:val="20"/>
          <w:szCs w:val="20"/>
        </w:rPr>
        <w:t xml:space="preserve"> driven by a </w:t>
      </w:r>
      <w:r w:rsidR="000375D1">
        <w:rPr>
          <w:rFonts w:ascii="Arial" w:hAnsi="Arial" w:cs="Arial"/>
          <w:sz w:val="20"/>
          <w:szCs w:val="20"/>
        </w:rPr>
        <w:t>6.</w:t>
      </w:r>
      <w:r w:rsidR="00B36A7E">
        <w:rPr>
          <w:rFonts w:ascii="Arial" w:hAnsi="Arial" w:cs="Arial"/>
          <w:sz w:val="20"/>
          <w:szCs w:val="20"/>
        </w:rPr>
        <w:t>9</w:t>
      </w:r>
      <w:r w:rsidR="004C1485" w:rsidRPr="000142E5">
        <w:rPr>
          <w:rFonts w:ascii="Arial" w:hAnsi="Arial" w:cs="Arial"/>
          <w:sz w:val="20"/>
          <w:szCs w:val="20"/>
        </w:rPr>
        <w:t xml:space="preserve">% increase in volume, a </w:t>
      </w:r>
      <w:r w:rsidR="000375D1">
        <w:rPr>
          <w:rFonts w:ascii="Arial" w:hAnsi="Arial" w:cs="Arial"/>
          <w:sz w:val="20"/>
          <w:szCs w:val="20"/>
        </w:rPr>
        <w:t>-0.</w:t>
      </w:r>
      <w:r w:rsidR="00B36A7E">
        <w:rPr>
          <w:rFonts w:ascii="Arial" w:hAnsi="Arial" w:cs="Arial"/>
          <w:sz w:val="20"/>
          <w:szCs w:val="20"/>
        </w:rPr>
        <w:t>8</w:t>
      </w:r>
      <w:r w:rsidR="004C1485" w:rsidRPr="000142E5">
        <w:rPr>
          <w:rFonts w:ascii="Arial" w:hAnsi="Arial" w:cs="Arial"/>
          <w:sz w:val="20"/>
          <w:szCs w:val="20"/>
        </w:rPr>
        <w:t>%</w:t>
      </w:r>
      <w:r w:rsidR="000375D1">
        <w:rPr>
          <w:rFonts w:ascii="Arial" w:hAnsi="Arial" w:cs="Arial"/>
          <w:sz w:val="20"/>
          <w:szCs w:val="20"/>
        </w:rPr>
        <w:t xml:space="preserve"> </w:t>
      </w:r>
      <w:r w:rsidR="004C1485" w:rsidRPr="000142E5">
        <w:rPr>
          <w:rFonts w:ascii="Arial" w:hAnsi="Arial" w:cs="Arial"/>
          <w:sz w:val="20"/>
          <w:szCs w:val="20"/>
        </w:rPr>
        <w:t xml:space="preserve">decrease in price, an increase of </w:t>
      </w:r>
      <w:r w:rsidR="00B36A7E">
        <w:rPr>
          <w:rFonts w:ascii="Arial" w:hAnsi="Arial" w:cs="Arial"/>
          <w:sz w:val="20"/>
          <w:szCs w:val="20"/>
        </w:rPr>
        <w:t>7.</w:t>
      </w:r>
      <w:r w:rsidR="003F1B7C">
        <w:rPr>
          <w:rFonts w:ascii="Arial" w:hAnsi="Arial" w:cs="Arial"/>
          <w:sz w:val="20"/>
          <w:szCs w:val="20"/>
        </w:rPr>
        <w:t>6</w:t>
      </w:r>
      <w:r w:rsidR="004C1485" w:rsidRPr="000142E5">
        <w:rPr>
          <w:rFonts w:ascii="Arial" w:hAnsi="Arial" w:cs="Arial"/>
          <w:sz w:val="20"/>
          <w:szCs w:val="20"/>
        </w:rPr>
        <w:t xml:space="preserve">% from the impact of </w:t>
      </w:r>
      <w:r w:rsidR="00C125FC">
        <w:rPr>
          <w:rFonts w:ascii="Arial" w:hAnsi="Arial" w:cs="Arial"/>
          <w:sz w:val="20"/>
          <w:szCs w:val="20"/>
        </w:rPr>
        <w:t>the</w:t>
      </w:r>
      <w:r w:rsidR="009B4047">
        <w:rPr>
          <w:rFonts w:ascii="Arial" w:hAnsi="Arial" w:cs="Arial"/>
          <w:sz w:val="20"/>
          <w:szCs w:val="20"/>
        </w:rPr>
        <w:t xml:space="preserve"> F</w:t>
      </w:r>
      <w:r w:rsidR="00DE2449">
        <w:rPr>
          <w:rFonts w:ascii="Arial" w:hAnsi="Arial" w:cs="Arial"/>
          <w:sz w:val="20"/>
          <w:szCs w:val="20"/>
        </w:rPr>
        <w:t>lavor Producers and Sweetmix</w:t>
      </w:r>
      <w:r w:rsidR="00C125FC">
        <w:rPr>
          <w:rFonts w:ascii="Arial" w:hAnsi="Arial" w:cs="Arial"/>
          <w:sz w:val="20"/>
          <w:szCs w:val="20"/>
        </w:rPr>
        <w:t xml:space="preserve"> acquisition</w:t>
      </w:r>
      <w:r w:rsidR="00B36A7E">
        <w:rPr>
          <w:rFonts w:ascii="Arial" w:hAnsi="Arial" w:cs="Arial"/>
          <w:sz w:val="20"/>
          <w:szCs w:val="20"/>
        </w:rPr>
        <w:t>s</w:t>
      </w:r>
      <w:r w:rsidR="00B61C11">
        <w:rPr>
          <w:rFonts w:ascii="Arial" w:hAnsi="Arial" w:cs="Arial"/>
          <w:sz w:val="20"/>
          <w:szCs w:val="20"/>
        </w:rPr>
        <w:t xml:space="preserve">, </w:t>
      </w:r>
      <w:r w:rsidR="004000A2">
        <w:rPr>
          <w:rFonts w:ascii="Arial" w:hAnsi="Arial" w:cs="Arial"/>
          <w:sz w:val="20"/>
          <w:szCs w:val="20"/>
        </w:rPr>
        <w:t xml:space="preserve">partly </w:t>
      </w:r>
      <w:r w:rsidR="00B61C11">
        <w:rPr>
          <w:rFonts w:ascii="Arial" w:hAnsi="Arial" w:cs="Arial"/>
          <w:sz w:val="20"/>
          <w:szCs w:val="20"/>
        </w:rPr>
        <w:t>offset by</w:t>
      </w:r>
      <w:r w:rsidR="00B36A7E">
        <w:rPr>
          <w:rFonts w:ascii="Arial" w:hAnsi="Arial" w:cs="Arial"/>
          <w:sz w:val="20"/>
          <w:szCs w:val="20"/>
        </w:rPr>
        <w:t xml:space="preserve"> a -2.2% decrease from the impact of the 53</w:t>
      </w:r>
      <w:r w:rsidR="00B36A7E" w:rsidRPr="00B36A7E">
        <w:rPr>
          <w:rFonts w:ascii="Arial" w:hAnsi="Arial" w:cs="Arial"/>
          <w:sz w:val="20"/>
          <w:szCs w:val="20"/>
          <w:vertAlign w:val="superscript"/>
        </w:rPr>
        <w:t>rd</w:t>
      </w:r>
      <w:r w:rsidR="00B36A7E">
        <w:rPr>
          <w:rFonts w:ascii="Arial" w:hAnsi="Arial" w:cs="Arial"/>
          <w:sz w:val="20"/>
          <w:szCs w:val="20"/>
        </w:rPr>
        <w:t xml:space="preserve"> week</w:t>
      </w:r>
      <w:r w:rsidR="00266D62">
        <w:rPr>
          <w:rFonts w:ascii="Arial" w:hAnsi="Arial" w:cs="Arial"/>
          <w:sz w:val="20"/>
          <w:szCs w:val="20"/>
        </w:rPr>
        <w:t xml:space="preserve"> in the prior year</w:t>
      </w:r>
      <w:r w:rsidR="00B36A7E">
        <w:rPr>
          <w:rFonts w:ascii="Arial" w:hAnsi="Arial" w:cs="Arial"/>
          <w:sz w:val="20"/>
          <w:szCs w:val="20"/>
        </w:rPr>
        <w:t xml:space="preserve">. </w:t>
      </w:r>
      <w:r w:rsidR="00B77F9E">
        <w:rPr>
          <w:rFonts w:ascii="Arial" w:hAnsi="Arial" w:cs="Arial"/>
          <w:sz w:val="20"/>
          <w:szCs w:val="20"/>
        </w:rPr>
        <w:t>V</w:t>
      </w:r>
      <w:r w:rsidR="004C1485" w:rsidRPr="000142E5">
        <w:rPr>
          <w:rFonts w:ascii="Arial" w:hAnsi="Arial" w:cs="Arial"/>
          <w:sz w:val="20"/>
          <w:szCs w:val="20"/>
        </w:rPr>
        <w:t xml:space="preserve">olume growth was driven by a strong performance in </w:t>
      </w:r>
      <w:r w:rsidR="00824BE2">
        <w:rPr>
          <w:rFonts w:ascii="Arial" w:hAnsi="Arial" w:cs="Arial"/>
          <w:sz w:val="20"/>
          <w:szCs w:val="20"/>
        </w:rPr>
        <w:t>EMEA and ASPAC</w:t>
      </w:r>
      <w:r w:rsidR="00B36A7E">
        <w:rPr>
          <w:rFonts w:ascii="Arial" w:hAnsi="Arial" w:cs="Arial"/>
          <w:sz w:val="20"/>
          <w:szCs w:val="20"/>
        </w:rPr>
        <w:t xml:space="preserve"> with continued momentum in key end-use markets</w:t>
      </w:r>
      <w:r w:rsidR="004C1485" w:rsidRPr="000142E5">
        <w:rPr>
          <w:rFonts w:ascii="Arial" w:hAnsi="Arial" w:cs="Arial"/>
          <w:sz w:val="20"/>
          <w:szCs w:val="20"/>
        </w:rPr>
        <w:t>.</w:t>
      </w:r>
      <w:r w:rsidR="00824BE2">
        <w:rPr>
          <w:rFonts w:ascii="Arial" w:hAnsi="Arial" w:cs="Arial"/>
          <w:sz w:val="20"/>
          <w:szCs w:val="20"/>
        </w:rPr>
        <w:t xml:space="preserve"> </w:t>
      </w:r>
      <w:r w:rsidR="004A369F">
        <w:rPr>
          <w:rFonts w:ascii="Arial" w:hAnsi="Arial" w:cs="Arial"/>
          <w:sz w:val="20"/>
          <w:szCs w:val="20"/>
        </w:rPr>
        <w:t>The price decline was driven by certain pass through pricing with customers.</w:t>
      </w:r>
      <w:r w:rsidR="00436A51">
        <w:rPr>
          <w:rFonts w:ascii="Arial" w:hAnsi="Arial" w:cs="Arial"/>
          <w:sz w:val="20"/>
          <w:szCs w:val="20"/>
        </w:rPr>
        <w:t xml:space="preserve"> </w:t>
      </w:r>
    </w:p>
    <w:p w14:paraId="10B3ACBC" w14:textId="170BA7D7" w:rsidR="004C1485" w:rsidRPr="000142E5" w:rsidRDefault="004C1485" w:rsidP="000142E5">
      <w:pPr>
        <w:jc w:val="both"/>
        <w:rPr>
          <w:rFonts w:ascii="Arial" w:hAnsi="Arial" w:cs="Arial"/>
          <w:b/>
          <w:color w:val="283A59"/>
          <w:sz w:val="20"/>
          <w:szCs w:val="20"/>
        </w:rPr>
      </w:pPr>
      <w:r w:rsidRPr="000142E5">
        <w:rPr>
          <w:rFonts w:ascii="Arial" w:hAnsi="Arial" w:cs="Arial"/>
          <w:b/>
          <w:color w:val="283A59"/>
          <w:sz w:val="20"/>
          <w:szCs w:val="20"/>
        </w:rPr>
        <w:t>Dairy Nutrition</w:t>
      </w:r>
    </w:p>
    <w:p w14:paraId="73514692" w14:textId="293E43E0" w:rsidR="004C1485" w:rsidRDefault="00093D07" w:rsidP="000142E5">
      <w:pPr>
        <w:jc w:val="both"/>
        <w:rPr>
          <w:rFonts w:ascii="Arial" w:hAnsi="Arial" w:cs="Arial"/>
          <w:sz w:val="20"/>
          <w:szCs w:val="20"/>
        </w:rPr>
      </w:pPr>
      <w:r>
        <w:rPr>
          <w:rFonts w:ascii="Arial" w:hAnsi="Arial" w:cs="Arial"/>
          <w:sz w:val="20"/>
          <w:szCs w:val="20"/>
        </w:rPr>
        <w:t xml:space="preserve">Dairy Nutrition is </w:t>
      </w:r>
      <w:r w:rsidR="00B36A7E">
        <w:rPr>
          <w:rFonts w:ascii="Arial" w:hAnsi="Arial" w:cs="Arial"/>
          <w:sz w:val="20"/>
          <w:szCs w:val="20"/>
        </w:rPr>
        <w:t>a leading</w:t>
      </w:r>
      <w:r w:rsidR="002C54BA">
        <w:rPr>
          <w:rFonts w:ascii="Arial" w:hAnsi="Arial" w:cs="Arial"/>
          <w:sz w:val="20"/>
          <w:szCs w:val="20"/>
        </w:rPr>
        <w:t xml:space="preserve"> producer of whey protein</w:t>
      </w:r>
      <w:r w:rsidR="000D3F63">
        <w:rPr>
          <w:rFonts w:ascii="Arial" w:hAnsi="Arial" w:cs="Arial"/>
          <w:sz w:val="20"/>
          <w:szCs w:val="20"/>
        </w:rPr>
        <w:t xml:space="preserve">s </w:t>
      </w:r>
      <w:r w:rsidR="002C54BA">
        <w:rPr>
          <w:rFonts w:ascii="Arial" w:hAnsi="Arial" w:cs="Arial"/>
          <w:sz w:val="20"/>
          <w:szCs w:val="20"/>
        </w:rPr>
        <w:t>and the number one producer of American</w:t>
      </w:r>
      <w:r>
        <w:rPr>
          <w:rFonts w:ascii="Arial" w:hAnsi="Arial" w:cs="Arial"/>
          <w:sz w:val="20"/>
          <w:szCs w:val="20"/>
        </w:rPr>
        <w:t xml:space="preserve">-style cheddar cheese in the US and provides a wide range of dairy </w:t>
      </w:r>
      <w:proofErr w:type="spellStart"/>
      <w:r w:rsidR="000D3F63">
        <w:rPr>
          <w:rFonts w:ascii="Arial" w:hAnsi="Arial" w:cs="Arial"/>
          <w:sz w:val="20"/>
          <w:szCs w:val="20"/>
        </w:rPr>
        <w:t>bioactives</w:t>
      </w:r>
      <w:proofErr w:type="spellEnd"/>
      <w:r w:rsidR="000D3F63">
        <w:rPr>
          <w:rFonts w:ascii="Arial" w:hAnsi="Arial" w:cs="Arial"/>
          <w:sz w:val="20"/>
          <w:szCs w:val="20"/>
        </w:rPr>
        <w:t xml:space="preserve"> </w:t>
      </w:r>
      <w:r>
        <w:rPr>
          <w:rFonts w:ascii="Arial" w:hAnsi="Arial" w:cs="Arial"/>
          <w:sz w:val="20"/>
          <w:szCs w:val="20"/>
        </w:rPr>
        <w:t>and functional protein solutions</w:t>
      </w:r>
      <w:r w:rsidR="004A3E65">
        <w:rPr>
          <w:rFonts w:ascii="Arial" w:hAnsi="Arial" w:cs="Arial"/>
          <w:sz w:val="20"/>
          <w:szCs w:val="20"/>
        </w:rPr>
        <w:t xml:space="preserve">. </w:t>
      </w:r>
      <w:r w:rsidR="004C1485" w:rsidRPr="000142E5">
        <w:rPr>
          <w:rFonts w:ascii="Arial" w:hAnsi="Arial" w:cs="Arial"/>
          <w:sz w:val="20"/>
          <w:szCs w:val="20"/>
        </w:rPr>
        <w:t xml:space="preserve">DN revenue increased by </w:t>
      </w:r>
      <w:r w:rsidR="00B36A7E">
        <w:rPr>
          <w:rFonts w:ascii="Arial" w:hAnsi="Arial" w:cs="Arial"/>
          <w:sz w:val="20"/>
          <w:szCs w:val="20"/>
        </w:rPr>
        <w:t>3.2</w:t>
      </w:r>
      <w:r w:rsidR="004000A2">
        <w:rPr>
          <w:rFonts w:ascii="Arial" w:hAnsi="Arial" w:cs="Arial"/>
          <w:sz w:val="20"/>
          <w:szCs w:val="20"/>
        </w:rPr>
        <w:t>%,</w:t>
      </w:r>
      <w:r w:rsidR="004C1485" w:rsidRPr="000142E5">
        <w:rPr>
          <w:rFonts w:ascii="Arial" w:hAnsi="Arial" w:cs="Arial"/>
          <w:sz w:val="20"/>
          <w:szCs w:val="20"/>
        </w:rPr>
        <w:t xml:space="preserve"> driven by a </w:t>
      </w:r>
      <w:r w:rsidR="000375D1">
        <w:rPr>
          <w:rFonts w:ascii="Arial" w:hAnsi="Arial" w:cs="Arial"/>
          <w:sz w:val="20"/>
          <w:szCs w:val="20"/>
        </w:rPr>
        <w:t>3.</w:t>
      </w:r>
      <w:r w:rsidR="00B36A7E">
        <w:rPr>
          <w:rFonts w:ascii="Arial" w:hAnsi="Arial" w:cs="Arial"/>
          <w:sz w:val="20"/>
          <w:szCs w:val="20"/>
        </w:rPr>
        <w:t>5</w:t>
      </w:r>
      <w:r w:rsidR="004C1485" w:rsidRPr="000142E5">
        <w:rPr>
          <w:rFonts w:ascii="Arial" w:hAnsi="Arial" w:cs="Arial"/>
          <w:sz w:val="20"/>
          <w:szCs w:val="20"/>
        </w:rPr>
        <w:t>% increase in volume</w:t>
      </w:r>
      <w:r w:rsidR="00B36A7E">
        <w:rPr>
          <w:rFonts w:ascii="Arial" w:hAnsi="Arial" w:cs="Arial"/>
          <w:sz w:val="20"/>
          <w:szCs w:val="20"/>
        </w:rPr>
        <w:t xml:space="preserve">, </w:t>
      </w:r>
      <w:r w:rsidR="004C1485" w:rsidRPr="000142E5">
        <w:rPr>
          <w:rFonts w:ascii="Arial" w:hAnsi="Arial" w:cs="Arial"/>
          <w:sz w:val="20"/>
          <w:szCs w:val="20"/>
        </w:rPr>
        <w:t xml:space="preserve">a </w:t>
      </w:r>
      <w:r w:rsidR="00B36A7E">
        <w:rPr>
          <w:rFonts w:ascii="Arial" w:hAnsi="Arial" w:cs="Arial"/>
          <w:sz w:val="20"/>
          <w:szCs w:val="20"/>
        </w:rPr>
        <w:t>2.6</w:t>
      </w:r>
      <w:r w:rsidR="004C1485" w:rsidRPr="000142E5">
        <w:rPr>
          <w:rFonts w:ascii="Arial" w:hAnsi="Arial" w:cs="Arial"/>
          <w:sz w:val="20"/>
          <w:szCs w:val="20"/>
        </w:rPr>
        <w:t>% increase in price</w:t>
      </w:r>
      <w:r w:rsidR="00B36A7E">
        <w:rPr>
          <w:rFonts w:ascii="Arial" w:hAnsi="Arial" w:cs="Arial"/>
          <w:sz w:val="20"/>
          <w:szCs w:val="20"/>
        </w:rPr>
        <w:t xml:space="preserve"> and a -2.9% decrease from the impact of the 53</w:t>
      </w:r>
      <w:r w:rsidR="00B36A7E" w:rsidRPr="00B36A7E">
        <w:rPr>
          <w:rFonts w:ascii="Arial" w:hAnsi="Arial" w:cs="Arial"/>
          <w:sz w:val="20"/>
          <w:szCs w:val="20"/>
          <w:vertAlign w:val="superscript"/>
        </w:rPr>
        <w:t>rd</w:t>
      </w:r>
      <w:r w:rsidR="00B36A7E">
        <w:rPr>
          <w:rFonts w:ascii="Arial" w:hAnsi="Arial" w:cs="Arial"/>
          <w:sz w:val="20"/>
          <w:szCs w:val="20"/>
        </w:rPr>
        <w:t xml:space="preserve"> week</w:t>
      </w:r>
      <w:r w:rsidR="00266D62">
        <w:rPr>
          <w:rFonts w:ascii="Arial" w:hAnsi="Arial" w:cs="Arial"/>
          <w:sz w:val="20"/>
          <w:szCs w:val="20"/>
        </w:rPr>
        <w:t xml:space="preserve"> in the prior year</w:t>
      </w:r>
      <w:r w:rsidR="004C1485" w:rsidRPr="000142E5">
        <w:rPr>
          <w:rFonts w:ascii="Arial" w:hAnsi="Arial" w:cs="Arial"/>
          <w:sz w:val="20"/>
          <w:szCs w:val="20"/>
        </w:rPr>
        <w:t xml:space="preserve">. </w:t>
      </w:r>
      <w:r w:rsidR="00D36AB6">
        <w:rPr>
          <w:rFonts w:ascii="Arial" w:hAnsi="Arial" w:cs="Arial"/>
          <w:sz w:val="20"/>
          <w:szCs w:val="20"/>
        </w:rPr>
        <w:t xml:space="preserve">The increase </w:t>
      </w:r>
      <w:r w:rsidR="004000A2">
        <w:rPr>
          <w:rFonts w:ascii="Arial" w:hAnsi="Arial" w:cs="Arial"/>
          <w:sz w:val="20"/>
          <w:szCs w:val="20"/>
        </w:rPr>
        <w:t xml:space="preserve">in volume and pricing </w:t>
      </w:r>
      <w:r w:rsidR="00D36AB6">
        <w:rPr>
          <w:rFonts w:ascii="Arial" w:hAnsi="Arial" w:cs="Arial"/>
          <w:sz w:val="20"/>
          <w:szCs w:val="20"/>
        </w:rPr>
        <w:t xml:space="preserve">was driven by strong </w:t>
      </w:r>
      <w:r w:rsidR="003F1B7C">
        <w:rPr>
          <w:rFonts w:ascii="Arial" w:hAnsi="Arial" w:cs="Arial"/>
          <w:sz w:val="20"/>
          <w:szCs w:val="20"/>
        </w:rPr>
        <w:t>dairy end</w:t>
      </w:r>
      <w:r w:rsidR="000D3F63">
        <w:rPr>
          <w:rFonts w:ascii="Arial" w:hAnsi="Arial" w:cs="Arial"/>
          <w:sz w:val="20"/>
          <w:szCs w:val="20"/>
        </w:rPr>
        <w:t>-use</w:t>
      </w:r>
      <w:r w:rsidR="003F1B7C">
        <w:rPr>
          <w:rFonts w:ascii="Arial" w:hAnsi="Arial" w:cs="Arial"/>
          <w:sz w:val="20"/>
          <w:szCs w:val="20"/>
        </w:rPr>
        <w:t xml:space="preserve"> markets</w:t>
      </w:r>
      <w:r w:rsidR="0069418A">
        <w:rPr>
          <w:rFonts w:ascii="Arial" w:hAnsi="Arial" w:cs="Arial"/>
          <w:sz w:val="20"/>
          <w:szCs w:val="20"/>
        </w:rPr>
        <w:t xml:space="preserve"> with demand for high end whey proteins remaining robust</w:t>
      </w:r>
      <w:r w:rsidR="003F1B7C">
        <w:rPr>
          <w:rFonts w:ascii="Arial" w:hAnsi="Arial" w:cs="Arial"/>
          <w:sz w:val="20"/>
          <w:szCs w:val="20"/>
        </w:rPr>
        <w:t>.</w:t>
      </w:r>
    </w:p>
    <w:p w14:paraId="3383A9B4" w14:textId="77777777" w:rsidR="00A41B20" w:rsidRDefault="00A41B20" w:rsidP="00A41B20">
      <w:pPr>
        <w:spacing w:after="0" w:line="240" w:lineRule="auto"/>
        <w:jc w:val="both"/>
        <w:rPr>
          <w:rFonts w:ascii="Arial" w:hAnsi="Arial" w:cs="Arial"/>
          <w:sz w:val="20"/>
          <w:szCs w:val="20"/>
        </w:rPr>
      </w:pPr>
    </w:p>
    <w:p w14:paraId="3F4DFE03" w14:textId="072223BC" w:rsidR="00A41B20" w:rsidRPr="00A41B20" w:rsidRDefault="00A41B20" w:rsidP="000142E5">
      <w:pPr>
        <w:jc w:val="both"/>
        <w:rPr>
          <w:rFonts w:ascii="Arial" w:hAnsi="Arial" w:cs="Arial"/>
          <w:sz w:val="14"/>
          <w:szCs w:val="14"/>
        </w:rPr>
      </w:pPr>
      <w:r w:rsidRPr="00A41B20">
        <w:rPr>
          <w:rFonts w:ascii="Arial" w:hAnsi="Arial" w:cs="Arial"/>
          <w:sz w:val="16"/>
          <w:szCs w:val="16"/>
          <w:vertAlign w:val="superscript"/>
        </w:rPr>
        <w:t>2</w:t>
      </w:r>
      <w:r w:rsidRPr="00A41B20">
        <w:rPr>
          <w:rFonts w:ascii="Arial" w:hAnsi="Arial" w:cs="Arial"/>
          <w:sz w:val="16"/>
          <w:szCs w:val="16"/>
        </w:rPr>
        <w:t xml:space="preserve"> </w:t>
      </w:r>
      <w:r w:rsidRPr="00A41B20">
        <w:rPr>
          <w:rFonts w:ascii="Arial" w:hAnsi="Arial" w:cs="Arial"/>
          <w:sz w:val="14"/>
          <w:szCs w:val="14"/>
        </w:rPr>
        <w:t>Consumption growth is US measured channels and includes online, FDMC (Food, Drug, Mass, Club) and specialty channels. Data compiled from published external sources and Glanbia estimates for the 13 week period to 4 October 2025.</w:t>
      </w:r>
    </w:p>
    <w:bookmarkEnd w:id="2"/>
    <w:p w14:paraId="57A0BDF4" w14:textId="78D25606" w:rsidR="00D901CB" w:rsidRPr="000142E5" w:rsidRDefault="000B2EAF" w:rsidP="000142E5">
      <w:pPr>
        <w:jc w:val="both"/>
        <w:rPr>
          <w:rFonts w:ascii="Arial" w:hAnsi="Arial" w:cs="Arial"/>
          <w:b/>
          <w:color w:val="283A59"/>
          <w:sz w:val="20"/>
          <w:szCs w:val="20"/>
        </w:rPr>
      </w:pPr>
      <w:r w:rsidRPr="000142E5">
        <w:rPr>
          <w:rFonts w:ascii="Arial" w:hAnsi="Arial" w:cs="Arial"/>
          <w:b/>
          <w:color w:val="283A59"/>
          <w:sz w:val="20"/>
          <w:szCs w:val="20"/>
        </w:rPr>
        <w:lastRenderedPageBreak/>
        <w:t>S</w:t>
      </w:r>
      <w:r w:rsidR="00B5309F" w:rsidRPr="000142E5">
        <w:rPr>
          <w:rFonts w:ascii="Arial" w:hAnsi="Arial" w:cs="Arial"/>
          <w:b/>
          <w:color w:val="283A59"/>
          <w:sz w:val="20"/>
          <w:szCs w:val="20"/>
        </w:rPr>
        <w:t xml:space="preserve">hare </w:t>
      </w:r>
      <w:r w:rsidR="00AB1F26" w:rsidRPr="000142E5">
        <w:rPr>
          <w:rFonts w:ascii="Arial" w:hAnsi="Arial" w:cs="Arial"/>
          <w:b/>
          <w:color w:val="283A59"/>
          <w:sz w:val="20"/>
          <w:szCs w:val="20"/>
        </w:rPr>
        <w:t>b</w:t>
      </w:r>
      <w:r w:rsidR="00D901CB" w:rsidRPr="000142E5">
        <w:rPr>
          <w:rFonts w:ascii="Arial" w:hAnsi="Arial" w:cs="Arial"/>
          <w:b/>
          <w:color w:val="283A59"/>
          <w:sz w:val="20"/>
          <w:szCs w:val="20"/>
        </w:rPr>
        <w:t>uyback</w:t>
      </w:r>
    </w:p>
    <w:p w14:paraId="34380638" w14:textId="7F3C6263" w:rsidR="006C5FB2" w:rsidRPr="000142E5" w:rsidRDefault="006C5FB2" w:rsidP="000142E5">
      <w:pPr>
        <w:jc w:val="both"/>
        <w:rPr>
          <w:rFonts w:ascii="Arial" w:hAnsi="Arial" w:cs="Arial"/>
          <w:sz w:val="20"/>
          <w:szCs w:val="20"/>
        </w:rPr>
      </w:pPr>
      <w:r w:rsidRPr="000142E5">
        <w:rPr>
          <w:rFonts w:ascii="Arial" w:hAnsi="Arial" w:cs="Arial"/>
          <w:sz w:val="20"/>
          <w:szCs w:val="20"/>
        </w:rPr>
        <w:t xml:space="preserve">Between </w:t>
      </w:r>
      <w:r w:rsidR="003958BB">
        <w:rPr>
          <w:rFonts w:ascii="Arial" w:hAnsi="Arial" w:cs="Arial"/>
          <w:sz w:val="20"/>
          <w:szCs w:val="20"/>
        </w:rPr>
        <w:t xml:space="preserve">5 January 2025 and </w:t>
      </w:r>
      <w:r w:rsidR="004A369F">
        <w:rPr>
          <w:rFonts w:ascii="Arial" w:hAnsi="Arial" w:cs="Arial"/>
          <w:sz w:val="20"/>
          <w:szCs w:val="20"/>
        </w:rPr>
        <w:t>4 October</w:t>
      </w:r>
      <w:r w:rsidR="003958BB">
        <w:rPr>
          <w:rFonts w:ascii="Arial" w:hAnsi="Arial" w:cs="Arial"/>
          <w:sz w:val="20"/>
          <w:szCs w:val="20"/>
        </w:rPr>
        <w:t xml:space="preserve"> 2025,</w:t>
      </w:r>
      <w:r w:rsidRPr="000142E5">
        <w:rPr>
          <w:rFonts w:ascii="Arial" w:hAnsi="Arial" w:cs="Arial"/>
          <w:sz w:val="20"/>
          <w:szCs w:val="20"/>
        </w:rPr>
        <w:t xml:space="preserve"> Glanbia </w:t>
      </w:r>
      <w:r w:rsidR="00966A62">
        <w:rPr>
          <w:rFonts w:ascii="Arial" w:hAnsi="Arial" w:cs="Arial"/>
          <w:sz w:val="20"/>
          <w:szCs w:val="20"/>
        </w:rPr>
        <w:t>returned</w:t>
      </w:r>
      <w:r w:rsidRPr="000142E5">
        <w:rPr>
          <w:rFonts w:ascii="Arial" w:hAnsi="Arial" w:cs="Arial"/>
          <w:sz w:val="20"/>
          <w:szCs w:val="20"/>
        </w:rPr>
        <w:t xml:space="preserve"> €</w:t>
      </w:r>
      <w:r w:rsidR="00C83DCF">
        <w:rPr>
          <w:rFonts w:ascii="Arial" w:hAnsi="Arial" w:cs="Arial"/>
          <w:sz w:val="20"/>
          <w:szCs w:val="20"/>
        </w:rPr>
        <w:t>1</w:t>
      </w:r>
      <w:r w:rsidR="004A369F">
        <w:rPr>
          <w:rFonts w:ascii="Arial" w:hAnsi="Arial" w:cs="Arial"/>
          <w:sz w:val="20"/>
          <w:szCs w:val="20"/>
        </w:rPr>
        <w:t>97</w:t>
      </w:r>
      <w:r w:rsidR="003F3F6A">
        <w:rPr>
          <w:rFonts w:ascii="Arial" w:hAnsi="Arial" w:cs="Arial"/>
          <w:sz w:val="20"/>
          <w:szCs w:val="20"/>
        </w:rPr>
        <w:t>.</w:t>
      </w:r>
      <w:r w:rsidR="00F30C97">
        <w:rPr>
          <w:rFonts w:ascii="Arial" w:hAnsi="Arial" w:cs="Arial"/>
          <w:sz w:val="20"/>
          <w:szCs w:val="20"/>
        </w:rPr>
        <w:t>0</w:t>
      </w:r>
      <w:r w:rsidR="009340A1">
        <w:rPr>
          <w:rFonts w:ascii="Arial" w:hAnsi="Arial" w:cs="Arial"/>
          <w:sz w:val="20"/>
          <w:szCs w:val="20"/>
        </w:rPr>
        <w:t xml:space="preserve"> </w:t>
      </w:r>
      <w:r w:rsidRPr="000142E5">
        <w:rPr>
          <w:rFonts w:ascii="Arial" w:hAnsi="Arial" w:cs="Arial"/>
          <w:sz w:val="20"/>
          <w:szCs w:val="20"/>
        </w:rPr>
        <w:t>million</w:t>
      </w:r>
      <w:r w:rsidR="00966A62">
        <w:rPr>
          <w:rFonts w:ascii="Arial" w:hAnsi="Arial" w:cs="Arial"/>
          <w:sz w:val="20"/>
          <w:szCs w:val="20"/>
        </w:rPr>
        <w:t xml:space="preserve"> to shareholders</w:t>
      </w:r>
      <w:r w:rsidR="003958BB">
        <w:rPr>
          <w:rFonts w:ascii="Arial" w:hAnsi="Arial" w:cs="Arial"/>
          <w:sz w:val="20"/>
          <w:szCs w:val="20"/>
        </w:rPr>
        <w:t xml:space="preserve"> via its share buyback programme</w:t>
      </w:r>
      <w:r w:rsidR="004477B0">
        <w:rPr>
          <w:rFonts w:ascii="Arial" w:hAnsi="Arial" w:cs="Arial"/>
          <w:sz w:val="20"/>
          <w:szCs w:val="20"/>
        </w:rPr>
        <w:t xml:space="preserve">, </w:t>
      </w:r>
      <w:r w:rsidRPr="000142E5">
        <w:rPr>
          <w:rFonts w:ascii="Arial" w:hAnsi="Arial" w:cs="Arial"/>
          <w:sz w:val="20"/>
          <w:szCs w:val="20"/>
        </w:rPr>
        <w:t>repurchasing</w:t>
      </w:r>
      <w:r w:rsidR="009545C1">
        <w:rPr>
          <w:rFonts w:ascii="Arial" w:hAnsi="Arial" w:cs="Arial"/>
          <w:sz w:val="20"/>
          <w:szCs w:val="20"/>
        </w:rPr>
        <w:t xml:space="preserve"> and cancelling</w:t>
      </w:r>
      <w:r w:rsidR="00AE60A8">
        <w:rPr>
          <w:rFonts w:ascii="Arial" w:hAnsi="Arial" w:cs="Arial"/>
          <w:sz w:val="20"/>
          <w:szCs w:val="20"/>
        </w:rPr>
        <w:t xml:space="preserve"> </w:t>
      </w:r>
      <w:r w:rsidR="00C83DCF">
        <w:rPr>
          <w:rFonts w:ascii="Arial" w:hAnsi="Arial" w:cs="Arial"/>
          <w:sz w:val="20"/>
          <w:szCs w:val="20"/>
        </w:rPr>
        <w:t>15,047,420</w:t>
      </w:r>
      <w:r w:rsidR="00233171" w:rsidRPr="000142E5">
        <w:rPr>
          <w:rFonts w:ascii="Arial" w:hAnsi="Arial" w:cs="Arial"/>
          <w:sz w:val="20"/>
          <w:szCs w:val="20"/>
        </w:rPr>
        <w:t xml:space="preserve"> </w:t>
      </w:r>
      <w:r w:rsidRPr="000142E5">
        <w:rPr>
          <w:rFonts w:ascii="Arial" w:hAnsi="Arial" w:cs="Arial"/>
          <w:sz w:val="20"/>
          <w:szCs w:val="20"/>
        </w:rPr>
        <w:t>ordinary shares on Euronext Dublin at an average price of €</w:t>
      </w:r>
      <w:r w:rsidR="00C83DCF">
        <w:rPr>
          <w:rFonts w:ascii="Arial" w:hAnsi="Arial" w:cs="Arial"/>
          <w:sz w:val="20"/>
          <w:szCs w:val="20"/>
        </w:rPr>
        <w:t>13.10</w:t>
      </w:r>
      <w:r w:rsidRPr="000142E5">
        <w:rPr>
          <w:rFonts w:ascii="Arial" w:hAnsi="Arial" w:cs="Arial"/>
          <w:sz w:val="20"/>
          <w:szCs w:val="20"/>
        </w:rPr>
        <w:t xml:space="preserve">. </w:t>
      </w:r>
    </w:p>
    <w:p w14:paraId="5CF56AD1" w14:textId="61168107" w:rsidR="006F611D" w:rsidRPr="000142E5" w:rsidRDefault="006F611D" w:rsidP="000142E5">
      <w:pPr>
        <w:jc w:val="both"/>
        <w:rPr>
          <w:rFonts w:ascii="Arial" w:hAnsi="Arial" w:cs="Arial"/>
          <w:b/>
          <w:color w:val="283A59"/>
          <w:sz w:val="20"/>
          <w:szCs w:val="20"/>
        </w:rPr>
      </w:pPr>
      <w:r w:rsidRPr="000142E5">
        <w:rPr>
          <w:rFonts w:ascii="Arial" w:hAnsi="Arial" w:cs="Arial"/>
          <w:b/>
          <w:color w:val="283A59"/>
          <w:sz w:val="20"/>
          <w:szCs w:val="20"/>
        </w:rPr>
        <w:t>Financing</w:t>
      </w:r>
    </w:p>
    <w:p w14:paraId="4E331FB7" w14:textId="1B9443AA" w:rsidR="006F611D" w:rsidRDefault="006F611D" w:rsidP="000142E5">
      <w:pPr>
        <w:jc w:val="both"/>
        <w:rPr>
          <w:rFonts w:ascii="Arial" w:hAnsi="Arial" w:cs="Arial"/>
          <w:sz w:val="20"/>
          <w:szCs w:val="20"/>
        </w:rPr>
      </w:pPr>
      <w:r w:rsidRPr="000142E5">
        <w:rPr>
          <w:rFonts w:ascii="Arial" w:hAnsi="Arial" w:cs="Arial"/>
          <w:sz w:val="20"/>
          <w:szCs w:val="20"/>
        </w:rPr>
        <w:t xml:space="preserve">The Group’s balance sheet remains in a strong position. Glanbia's net debt </w:t>
      </w:r>
      <w:r w:rsidR="00B61C11">
        <w:rPr>
          <w:rFonts w:ascii="Arial" w:hAnsi="Arial" w:cs="Arial"/>
          <w:sz w:val="20"/>
          <w:szCs w:val="20"/>
        </w:rPr>
        <w:t xml:space="preserve">as </w:t>
      </w:r>
      <w:r w:rsidRPr="000142E5">
        <w:rPr>
          <w:rFonts w:ascii="Arial" w:hAnsi="Arial" w:cs="Arial"/>
          <w:sz w:val="20"/>
          <w:szCs w:val="20"/>
        </w:rPr>
        <w:t xml:space="preserve">at </w:t>
      </w:r>
      <w:r w:rsidR="004A369F">
        <w:rPr>
          <w:rFonts w:ascii="Arial" w:hAnsi="Arial" w:cs="Arial"/>
          <w:sz w:val="20"/>
          <w:szCs w:val="20"/>
        </w:rPr>
        <w:t>4</w:t>
      </w:r>
      <w:r w:rsidR="00233171" w:rsidRPr="000142E5">
        <w:rPr>
          <w:rFonts w:ascii="Arial" w:hAnsi="Arial" w:cs="Arial"/>
          <w:sz w:val="20"/>
          <w:szCs w:val="20"/>
        </w:rPr>
        <w:t xml:space="preserve"> </w:t>
      </w:r>
      <w:r w:rsidR="003958BB">
        <w:rPr>
          <w:rFonts w:ascii="Arial" w:hAnsi="Arial" w:cs="Arial"/>
          <w:sz w:val="20"/>
          <w:szCs w:val="20"/>
        </w:rPr>
        <w:t>October</w:t>
      </w:r>
      <w:r w:rsidR="00233171" w:rsidRPr="000142E5">
        <w:rPr>
          <w:rFonts w:ascii="Arial" w:hAnsi="Arial" w:cs="Arial"/>
          <w:sz w:val="20"/>
          <w:szCs w:val="20"/>
        </w:rPr>
        <w:t xml:space="preserve"> 2025</w:t>
      </w:r>
      <w:r w:rsidRPr="000142E5">
        <w:rPr>
          <w:rFonts w:ascii="Arial" w:hAnsi="Arial" w:cs="Arial"/>
          <w:sz w:val="20"/>
          <w:szCs w:val="20"/>
        </w:rPr>
        <w:t xml:space="preserve"> was </w:t>
      </w:r>
      <w:r w:rsidR="003958BB">
        <w:rPr>
          <w:rFonts w:ascii="Arial" w:hAnsi="Arial" w:cs="Arial"/>
          <w:sz w:val="20"/>
          <w:szCs w:val="20"/>
        </w:rPr>
        <w:t>$718.5</w:t>
      </w:r>
      <w:r w:rsidR="00233171" w:rsidRPr="000142E5">
        <w:rPr>
          <w:rFonts w:ascii="Arial" w:hAnsi="Arial" w:cs="Arial"/>
          <w:sz w:val="20"/>
          <w:szCs w:val="20"/>
        </w:rPr>
        <w:t xml:space="preserve"> </w:t>
      </w:r>
      <w:r w:rsidRPr="000142E5">
        <w:rPr>
          <w:rFonts w:ascii="Arial" w:hAnsi="Arial" w:cs="Arial"/>
          <w:sz w:val="20"/>
          <w:szCs w:val="20"/>
        </w:rPr>
        <w:t>million</w:t>
      </w:r>
      <w:r w:rsidR="00211767" w:rsidRPr="000142E5">
        <w:rPr>
          <w:rFonts w:ascii="Arial" w:hAnsi="Arial" w:cs="Arial"/>
          <w:sz w:val="20"/>
          <w:szCs w:val="20"/>
        </w:rPr>
        <w:t>,</w:t>
      </w:r>
      <w:r w:rsidRPr="000142E5">
        <w:rPr>
          <w:rFonts w:ascii="Arial" w:hAnsi="Arial" w:cs="Arial"/>
          <w:sz w:val="20"/>
          <w:szCs w:val="20"/>
        </w:rPr>
        <w:t xml:space="preserve"> a</w:t>
      </w:r>
      <w:r w:rsidR="00233171" w:rsidRPr="000142E5">
        <w:rPr>
          <w:rFonts w:ascii="Arial" w:hAnsi="Arial" w:cs="Arial"/>
          <w:sz w:val="20"/>
          <w:szCs w:val="20"/>
        </w:rPr>
        <w:t xml:space="preserve">n increase </w:t>
      </w:r>
      <w:r w:rsidRPr="000142E5">
        <w:rPr>
          <w:rFonts w:ascii="Arial" w:hAnsi="Arial" w:cs="Arial"/>
          <w:sz w:val="20"/>
          <w:szCs w:val="20"/>
        </w:rPr>
        <w:t xml:space="preserve">of </w:t>
      </w:r>
      <w:r w:rsidR="00585E75" w:rsidRPr="000142E5">
        <w:rPr>
          <w:rFonts w:ascii="Arial" w:hAnsi="Arial" w:cs="Arial"/>
          <w:sz w:val="20"/>
          <w:szCs w:val="20"/>
        </w:rPr>
        <w:t>$</w:t>
      </w:r>
      <w:r w:rsidR="003958BB">
        <w:rPr>
          <w:rFonts w:ascii="Arial" w:hAnsi="Arial" w:cs="Arial"/>
          <w:sz w:val="20"/>
          <w:szCs w:val="20"/>
        </w:rPr>
        <w:t>98.8</w:t>
      </w:r>
      <w:r w:rsidRPr="000142E5">
        <w:rPr>
          <w:rFonts w:ascii="Arial" w:hAnsi="Arial" w:cs="Arial"/>
          <w:sz w:val="20"/>
          <w:szCs w:val="20"/>
        </w:rPr>
        <w:t xml:space="preserve"> million versus the net debt position at the end of </w:t>
      </w:r>
      <w:r w:rsidR="00211767" w:rsidRPr="000142E5">
        <w:rPr>
          <w:rFonts w:ascii="Arial" w:hAnsi="Arial" w:cs="Arial"/>
          <w:sz w:val="20"/>
          <w:szCs w:val="20"/>
        </w:rPr>
        <w:t>Q</w:t>
      </w:r>
      <w:r w:rsidR="003958BB">
        <w:rPr>
          <w:rFonts w:ascii="Arial" w:hAnsi="Arial" w:cs="Arial"/>
          <w:sz w:val="20"/>
          <w:szCs w:val="20"/>
        </w:rPr>
        <w:t>3</w:t>
      </w:r>
      <w:r w:rsidRPr="000142E5">
        <w:rPr>
          <w:rFonts w:ascii="Arial" w:hAnsi="Arial" w:cs="Arial"/>
          <w:sz w:val="20"/>
          <w:szCs w:val="20"/>
        </w:rPr>
        <w:t xml:space="preserve"> 202</w:t>
      </w:r>
      <w:r w:rsidR="003958BB">
        <w:rPr>
          <w:rFonts w:ascii="Arial" w:hAnsi="Arial" w:cs="Arial"/>
          <w:sz w:val="20"/>
          <w:szCs w:val="20"/>
        </w:rPr>
        <w:t>4</w:t>
      </w:r>
      <w:r w:rsidR="00394221">
        <w:rPr>
          <w:rFonts w:ascii="Arial" w:hAnsi="Arial" w:cs="Arial"/>
          <w:sz w:val="20"/>
          <w:szCs w:val="20"/>
        </w:rPr>
        <w:t xml:space="preserve">, which primarily relates to the </w:t>
      </w:r>
      <w:r w:rsidR="003958BB">
        <w:rPr>
          <w:rFonts w:ascii="Arial" w:hAnsi="Arial" w:cs="Arial"/>
          <w:sz w:val="20"/>
          <w:szCs w:val="20"/>
        </w:rPr>
        <w:t>share buyback</w:t>
      </w:r>
      <w:r w:rsidR="005425CF">
        <w:rPr>
          <w:rFonts w:ascii="Arial" w:hAnsi="Arial" w:cs="Arial"/>
          <w:sz w:val="20"/>
          <w:szCs w:val="20"/>
        </w:rPr>
        <w:t>s</w:t>
      </w:r>
      <w:r w:rsidR="003958BB">
        <w:rPr>
          <w:rFonts w:ascii="Arial" w:hAnsi="Arial" w:cs="Arial"/>
          <w:sz w:val="20"/>
          <w:szCs w:val="20"/>
        </w:rPr>
        <w:t xml:space="preserve"> completed and the acquisition of Sweetmix</w:t>
      </w:r>
      <w:r w:rsidRPr="000142E5">
        <w:rPr>
          <w:rFonts w:ascii="Arial" w:hAnsi="Arial" w:cs="Arial"/>
          <w:sz w:val="20"/>
          <w:szCs w:val="20"/>
        </w:rPr>
        <w:t xml:space="preserve">. </w:t>
      </w:r>
      <w:r w:rsidR="00CA0A35" w:rsidRPr="000142E5">
        <w:rPr>
          <w:rFonts w:ascii="Arial" w:hAnsi="Arial" w:cs="Arial"/>
          <w:sz w:val="20"/>
          <w:szCs w:val="20"/>
        </w:rPr>
        <w:t>At the end of the period the Group had committed debt facilities of $1.</w:t>
      </w:r>
      <w:r w:rsidR="00BF0A0A">
        <w:rPr>
          <w:rFonts w:ascii="Arial" w:hAnsi="Arial" w:cs="Arial"/>
          <w:sz w:val="20"/>
          <w:szCs w:val="20"/>
        </w:rPr>
        <w:t>4</w:t>
      </w:r>
      <w:r w:rsidR="00A470C0" w:rsidRPr="000142E5">
        <w:rPr>
          <w:rFonts w:ascii="Arial" w:hAnsi="Arial" w:cs="Arial"/>
          <w:sz w:val="20"/>
          <w:szCs w:val="20"/>
        </w:rPr>
        <w:t xml:space="preserve"> </w:t>
      </w:r>
      <w:r w:rsidR="00CA0A35" w:rsidRPr="000142E5">
        <w:rPr>
          <w:rFonts w:ascii="Arial" w:hAnsi="Arial" w:cs="Arial"/>
          <w:sz w:val="20"/>
          <w:szCs w:val="20"/>
        </w:rPr>
        <w:t>billion.</w:t>
      </w:r>
      <w:r w:rsidR="00D36AB6">
        <w:rPr>
          <w:rFonts w:ascii="Arial" w:hAnsi="Arial" w:cs="Arial"/>
          <w:sz w:val="20"/>
          <w:szCs w:val="20"/>
        </w:rPr>
        <w:t xml:space="preserve"> </w:t>
      </w:r>
    </w:p>
    <w:p w14:paraId="3150174A" w14:textId="30012DB0" w:rsidR="003958BB" w:rsidRPr="000142E5" w:rsidRDefault="003958BB" w:rsidP="003958BB">
      <w:pPr>
        <w:jc w:val="both"/>
        <w:rPr>
          <w:rFonts w:ascii="Arial" w:hAnsi="Arial" w:cs="Arial"/>
          <w:b/>
          <w:color w:val="283A59"/>
          <w:sz w:val="20"/>
          <w:szCs w:val="20"/>
        </w:rPr>
      </w:pPr>
      <w:r>
        <w:rPr>
          <w:rFonts w:ascii="Arial" w:hAnsi="Arial" w:cs="Arial"/>
          <w:b/>
          <w:color w:val="283A59"/>
          <w:sz w:val="20"/>
          <w:szCs w:val="20"/>
        </w:rPr>
        <w:t>Capital Markets Day</w:t>
      </w:r>
    </w:p>
    <w:p w14:paraId="689A50F7" w14:textId="2A6080E6" w:rsidR="003958BB" w:rsidRDefault="003958BB" w:rsidP="003958BB">
      <w:pPr>
        <w:jc w:val="both"/>
        <w:rPr>
          <w:rFonts w:ascii="Arial" w:hAnsi="Arial" w:cs="Arial"/>
          <w:sz w:val="20"/>
          <w:szCs w:val="20"/>
        </w:rPr>
      </w:pPr>
      <w:r>
        <w:rPr>
          <w:rFonts w:ascii="Arial" w:hAnsi="Arial" w:cs="Arial"/>
          <w:sz w:val="20"/>
          <w:szCs w:val="20"/>
        </w:rPr>
        <w:t>The Group will host a Capital Markets Day in London on 19</w:t>
      </w:r>
      <w:r w:rsidRPr="003958BB">
        <w:rPr>
          <w:rFonts w:ascii="Arial" w:hAnsi="Arial" w:cs="Arial"/>
          <w:sz w:val="20"/>
          <w:szCs w:val="20"/>
          <w:vertAlign w:val="superscript"/>
        </w:rPr>
        <w:t>th</w:t>
      </w:r>
      <w:r>
        <w:rPr>
          <w:rFonts w:ascii="Arial" w:hAnsi="Arial" w:cs="Arial"/>
          <w:sz w:val="20"/>
          <w:szCs w:val="20"/>
        </w:rPr>
        <w:t xml:space="preserve"> November 2025. </w:t>
      </w:r>
    </w:p>
    <w:p w14:paraId="54CD59CE" w14:textId="77777777" w:rsidR="00FB5009" w:rsidRPr="000142E5" w:rsidRDefault="00FB5009" w:rsidP="00FB5009">
      <w:pPr>
        <w:jc w:val="both"/>
        <w:rPr>
          <w:rFonts w:ascii="Arial" w:hAnsi="Arial" w:cs="Arial"/>
          <w:b/>
          <w:color w:val="283A59"/>
          <w:sz w:val="20"/>
          <w:szCs w:val="20"/>
        </w:rPr>
      </w:pPr>
      <w:r w:rsidRPr="000142E5">
        <w:rPr>
          <w:rFonts w:ascii="Arial" w:hAnsi="Arial" w:cs="Arial"/>
          <w:b/>
          <w:color w:val="283A59"/>
          <w:sz w:val="20"/>
          <w:szCs w:val="20"/>
        </w:rPr>
        <w:t>2025 Outlook</w:t>
      </w:r>
    </w:p>
    <w:p w14:paraId="64FB04FB" w14:textId="1CB11BC2" w:rsidR="00FB5009" w:rsidRDefault="00FB5009" w:rsidP="00FB5009">
      <w:pPr>
        <w:jc w:val="both"/>
        <w:rPr>
          <w:rFonts w:ascii="Arial" w:hAnsi="Arial" w:cs="Arial"/>
          <w:sz w:val="20"/>
          <w:szCs w:val="20"/>
        </w:rPr>
      </w:pPr>
      <w:r w:rsidRPr="00C70B45">
        <w:rPr>
          <w:rFonts w:ascii="Arial" w:hAnsi="Arial" w:cs="Arial"/>
          <w:sz w:val="20"/>
          <w:szCs w:val="20"/>
        </w:rPr>
        <w:t>With the third quarter showing strong sequential improvement in Performance Nutrition, the Group is upgrading its full year like-for-like revenue guidance for Performance Nutrition to 3% - 4%</w:t>
      </w:r>
      <w:r w:rsidR="00A41B20" w:rsidRPr="00A41B20">
        <w:rPr>
          <w:rFonts w:ascii="Arial" w:hAnsi="Arial" w:cs="Arial"/>
          <w:sz w:val="20"/>
          <w:szCs w:val="20"/>
          <w:vertAlign w:val="superscript"/>
        </w:rPr>
        <w:t>3</w:t>
      </w:r>
      <w:r w:rsidRPr="00C70B45">
        <w:rPr>
          <w:rFonts w:ascii="Arial" w:hAnsi="Arial" w:cs="Arial"/>
          <w:sz w:val="20"/>
          <w:szCs w:val="20"/>
        </w:rPr>
        <w:t xml:space="preserve"> (previously 2% - 3%). As a result of this, full year adjusted EPS is now expected to be at the </w:t>
      </w:r>
      <w:r w:rsidR="00B9741D">
        <w:rPr>
          <w:rFonts w:ascii="Arial" w:hAnsi="Arial" w:cs="Arial"/>
          <w:sz w:val="20"/>
          <w:szCs w:val="20"/>
        </w:rPr>
        <w:t>upper</w:t>
      </w:r>
      <w:r w:rsidRPr="00C70B45">
        <w:rPr>
          <w:rFonts w:ascii="Arial" w:hAnsi="Arial" w:cs="Arial"/>
          <w:sz w:val="20"/>
          <w:szCs w:val="20"/>
        </w:rPr>
        <w:t xml:space="preserve"> end of the previous guidance range of 130 $cent – 133 $cent.</w:t>
      </w:r>
      <w:r>
        <w:rPr>
          <w:rFonts w:ascii="Arial" w:hAnsi="Arial" w:cs="Arial"/>
          <w:sz w:val="20"/>
          <w:szCs w:val="20"/>
        </w:rPr>
        <w:t xml:space="preserve"> </w:t>
      </w:r>
    </w:p>
    <w:p w14:paraId="0A8DA027" w14:textId="77777777" w:rsidR="00A41B20" w:rsidRDefault="00A41B20" w:rsidP="00E92FC7">
      <w:pPr>
        <w:spacing w:after="0" w:line="240" w:lineRule="auto"/>
        <w:jc w:val="both"/>
        <w:rPr>
          <w:rFonts w:ascii="Arial" w:hAnsi="Arial" w:cs="Arial"/>
          <w:sz w:val="20"/>
          <w:szCs w:val="20"/>
        </w:rPr>
      </w:pPr>
    </w:p>
    <w:p w14:paraId="67AEC371" w14:textId="06F1384F" w:rsidR="00A41B20" w:rsidRPr="00A41B20" w:rsidRDefault="00A41B20" w:rsidP="00FB5009">
      <w:pPr>
        <w:jc w:val="both"/>
        <w:rPr>
          <w:rFonts w:ascii="Arial" w:hAnsi="Arial" w:cs="Arial"/>
          <w:sz w:val="14"/>
          <w:szCs w:val="14"/>
        </w:rPr>
      </w:pPr>
      <w:r w:rsidRPr="00A41B20">
        <w:rPr>
          <w:rFonts w:ascii="Arial" w:hAnsi="Arial" w:cs="Arial"/>
          <w:sz w:val="14"/>
          <w:szCs w:val="14"/>
          <w:vertAlign w:val="superscript"/>
        </w:rPr>
        <w:t>3</w:t>
      </w:r>
      <w:r w:rsidRPr="00A41B20">
        <w:rPr>
          <w:rFonts w:ascii="Arial" w:hAnsi="Arial" w:cs="Arial"/>
          <w:sz w:val="14"/>
          <w:szCs w:val="14"/>
        </w:rPr>
        <w:t xml:space="preserve">  Excluding the impact of SlimFast and Body &amp; Fit.  </w:t>
      </w:r>
    </w:p>
    <w:p w14:paraId="4F6B16A2" w14:textId="77777777" w:rsidR="00A41B20" w:rsidRDefault="00A41B20" w:rsidP="00FB5009">
      <w:pPr>
        <w:jc w:val="both"/>
        <w:rPr>
          <w:rFonts w:ascii="Arial" w:hAnsi="Arial" w:cs="Arial"/>
          <w:sz w:val="20"/>
          <w:szCs w:val="20"/>
        </w:rPr>
      </w:pPr>
    </w:p>
    <w:p w14:paraId="1DF19444" w14:textId="77777777" w:rsidR="00A41B20" w:rsidRDefault="00A41B20" w:rsidP="00FB5009">
      <w:pPr>
        <w:jc w:val="both"/>
        <w:rPr>
          <w:rFonts w:ascii="Arial" w:hAnsi="Arial" w:cs="Arial"/>
          <w:sz w:val="20"/>
          <w:szCs w:val="20"/>
        </w:rPr>
      </w:pPr>
    </w:p>
    <w:p w14:paraId="00500D81" w14:textId="09F7CA8B" w:rsidR="003A01E2" w:rsidRDefault="00573101" w:rsidP="003958BB">
      <w:pPr>
        <w:jc w:val="both"/>
        <w:rPr>
          <w:rFonts w:ascii="Arial" w:hAnsi="Arial" w:cs="Arial"/>
          <w:b/>
          <w:color w:val="283A59"/>
          <w:sz w:val="20"/>
          <w:szCs w:val="20"/>
        </w:rPr>
      </w:pPr>
      <w:r w:rsidRPr="00F45EFC">
        <w:rPr>
          <w:rFonts w:ascii="Arial" w:hAnsi="Arial" w:cs="Arial"/>
          <w:b/>
          <w:color w:val="283A59"/>
          <w:sz w:val="20"/>
          <w:szCs w:val="20"/>
        </w:rPr>
        <w:t>Ends</w:t>
      </w:r>
    </w:p>
    <w:p w14:paraId="642FC7BC" w14:textId="77777777" w:rsidR="003958BB" w:rsidRDefault="003958BB" w:rsidP="003958BB">
      <w:pPr>
        <w:jc w:val="both"/>
        <w:rPr>
          <w:rFonts w:ascii="Arial" w:hAnsi="Arial" w:cs="Arial"/>
          <w:b/>
          <w:color w:val="283A59"/>
          <w:sz w:val="20"/>
          <w:szCs w:val="20"/>
        </w:rPr>
      </w:pPr>
    </w:p>
    <w:p w14:paraId="7A314787" w14:textId="77777777" w:rsidR="003958BB" w:rsidRDefault="003958BB">
      <w:pPr>
        <w:rPr>
          <w:rFonts w:ascii="Arial" w:hAnsi="Arial" w:cs="Arial"/>
          <w:b/>
          <w:color w:val="283A59"/>
          <w:sz w:val="20"/>
          <w:szCs w:val="20"/>
        </w:rPr>
      </w:pPr>
      <w:r>
        <w:rPr>
          <w:rFonts w:ascii="Arial" w:hAnsi="Arial" w:cs="Arial"/>
          <w:b/>
          <w:color w:val="283A59"/>
          <w:sz w:val="20"/>
          <w:szCs w:val="20"/>
        </w:rPr>
        <w:br w:type="page"/>
      </w:r>
    </w:p>
    <w:p w14:paraId="5434FBA2" w14:textId="180E5DCD" w:rsidR="00573101" w:rsidRPr="000142E5" w:rsidRDefault="00573101" w:rsidP="000142E5">
      <w:pPr>
        <w:jc w:val="both"/>
        <w:rPr>
          <w:rFonts w:ascii="Arial" w:hAnsi="Arial" w:cs="Arial"/>
          <w:b/>
          <w:color w:val="283A59"/>
          <w:sz w:val="20"/>
          <w:szCs w:val="20"/>
        </w:rPr>
      </w:pPr>
      <w:r w:rsidRPr="000142E5">
        <w:rPr>
          <w:rFonts w:ascii="Arial" w:hAnsi="Arial" w:cs="Arial"/>
          <w:b/>
          <w:color w:val="283A59"/>
          <w:sz w:val="20"/>
          <w:szCs w:val="20"/>
        </w:rPr>
        <w:lastRenderedPageBreak/>
        <w:t>Cautionary statement</w:t>
      </w:r>
    </w:p>
    <w:p w14:paraId="23C0D4B5" w14:textId="4CF2961B" w:rsidR="0024646C" w:rsidRPr="000142E5" w:rsidRDefault="00573101" w:rsidP="000142E5">
      <w:pPr>
        <w:jc w:val="both"/>
        <w:rPr>
          <w:rFonts w:ascii="Arial" w:hAnsi="Arial" w:cs="Arial"/>
          <w:b/>
          <w:color w:val="1F497D" w:themeColor="text2"/>
          <w:sz w:val="20"/>
          <w:szCs w:val="20"/>
        </w:rPr>
      </w:pPr>
      <w:r w:rsidRPr="000142E5">
        <w:rPr>
          <w:rFonts w:ascii="Arial" w:hAnsi="Arial" w:cs="Arial"/>
          <w:sz w:val="20"/>
          <w:szCs w:val="20"/>
        </w:rPr>
        <w:t>This announcement contains forward-looking statements. These statements have been made by the Directors in good faith based on the information available to them up to the time of their approval of this report. Due to the inherent uncertainties, including both economic and business risk factors underlying such forward</w:t>
      </w:r>
      <w:r w:rsidR="00EA5286" w:rsidRPr="000142E5">
        <w:rPr>
          <w:rFonts w:ascii="Arial" w:hAnsi="Arial" w:cs="Arial"/>
          <w:sz w:val="20"/>
          <w:szCs w:val="20"/>
        </w:rPr>
        <w:t>-</w:t>
      </w:r>
      <w:r w:rsidRPr="000142E5">
        <w:rPr>
          <w:rFonts w:ascii="Arial" w:hAnsi="Arial" w:cs="Arial"/>
          <w:sz w:val="20"/>
          <w:szCs w:val="20"/>
        </w:rPr>
        <w:t>looking information, actual results may differ materially from those expressed or implied by these forward-looking statements. The Directors undertake no obligation to update any forward-looking statements contained in this announcement, whether as a result of new information, future events, or otherwise.</w:t>
      </w:r>
    </w:p>
    <w:p w14:paraId="111C1F9B" w14:textId="11757017" w:rsidR="00573101" w:rsidRPr="000142E5" w:rsidRDefault="00941044" w:rsidP="000142E5">
      <w:pPr>
        <w:jc w:val="both"/>
        <w:rPr>
          <w:rFonts w:ascii="Arial" w:hAnsi="Arial" w:cs="Arial"/>
          <w:b/>
          <w:color w:val="283A59"/>
          <w:sz w:val="20"/>
          <w:szCs w:val="20"/>
        </w:rPr>
      </w:pPr>
      <w:r w:rsidRPr="000142E5">
        <w:rPr>
          <w:rFonts w:ascii="Arial" w:hAnsi="Arial" w:cs="Arial"/>
          <w:b/>
          <w:color w:val="283A59"/>
          <w:sz w:val="20"/>
          <w:szCs w:val="20"/>
        </w:rPr>
        <w:t>IMS conference call and webcast</w:t>
      </w:r>
      <w:r w:rsidR="00573101" w:rsidRPr="000142E5">
        <w:rPr>
          <w:rFonts w:ascii="Arial" w:hAnsi="Arial" w:cs="Arial"/>
          <w:b/>
          <w:color w:val="283A59"/>
          <w:sz w:val="20"/>
          <w:szCs w:val="20"/>
        </w:rPr>
        <w:t xml:space="preserve"> details</w:t>
      </w:r>
    </w:p>
    <w:p w14:paraId="7EF528D7" w14:textId="3D9ED00D" w:rsidR="00941044" w:rsidRPr="000142E5" w:rsidRDefault="00573101" w:rsidP="000142E5">
      <w:pPr>
        <w:jc w:val="both"/>
        <w:rPr>
          <w:rFonts w:ascii="Arial" w:hAnsi="Arial" w:cs="Arial"/>
          <w:sz w:val="20"/>
          <w:szCs w:val="20"/>
        </w:rPr>
      </w:pPr>
      <w:r w:rsidRPr="003503FC">
        <w:rPr>
          <w:rFonts w:ascii="Arial" w:hAnsi="Arial" w:cs="Arial"/>
          <w:sz w:val="20"/>
          <w:szCs w:val="20"/>
        </w:rPr>
        <w:t xml:space="preserve">There will be an analysts’ conference call </w:t>
      </w:r>
      <w:r w:rsidR="00941044" w:rsidRPr="003503FC">
        <w:rPr>
          <w:rFonts w:ascii="Arial" w:hAnsi="Arial" w:cs="Arial"/>
          <w:sz w:val="20"/>
          <w:szCs w:val="20"/>
        </w:rPr>
        <w:t xml:space="preserve">and webcast presentation </w:t>
      </w:r>
      <w:r w:rsidRPr="003503FC">
        <w:rPr>
          <w:rFonts w:ascii="Arial" w:hAnsi="Arial" w:cs="Arial"/>
          <w:sz w:val="20"/>
          <w:szCs w:val="20"/>
        </w:rPr>
        <w:t>to accompany this Inte</w:t>
      </w:r>
      <w:r w:rsidR="00F65636" w:rsidRPr="003503FC">
        <w:rPr>
          <w:rFonts w:ascii="Arial" w:hAnsi="Arial" w:cs="Arial"/>
          <w:sz w:val="20"/>
          <w:szCs w:val="20"/>
        </w:rPr>
        <w:t>rim Management Statement at 8.</w:t>
      </w:r>
      <w:r w:rsidR="009D61F5">
        <w:rPr>
          <w:rFonts w:ascii="Arial" w:hAnsi="Arial" w:cs="Arial"/>
          <w:sz w:val="20"/>
          <w:szCs w:val="20"/>
        </w:rPr>
        <w:t>3</w:t>
      </w:r>
      <w:r w:rsidR="00F65636" w:rsidRPr="003503FC">
        <w:rPr>
          <w:rFonts w:ascii="Arial" w:hAnsi="Arial" w:cs="Arial"/>
          <w:sz w:val="20"/>
          <w:szCs w:val="20"/>
        </w:rPr>
        <w:t>0</w:t>
      </w:r>
      <w:r w:rsidRPr="003503FC">
        <w:rPr>
          <w:rFonts w:ascii="Arial" w:hAnsi="Arial" w:cs="Arial"/>
          <w:sz w:val="20"/>
          <w:szCs w:val="20"/>
        </w:rPr>
        <w:t xml:space="preserve"> a.m. (</w:t>
      </w:r>
      <w:r w:rsidR="005177E0">
        <w:rPr>
          <w:rFonts w:ascii="Arial" w:hAnsi="Arial" w:cs="Arial"/>
          <w:sz w:val="20"/>
          <w:szCs w:val="20"/>
        </w:rPr>
        <w:t>GMT</w:t>
      </w:r>
      <w:r w:rsidRPr="003503FC">
        <w:rPr>
          <w:rFonts w:ascii="Arial" w:hAnsi="Arial" w:cs="Arial"/>
          <w:sz w:val="20"/>
          <w:szCs w:val="20"/>
        </w:rPr>
        <w:t xml:space="preserve">) today. </w:t>
      </w:r>
      <w:r w:rsidR="00941044" w:rsidRPr="003503FC">
        <w:rPr>
          <w:rFonts w:ascii="Arial" w:hAnsi="Arial" w:cs="Arial"/>
          <w:sz w:val="20"/>
          <w:szCs w:val="20"/>
        </w:rPr>
        <w:t xml:space="preserve">Please access the webcast from the Glanbia website at </w:t>
      </w:r>
      <w:r w:rsidR="00C05D1B" w:rsidRPr="003503FC">
        <w:rPr>
          <w:rFonts w:ascii="Arial" w:hAnsi="Arial" w:cs="Arial"/>
          <w:sz w:val="20"/>
          <w:szCs w:val="20"/>
        </w:rPr>
        <w:t>https://www.glanbia.com/investors/</w:t>
      </w:r>
      <w:r w:rsidR="003503FC">
        <w:rPr>
          <w:rFonts w:ascii="Arial" w:hAnsi="Arial" w:cs="Arial"/>
          <w:sz w:val="20"/>
          <w:szCs w:val="20"/>
        </w:rPr>
        <w:t>financial-calendar</w:t>
      </w:r>
      <w:r w:rsidR="00941044" w:rsidRPr="003503FC">
        <w:rPr>
          <w:rFonts w:ascii="Arial" w:hAnsi="Arial" w:cs="Arial"/>
          <w:sz w:val="20"/>
          <w:szCs w:val="20"/>
        </w:rPr>
        <w:t>, where the presentation can also be viewed or downloaded.</w:t>
      </w:r>
    </w:p>
    <w:p w14:paraId="34C779AA" w14:textId="77777777" w:rsidR="00573101" w:rsidRPr="000142E5" w:rsidRDefault="00573101" w:rsidP="000142E5">
      <w:pPr>
        <w:jc w:val="both"/>
        <w:rPr>
          <w:rFonts w:ascii="Arial" w:hAnsi="Arial" w:cs="Arial"/>
          <w:sz w:val="20"/>
          <w:szCs w:val="20"/>
        </w:rPr>
      </w:pPr>
      <w:r w:rsidRPr="000142E5">
        <w:rPr>
          <w:rFonts w:ascii="Arial" w:hAnsi="Arial" w:cs="Arial"/>
          <w:sz w:val="20"/>
          <w:szCs w:val="20"/>
        </w:rPr>
        <w:t>A replay of the call will be available for 30 days from this afternoon. Please see the link below to the Investor Relations section of the Glanbia plc website for details:</w:t>
      </w:r>
    </w:p>
    <w:p w14:paraId="63933124" w14:textId="3BFAEFB3" w:rsidR="00DF5063" w:rsidRPr="000142E5" w:rsidRDefault="00DF5063" w:rsidP="000142E5">
      <w:pPr>
        <w:jc w:val="both"/>
        <w:rPr>
          <w:rFonts w:ascii="Arial" w:hAnsi="Arial" w:cs="Arial"/>
          <w:color w:val="FF0000"/>
          <w:sz w:val="20"/>
          <w:szCs w:val="20"/>
        </w:rPr>
      </w:pPr>
      <w:r w:rsidRPr="003503FC">
        <w:rPr>
          <w:rFonts w:ascii="Arial" w:hAnsi="Arial" w:cs="Arial"/>
          <w:sz w:val="20"/>
          <w:szCs w:val="20"/>
        </w:rPr>
        <w:t>http</w:t>
      </w:r>
      <w:r w:rsidR="00B5309F" w:rsidRPr="003503FC">
        <w:rPr>
          <w:rFonts w:ascii="Arial" w:hAnsi="Arial" w:cs="Arial"/>
          <w:sz w:val="20"/>
          <w:szCs w:val="20"/>
        </w:rPr>
        <w:t>s</w:t>
      </w:r>
      <w:r w:rsidRPr="003503FC">
        <w:rPr>
          <w:rFonts w:ascii="Arial" w:hAnsi="Arial" w:cs="Arial"/>
          <w:sz w:val="20"/>
          <w:szCs w:val="20"/>
        </w:rPr>
        <w:t>://www.glanbia.com/investors/</w:t>
      </w:r>
      <w:r w:rsidR="003503FC" w:rsidRPr="003503FC">
        <w:rPr>
          <w:rFonts w:ascii="Arial" w:hAnsi="Arial" w:cs="Arial"/>
          <w:sz w:val="20"/>
          <w:szCs w:val="20"/>
        </w:rPr>
        <w:t>financial-calendar</w:t>
      </w:r>
    </w:p>
    <w:p w14:paraId="08B9BE65" w14:textId="7243D7A2" w:rsidR="000544BD" w:rsidRPr="000142E5" w:rsidRDefault="006E780E" w:rsidP="000142E5">
      <w:pPr>
        <w:jc w:val="both"/>
        <w:rPr>
          <w:rFonts w:ascii="Arial" w:hAnsi="Arial" w:cs="Arial"/>
          <w:b/>
          <w:sz w:val="20"/>
          <w:szCs w:val="20"/>
        </w:rPr>
      </w:pPr>
      <w:r>
        <w:rPr>
          <w:rFonts w:ascii="Arial" w:hAnsi="Arial" w:cs="Arial"/>
          <w:b/>
          <w:sz w:val="20"/>
          <w:szCs w:val="20"/>
        </w:rPr>
        <w:t>F</w:t>
      </w:r>
      <w:r w:rsidR="000544BD" w:rsidRPr="000142E5">
        <w:rPr>
          <w:rFonts w:ascii="Arial" w:hAnsi="Arial" w:cs="Arial"/>
          <w:b/>
          <w:sz w:val="20"/>
          <w:szCs w:val="20"/>
        </w:rPr>
        <w:t>or further information contact</w:t>
      </w:r>
    </w:p>
    <w:p w14:paraId="58C9CE74" w14:textId="77777777" w:rsidR="000544BD" w:rsidRPr="000142E5" w:rsidRDefault="000544BD" w:rsidP="000142E5">
      <w:pPr>
        <w:jc w:val="both"/>
        <w:rPr>
          <w:rFonts w:ascii="Arial" w:hAnsi="Arial" w:cs="Arial"/>
          <w:sz w:val="20"/>
          <w:szCs w:val="20"/>
        </w:rPr>
      </w:pPr>
      <w:r w:rsidRPr="000142E5">
        <w:rPr>
          <w:rFonts w:ascii="Arial" w:hAnsi="Arial" w:cs="Arial"/>
          <w:sz w:val="20"/>
          <w:szCs w:val="20"/>
        </w:rPr>
        <w:t>Glanbia plc +353 (0)56 777 2200</w:t>
      </w:r>
    </w:p>
    <w:p w14:paraId="510226F5" w14:textId="2489B11F" w:rsidR="000544BD" w:rsidRPr="000142E5" w:rsidRDefault="000544BD" w:rsidP="000142E5">
      <w:pPr>
        <w:jc w:val="both"/>
        <w:rPr>
          <w:rFonts w:ascii="Arial" w:hAnsi="Arial" w:cs="Arial"/>
          <w:sz w:val="20"/>
          <w:szCs w:val="20"/>
        </w:rPr>
      </w:pPr>
      <w:r w:rsidRPr="000142E5">
        <w:rPr>
          <w:rFonts w:ascii="Arial" w:hAnsi="Arial" w:cs="Arial"/>
          <w:sz w:val="20"/>
          <w:szCs w:val="20"/>
        </w:rPr>
        <w:t xml:space="preserve">Mark Garvey, </w:t>
      </w:r>
      <w:r w:rsidR="0079467F" w:rsidRPr="000142E5">
        <w:rPr>
          <w:rFonts w:ascii="Arial" w:hAnsi="Arial" w:cs="Arial"/>
          <w:sz w:val="20"/>
          <w:szCs w:val="20"/>
        </w:rPr>
        <w:t>Chief Financial</w:t>
      </w:r>
      <w:r w:rsidRPr="000142E5">
        <w:rPr>
          <w:rFonts w:ascii="Arial" w:hAnsi="Arial" w:cs="Arial"/>
          <w:sz w:val="20"/>
          <w:szCs w:val="20"/>
        </w:rPr>
        <w:t xml:space="preserve"> </w:t>
      </w:r>
      <w:r w:rsidR="0079467F" w:rsidRPr="000142E5">
        <w:rPr>
          <w:rFonts w:ascii="Arial" w:hAnsi="Arial" w:cs="Arial"/>
          <w:sz w:val="20"/>
          <w:szCs w:val="20"/>
        </w:rPr>
        <w:t>Officer</w:t>
      </w:r>
    </w:p>
    <w:p w14:paraId="5A9D77A5" w14:textId="4FC87FDC" w:rsidR="000544BD" w:rsidRPr="000142E5" w:rsidRDefault="000544BD" w:rsidP="000142E5">
      <w:pPr>
        <w:jc w:val="both"/>
        <w:rPr>
          <w:rFonts w:ascii="Arial" w:hAnsi="Arial" w:cs="Arial"/>
          <w:sz w:val="20"/>
          <w:szCs w:val="20"/>
        </w:rPr>
      </w:pPr>
      <w:r w:rsidRPr="000142E5">
        <w:rPr>
          <w:rFonts w:ascii="Arial" w:hAnsi="Arial" w:cs="Arial"/>
          <w:sz w:val="20"/>
          <w:szCs w:val="20"/>
        </w:rPr>
        <w:t xml:space="preserve">Liam Hennigan, Group </w:t>
      </w:r>
      <w:r w:rsidR="00BC36DA" w:rsidRPr="000142E5">
        <w:rPr>
          <w:rFonts w:ascii="Arial" w:hAnsi="Arial" w:cs="Arial"/>
          <w:sz w:val="20"/>
          <w:szCs w:val="20"/>
        </w:rPr>
        <w:t xml:space="preserve">Company </w:t>
      </w:r>
      <w:r w:rsidRPr="000142E5">
        <w:rPr>
          <w:rFonts w:ascii="Arial" w:hAnsi="Arial" w:cs="Arial"/>
          <w:sz w:val="20"/>
          <w:szCs w:val="20"/>
        </w:rPr>
        <w:t>Secretary &amp; Head of Investor Relations:</w:t>
      </w:r>
      <w:r w:rsidRPr="000142E5">
        <w:rPr>
          <w:rFonts w:ascii="Arial" w:hAnsi="Arial" w:cs="Arial"/>
          <w:sz w:val="20"/>
          <w:szCs w:val="20"/>
        </w:rPr>
        <w:tab/>
      </w:r>
      <w:r w:rsidRPr="000142E5">
        <w:rPr>
          <w:rFonts w:ascii="Arial" w:hAnsi="Arial" w:cs="Arial"/>
          <w:sz w:val="20"/>
          <w:szCs w:val="20"/>
        </w:rPr>
        <w:tab/>
        <w:t>+353 (0)86 046 8375</w:t>
      </w:r>
    </w:p>
    <w:p w14:paraId="025175BB" w14:textId="4221C770" w:rsidR="003165EE" w:rsidRPr="007D54A1" w:rsidRDefault="003165EE" w:rsidP="000142E5">
      <w:pPr>
        <w:jc w:val="both"/>
        <w:rPr>
          <w:rFonts w:ascii="Arial" w:hAnsi="Arial" w:cs="Arial"/>
          <w:sz w:val="20"/>
          <w:szCs w:val="20"/>
          <w:lang w:val="en-GB"/>
        </w:rPr>
      </w:pPr>
      <w:r w:rsidRPr="007D54A1">
        <w:rPr>
          <w:rFonts w:ascii="Arial" w:hAnsi="Arial" w:cs="Arial"/>
          <w:sz w:val="20"/>
          <w:szCs w:val="20"/>
          <w:lang w:val="en-GB"/>
        </w:rPr>
        <w:t>Lauren O’Sullivan, Investor Relations Manager</w:t>
      </w:r>
      <w:r w:rsidR="003A01E2">
        <w:rPr>
          <w:rFonts w:ascii="Arial" w:hAnsi="Arial" w:cs="Arial"/>
          <w:sz w:val="20"/>
          <w:szCs w:val="20"/>
          <w:lang w:val="en-GB"/>
        </w:rPr>
        <w:t>:</w:t>
      </w:r>
      <w:r w:rsidR="003A01E2">
        <w:rPr>
          <w:rFonts w:ascii="Arial" w:hAnsi="Arial" w:cs="Arial"/>
          <w:sz w:val="20"/>
          <w:szCs w:val="20"/>
          <w:lang w:val="en-GB"/>
        </w:rPr>
        <w:tab/>
      </w:r>
      <w:r w:rsidRPr="007D54A1">
        <w:rPr>
          <w:rFonts w:ascii="Arial" w:hAnsi="Arial" w:cs="Arial"/>
          <w:sz w:val="20"/>
          <w:szCs w:val="20"/>
          <w:lang w:val="en-GB"/>
        </w:rPr>
        <w:tab/>
      </w:r>
      <w:r w:rsidRPr="007D54A1">
        <w:rPr>
          <w:rFonts w:ascii="Arial" w:hAnsi="Arial" w:cs="Arial"/>
          <w:sz w:val="20"/>
          <w:szCs w:val="20"/>
          <w:lang w:val="en-GB"/>
        </w:rPr>
        <w:tab/>
      </w:r>
      <w:r w:rsidRPr="007D54A1">
        <w:rPr>
          <w:rFonts w:ascii="Arial" w:hAnsi="Arial" w:cs="Arial"/>
          <w:sz w:val="20"/>
          <w:szCs w:val="20"/>
          <w:lang w:val="en-GB"/>
        </w:rPr>
        <w:tab/>
      </w:r>
      <w:r w:rsidRPr="007D54A1">
        <w:rPr>
          <w:rFonts w:ascii="Arial" w:hAnsi="Arial" w:cs="Arial"/>
          <w:sz w:val="20"/>
          <w:szCs w:val="20"/>
          <w:lang w:val="en-GB"/>
        </w:rPr>
        <w:tab/>
      </w:r>
      <w:r w:rsidRPr="007D54A1">
        <w:rPr>
          <w:rFonts w:ascii="Arial" w:hAnsi="Arial" w:cs="Arial"/>
          <w:sz w:val="20"/>
          <w:szCs w:val="20"/>
          <w:lang w:val="en-GB"/>
        </w:rPr>
        <w:tab/>
        <w:t>+353 (0)</w:t>
      </w:r>
      <w:r w:rsidR="001E5B30">
        <w:rPr>
          <w:rFonts w:ascii="Arial" w:hAnsi="Arial" w:cs="Arial"/>
          <w:sz w:val="20"/>
          <w:szCs w:val="20"/>
          <w:lang w:val="en-GB"/>
        </w:rPr>
        <w:t>8</w:t>
      </w:r>
      <w:r w:rsidRPr="007D54A1">
        <w:rPr>
          <w:rFonts w:ascii="Arial" w:hAnsi="Arial" w:cs="Arial"/>
          <w:sz w:val="20"/>
          <w:szCs w:val="20"/>
          <w:lang w:val="en-GB"/>
        </w:rPr>
        <w:t>5 741 7861</w:t>
      </w:r>
    </w:p>
    <w:p w14:paraId="3A9C6647" w14:textId="2EE78120" w:rsidR="000544BD" w:rsidRPr="000142E5" w:rsidRDefault="000544BD" w:rsidP="000142E5">
      <w:pPr>
        <w:jc w:val="both"/>
        <w:rPr>
          <w:rFonts w:ascii="Arial" w:hAnsi="Arial" w:cs="Arial"/>
          <w:sz w:val="20"/>
          <w:szCs w:val="20"/>
        </w:rPr>
      </w:pPr>
      <w:r w:rsidRPr="000142E5">
        <w:rPr>
          <w:rFonts w:ascii="Arial" w:hAnsi="Arial" w:cs="Arial"/>
          <w:sz w:val="20"/>
          <w:szCs w:val="20"/>
        </w:rPr>
        <w:t>Martha Kavanagh, Head of Corporate Communications:</w:t>
      </w:r>
      <w:r w:rsidRPr="000142E5">
        <w:rPr>
          <w:rFonts w:ascii="Arial" w:hAnsi="Arial" w:cs="Arial"/>
          <w:sz w:val="20"/>
          <w:szCs w:val="20"/>
        </w:rPr>
        <w:tab/>
      </w:r>
      <w:r w:rsidRPr="000142E5">
        <w:rPr>
          <w:rFonts w:ascii="Arial" w:hAnsi="Arial" w:cs="Arial"/>
          <w:sz w:val="20"/>
          <w:szCs w:val="20"/>
        </w:rPr>
        <w:tab/>
      </w:r>
      <w:r w:rsidRPr="000142E5">
        <w:rPr>
          <w:rFonts w:ascii="Arial" w:hAnsi="Arial" w:cs="Arial"/>
          <w:sz w:val="20"/>
          <w:szCs w:val="20"/>
        </w:rPr>
        <w:tab/>
      </w:r>
      <w:r w:rsidR="00BC36DA" w:rsidRPr="000142E5">
        <w:rPr>
          <w:rFonts w:ascii="Arial" w:hAnsi="Arial" w:cs="Arial"/>
          <w:sz w:val="20"/>
          <w:szCs w:val="20"/>
        </w:rPr>
        <w:tab/>
      </w:r>
      <w:r w:rsidR="00394221">
        <w:rPr>
          <w:rFonts w:ascii="Arial" w:hAnsi="Arial" w:cs="Arial"/>
          <w:sz w:val="20"/>
          <w:szCs w:val="20"/>
        </w:rPr>
        <w:tab/>
      </w:r>
      <w:r w:rsidRPr="000142E5">
        <w:rPr>
          <w:rFonts w:ascii="Arial" w:hAnsi="Arial" w:cs="Arial"/>
          <w:sz w:val="20"/>
          <w:szCs w:val="20"/>
        </w:rPr>
        <w:t>+353 (0)87 646 2006</w:t>
      </w:r>
    </w:p>
    <w:p w14:paraId="61FCB8EE" w14:textId="2491CEDD" w:rsidR="00165C6F" w:rsidRPr="000142E5" w:rsidRDefault="00165C6F" w:rsidP="000142E5">
      <w:pPr>
        <w:jc w:val="both"/>
        <w:rPr>
          <w:rFonts w:ascii="Arial" w:hAnsi="Arial" w:cs="Arial"/>
          <w:sz w:val="20"/>
          <w:szCs w:val="20"/>
        </w:rPr>
      </w:pPr>
    </w:p>
    <w:sectPr w:rsidR="00165C6F" w:rsidRPr="000142E5" w:rsidSect="00A41B20">
      <w:footerReference w:type="default" r:id="rId11"/>
      <w:pgSz w:w="11906" w:h="16838"/>
      <w:pgMar w:top="1247" w:right="851"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EF20" w14:textId="77777777" w:rsidR="00F15ABE" w:rsidRDefault="00F15ABE" w:rsidP="00573101">
      <w:pPr>
        <w:spacing w:after="0" w:line="240" w:lineRule="auto"/>
      </w:pPr>
      <w:r>
        <w:separator/>
      </w:r>
    </w:p>
  </w:endnote>
  <w:endnote w:type="continuationSeparator" w:id="0">
    <w:p w14:paraId="157ADA7E" w14:textId="77777777" w:rsidR="00F15ABE" w:rsidRDefault="00F15ABE" w:rsidP="00573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695633"/>
      <w:docPartObj>
        <w:docPartGallery w:val="Page Numbers (Bottom of Page)"/>
        <w:docPartUnique/>
      </w:docPartObj>
    </w:sdtPr>
    <w:sdtEndPr>
      <w:rPr>
        <w:noProof/>
      </w:rPr>
    </w:sdtEndPr>
    <w:sdtContent>
      <w:p w14:paraId="0AB99EBC" w14:textId="16B1EA39" w:rsidR="00573101" w:rsidRDefault="00573101">
        <w:pPr>
          <w:pStyle w:val="Footer"/>
          <w:jc w:val="right"/>
        </w:pPr>
        <w:r>
          <w:fldChar w:fldCharType="begin"/>
        </w:r>
        <w:r>
          <w:instrText xml:space="preserve"> PAGE   \* MERGEFORMAT </w:instrText>
        </w:r>
        <w:r>
          <w:fldChar w:fldCharType="separate"/>
        </w:r>
        <w:r w:rsidR="00A57B00">
          <w:rPr>
            <w:noProof/>
          </w:rPr>
          <w:t>1</w:t>
        </w:r>
        <w:r>
          <w:rPr>
            <w:noProof/>
          </w:rPr>
          <w:fldChar w:fldCharType="end"/>
        </w:r>
      </w:p>
    </w:sdtContent>
  </w:sdt>
  <w:p w14:paraId="0E0B396A" w14:textId="77777777" w:rsidR="00573101" w:rsidRDefault="00573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9E126" w14:textId="77777777" w:rsidR="00F15ABE" w:rsidRDefault="00F15ABE" w:rsidP="00573101">
      <w:pPr>
        <w:spacing w:after="0" w:line="240" w:lineRule="auto"/>
      </w:pPr>
      <w:r>
        <w:separator/>
      </w:r>
    </w:p>
  </w:footnote>
  <w:footnote w:type="continuationSeparator" w:id="0">
    <w:p w14:paraId="2281682A" w14:textId="77777777" w:rsidR="00F15ABE" w:rsidRDefault="00F15ABE" w:rsidP="00573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50D"/>
    <w:multiLevelType w:val="hybridMultilevel"/>
    <w:tmpl w:val="A810ED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580891"/>
    <w:multiLevelType w:val="hybridMultilevel"/>
    <w:tmpl w:val="9F4A87A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B7F1EA1"/>
    <w:multiLevelType w:val="hybridMultilevel"/>
    <w:tmpl w:val="5B008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73967"/>
    <w:multiLevelType w:val="hybridMultilevel"/>
    <w:tmpl w:val="D918E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F943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778603E"/>
    <w:multiLevelType w:val="hybridMultilevel"/>
    <w:tmpl w:val="3C20E914"/>
    <w:lvl w:ilvl="0" w:tplc="8C38A998">
      <w:start w:val="1"/>
      <w:numFmt w:val="bullet"/>
      <w:lvlText w:val=""/>
      <w:lvlJc w:val="left"/>
      <w:pPr>
        <w:ind w:left="360" w:hanging="360"/>
      </w:pPr>
      <w:rPr>
        <w:rFonts w:ascii="Symbol" w:hAnsi="Symbol" w:hint="default"/>
        <w:color w:val="auto"/>
        <w:sz w:val="16"/>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1972935"/>
    <w:multiLevelType w:val="hybridMultilevel"/>
    <w:tmpl w:val="0ABE65B6"/>
    <w:lvl w:ilvl="0" w:tplc="3064E27C">
      <w:start w:val="1"/>
      <w:numFmt w:val="bullet"/>
      <w:pStyle w:val="BulletList"/>
      <w:lvlText w:val=""/>
      <w:lvlJc w:val="left"/>
      <w:pPr>
        <w:ind w:left="360" w:hanging="360"/>
      </w:pPr>
      <w:rPr>
        <w:rFonts w:ascii="Symbol" w:hAnsi="Symbol" w:hint="default"/>
        <w:color w:val="2A3F7A"/>
        <w:sz w:val="16"/>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5F5E6152"/>
    <w:multiLevelType w:val="hybridMultilevel"/>
    <w:tmpl w:val="B58C74B6"/>
    <w:lvl w:ilvl="0" w:tplc="18090001">
      <w:start w:val="1"/>
      <w:numFmt w:val="bullet"/>
      <w:lvlText w:val=""/>
      <w:lvlJc w:val="left"/>
      <w:pPr>
        <w:ind w:left="2145" w:hanging="360"/>
      </w:pPr>
      <w:rPr>
        <w:rFonts w:ascii="Symbol" w:hAnsi="Symbol" w:hint="default"/>
      </w:rPr>
    </w:lvl>
    <w:lvl w:ilvl="1" w:tplc="18090003" w:tentative="1">
      <w:start w:val="1"/>
      <w:numFmt w:val="bullet"/>
      <w:lvlText w:val="o"/>
      <w:lvlJc w:val="left"/>
      <w:pPr>
        <w:ind w:left="2865" w:hanging="360"/>
      </w:pPr>
      <w:rPr>
        <w:rFonts w:ascii="Courier New" w:hAnsi="Courier New" w:cs="Courier New" w:hint="default"/>
      </w:rPr>
    </w:lvl>
    <w:lvl w:ilvl="2" w:tplc="18090005" w:tentative="1">
      <w:start w:val="1"/>
      <w:numFmt w:val="bullet"/>
      <w:lvlText w:val=""/>
      <w:lvlJc w:val="left"/>
      <w:pPr>
        <w:ind w:left="3585" w:hanging="360"/>
      </w:pPr>
      <w:rPr>
        <w:rFonts w:ascii="Wingdings" w:hAnsi="Wingdings" w:hint="default"/>
      </w:rPr>
    </w:lvl>
    <w:lvl w:ilvl="3" w:tplc="18090001" w:tentative="1">
      <w:start w:val="1"/>
      <w:numFmt w:val="bullet"/>
      <w:lvlText w:val=""/>
      <w:lvlJc w:val="left"/>
      <w:pPr>
        <w:ind w:left="4305" w:hanging="360"/>
      </w:pPr>
      <w:rPr>
        <w:rFonts w:ascii="Symbol" w:hAnsi="Symbol" w:hint="default"/>
      </w:rPr>
    </w:lvl>
    <w:lvl w:ilvl="4" w:tplc="18090003" w:tentative="1">
      <w:start w:val="1"/>
      <w:numFmt w:val="bullet"/>
      <w:lvlText w:val="o"/>
      <w:lvlJc w:val="left"/>
      <w:pPr>
        <w:ind w:left="5025" w:hanging="360"/>
      </w:pPr>
      <w:rPr>
        <w:rFonts w:ascii="Courier New" w:hAnsi="Courier New" w:cs="Courier New" w:hint="default"/>
      </w:rPr>
    </w:lvl>
    <w:lvl w:ilvl="5" w:tplc="18090005" w:tentative="1">
      <w:start w:val="1"/>
      <w:numFmt w:val="bullet"/>
      <w:lvlText w:val=""/>
      <w:lvlJc w:val="left"/>
      <w:pPr>
        <w:ind w:left="5745" w:hanging="360"/>
      </w:pPr>
      <w:rPr>
        <w:rFonts w:ascii="Wingdings" w:hAnsi="Wingdings" w:hint="default"/>
      </w:rPr>
    </w:lvl>
    <w:lvl w:ilvl="6" w:tplc="18090001" w:tentative="1">
      <w:start w:val="1"/>
      <w:numFmt w:val="bullet"/>
      <w:lvlText w:val=""/>
      <w:lvlJc w:val="left"/>
      <w:pPr>
        <w:ind w:left="6465" w:hanging="360"/>
      </w:pPr>
      <w:rPr>
        <w:rFonts w:ascii="Symbol" w:hAnsi="Symbol" w:hint="default"/>
      </w:rPr>
    </w:lvl>
    <w:lvl w:ilvl="7" w:tplc="18090003" w:tentative="1">
      <w:start w:val="1"/>
      <w:numFmt w:val="bullet"/>
      <w:lvlText w:val="o"/>
      <w:lvlJc w:val="left"/>
      <w:pPr>
        <w:ind w:left="7185" w:hanging="360"/>
      </w:pPr>
      <w:rPr>
        <w:rFonts w:ascii="Courier New" w:hAnsi="Courier New" w:cs="Courier New" w:hint="default"/>
      </w:rPr>
    </w:lvl>
    <w:lvl w:ilvl="8" w:tplc="18090005" w:tentative="1">
      <w:start w:val="1"/>
      <w:numFmt w:val="bullet"/>
      <w:lvlText w:val=""/>
      <w:lvlJc w:val="left"/>
      <w:pPr>
        <w:ind w:left="7905" w:hanging="360"/>
      </w:pPr>
      <w:rPr>
        <w:rFonts w:ascii="Wingdings" w:hAnsi="Wingdings" w:hint="default"/>
      </w:rPr>
    </w:lvl>
  </w:abstractNum>
  <w:abstractNum w:abstractNumId="8" w15:restartNumberingAfterBreak="0">
    <w:nsid w:val="67143C77"/>
    <w:multiLevelType w:val="hybridMultilevel"/>
    <w:tmpl w:val="D91EE71E"/>
    <w:lvl w:ilvl="0" w:tplc="0EA04ECC">
      <w:start w:val="1"/>
      <w:numFmt w:val="decimal"/>
      <w:lvlText w:val="%1)"/>
      <w:lvlJc w:val="left"/>
      <w:pPr>
        <w:ind w:left="1020" w:hanging="360"/>
      </w:pPr>
    </w:lvl>
    <w:lvl w:ilvl="1" w:tplc="3744B8AA">
      <w:start w:val="1"/>
      <w:numFmt w:val="decimal"/>
      <w:lvlText w:val="%2)"/>
      <w:lvlJc w:val="left"/>
      <w:pPr>
        <w:ind w:left="1020" w:hanging="360"/>
      </w:pPr>
    </w:lvl>
    <w:lvl w:ilvl="2" w:tplc="FC38A370">
      <w:start w:val="1"/>
      <w:numFmt w:val="decimal"/>
      <w:lvlText w:val="%3)"/>
      <w:lvlJc w:val="left"/>
      <w:pPr>
        <w:ind w:left="1020" w:hanging="360"/>
      </w:pPr>
    </w:lvl>
    <w:lvl w:ilvl="3" w:tplc="6BA06B82">
      <w:start w:val="1"/>
      <w:numFmt w:val="decimal"/>
      <w:lvlText w:val="%4)"/>
      <w:lvlJc w:val="left"/>
      <w:pPr>
        <w:ind w:left="1020" w:hanging="360"/>
      </w:pPr>
    </w:lvl>
    <w:lvl w:ilvl="4" w:tplc="ECA048A8">
      <w:start w:val="1"/>
      <w:numFmt w:val="decimal"/>
      <w:lvlText w:val="%5)"/>
      <w:lvlJc w:val="left"/>
      <w:pPr>
        <w:ind w:left="1020" w:hanging="360"/>
      </w:pPr>
    </w:lvl>
    <w:lvl w:ilvl="5" w:tplc="CE3EDB26">
      <w:start w:val="1"/>
      <w:numFmt w:val="decimal"/>
      <w:lvlText w:val="%6)"/>
      <w:lvlJc w:val="left"/>
      <w:pPr>
        <w:ind w:left="1020" w:hanging="360"/>
      </w:pPr>
    </w:lvl>
    <w:lvl w:ilvl="6" w:tplc="DD14C1F0">
      <w:start w:val="1"/>
      <w:numFmt w:val="decimal"/>
      <w:lvlText w:val="%7)"/>
      <w:lvlJc w:val="left"/>
      <w:pPr>
        <w:ind w:left="1020" w:hanging="360"/>
      </w:pPr>
    </w:lvl>
    <w:lvl w:ilvl="7" w:tplc="AC32A56A">
      <w:start w:val="1"/>
      <w:numFmt w:val="decimal"/>
      <w:lvlText w:val="%8)"/>
      <w:lvlJc w:val="left"/>
      <w:pPr>
        <w:ind w:left="1020" w:hanging="360"/>
      </w:pPr>
    </w:lvl>
    <w:lvl w:ilvl="8" w:tplc="80D61504">
      <w:start w:val="1"/>
      <w:numFmt w:val="decimal"/>
      <w:lvlText w:val="%9)"/>
      <w:lvlJc w:val="left"/>
      <w:pPr>
        <w:ind w:left="1020" w:hanging="360"/>
      </w:pPr>
    </w:lvl>
  </w:abstractNum>
  <w:abstractNum w:abstractNumId="9" w15:restartNumberingAfterBreak="0">
    <w:nsid w:val="68927EBF"/>
    <w:multiLevelType w:val="hybridMultilevel"/>
    <w:tmpl w:val="5DB430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8A30284"/>
    <w:multiLevelType w:val="hybridMultilevel"/>
    <w:tmpl w:val="E58011EA"/>
    <w:lvl w:ilvl="0" w:tplc="1AA2FC7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D870340"/>
    <w:multiLevelType w:val="hybridMultilevel"/>
    <w:tmpl w:val="A0DA3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190049">
    <w:abstractNumId w:val="1"/>
  </w:num>
  <w:num w:numId="2" w16cid:durableId="2001886488">
    <w:abstractNumId w:val="1"/>
  </w:num>
  <w:num w:numId="3" w16cid:durableId="1381397953">
    <w:abstractNumId w:val="0"/>
  </w:num>
  <w:num w:numId="4" w16cid:durableId="2007976038">
    <w:abstractNumId w:val="9"/>
  </w:num>
  <w:num w:numId="5" w16cid:durableId="612786034">
    <w:abstractNumId w:val="3"/>
  </w:num>
  <w:num w:numId="6" w16cid:durableId="142628313">
    <w:abstractNumId w:val="10"/>
  </w:num>
  <w:num w:numId="7" w16cid:durableId="491528373">
    <w:abstractNumId w:val="7"/>
  </w:num>
  <w:num w:numId="8" w16cid:durableId="424808199">
    <w:abstractNumId w:val="6"/>
  </w:num>
  <w:num w:numId="9" w16cid:durableId="567304469">
    <w:abstractNumId w:val="4"/>
  </w:num>
  <w:num w:numId="10" w16cid:durableId="702441435">
    <w:abstractNumId w:val="5"/>
  </w:num>
  <w:num w:numId="11" w16cid:durableId="256182496">
    <w:abstractNumId w:val="2"/>
  </w:num>
  <w:num w:numId="12" w16cid:durableId="1563373610">
    <w:abstractNumId w:val="8"/>
  </w:num>
  <w:num w:numId="13" w16cid:durableId="21029855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213"/>
    <w:rsid w:val="000023F1"/>
    <w:rsid w:val="00012A0A"/>
    <w:rsid w:val="00012E7E"/>
    <w:rsid w:val="000142E5"/>
    <w:rsid w:val="00015003"/>
    <w:rsid w:val="00016270"/>
    <w:rsid w:val="000162EE"/>
    <w:rsid w:val="00016775"/>
    <w:rsid w:val="00017FB9"/>
    <w:rsid w:val="000204AB"/>
    <w:rsid w:val="00020849"/>
    <w:rsid w:val="00021300"/>
    <w:rsid w:val="00024FB4"/>
    <w:rsid w:val="000254EE"/>
    <w:rsid w:val="00025E7B"/>
    <w:rsid w:val="0003015F"/>
    <w:rsid w:val="0003073E"/>
    <w:rsid w:val="00031B00"/>
    <w:rsid w:val="000342B5"/>
    <w:rsid w:val="00035829"/>
    <w:rsid w:val="000375D1"/>
    <w:rsid w:val="00040A14"/>
    <w:rsid w:val="00040B1F"/>
    <w:rsid w:val="000417EE"/>
    <w:rsid w:val="00041C0E"/>
    <w:rsid w:val="00042580"/>
    <w:rsid w:val="00045A9D"/>
    <w:rsid w:val="00046500"/>
    <w:rsid w:val="00047082"/>
    <w:rsid w:val="00053D44"/>
    <w:rsid w:val="000544BD"/>
    <w:rsid w:val="00057BBA"/>
    <w:rsid w:val="00064388"/>
    <w:rsid w:val="0006490E"/>
    <w:rsid w:val="00066430"/>
    <w:rsid w:val="000725BA"/>
    <w:rsid w:val="000737D8"/>
    <w:rsid w:val="0008011C"/>
    <w:rsid w:val="00081471"/>
    <w:rsid w:val="00081A7A"/>
    <w:rsid w:val="00081E57"/>
    <w:rsid w:val="00084F7A"/>
    <w:rsid w:val="00092319"/>
    <w:rsid w:val="000933A8"/>
    <w:rsid w:val="00093D07"/>
    <w:rsid w:val="00094A7F"/>
    <w:rsid w:val="0009709E"/>
    <w:rsid w:val="000A0F0E"/>
    <w:rsid w:val="000A272D"/>
    <w:rsid w:val="000A2901"/>
    <w:rsid w:val="000A4E4D"/>
    <w:rsid w:val="000A7368"/>
    <w:rsid w:val="000A7C08"/>
    <w:rsid w:val="000B025A"/>
    <w:rsid w:val="000B173F"/>
    <w:rsid w:val="000B1835"/>
    <w:rsid w:val="000B2EAF"/>
    <w:rsid w:val="000B379C"/>
    <w:rsid w:val="000B76D3"/>
    <w:rsid w:val="000B7917"/>
    <w:rsid w:val="000C09E6"/>
    <w:rsid w:val="000D3DFA"/>
    <w:rsid w:val="000D3F63"/>
    <w:rsid w:val="000D62B3"/>
    <w:rsid w:val="000E06A1"/>
    <w:rsid w:val="000E0940"/>
    <w:rsid w:val="000E2A83"/>
    <w:rsid w:val="000E3ED6"/>
    <w:rsid w:val="000E44E9"/>
    <w:rsid w:val="000E4A6E"/>
    <w:rsid w:val="000E6E1E"/>
    <w:rsid w:val="000E7E6D"/>
    <w:rsid w:val="000F3866"/>
    <w:rsid w:val="000F4FEA"/>
    <w:rsid w:val="000F515C"/>
    <w:rsid w:val="000F5324"/>
    <w:rsid w:val="000F5849"/>
    <w:rsid w:val="000F71C0"/>
    <w:rsid w:val="000F7D48"/>
    <w:rsid w:val="001011D8"/>
    <w:rsid w:val="00104FD2"/>
    <w:rsid w:val="0010567C"/>
    <w:rsid w:val="0010758C"/>
    <w:rsid w:val="00107733"/>
    <w:rsid w:val="001101CC"/>
    <w:rsid w:val="00110AF2"/>
    <w:rsid w:val="00110C75"/>
    <w:rsid w:val="00111A6B"/>
    <w:rsid w:val="00116BDF"/>
    <w:rsid w:val="00121E83"/>
    <w:rsid w:val="001240A6"/>
    <w:rsid w:val="00132680"/>
    <w:rsid w:val="00135521"/>
    <w:rsid w:val="00140469"/>
    <w:rsid w:val="00144DE1"/>
    <w:rsid w:val="001460A5"/>
    <w:rsid w:val="00147E02"/>
    <w:rsid w:val="0015074A"/>
    <w:rsid w:val="0015384C"/>
    <w:rsid w:val="001543E5"/>
    <w:rsid w:val="00154AC1"/>
    <w:rsid w:val="00154E49"/>
    <w:rsid w:val="00155595"/>
    <w:rsid w:val="00157BBD"/>
    <w:rsid w:val="00161092"/>
    <w:rsid w:val="0016562F"/>
    <w:rsid w:val="00165C6F"/>
    <w:rsid w:val="00165F3F"/>
    <w:rsid w:val="00166917"/>
    <w:rsid w:val="001679F6"/>
    <w:rsid w:val="0017223C"/>
    <w:rsid w:val="00177209"/>
    <w:rsid w:val="00177943"/>
    <w:rsid w:val="00180001"/>
    <w:rsid w:val="00180355"/>
    <w:rsid w:val="00181319"/>
    <w:rsid w:val="00183834"/>
    <w:rsid w:val="001839B4"/>
    <w:rsid w:val="00186723"/>
    <w:rsid w:val="00187124"/>
    <w:rsid w:val="00192572"/>
    <w:rsid w:val="00193EFB"/>
    <w:rsid w:val="001A17C1"/>
    <w:rsid w:val="001A19F6"/>
    <w:rsid w:val="001A1C38"/>
    <w:rsid w:val="001A5025"/>
    <w:rsid w:val="001A6AAD"/>
    <w:rsid w:val="001A7953"/>
    <w:rsid w:val="001B11C5"/>
    <w:rsid w:val="001B12D1"/>
    <w:rsid w:val="001B1406"/>
    <w:rsid w:val="001B1C49"/>
    <w:rsid w:val="001B45F8"/>
    <w:rsid w:val="001B5755"/>
    <w:rsid w:val="001B6D54"/>
    <w:rsid w:val="001C101E"/>
    <w:rsid w:val="001C1D21"/>
    <w:rsid w:val="001C4D26"/>
    <w:rsid w:val="001C4D5A"/>
    <w:rsid w:val="001D4B57"/>
    <w:rsid w:val="001D4CEB"/>
    <w:rsid w:val="001E032B"/>
    <w:rsid w:val="001E1CA7"/>
    <w:rsid w:val="001E4E22"/>
    <w:rsid w:val="001E5B30"/>
    <w:rsid w:val="001E6DFC"/>
    <w:rsid w:val="001E7046"/>
    <w:rsid w:val="001F0910"/>
    <w:rsid w:val="001F3088"/>
    <w:rsid w:val="001F5173"/>
    <w:rsid w:val="001F6BAC"/>
    <w:rsid w:val="00202D1A"/>
    <w:rsid w:val="00202F48"/>
    <w:rsid w:val="00203C4A"/>
    <w:rsid w:val="002044C6"/>
    <w:rsid w:val="002062BC"/>
    <w:rsid w:val="0021073D"/>
    <w:rsid w:val="00210F37"/>
    <w:rsid w:val="00211767"/>
    <w:rsid w:val="002143E2"/>
    <w:rsid w:val="00215961"/>
    <w:rsid w:val="00221079"/>
    <w:rsid w:val="002216D9"/>
    <w:rsid w:val="00222896"/>
    <w:rsid w:val="00226003"/>
    <w:rsid w:val="00233171"/>
    <w:rsid w:val="00233BDB"/>
    <w:rsid w:val="00234C96"/>
    <w:rsid w:val="00236B54"/>
    <w:rsid w:val="002414F1"/>
    <w:rsid w:val="00242807"/>
    <w:rsid w:val="002431A8"/>
    <w:rsid w:val="0024646C"/>
    <w:rsid w:val="00247CC0"/>
    <w:rsid w:val="00254085"/>
    <w:rsid w:val="002540DE"/>
    <w:rsid w:val="00254269"/>
    <w:rsid w:val="00257F5F"/>
    <w:rsid w:val="002625C8"/>
    <w:rsid w:val="00262AED"/>
    <w:rsid w:val="00263472"/>
    <w:rsid w:val="002649C9"/>
    <w:rsid w:val="00266D62"/>
    <w:rsid w:val="00271509"/>
    <w:rsid w:val="00273850"/>
    <w:rsid w:val="00273BA8"/>
    <w:rsid w:val="0027577D"/>
    <w:rsid w:val="00280DE7"/>
    <w:rsid w:val="00285C65"/>
    <w:rsid w:val="00286C9D"/>
    <w:rsid w:val="0028762F"/>
    <w:rsid w:val="00290F7B"/>
    <w:rsid w:val="002913E4"/>
    <w:rsid w:val="00291F3E"/>
    <w:rsid w:val="00292BF6"/>
    <w:rsid w:val="0029576C"/>
    <w:rsid w:val="00296D19"/>
    <w:rsid w:val="002A0398"/>
    <w:rsid w:val="002A1EE1"/>
    <w:rsid w:val="002A2556"/>
    <w:rsid w:val="002A2D37"/>
    <w:rsid w:val="002A5DCB"/>
    <w:rsid w:val="002A683F"/>
    <w:rsid w:val="002A6CB2"/>
    <w:rsid w:val="002A7F20"/>
    <w:rsid w:val="002B4DDD"/>
    <w:rsid w:val="002B5FDD"/>
    <w:rsid w:val="002C030C"/>
    <w:rsid w:val="002C091C"/>
    <w:rsid w:val="002C0ED1"/>
    <w:rsid w:val="002C1990"/>
    <w:rsid w:val="002C54BA"/>
    <w:rsid w:val="002C5DB2"/>
    <w:rsid w:val="002C681A"/>
    <w:rsid w:val="002C7E7A"/>
    <w:rsid w:val="002D0FE7"/>
    <w:rsid w:val="002D2A0B"/>
    <w:rsid w:val="002D7418"/>
    <w:rsid w:val="002D7C2F"/>
    <w:rsid w:val="002E066E"/>
    <w:rsid w:val="002E4D72"/>
    <w:rsid w:val="002E4F10"/>
    <w:rsid w:val="002F08D6"/>
    <w:rsid w:val="002F3ADB"/>
    <w:rsid w:val="002F3C3C"/>
    <w:rsid w:val="002F502B"/>
    <w:rsid w:val="002F5D4F"/>
    <w:rsid w:val="00301312"/>
    <w:rsid w:val="00301961"/>
    <w:rsid w:val="00304622"/>
    <w:rsid w:val="0030605B"/>
    <w:rsid w:val="0030685C"/>
    <w:rsid w:val="00310531"/>
    <w:rsid w:val="003129FD"/>
    <w:rsid w:val="003152AF"/>
    <w:rsid w:val="003165EE"/>
    <w:rsid w:val="00321E02"/>
    <w:rsid w:val="003266E2"/>
    <w:rsid w:val="0033146A"/>
    <w:rsid w:val="00331E09"/>
    <w:rsid w:val="0033447E"/>
    <w:rsid w:val="003348CD"/>
    <w:rsid w:val="003366FB"/>
    <w:rsid w:val="00337837"/>
    <w:rsid w:val="003440E4"/>
    <w:rsid w:val="00346AF3"/>
    <w:rsid w:val="003503FC"/>
    <w:rsid w:val="003637B4"/>
    <w:rsid w:val="003641AD"/>
    <w:rsid w:val="00366C4B"/>
    <w:rsid w:val="0037167D"/>
    <w:rsid w:val="00372A3A"/>
    <w:rsid w:val="00372E82"/>
    <w:rsid w:val="00374324"/>
    <w:rsid w:val="00374583"/>
    <w:rsid w:val="00377DB3"/>
    <w:rsid w:val="00384E62"/>
    <w:rsid w:val="0038512C"/>
    <w:rsid w:val="003859E4"/>
    <w:rsid w:val="00394042"/>
    <w:rsid w:val="00394221"/>
    <w:rsid w:val="003958BB"/>
    <w:rsid w:val="00396B7E"/>
    <w:rsid w:val="00397B8F"/>
    <w:rsid w:val="003A01E2"/>
    <w:rsid w:val="003A4F9D"/>
    <w:rsid w:val="003A5CC4"/>
    <w:rsid w:val="003B2FE3"/>
    <w:rsid w:val="003B6F43"/>
    <w:rsid w:val="003C180E"/>
    <w:rsid w:val="003C183E"/>
    <w:rsid w:val="003C2324"/>
    <w:rsid w:val="003C2CDB"/>
    <w:rsid w:val="003C4BC9"/>
    <w:rsid w:val="003C6B13"/>
    <w:rsid w:val="003D00D9"/>
    <w:rsid w:val="003D0A3C"/>
    <w:rsid w:val="003D131B"/>
    <w:rsid w:val="003D20C0"/>
    <w:rsid w:val="003D2514"/>
    <w:rsid w:val="003D3ED1"/>
    <w:rsid w:val="003D5A43"/>
    <w:rsid w:val="003D5ACF"/>
    <w:rsid w:val="003D5D1F"/>
    <w:rsid w:val="003D6AAB"/>
    <w:rsid w:val="003E2C5A"/>
    <w:rsid w:val="003E2D4A"/>
    <w:rsid w:val="003E34F4"/>
    <w:rsid w:val="003E3FB7"/>
    <w:rsid w:val="003E6D4F"/>
    <w:rsid w:val="003F1B7C"/>
    <w:rsid w:val="003F3F6A"/>
    <w:rsid w:val="003F46CE"/>
    <w:rsid w:val="004000A2"/>
    <w:rsid w:val="00400825"/>
    <w:rsid w:val="0040118C"/>
    <w:rsid w:val="00401702"/>
    <w:rsid w:val="00402BFF"/>
    <w:rsid w:val="00406955"/>
    <w:rsid w:val="004106BE"/>
    <w:rsid w:val="0041335F"/>
    <w:rsid w:val="00414189"/>
    <w:rsid w:val="00414C4B"/>
    <w:rsid w:val="00415373"/>
    <w:rsid w:val="004201E3"/>
    <w:rsid w:val="004210A1"/>
    <w:rsid w:val="00421C2A"/>
    <w:rsid w:val="004243CC"/>
    <w:rsid w:val="0043194F"/>
    <w:rsid w:val="00432137"/>
    <w:rsid w:val="00432CFA"/>
    <w:rsid w:val="00433156"/>
    <w:rsid w:val="00434E91"/>
    <w:rsid w:val="00436A51"/>
    <w:rsid w:val="00442AB4"/>
    <w:rsid w:val="004438BC"/>
    <w:rsid w:val="00447253"/>
    <w:rsid w:val="004477B0"/>
    <w:rsid w:val="00450A77"/>
    <w:rsid w:val="00453F0C"/>
    <w:rsid w:val="00455ADC"/>
    <w:rsid w:val="00457D27"/>
    <w:rsid w:val="004601EC"/>
    <w:rsid w:val="004605D7"/>
    <w:rsid w:val="004647A0"/>
    <w:rsid w:val="00464E91"/>
    <w:rsid w:val="004663F3"/>
    <w:rsid w:val="00470773"/>
    <w:rsid w:val="004737F2"/>
    <w:rsid w:val="00475328"/>
    <w:rsid w:val="004769FA"/>
    <w:rsid w:val="0047759D"/>
    <w:rsid w:val="00477C90"/>
    <w:rsid w:val="00481F2A"/>
    <w:rsid w:val="00482953"/>
    <w:rsid w:val="004846BE"/>
    <w:rsid w:val="0048500F"/>
    <w:rsid w:val="00485C57"/>
    <w:rsid w:val="00487072"/>
    <w:rsid w:val="004908AF"/>
    <w:rsid w:val="00492D41"/>
    <w:rsid w:val="004A1DE6"/>
    <w:rsid w:val="004A28F0"/>
    <w:rsid w:val="004A369F"/>
    <w:rsid w:val="004A3E65"/>
    <w:rsid w:val="004A4A5E"/>
    <w:rsid w:val="004A4F0F"/>
    <w:rsid w:val="004B0289"/>
    <w:rsid w:val="004B0A14"/>
    <w:rsid w:val="004B0DD4"/>
    <w:rsid w:val="004B2E94"/>
    <w:rsid w:val="004B3774"/>
    <w:rsid w:val="004B3B37"/>
    <w:rsid w:val="004B50C2"/>
    <w:rsid w:val="004B7105"/>
    <w:rsid w:val="004B7C11"/>
    <w:rsid w:val="004C1485"/>
    <w:rsid w:val="004C3875"/>
    <w:rsid w:val="004C3D07"/>
    <w:rsid w:val="004D476C"/>
    <w:rsid w:val="004D5D15"/>
    <w:rsid w:val="004D718B"/>
    <w:rsid w:val="004D78C2"/>
    <w:rsid w:val="004E090B"/>
    <w:rsid w:val="004E1B6C"/>
    <w:rsid w:val="004E4AA0"/>
    <w:rsid w:val="004E56FB"/>
    <w:rsid w:val="004E5788"/>
    <w:rsid w:val="004E7751"/>
    <w:rsid w:val="004F0296"/>
    <w:rsid w:val="004F17D4"/>
    <w:rsid w:val="004F4696"/>
    <w:rsid w:val="004F496F"/>
    <w:rsid w:val="004F5333"/>
    <w:rsid w:val="004F545D"/>
    <w:rsid w:val="004F5473"/>
    <w:rsid w:val="004F75F4"/>
    <w:rsid w:val="005011B1"/>
    <w:rsid w:val="00503980"/>
    <w:rsid w:val="00504142"/>
    <w:rsid w:val="00504E19"/>
    <w:rsid w:val="00505944"/>
    <w:rsid w:val="00505BE6"/>
    <w:rsid w:val="00506155"/>
    <w:rsid w:val="00506F09"/>
    <w:rsid w:val="00506FC9"/>
    <w:rsid w:val="00507C9B"/>
    <w:rsid w:val="00507D2C"/>
    <w:rsid w:val="00512B05"/>
    <w:rsid w:val="00515275"/>
    <w:rsid w:val="00515908"/>
    <w:rsid w:val="005160E3"/>
    <w:rsid w:val="005177E0"/>
    <w:rsid w:val="005218D3"/>
    <w:rsid w:val="00522230"/>
    <w:rsid w:val="00522974"/>
    <w:rsid w:val="00522A19"/>
    <w:rsid w:val="00522DA5"/>
    <w:rsid w:val="005251A7"/>
    <w:rsid w:val="00525FB0"/>
    <w:rsid w:val="0053005A"/>
    <w:rsid w:val="005344AD"/>
    <w:rsid w:val="005347CF"/>
    <w:rsid w:val="00534A1A"/>
    <w:rsid w:val="00535C12"/>
    <w:rsid w:val="0054144A"/>
    <w:rsid w:val="00541815"/>
    <w:rsid w:val="00541FDD"/>
    <w:rsid w:val="005425CF"/>
    <w:rsid w:val="00542FB7"/>
    <w:rsid w:val="00543DEA"/>
    <w:rsid w:val="00544389"/>
    <w:rsid w:val="00550A8E"/>
    <w:rsid w:val="00550C10"/>
    <w:rsid w:val="00551831"/>
    <w:rsid w:val="00551B67"/>
    <w:rsid w:val="005532C2"/>
    <w:rsid w:val="005561B2"/>
    <w:rsid w:val="00557DE3"/>
    <w:rsid w:val="00557FD8"/>
    <w:rsid w:val="00561646"/>
    <w:rsid w:val="00561887"/>
    <w:rsid w:val="0056467F"/>
    <w:rsid w:val="00567C4D"/>
    <w:rsid w:val="00573101"/>
    <w:rsid w:val="00573B41"/>
    <w:rsid w:val="00574521"/>
    <w:rsid w:val="005753C5"/>
    <w:rsid w:val="0057762A"/>
    <w:rsid w:val="00577F7F"/>
    <w:rsid w:val="00582469"/>
    <w:rsid w:val="00583CA2"/>
    <w:rsid w:val="0058524E"/>
    <w:rsid w:val="00585AC6"/>
    <w:rsid w:val="00585E75"/>
    <w:rsid w:val="00586741"/>
    <w:rsid w:val="005903A8"/>
    <w:rsid w:val="00591029"/>
    <w:rsid w:val="00592752"/>
    <w:rsid w:val="00592800"/>
    <w:rsid w:val="00595088"/>
    <w:rsid w:val="005954D7"/>
    <w:rsid w:val="00596221"/>
    <w:rsid w:val="005971D1"/>
    <w:rsid w:val="005A35DE"/>
    <w:rsid w:val="005A4851"/>
    <w:rsid w:val="005A55E5"/>
    <w:rsid w:val="005A6024"/>
    <w:rsid w:val="005B0055"/>
    <w:rsid w:val="005B2CB4"/>
    <w:rsid w:val="005B55C7"/>
    <w:rsid w:val="005B690E"/>
    <w:rsid w:val="005C03D6"/>
    <w:rsid w:val="005C08DC"/>
    <w:rsid w:val="005C303F"/>
    <w:rsid w:val="005C35E0"/>
    <w:rsid w:val="005C36AD"/>
    <w:rsid w:val="005C3F97"/>
    <w:rsid w:val="005C589F"/>
    <w:rsid w:val="005C65B4"/>
    <w:rsid w:val="005C6B58"/>
    <w:rsid w:val="005D0C81"/>
    <w:rsid w:val="005D168E"/>
    <w:rsid w:val="005D46B9"/>
    <w:rsid w:val="005D6008"/>
    <w:rsid w:val="005E0670"/>
    <w:rsid w:val="005E0BF7"/>
    <w:rsid w:val="005E3981"/>
    <w:rsid w:val="005E4E05"/>
    <w:rsid w:val="005E66EB"/>
    <w:rsid w:val="005F0025"/>
    <w:rsid w:val="005F1D9F"/>
    <w:rsid w:val="005F2606"/>
    <w:rsid w:val="005F3B0B"/>
    <w:rsid w:val="005F5644"/>
    <w:rsid w:val="006005A4"/>
    <w:rsid w:val="00600A67"/>
    <w:rsid w:val="006025D1"/>
    <w:rsid w:val="00602777"/>
    <w:rsid w:val="0060439D"/>
    <w:rsid w:val="006048B4"/>
    <w:rsid w:val="00613EF8"/>
    <w:rsid w:val="00615DDC"/>
    <w:rsid w:val="00615E87"/>
    <w:rsid w:val="00622CAB"/>
    <w:rsid w:val="00624519"/>
    <w:rsid w:val="00625E27"/>
    <w:rsid w:val="0062687F"/>
    <w:rsid w:val="006319EC"/>
    <w:rsid w:val="00634FC4"/>
    <w:rsid w:val="006351CD"/>
    <w:rsid w:val="0063680C"/>
    <w:rsid w:val="00636B7D"/>
    <w:rsid w:val="0064051C"/>
    <w:rsid w:val="0064199B"/>
    <w:rsid w:val="00641AF0"/>
    <w:rsid w:val="0064277C"/>
    <w:rsid w:val="00643CD9"/>
    <w:rsid w:val="00650421"/>
    <w:rsid w:val="00650AFA"/>
    <w:rsid w:val="00652D59"/>
    <w:rsid w:val="006544D8"/>
    <w:rsid w:val="00656FD0"/>
    <w:rsid w:val="0066345E"/>
    <w:rsid w:val="00663DC1"/>
    <w:rsid w:val="006652A0"/>
    <w:rsid w:val="0066747A"/>
    <w:rsid w:val="00667A00"/>
    <w:rsid w:val="00667B85"/>
    <w:rsid w:val="00672CBD"/>
    <w:rsid w:val="00673462"/>
    <w:rsid w:val="006805FC"/>
    <w:rsid w:val="00683BF5"/>
    <w:rsid w:val="00683E09"/>
    <w:rsid w:val="00684FF8"/>
    <w:rsid w:val="00686067"/>
    <w:rsid w:val="00686B3D"/>
    <w:rsid w:val="006875F4"/>
    <w:rsid w:val="00690424"/>
    <w:rsid w:val="00690B63"/>
    <w:rsid w:val="00693B05"/>
    <w:rsid w:val="0069418A"/>
    <w:rsid w:val="0069494B"/>
    <w:rsid w:val="0069726D"/>
    <w:rsid w:val="006972CA"/>
    <w:rsid w:val="006A19C0"/>
    <w:rsid w:val="006A1C45"/>
    <w:rsid w:val="006A1E44"/>
    <w:rsid w:val="006A2FCA"/>
    <w:rsid w:val="006A4C72"/>
    <w:rsid w:val="006A4EC8"/>
    <w:rsid w:val="006A50D7"/>
    <w:rsid w:val="006A529B"/>
    <w:rsid w:val="006A659D"/>
    <w:rsid w:val="006B0AA9"/>
    <w:rsid w:val="006B1A82"/>
    <w:rsid w:val="006B54FC"/>
    <w:rsid w:val="006B5939"/>
    <w:rsid w:val="006C0D3B"/>
    <w:rsid w:val="006C4C72"/>
    <w:rsid w:val="006C4D6F"/>
    <w:rsid w:val="006C5C5B"/>
    <w:rsid w:val="006C5CEC"/>
    <w:rsid w:val="006C5FB2"/>
    <w:rsid w:val="006C7A9D"/>
    <w:rsid w:val="006C7EE3"/>
    <w:rsid w:val="006D22D7"/>
    <w:rsid w:val="006D2896"/>
    <w:rsid w:val="006D3FE6"/>
    <w:rsid w:val="006D4FA3"/>
    <w:rsid w:val="006D5C69"/>
    <w:rsid w:val="006D7664"/>
    <w:rsid w:val="006E3763"/>
    <w:rsid w:val="006E50AE"/>
    <w:rsid w:val="006E6F6B"/>
    <w:rsid w:val="006E780E"/>
    <w:rsid w:val="006F0571"/>
    <w:rsid w:val="006F4868"/>
    <w:rsid w:val="006F4BA1"/>
    <w:rsid w:val="006F611D"/>
    <w:rsid w:val="00701885"/>
    <w:rsid w:val="007049E3"/>
    <w:rsid w:val="00706FB5"/>
    <w:rsid w:val="00707855"/>
    <w:rsid w:val="007153C6"/>
    <w:rsid w:val="00715836"/>
    <w:rsid w:val="007171DA"/>
    <w:rsid w:val="00717AF5"/>
    <w:rsid w:val="00723D1D"/>
    <w:rsid w:val="0072426F"/>
    <w:rsid w:val="00731199"/>
    <w:rsid w:val="00732260"/>
    <w:rsid w:val="00735BA6"/>
    <w:rsid w:val="00737218"/>
    <w:rsid w:val="00737924"/>
    <w:rsid w:val="00740EE8"/>
    <w:rsid w:val="0074146F"/>
    <w:rsid w:val="007425C9"/>
    <w:rsid w:val="00743A50"/>
    <w:rsid w:val="00743B14"/>
    <w:rsid w:val="00744A8B"/>
    <w:rsid w:val="0074786A"/>
    <w:rsid w:val="00750EF4"/>
    <w:rsid w:val="00751AE0"/>
    <w:rsid w:val="00752620"/>
    <w:rsid w:val="0075328B"/>
    <w:rsid w:val="0075454A"/>
    <w:rsid w:val="007547F2"/>
    <w:rsid w:val="00754EBE"/>
    <w:rsid w:val="00755EE9"/>
    <w:rsid w:val="00760D98"/>
    <w:rsid w:val="00761571"/>
    <w:rsid w:val="00764044"/>
    <w:rsid w:val="00767518"/>
    <w:rsid w:val="0077044A"/>
    <w:rsid w:val="007720A9"/>
    <w:rsid w:val="0077218C"/>
    <w:rsid w:val="00772DB6"/>
    <w:rsid w:val="00772F87"/>
    <w:rsid w:val="00774C38"/>
    <w:rsid w:val="00776F2C"/>
    <w:rsid w:val="00780320"/>
    <w:rsid w:val="00780F07"/>
    <w:rsid w:val="00783941"/>
    <w:rsid w:val="00785AA1"/>
    <w:rsid w:val="00785EB8"/>
    <w:rsid w:val="0079154F"/>
    <w:rsid w:val="00791591"/>
    <w:rsid w:val="0079282D"/>
    <w:rsid w:val="0079467F"/>
    <w:rsid w:val="00796165"/>
    <w:rsid w:val="007967DE"/>
    <w:rsid w:val="00797089"/>
    <w:rsid w:val="00797DB6"/>
    <w:rsid w:val="007A05C0"/>
    <w:rsid w:val="007A50AA"/>
    <w:rsid w:val="007B079C"/>
    <w:rsid w:val="007B0932"/>
    <w:rsid w:val="007B7F31"/>
    <w:rsid w:val="007B7F53"/>
    <w:rsid w:val="007C0BA1"/>
    <w:rsid w:val="007C49B0"/>
    <w:rsid w:val="007D0998"/>
    <w:rsid w:val="007D2AB7"/>
    <w:rsid w:val="007D3D70"/>
    <w:rsid w:val="007D54A1"/>
    <w:rsid w:val="007D73BF"/>
    <w:rsid w:val="007D7B56"/>
    <w:rsid w:val="007E34B6"/>
    <w:rsid w:val="007E3C45"/>
    <w:rsid w:val="007E6327"/>
    <w:rsid w:val="007E75BC"/>
    <w:rsid w:val="007F11B2"/>
    <w:rsid w:val="007F41F1"/>
    <w:rsid w:val="007F515A"/>
    <w:rsid w:val="007F793B"/>
    <w:rsid w:val="00800B5D"/>
    <w:rsid w:val="008010A6"/>
    <w:rsid w:val="0080415A"/>
    <w:rsid w:val="0080416C"/>
    <w:rsid w:val="00812897"/>
    <w:rsid w:val="00817D8B"/>
    <w:rsid w:val="00817DC0"/>
    <w:rsid w:val="00817E7F"/>
    <w:rsid w:val="00824BE2"/>
    <w:rsid w:val="00824F31"/>
    <w:rsid w:val="00826A8A"/>
    <w:rsid w:val="00826C13"/>
    <w:rsid w:val="00827208"/>
    <w:rsid w:val="00830AF8"/>
    <w:rsid w:val="00830C83"/>
    <w:rsid w:val="00835993"/>
    <w:rsid w:val="008362D3"/>
    <w:rsid w:val="00837DB4"/>
    <w:rsid w:val="00843E5B"/>
    <w:rsid w:val="008446E7"/>
    <w:rsid w:val="008459A9"/>
    <w:rsid w:val="00845EC8"/>
    <w:rsid w:val="00847095"/>
    <w:rsid w:val="00851FAA"/>
    <w:rsid w:val="00853316"/>
    <w:rsid w:val="00853BEF"/>
    <w:rsid w:val="00853BFA"/>
    <w:rsid w:val="00854937"/>
    <w:rsid w:val="008549CD"/>
    <w:rsid w:val="00854BBE"/>
    <w:rsid w:val="008550C4"/>
    <w:rsid w:val="00855443"/>
    <w:rsid w:val="00856432"/>
    <w:rsid w:val="00860068"/>
    <w:rsid w:val="0086124D"/>
    <w:rsid w:val="008633E2"/>
    <w:rsid w:val="00863485"/>
    <w:rsid w:val="00863E66"/>
    <w:rsid w:val="00864C10"/>
    <w:rsid w:val="00867431"/>
    <w:rsid w:val="00867471"/>
    <w:rsid w:val="008700D8"/>
    <w:rsid w:val="008704C0"/>
    <w:rsid w:val="00870E58"/>
    <w:rsid w:val="00872494"/>
    <w:rsid w:val="00872EF6"/>
    <w:rsid w:val="008744D5"/>
    <w:rsid w:val="00883168"/>
    <w:rsid w:val="00886AC3"/>
    <w:rsid w:val="008915EC"/>
    <w:rsid w:val="008946CB"/>
    <w:rsid w:val="00894D51"/>
    <w:rsid w:val="00897CC1"/>
    <w:rsid w:val="008A33D4"/>
    <w:rsid w:val="008A6547"/>
    <w:rsid w:val="008A66A7"/>
    <w:rsid w:val="008B28D2"/>
    <w:rsid w:val="008B2D19"/>
    <w:rsid w:val="008B318B"/>
    <w:rsid w:val="008B40BA"/>
    <w:rsid w:val="008B7213"/>
    <w:rsid w:val="008C0292"/>
    <w:rsid w:val="008C0445"/>
    <w:rsid w:val="008C0756"/>
    <w:rsid w:val="008C23BB"/>
    <w:rsid w:val="008C731B"/>
    <w:rsid w:val="008D071B"/>
    <w:rsid w:val="008D555B"/>
    <w:rsid w:val="008D5706"/>
    <w:rsid w:val="008E3655"/>
    <w:rsid w:val="008E7D55"/>
    <w:rsid w:val="008F296C"/>
    <w:rsid w:val="008F495D"/>
    <w:rsid w:val="008F4E44"/>
    <w:rsid w:val="008F771A"/>
    <w:rsid w:val="00900506"/>
    <w:rsid w:val="00901490"/>
    <w:rsid w:val="00902134"/>
    <w:rsid w:val="009022FB"/>
    <w:rsid w:val="009023A8"/>
    <w:rsid w:val="00902EFA"/>
    <w:rsid w:val="00903053"/>
    <w:rsid w:val="00903E83"/>
    <w:rsid w:val="00904910"/>
    <w:rsid w:val="00906406"/>
    <w:rsid w:val="00907607"/>
    <w:rsid w:val="009111E4"/>
    <w:rsid w:val="00913600"/>
    <w:rsid w:val="009152B7"/>
    <w:rsid w:val="00917D58"/>
    <w:rsid w:val="009201DD"/>
    <w:rsid w:val="00926240"/>
    <w:rsid w:val="009267EB"/>
    <w:rsid w:val="009306AB"/>
    <w:rsid w:val="009316BA"/>
    <w:rsid w:val="0093248C"/>
    <w:rsid w:val="00932528"/>
    <w:rsid w:val="009340A1"/>
    <w:rsid w:val="00941044"/>
    <w:rsid w:val="00942A8E"/>
    <w:rsid w:val="0094434D"/>
    <w:rsid w:val="0094454A"/>
    <w:rsid w:val="00947015"/>
    <w:rsid w:val="00947BCF"/>
    <w:rsid w:val="009520C3"/>
    <w:rsid w:val="009545C1"/>
    <w:rsid w:val="00960FC3"/>
    <w:rsid w:val="00961A29"/>
    <w:rsid w:val="00962EE8"/>
    <w:rsid w:val="00963608"/>
    <w:rsid w:val="00963F4D"/>
    <w:rsid w:val="00964137"/>
    <w:rsid w:val="009659A4"/>
    <w:rsid w:val="0096606C"/>
    <w:rsid w:val="00966A62"/>
    <w:rsid w:val="00967A62"/>
    <w:rsid w:val="009706DB"/>
    <w:rsid w:val="00972BB7"/>
    <w:rsid w:val="00972F72"/>
    <w:rsid w:val="009746BE"/>
    <w:rsid w:val="0097614E"/>
    <w:rsid w:val="00977434"/>
    <w:rsid w:val="00981423"/>
    <w:rsid w:val="00983439"/>
    <w:rsid w:val="009835BB"/>
    <w:rsid w:val="0098480A"/>
    <w:rsid w:val="00993015"/>
    <w:rsid w:val="009934FF"/>
    <w:rsid w:val="0099393E"/>
    <w:rsid w:val="00993DDB"/>
    <w:rsid w:val="009945B3"/>
    <w:rsid w:val="00996490"/>
    <w:rsid w:val="009A0F59"/>
    <w:rsid w:val="009A2258"/>
    <w:rsid w:val="009A55C5"/>
    <w:rsid w:val="009B1F6B"/>
    <w:rsid w:val="009B2A58"/>
    <w:rsid w:val="009B2D98"/>
    <w:rsid w:val="009B3387"/>
    <w:rsid w:val="009B4047"/>
    <w:rsid w:val="009B772B"/>
    <w:rsid w:val="009C3E3B"/>
    <w:rsid w:val="009C54CF"/>
    <w:rsid w:val="009D1F23"/>
    <w:rsid w:val="009D317B"/>
    <w:rsid w:val="009D32E9"/>
    <w:rsid w:val="009D5F1E"/>
    <w:rsid w:val="009D61F5"/>
    <w:rsid w:val="009E23E6"/>
    <w:rsid w:val="009E3AC7"/>
    <w:rsid w:val="009E4BC2"/>
    <w:rsid w:val="009E4FE1"/>
    <w:rsid w:val="009E5A27"/>
    <w:rsid w:val="009E6F70"/>
    <w:rsid w:val="009E7A78"/>
    <w:rsid w:val="009F10B9"/>
    <w:rsid w:val="009F1674"/>
    <w:rsid w:val="009F269F"/>
    <w:rsid w:val="009F280E"/>
    <w:rsid w:val="009F3027"/>
    <w:rsid w:val="009F346A"/>
    <w:rsid w:val="009F3C90"/>
    <w:rsid w:val="009F6FE8"/>
    <w:rsid w:val="00A01762"/>
    <w:rsid w:val="00A01AE7"/>
    <w:rsid w:val="00A0212D"/>
    <w:rsid w:val="00A0285B"/>
    <w:rsid w:val="00A05301"/>
    <w:rsid w:val="00A057FA"/>
    <w:rsid w:val="00A06075"/>
    <w:rsid w:val="00A07500"/>
    <w:rsid w:val="00A07FE0"/>
    <w:rsid w:val="00A1154B"/>
    <w:rsid w:val="00A1245C"/>
    <w:rsid w:val="00A13396"/>
    <w:rsid w:val="00A15F53"/>
    <w:rsid w:val="00A17230"/>
    <w:rsid w:val="00A2017E"/>
    <w:rsid w:val="00A23089"/>
    <w:rsid w:val="00A23BCB"/>
    <w:rsid w:val="00A26A53"/>
    <w:rsid w:val="00A27849"/>
    <w:rsid w:val="00A305ED"/>
    <w:rsid w:val="00A306FE"/>
    <w:rsid w:val="00A32067"/>
    <w:rsid w:val="00A347D7"/>
    <w:rsid w:val="00A40CB7"/>
    <w:rsid w:val="00A41191"/>
    <w:rsid w:val="00A41B20"/>
    <w:rsid w:val="00A420B4"/>
    <w:rsid w:val="00A45C52"/>
    <w:rsid w:val="00A470C0"/>
    <w:rsid w:val="00A53068"/>
    <w:rsid w:val="00A5309A"/>
    <w:rsid w:val="00A53606"/>
    <w:rsid w:val="00A538DC"/>
    <w:rsid w:val="00A5405C"/>
    <w:rsid w:val="00A54246"/>
    <w:rsid w:val="00A5453F"/>
    <w:rsid w:val="00A55BAA"/>
    <w:rsid w:val="00A56E60"/>
    <w:rsid w:val="00A57B00"/>
    <w:rsid w:val="00A607F4"/>
    <w:rsid w:val="00A6419A"/>
    <w:rsid w:val="00A74ADB"/>
    <w:rsid w:val="00A7581E"/>
    <w:rsid w:val="00A75DE6"/>
    <w:rsid w:val="00A76BC2"/>
    <w:rsid w:val="00A80956"/>
    <w:rsid w:val="00A83BCC"/>
    <w:rsid w:val="00A84722"/>
    <w:rsid w:val="00A85AE1"/>
    <w:rsid w:val="00A90790"/>
    <w:rsid w:val="00A911ED"/>
    <w:rsid w:val="00A91568"/>
    <w:rsid w:val="00A939BC"/>
    <w:rsid w:val="00A93ABB"/>
    <w:rsid w:val="00A93BBF"/>
    <w:rsid w:val="00A94719"/>
    <w:rsid w:val="00AA1488"/>
    <w:rsid w:val="00AA18A5"/>
    <w:rsid w:val="00AA437D"/>
    <w:rsid w:val="00AA567B"/>
    <w:rsid w:val="00AA5D58"/>
    <w:rsid w:val="00AA7EED"/>
    <w:rsid w:val="00AB1F26"/>
    <w:rsid w:val="00AB2F85"/>
    <w:rsid w:val="00AB604E"/>
    <w:rsid w:val="00AB65AF"/>
    <w:rsid w:val="00AB68C1"/>
    <w:rsid w:val="00AC0C8E"/>
    <w:rsid w:val="00AC3550"/>
    <w:rsid w:val="00AC4B27"/>
    <w:rsid w:val="00AC5E2F"/>
    <w:rsid w:val="00AC7880"/>
    <w:rsid w:val="00AD010E"/>
    <w:rsid w:val="00AD0808"/>
    <w:rsid w:val="00AD191A"/>
    <w:rsid w:val="00AD38E0"/>
    <w:rsid w:val="00AD716E"/>
    <w:rsid w:val="00AE0FAE"/>
    <w:rsid w:val="00AE480B"/>
    <w:rsid w:val="00AE60A8"/>
    <w:rsid w:val="00AE7F66"/>
    <w:rsid w:val="00AF05BB"/>
    <w:rsid w:val="00AF0EE6"/>
    <w:rsid w:val="00AF1377"/>
    <w:rsid w:val="00AF5445"/>
    <w:rsid w:val="00AF7250"/>
    <w:rsid w:val="00AF7252"/>
    <w:rsid w:val="00AF72A4"/>
    <w:rsid w:val="00AF7A82"/>
    <w:rsid w:val="00B04BEB"/>
    <w:rsid w:val="00B07854"/>
    <w:rsid w:val="00B10815"/>
    <w:rsid w:val="00B1135B"/>
    <w:rsid w:val="00B12941"/>
    <w:rsid w:val="00B1583F"/>
    <w:rsid w:val="00B1684D"/>
    <w:rsid w:val="00B20460"/>
    <w:rsid w:val="00B21B3F"/>
    <w:rsid w:val="00B23F58"/>
    <w:rsid w:val="00B24519"/>
    <w:rsid w:val="00B25870"/>
    <w:rsid w:val="00B3089A"/>
    <w:rsid w:val="00B30976"/>
    <w:rsid w:val="00B30A60"/>
    <w:rsid w:val="00B32365"/>
    <w:rsid w:val="00B32672"/>
    <w:rsid w:val="00B36046"/>
    <w:rsid w:val="00B364D9"/>
    <w:rsid w:val="00B36A7E"/>
    <w:rsid w:val="00B40343"/>
    <w:rsid w:val="00B41115"/>
    <w:rsid w:val="00B41388"/>
    <w:rsid w:val="00B45111"/>
    <w:rsid w:val="00B45BEC"/>
    <w:rsid w:val="00B4711D"/>
    <w:rsid w:val="00B51FD3"/>
    <w:rsid w:val="00B5309F"/>
    <w:rsid w:val="00B54227"/>
    <w:rsid w:val="00B55B8C"/>
    <w:rsid w:val="00B5717F"/>
    <w:rsid w:val="00B605FE"/>
    <w:rsid w:val="00B61030"/>
    <w:rsid w:val="00B6181E"/>
    <w:rsid w:val="00B61C11"/>
    <w:rsid w:val="00B66368"/>
    <w:rsid w:val="00B72721"/>
    <w:rsid w:val="00B741B6"/>
    <w:rsid w:val="00B775B1"/>
    <w:rsid w:val="00B77F9E"/>
    <w:rsid w:val="00B80FE3"/>
    <w:rsid w:val="00B83B9C"/>
    <w:rsid w:val="00B83F55"/>
    <w:rsid w:val="00B865EE"/>
    <w:rsid w:val="00B86992"/>
    <w:rsid w:val="00B907E7"/>
    <w:rsid w:val="00B9162E"/>
    <w:rsid w:val="00B91ACA"/>
    <w:rsid w:val="00B93148"/>
    <w:rsid w:val="00B9412A"/>
    <w:rsid w:val="00B95B18"/>
    <w:rsid w:val="00B9606F"/>
    <w:rsid w:val="00B96BB9"/>
    <w:rsid w:val="00B9729B"/>
    <w:rsid w:val="00B9741D"/>
    <w:rsid w:val="00BA0BAA"/>
    <w:rsid w:val="00BA1F93"/>
    <w:rsid w:val="00BA1FE8"/>
    <w:rsid w:val="00BA32CB"/>
    <w:rsid w:val="00BA66AC"/>
    <w:rsid w:val="00BB1301"/>
    <w:rsid w:val="00BB637B"/>
    <w:rsid w:val="00BB699A"/>
    <w:rsid w:val="00BB6BDA"/>
    <w:rsid w:val="00BB6BFC"/>
    <w:rsid w:val="00BC0231"/>
    <w:rsid w:val="00BC0960"/>
    <w:rsid w:val="00BC149F"/>
    <w:rsid w:val="00BC2522"/>
    <w:rsid w:val="00BC36DA"/>
    <w:rsid w:val="00BC451F"/>
    <w:rsid w:val="00BC4B9C"/>
    <w:rsid w:val="00BC648D"/>
    <w:rsid w:val="00BC70AE"/>
    <w:rsid w:val="00BC78DA"/>
    <w:rsid w:val="00BD1341"/>
    <w:rsid w:val="00BD15BA"/>
    <w:rsid w:val="00BD2904"/>
    <w:rsid w:val="00BD407C"/>
    <w:rsid w:val="00BD420A"/>
    <w:rsid w:val="00BE214C"/>
    <w:rsid w:val="00BE42EA"/>
    <w:rsid w:val="00BE4C2C"/>
    <w:rsid w:val="00BE4C57"/>
    <w:rsid w:val="00BE5544"/>
    <w:rsid w:val="00BE71CA"/>
    <w:rsid w:val="00BF0A0A"/>
    <w:rsid w:val="00BF0D5A"/>
    <w:rsid w:val="00BF1173"/>
    <w:rsid w:val="00BF35C2"/>
    <w:rsid w:val="00C0050F"/>
    <w:rsid w:val="00C01E64"/>
    <w:rsid w:val="00C0200C"/>
    <w:rsid w:val="00C0218C"/>
    <w:rsid w:val="00C034D3"/>
    <w:rsid w:val="00C05D1B"/>
    <w:rsid w:val="00C07D6E"/>
    <w:rsid w:val="00C104D9"/>
    <w:rsid w:val="00C107BA"/>
    <w:rsid w:val="00C1126B"/>
    <w:rsid w:val="00C11E89"/>
    <w:rsid w:val="00C125FC"/>
    <w:rsid w:val="00C145A3"/>
    <w:rsid w:val="00C14924"/>
    <w:rsid w:val="00C171FE"/>
    <w:rsid w:val="00C1726A"/>
    <w:rsid w:val="00C174FC"/>
    <w:rsid w:val="00C24B63"/>
    <w:rsid w:val="00C25272"/>
    <w:rsid w:val="00C25C5C"/>
    <w:rsid w:val="00C34F5E"/>
    <w:rsid w:val="00C37901"/>
    <w:rsid w:val="00C37F6D"/>
    <w:rsid w:val="00C40BFF"/>
    <w:rsid w:val="00C41D13"/>
    <w:rsid w:val="00C423D6"/>
    <w:rsid w:val="00C424A7"/>
    <w:rsid w:val="00C4480C"/>
    <w:rsid w:val="00C463CF"/>
    <w:rsid w:val="00C47403"/>
    <w:rsid w:val="00C554EE"/>
    <w:rsid w:val="00C559C8"/>
    <w:rsid w:val="00C56F8A"/>
    <w:rsid w:val="00C6180D"/>
    <w:rsid w:val="00C62758"/>
    <w:rsid w:val="00C645AB"/>
    <w:rsid w:val="00C67F8E"/>
    <w:rsid w:val="00C70B45"/>
    <w:rsid w:val="00C72C64"/>
    <w:rsid w:val="00C7469D"/>
    <w:rsid w:val="00C833EA"/>
    <w:rsid w:val="00C83DCF"/>
    <w:rsid w:val="00C84C76"/>
    <w:rsid w:val="00C959F8"/>
    <w:rsid w:val="00C95D01"/>
    <w:rsid w:val="00C972B6"/>
    <w:rsid w:val="00CA0A35"/>
    <w:rsid w:val="00CA173F"/>
    <w:rsid w:val="00CA39D0"/>
    <w:rsid w:val="00CA5EAC"/>
    <w:rsid w:val="00CA6161"/>
    <w:rsid w:val="00CB3440"/>
    <w:rsid w:val="00CB5C05"/>
    <w:rsid w:val="00CB603A"/>
    <w:rsid w:val="00CB6F7D"/>
    <w:rsid w:val="00CB7498"/>
    <w:rsid w:val="00CC0097"/>
    <w:rsid w:val="00CC0800"/>
    <w:rsid w:val="00CC0E84"/>
    <w:rsid w:val="00CC1BBF"/>
    <w:rsid w:val="00CC5360"/>
    <w:rsid w:val="00CC6606"/>
    <w:rsid w:val="00CC7FA9"/>
    <w:rsid w:val="00CD0217"/>
    <w:rsid w:val="00CD060E"/>
    <w:rsid w:val="00CD2F18"/>
    <w:rsid w:val="00CE6E71"/>
    <w:rsid w:val="00CF0A82"/>
    <w:rsid w:val="00CF17DE"/>
    <w:rsid w:val="00CF53BB"/>
    <w:rsid w:val="00CF71E1"/>
    <w:rsid w:val="00D045D5"/>
    <w:rsid w:val="00D0489C"/>
    <w:rsid w:val="00D04CD0"/>
    <w:rsid w:val="00D057BB"/>
    <w:rsid w:val="00D11DDB"/>
    <w:rsid w:val="00D127D2"/>
    <w:rsid w:val="00D15DC9"/>
    <w:rsid w:val="00D16B75"/>
    <w:rsid w:val="00D20CA6"/>
    <w:rsid w:val="00D21A77"/>
    <w:rsid w:val="00D22410"/>
    <w:rsid w:val="00D2245D"/>
    <w:rsid w:val="00D249CC"/>
    <w:rsid w:val="00D26007"/>
    <w:rsid w:val="00D31CE6"/>
    <w:rsid w:val="00D33674"/>
    <w:rsid w:val="00D3538A"/>
    <w:rsid w:val="00D36AB6"/>
    <w:rsid w:val="00D36D62"/>
    <w:rsid w:val="00D40B63"/>
    <w:rsid w:val="00D41F1F"/>
    <w:rsid w:val="00D427D5"/>
    <w:rsid w:val="00D4470D"/>
    <w:rsid w:val="00D47DE2"/>
    <w:rsid w:val="00D517F5"/>
    <w:rsid w:val="00D54802"/>
    <w:rsid w:val="00D54AE3"/>
    <w:rsid w:val="00D606C1"/>
    <w:rsid w:val="00D640DF"/>
    <w:rsid w:val="00D662B2"/>
    <w:rsid w:val="00D70D46"/>
    <w:rsid w:val="00D71709"/>
    <w:rsid w:val="00D72191"/>
    <w:rsid w:val="00D73C01"/>
    <w:rsid w:val="00D749AA"/>
    <w:rsid w:val="00D74BD6"/>
    <w:rsid w:val="00D7725A"/>
    <w:rsid w:val="00D77E62"/>
    <w:rsid w:val="00D80A37"/>
    <w:rsid w:val="00D81EF4"/>
    <w:rsid w:val="00D875CD"/>
    <w:rsid w:val="00D901CB"/>
    <w:rsid w:val="00D92D88"/>
    <w:rsid w:val="00D9365A"/>
    <w:rsid w:val="00D95090"/>
    <w:rsid w:val="00D95985"/>
    <w:rsid w:val="00D96108"/>
    <w:rsid w:val="00D9622E"/>
    <w:rsid w:val="00D96820"/>
    <w:rsid w:val="00D96A0F"/>
    <w:rsid w:val="00DA0C58"/>
    <w:rsid w:val="00DA1F3B"/>
    <w:rsid w:val="00DA57CE"/>
    <w:rsid w:val="00DA597B"/>
    <w:rsid w:val="00DA6FCC"/>
    <w:rsid w:val="00DB0001"/>
    <w:rsid w:val="00DB0380"/>
    <w:rsid w:val="00DB03FE"/>
    <w:rsid w:val="00DB1177"/>
    <w:rsid w:val="00DB16F4"/>
    <w:rsid w:val="00DB1F30"/>
    <w:rsid w:val="00DB2921"/>
    <w:rsid w:val="00DB5081"/>
    <w:rsid w:val="00DB7533"/>
    <w:rsid w:val="00DC469D"/>
    <w:rsid w:val="00DC5A00"/>
    <w:rsid w:val="00DC5F79"/>
    <w:rsid w:val="00DD2EE5"/>
    <w:rsid w:val="00DD3B6A"/>
    <w:rsid w:val="00DD514F"/>
    <w:rsid w:val="00DD72E7"/>
    <w:rsid w:val="00DE0BA8"/>
    <w:rsid w:val="00DE19FD"/>
    <w:rsid w:val="00DE2449"/>
    <w:rsid w:val="00DE441D"/>
    <w:rsid w:val="00DE7A95"/>
    <w:rsid w:val="00DF197E"/>
    <w:rsid w:val="00DF1B63"/>
    <w:rsid w:val="00DF5063"/>
    <w:rsid w:val="00DF6A00"/>
    <w:rsid w:val="00DF6AD0"/>
    <w:rsid w:val="00DF793C"/>
    <w:rsid w:val="00E01C7E"/>
    <w:rsid w:val="00E02A05"/>
    <w:rsid w:val="00E0477D"/>
    <w:rsid w:val="00E04D55"/>
    <w:rsid w:val="00E13674"/>
    <w:rsid w:val="00E17DF2"/>
    <w:rsid w:val="00E22211"/>
    <w:rsid w:val="00E2450C"/>
    <w:rsid w:val="00E25AB6"/>
    <w:rsid w:val="00E2687B"/>
    <w:rsid w:val="00E27832"/>
    <w:rsid w:val="00E37048"/>
    <w:rsid w:val="00E37A26"/>
    <w:rsid w:val="00E4092F"/>
    <w:rsid w:val="00E42256"/>
    <w:rsid w:val="00E4295C"/>
    <w:rsid w:val="00E4340F"/>
    <w:rsid w:val="00E476ED"/>
    <w:rsid w:val="00E50E05"/>
    <w:rsid w:val="00E54514"/>
    <w:rsid w:val="00E54B1D"/>
    <w:rsid w:val="00E55401"/>
    <w:rsid w:val="00E55C9D"/>
    <w:rsid w:val="00E561BD"/>
    <w:rsid w:val="00E60E3F"/>
    <w:rsid w:val="00E62855"/>
    <w:rsid w:val="00E62A2F"/>
    <w:rsid w:val="00E62A4F"/>
    <w:rsid w:val="00E62C96"/>
    <w:rsid w:val="00E62EED"/>
    <w:rsid w:val="00E63D3D"/>
    <w:rsid w:val="00E663ED"/>
    <w:rsid w:val="00E667DD"/>
    <w:rsid w:val="00E67211"/>
    <w:rsid w:val="00E67A9A"/>
    <w:rsid w:val="00E67D72"/>
    <w:rsid w:val="00E7116A"/>
    <w:rsid w:val="00E71667"/>
    <w:rsid w:val="00E72461"/>
    <w:rsid w:val="00E736D3"/>
    <w:rsid w:val="00E74A37"/>
    <w:rsid w:val="00E760CF"/>
    <w:rsid w:val="00E77626"/>
    <w:rsid w:val="00E800EE"/>
    <w:rsid w:val="00E80DA8"/>
    <w:rsid w:val="00E81BB3"/>
    <w:rsid w:val="00E82295"/>
    <w:rsid w:val="00E823D6"/>
    <w:rsid w:val="00E86A06"/>
    <w:rsid w:val="00E87088"/>
    <w:rsid w:val="00E870C6"/>
    <w:rsid w:val="00E87D63"/>
    <w:rsid w:val="00E92FC7"/>
    <w:rsid w:val="00E93A05"/>
    <w:rsid w:val="00E94DC9"/>
    <w:rsid w:val="00E96CFE"/>
    <w:rsid w:val="00E972F4"/>
    <w:rsid w:val="00E978CD"/>
    <w:rsid w:val="00EA5286"/>
    <w:rsid w:val="00EA6DD6"/>
    <w:rsid w:val="00EA790F"/>
    <w:rsid w:val="00EA79DA"/>
    <w:rsid w:val="00EB2B27"/>
    <w:rsid w:val="00EB46C7"/>
    <w:rsid w:val="00EB55BC"/>
    <w:rsid w:val="00EC073D"/>
    <w:rsid w:val="00EC3B32"/>
    <w:rsid w:val="00ED065A"/>
    <w:rsid w:val="00ED2477"/>
    <w:rsid w:val="00ED4C27"/>
    <w:rsid w:val="00ED5933"/>
    <w:rsid w:val="00ED6424"/>
    <w:rsid w:val="00ED7844"/>
    <w:rsid w:val="00EE1A16"/>
    <w:rsid w:val="00EE26D7"/>
    <w:rsid w:val="00EE2D22"/>
    <w:rsid w:val="00EE3039"/>
    <w:rsid w:val="00EE59C4"/>
    <w:rsid w:val="00EE5D7A"/>
    <w:rsid w:val="00EF0B54"/>
    <w:rsid w:val="00EF236A"/>
    <w:rsid w:val="00EF61D0"/>
    <w:rsid w:val="00EF670D"/>
    <w:rsid w:val="00F00F90"/>
    <w:rsid w:val="00F0113D"/>
    <w:rsid w:val="00F02237"/>
    <w:rsid w:val="00F04832"/>
    <w:rsid w:val="00F06708"/>
    <w:rsid w:val="00F0785E"/>
    <w:rsid w:val="00F12CE4"/>
    <w:rsid w:val="00F147CD"/>
    <w:rsid w:val="00F15ABE"/>
    <w:rsid w:val="00F20F17"/>
    <w:rsid w:val="00F22548"/>
    <w:rsid w:val="00F22BD2"/>
    <w:rsid w:val="00F230B5"/>
    <w:rsid w:val="00F23287"/>
    <w:rsid w:val="00F23529"/>
    <w:rsid w:val="00F26D42"/>
    <w:rsid w:val="00F30C97"/>
    <w:rsid w:val="00F30F50"/>
    <w:rsid w:val="00F32B37"/>
    <w:rsid w:val="00F33FDA"/>
    <w:rsid w:val="00F362C6"/>
    <w:rsid w:val="00F36C51"/>
    <w:rsid w:val="00F378C1"/>
    <w:rsid w:val="00F40C65"/>
    <w:rsid w:val="00F41869"/>
    <w:rsid w:val="00F45EFC"/>
    <w:rsid w:val="00F460ED"/>
    <w:rsid w:val="00F5063A"/>
    <w:rsid w:val="00F5256C"/>
    <w:rsid w:val="00F535CA"/>
    <w:rsid w:val="00F5570A"/>
    <w:rsid w:val="00F5616B"/>
    <w:rsid w:val="00F6078C"/>
    <w:rsid w:val="00F630D1"/>
    <w:rsid w:val="00F64259"/>
    <w:rsid w:val="00F64841"/>
    <w:rsid w:val="00F65636"/>
    <w:rsid w:val="00F65E03"/>
    <w:rsid w:val="00F70CA9"/>
    <w:rsid w:val="00F70DEB"/>
    <w:rsid w:val="00F73229"/>
    <w:rsid w:val="00F73CDC"/>
    <w:rsid w:val="00F74FE5"/>
    <w:rsid w:val="00F76770"/>
    <w:rsid w:val="00F76D75"/>
    <w:rsid w:val="00F77F50"/>
    <w:rsid w:val="00F816D4"/>
    <w:rsid w:val="00F84423"/>
    <w:rsid w:val="00F849BD"/>
    <w:rsid w:val="00F86E60"/>
    <w:rsid w:val="00F90CA9"/>
    <w:rsid w:val="00F93E41"/>
    <w:rsid w:val="00FA233F"/>
    <w:rsid w:val="00FA2606"/>
    <w:rsid w:val="00FA3130"/>
    <w:rsid w:val="00FA34E0"/>
    <w:rsid w:val="00FA5FB5"/>
    <w:rsid w:val="00FA606D"/>
    <w:rsid w:val="00FA6386"/>
    <w:rsid w:val="00FA66AB"/>
    <w:rsid w:val="00FA76C2"/>
    <w:rsid w:val="00FB2A7B"/>
    <w:rsid w:val="00FB2B6E"/>
    <w:rsid w:val="00FB5009"/>
    <w:rsid w:val="00FB5461"/>
    <w:rsid w:val="00FB57B9"/>
    <w:rsid w:val="00FB5BD5"/>
    <w:rsid w:val="00FB7812"/>
    <w:rsid w:val="00FD03D0"/>
    <w:rsid w:val="00FD078B"/>
    <w:rsid w:val="00FD2A80"/>
    <w:rsid w:val="00FE1F47"/>
    <w:rsid w:val="00FE2E94"/>
    <w:rsid w:val="00FE30CC"/>
    <w:rsid w:val="00FE39E4"/>
    <w:rsid w:val="00FE4476"/>
    <w:rsid w:val="00FE53F1"/>
    <w:rsid w:val="00FE7CE4"/>
    <w:rsid w:val="00FF55B4"/>
    <w:rsid w:val="00FF641E"/>
    <w:rsid w:val="00FF6E93"/>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94D80"/>
  <w15:docId w15:val="{0C69DCBD-D244-4C4E-A73E-E59AF2CA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101"/>
  </w:style>
  <w:style w:type="paragraph" w:styleId="Footer">
    <w:name w:val="footer"/>
    <w:basedOn w:val="Normal"/>
    <w:link w:val="FooterChar"/>
    <w:uiPriority w:val="99"/>
    <w:unhideWhenUsed/>
    <w:rsid w:val="00573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101"/>
  </w:style>
  <w:style w:type="paragraph" w:styleId="ListParagraph">
    <w:name w:val="List Paragraph"/>
    <w:aliases w:val="Glanbia Para Num"/>
    <w:basedOn w:val="Normal"/>
    <w:uiPriority w:val="34"/>
    <w:qFormat/>
    <w:rsid w:val="009934FF"/>
    <w:pPr>
      <w:widowControl w:val="0"/>
      <w:autoSpaceDE w:val="0"/>
      <w:autoSpaceDN w:val="0"/>
      <w:spacing w:after="0" w:line="240" w:lineRule="auto"/>
    </w:pPr>
    <w:rPr>
      <w:rFonts w:ascii="Calibri" w:eastAsia="HelveticaNeueLT Std Lt" w:hAnsi="Calibri" w:cs="HelveticaNeueLT Std Lt"/>
      <w:lang w:val="en-US"/>
    </w:rPr>
  </w:style>
  <w:style w:type="table" w:styleId="TableGrid">
    <w:name w:val="Table Grid"/>
    <w:basedOn w:val="TableNormal"/>
    <w:uiPriority w:val="59"/>
    <w:rsid w:val="0084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319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19EC"/>
    <w:rPr>
      <w:sz w:val="20"/>
      <w:szCs w:val="20"/>
    </w:rPr>
  </w:style>
  <w:style w:type="character" w:styleId="FootnoteReference">
    <w:name w:val="footnote reference"/>
    <w:basedOn w:val="DefaultParagraphFont"/>
    <w:uiPriority w:val="99"/>
    <w:semiHidden/>
    <w:unhideWhenUsed/>
    <w:rsid w:val="006319EC"/>
    <w:rPr>
      <w:vertAlign w:val="superscript"/>
    </w:rPr>
  </w:style>
  <w:style w:type="paragraph" w:customStyle="1" w:styleId="ARBodyText">
    <w:name w:val="AR_BodyText"/>
    <w:basedOn w:val="Normal"/>
    <w:qFormat/>
    <w:rsid w:val="006319EC"/>
    <w:pPr>
      <w:spacing w:after="0" w:line="200" w:lineRule="exact"/>
    </w:pPr>
    <w:rPr>
      <w:rFonts w:cstheme="minorHAnsi"/>
      <w:color w:val="000000" w:themeColor="text1"/>
      <w:sz w:val="16"/>
      <w:szCs w:val="16"/>
    </w:rPr>
  </w:style>
  <w:style w:type="paragraph" w:customStyle="1" w:styleId="BodyText">
    <w:name w:val="BodyText"/>
    <w:basedOn w:val="Normal"/>
    <w:uiPriority w:val="99"/>
    <w:rsid w:val="003D0A3C"/>
    <w:pPr>
      <w:suppressAutoHyphens/>
      <w:autoSpaceDE w:val="0"/>
      <w:autoSpaceDN w:val="0"/>
      <w:adjustRightInd w:val="0"/>
      <w:spacing w:after="0" w:line="200" w:lineRule="atLeast"/>
      <w:textAlignment w:val="center"/>
    </w:pPr>
    <w:rPr>
      <w:rFonts w:ascii="HelveticaNeueLT Std Lt" w:hAnsi="HelveticaNeueLT Std Lt" w:cs="HelveticaNeueLT Std Lt"/>
      <w:color w:val="000000"/>
      <w:sz w:val="16"/>
      <w:szCs w:val="16"/>
      <w:lang w:val="en-GB"/>
    </w:rPr>
  </w:style>
  <w:style w:type="paragraph" w:styleId="NoSpacing">
    <w:name w:val="No Spacing"/>
    <w:uiPriority w:val="1"/>
    <w:qFormat/>
    <w:rsid w:val="00972F72"/>
    <w:pPr>
      <w:spacing w:after="0" w:line="240" w:lineRule="auto"/>
    </w:pPr>
  </w:style>
  <w:style w:type="paragraph" w:styleId="BalloonText">
    <w:name w:val="Balloon Text"/>
    <w:basedOn w:val="Normal"/>
    <w:link w:val="BalloonTextChar"/>
    <w:uiPriority w:val="99"/>
    <w:semiHidden/>
    <w:unhideWhenUsed/>
    <w:rsid w:val="00761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571"/>
    <w:rPr>
      <w:rFonts w:ascii="Segoe UI" w:hAnsi="Segoe UI" w:cs="Segoe UI"/>
      <w:sz w:val="18"/>
      <w:szCs w:val="18"/>
    </w:rPr>
  </w:style>
  <w:style w:type="character" w:styleId="CommentReference">
    <w:name w:val="annotation reference"/>
    <w:basedOn w:val="DefaultParagraphFont"/>
    <w:uiPriority w:val="99"/>
    <w:semiHidden/>
    <w:unhideWhenUsed/>
    <w:rsid w:val="00E71667"/>
    <w:rPr>
      <w:sz w:val="16"/>
      <w:szCs w:val="16"/>
    </w:rPr>
  </w:style>
  <w:style w:type="paragraph" w:styleId="CommentText">
    <w:name w:val="annotation text"/>
    <w:basedOn w:val="Normal"/>
    <w:link w:val="CommentTextChar"/>
    <w:uiPriority w:val="99"/>
    <w:unhideWhenUsed/>
    <w:rsid w:val="00E71667"/>
    <w:pPr>
      <w:spacing w:line="240" w:lineRule="auto"/>
    </w:pPr>
    <w:rPr>
      <w:sz w:val="20"/>
      <w:szCs w:val="20"/>
    </w:rPr>
  </w:style>
  <w:style w:type="character" w:customStyle="1" w:styleId="CommentTextChar">
    <w:name w:val="Comment Text Char"/>
    <w:basedOn w:val="DefaultParagraphFont"/>
    <w:link w:val="CommentText"/>
    <w:uiPriority w:val="99"/>
    <w:rsid w:val="00E71667"/>
    <w:rPr>
      <w:sz w:val="20"/>
      <w:szCs w:val="20"/>
    </w:rPr>
  </w:style>
  <w:style w:type="paragraph" w:styleId="CommentSubject">
    <w:name w:val="annotation subject"/>
    <w:basedOn w:val="CommentText"/>
    <w:next w:val="CommentText"/>
    <w:link w:val="CommentSubjectChar"/>
    <w:uiPriority w:val="99"/>
    <w:semiHidden/>
    <w:unhideWhenUsed/>
    <w:rsid w:val="00E71667"/>
    <w:rPr>
      <w:b/>
      <w:bCs/>
    </w:rPr>
  </w:style>
  <w:style w:type="character" w:customStyle="1" w:styleId="CommentSubjectChar">
    <w:name w:val="Comment Subject Char"/>
    <w:basedOn w:val="CommentTextChar"/>
    <w:link w:val="CommentSubject"/>
    <w:uiPriority w:val="99"/>
    <w:semiHidden/>
    <w:rsid w:val="00E71667"/>
    <w:rPr>
      <w:b/>
      <w:bCs/>
      <w:sz w:val="20"/>
      <w:szCs w:val="20"/>
    </w:rPr>
  </w:style>
  <w:style w:type="character" w:styleId="Strong">
    <w:name w:val="Strong"/>
    <w:basedOn w:val="DefaultParagraphFont"/>
    <w:uiPriority w:val="22"/>
    <w:qFormat/>
    <w:rsid w:val="00542FB7"/>
    <w:rPr>
      <w:b/>
      <w:bCs/>
    </w:rPr>
  </w:style>
  <w:style w:type="character" w:styleId="Hyperlink">
    <w:name w:val="Hyperlink"/>
    <w:basedOn w:val="DefaultParagraphFont"/>
    <w:uiPriority w:val="99"/>
    <w:unhideWhenUsed/>
    <w:rsid w:val="008E3655"/>
    <w:rPr>
      <w:color w:val="0000FF"/>
      <w:u w:val="single"/>
    </w:rPr>
  </w:style>
  <w:style w:type="paragraph" w:styleId="Revision">
    <w:name w:val="Revision"/>
    <w:hidden/>
    <w:uiPriority w:val="99"/>
    <w:semiHidden/>
    <w:rsid w:val="00872EF6"/>
    <w:pPr>
      <w:spacing w:after="0" w:line="240" w:lineRule="auto"/>
    </w:pPr>
  </w:style>
  <w:style w:type="paragraph" w:styleId="EndnoteText">
    <w:name w:val="endnote text"/>
    <w:basedOn w:val="Normal"/>
    <w:link w:val="EndnoteTextChar"/>
    <w:uiPriority w:val="99"/>
    <w:semiHidden/>
    <w:unhideWhenUsed/>
    <w:rsid w:val="00FB5B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B5BD5"/>
    <w:rPr>
      <w:sz w:val="20"/>
      <w:szCs w:val="20"/>
    </w:rPr>
  </w:style>
  <w:style w:type="character" w:styleId="EndnoteReference">
    <w:name w:val="endnote reference"/>
    <w:basedOn w:val="DefaultParagraphFont"/>
    <w:uiPriority w:val="99"/>
    <w:semiHidden/>
    <w:unhideWhenUsed/>
    <w:rsid w:val="00FB5BD5"/>
    <w:rPr>
      <w:vertAlign w:val="superscript"/>
    </w:rPr>
  </w:style>
  <w:style w:type="character" w:styleId="FollowedHyperlink">
    <w:name w:val="FollowedHyperlink"/>
    <w:basedOn w:val="DefaultParagraphFont"/>
    <w:uiPriority w:val="99"/>
    <w:semiHidden/>
    <w:unhideWhenUsed/>
    <w:rsid w:val="009022FB"/>
    <w:rPr>
      <w:color w:val="800080" w:themeColor="followedHyperlink"/>
      <w:u w:val="single"/>
    </w:rPr>
  </w:style>
  <w:style w:type="paragraph" w:customStyle="1" w:styleId="BulletList">
    <w:name w:val="BulletList"/>
    <w:basedOn w:val="Normal"/>
    <w:uiPriority w:val="99"/>
    <w:rsid w:val="00830C83"/>
    <w:pPr>
      <w:numPr>
        <w:numId w:val="8"/>
      </w:numPr>
      <w:spacing w:after="0" w:line="200" w:lineRule="exact"/>
      <w:jc w:val="both"/>
    </w:pPr>
    <w:rPr>
      <w:rFonts w:ascii="Calibri" w:hAnsi="Calibri"/>
      <w:color w:val="5B5A5F"/>
      <w:sz w:val="14"/>
      <w:szCs w:val="20"/>
    </w:rPr>
  </w:style>
  <w:style w:type="paragraph" w:customStyle="1" w:styleId="PrelimBodytext">
    <w:name w:val="Prelim_Bodytext"/>
    <w:basedOn w:val="BodyText"/>
    <w:uiPriority w:val="1"/>
    <w:qFormat/>
    <w:rsid w:val="00830C83"/>
    <w:pPr>
      <w:tabs>
        <w:tab w:val="left" w:pos="340"/>
      </w:tabs>
      <w:spacing w:line="240" w:lineRule="auto"/>
      <w:jc w:val="both"/>
      <w:textAlignment w:val="auto"/>
    </w:pPr>
    <w:rPr>
      <w:rFonts w:ascii="Arial" w:hAnsi="Arial" w:cs="Arial"/>
      <w:color w:val="auto"/>
      <w:kern w:val="20"/>
      <w:sz w:val="20"/>
      <w:szCs w:val="20"/>
    </w:rPr>
  </w:style>
  <w:style w:type="paragraph" w:customStyle="1" w:styleId="PrelimBullett1">
    <w:name w:val="PrelimBullett_1"/>
    <w:basedOn w:val="BulletList"/>
    <w:uiPriority w:val="1"/>
    <w:qFormat/>
    <w:rsid w:val="00830C83"/>
    <w:pPr>
      <w:numPr>
        <w:numId w:val="0"/>
      </w:numPr>
      <w:spacing w:after="60" w:line="240" w:lineRule="exact"/>
      <w:ind w:left="360" w:hanging="360"/>
    </w:pPr>
    <w:rPr>
      <w:rFonts w:ascii="Arial" w:hAnsi="Arial" w:cs="Arial"/>
      <w:color w:val="000000" w:themeColor="text1"/>
      <w:sz w:val="20"/>
    </w:rPr>
  </w:style>
  <w:style w:type="paragraph" w:customStyle="1" w:styleId="body">
    <w:name w:val="body"/>
    <w:basedOn w:val="Normal"/>
    <w:rsid w:val="00585E75"/>
    <w:pPr>
      <w:spacing w:after="0" w:line="240" w:lineRule="auto"/>
    </w:pPr>
    <w:rPr>
      <w:rFonts w:ascii="Helvetica" w:eastAsiaTheme="minorEastAsia" w:hAnsi="Helvetica" w:cs="Helvetica"/>
      <w:color w:val="000000"/>
      <w:lang w:eastAsia="zh-CN"/>
    </w:rPr>
  </w:style>
  <w:style w:type="paragraph" w:styleId="BodyText0">
    <w:name w:val="Body Text"/>
    <w:basedOn w:val="Normal"/>
    <w:link w:val="BodyTextChar"/>
    <w:uiPriority w:val="99"/>
    <w:semiHidden/>
    <w:unhideWhenUsed/>
    <w:rsid w:val="0060439D"/>
    <w:pPr>
      <w:spacing w:after="120"/>
    </w:pPr>
  </w:style>
  <w:style w:type="character" w:customStyle="1" w:styleId="BodyTextChar">
    <w:name w:val="Body Text Char"/>
    <w:basedOn w:val="DefaultParagraphFont"/>
    <w:link w:val="BodyText0"/>
    <w:uiPriority w:val="99"/>
    <w:semiHidden/>
    <w:rsid w:val="0060439D"/>
  </w:style>
  <w:style w:type="paragraph" w:customStyle="1" w:styleId="Default">
    <w:name w:val="Default"/>
    <w:rsid w:val="009F269F"/>
    <w:pPr>
      <w:autoSpaceDE w:val="0"/>
      <w:autoSpaceDN w:val="0"/>
      <w:adjustRightInd w:val="0"/>
      <w:spacing w:after="0" w:line="240" w:lineRule="auto"/>
    </w:pPr>
    <w:rPr>
      <w:rFonts w:ascii="Arial" w:hAnsi="Arial" w:cs="Arial"/>
      <w:color w:val="000000"/>
      <w:sz w:val="24"/>
      <w:szCs w:val="24"/>
      <w:lang w:val="en-GB"/>
    </w:rPr>
  </w:style>
  <w:style w:type="paragraph" w:customStyle="1" w:styleId="PrelimBullett2">
    <w:name w:val="PrelimBullett_2"/>
    <w:basedOn w:val="BulletList"/>
    <w:uiPriority w:val="1"/>
    <w:qFormat/>
    <w:rsid w:val="005C3F97"/>
    <w:pPr>
      <w:numPr>
        <w:numId w:val="0"/>
      </w:numPr>
      <w:spacing w:after="40" w:line="240" w:lineRule="exact"/>
      <w:ind w:left="1080" w:hanging="360"/>
    </w:pPr>
    <w:rPr>
      <w:rFonts w:ascii="Arial" w:hAnsi="Arial" w:cs="Arial"/>
      <w:color w:val="auto"/>
      <w:sz w:val="20"/>
    </w:rPr>
  </w:style>
  <w:style w:type="paragraph" w:styleId="NormalWeb">
    <w:name w:val="Normal (Web)"/>
    <w:basedOn w:val="Normal"/>
    <w:uiPriority w:val="99"/>
    <w:unhideWhenUsed/>
    <w:rsid w:val="00A41191"/>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cf01">
    <w:name w:val="cf01"/>
    <w:basedOn w:val="DefaultParagraphFont"/>
    <w:rsid w:val="00BC70AE"/>
    <w:rPr>
      <w:rFonts w:ascii="Segoe UI" w:hAnsi="Segoe UI" w:cs="Segoe UI" w:hint="default"/>
      <w:sz w:val="18"/>
      <w:szCs w:val="18"/>
    </w:rPr>
  </w:style>
  <w:style w:type="character" w:styleId="UnresolvedMention">
    <w:name w:val="Unresolved Mention"/>
    <w:basedOn w:val="DefaultParagraphFont"/>
    <w:uiPriority w:val="99"/>
    <w:semiHidden/>
    <w:unhideWhenUsed/>
    <w:rsid w:val="00350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09">
      <w:bodyDiv w:val="1"/>
      <w:marLeft w:val="0"/>
      <w:marRight w:val="0"/>
      <w:marTop w:val="0"/>
      <w:marBottom w:val="0"/>
      <w:divBdr>
        <w:top w:val="none" w:sz="0" w:space="0" w:color="auto"/>
        <w:left w:val="none" w:sz="0" w:space="0" w:color="auto"/>
        <w:bottom w:val="none" w:sz="0" w:space="0" w:color="auto"/>
        <w:right w:val="none" w:sz="0" w:space="0" w:color="auto"/>
      </w:divBdr>
    </w:div>
    <w:div w:id="178586565">
      <w:bodyDiv w:val="1"/>
      <w:marLeft w:val="0"/>
      <w:marRight w:val="0"/>
      <w:marTop w:val="0"/>
      <w:marBottom w:val="0"/>
      <w:divBdr>
        <w:top w:val="none" w:sz="0" w:space="0" w:color="auto"/>
        <w:left w:val="none" w:sz="0" w:space="0" w:color="auto"/>
        <w:bottom w:val="none" w:sz="0" w:space="0" w:color="auto"/>
        <w:right w:val="none" w:sz="0" w:space="0" w:color="auto"/>
      </w:divBdr>
    </w:div>
    <w:div w:id="241380318">
      <w:bodyDiv w:val="1"/>
      <w:marLeft w:val="0"/>
      <w:marRight w:val="0"/>
      <w:marTop w:val="0"/>
      <w:marBottom w:val="0"/>
      <w:divBdr>
        <w:top w:val="none" w:sz="0" w:space="0" w:color="auto"/>
        <w:left w:val="none" w:sz="0" w:space="0" w:color="auto"/>
        <w:bottom w:val="none" w:sz="0" w:space="0" w:color="auto"/>
        <w:right w:val="none" w:sz="0" w:space="0" w:color="auto"/>
      </w:divBdr>
    </w:div>
    <w:div w:id="279531519">
      <w:bodyDiv w:val="1"/>
      <w:marLeft w:val="0"/>
      <w:marRight w:val="0"/>
      <w:marTop w:val="0"/>
      <w:marBottom w:val="0"/>
      <w:divBdr>
        <w:top w:val="none" w:sz="0" w:space="0" w:color="auto"/>
        <w:left w:val="none" w:sz="0" w:space="0" w:color="auto"/>
        <w:bottom w:val="none" w:sz="0" w:space="0" w:color="auto"/>
        <w:right w:val="none" w:sz="0" w:space="0" w:color="auto"/>
      </w:divBdr>
    </w:div>
    <w:div w:id="305479796">
      <w:bodyDiv w:val="1"/>
      <w:marLeft w:val="0"/>
      <w:marRight w:val="0"/>
      <w:marTop w:val="0"/>
      <w:marBottom w:val="0"/>
      <w:divBdr>
        <w:top w:val="none" w:sz="0" w:space="0" w:color="auto"/>
        <w:left w:val="none" w:sz="0" w:space="0" w:color="auto"/>
        <w:bottom w:val="none" w:sz="0" w:space="0" w:color="auto"/>
        <w:right w:val="none" w:sz="0" w:space="0" w:color="auto"/>
      </w:divBdr>
    </w:div>
    <w:div w:id="319887357">
      <w:bodyDiv w:val="1"/>
      <w:marLeft w:val="0"/>
      <w:marRight w:val="0"/>
      <w:marTop w:val="0"/>
      <w:marBottom w:val="0"/>
      <w:divBdr>
        <w:top w:val="none" w:sz="0" w:space="0" w:color="auto"/>
        <w:left w:val="none" w:sz="0" w:space="0" w:color="auto"/>
        <w:bottom w:val="none" w:sz="0" w:space="0" w:color="auto"/>
        <w:right w:val="none" w:sz="0" w:space="0" w:color="auto"/>
      </w:divBdr>
    </w:div>
    <w:div w:id="335620115">
      <w:bodyDiv w:val="1"/>
      <w:marLeft w:val="0"/>
      <w:marRight w:val="0"/>
      <w:marTop w:val="0"/>
      <w:marBottom w:val="0"/>
      <w:divBdr>
        <w:top w:val="none" w:sz="0" w:space="0" w:color="auto"/>
        <w:left w:val="none" w:sz="0" w:space="0" w:color="auto"/>
        <w:bottom w:val="none" w:sz="0" w:space="0" w:color="auto"/>
        <w:right w:val="none" w:sz="0" w:space="0" w:color="auto"/>
      </w:divBdr>
    </w:div>
    <w:div w:id="586185250">
      <w:bodyDiv w:val="1"/>
      <w:marLeft w:val="0"/>
      <w:marRight w:val="0"/>
      <w:marTop w:val="0"/>
      <w:marBottom w:val="0"/>
      <w:divBdr>
        <w:top w:val="none" w:sz="0" w:space="0" w:color="auto"/>
        <w:left w:val="none" w:sz="0" w:space="0" w:color="auto"/>
        <w:bottom w:val="none" w:sz="0" w:space="0" w:color="auto"/>
        <w:right w:val="none" w:sz="0" w:space="0" w:color="auto"/>
      </w:divBdr>
    </w:div>
    <w:div w:id="821503032">
      <w:bodyDiv w:val="1"/>
      <w:marLeft w:val="0"/>
      <w:marRight w:val="0"/>
      <w:marTop w:val="0"/>
      <w:marBottom w:val="0"/>
      <w:divBdr>
        <w:top w:val="none" w:sz="0" w:space="0" w:color="auto"/>
        <w:left w:val="none" w:sz="0" w:space="0" w:color="auto"/>
        <w:bottom w:val="none" w:sz="0" w:space="0" w:color="auto"/>
        <w:right w:val="none" w:sz="0" w:space="0" w:color="auto"/>
      </w:divBdr>
    </w:div>
    <w:div w:id="838739355">
      <w:bodyDiv w:val="1"/>
      <w:marLeft w:val="0"/>
      <w:marRight w:val="0"/>
      <w:marTop w:val="0"/>
      <w:marBottom w:val="0"/>
      <w:divBdr>
        <w:top w:val="none" w:sz="0" w:space="0" w:color="auto"/>
        <w:left w:val="none" w:sz="0" w:space="0" w:color="auto"/>
        <w:bottom w:val="none" w:sz="0" w:space="0" w:color="auto"/>
        <w:right w:val="none" w:sz="0" w:space="0" w:color="auto"/>
      </w:divBdr>
    </w:div>
    <w:div w:id="896478455">
      <w:bodyDiv w:val="1"/>
      <w:marLeft w:val="0"/>
      <w:marRight w:val="0"/>
      <w:marTop w:val="0"/>
      <w:marBottom w:val="0"/>
      <w:divBdr>
        <w:top w:val="none" w:sz="0" w:space="0" w:color="auto"/>
        <w:left w:val="none" w:sz="0" w:space="0" w:color="auto"/>
        <w:bottom w:val="none" w:sz="0" w:space="0" w:color="auto"/>
        <w:right w:val="none" w:sz="0" w:space="0" w:color="auto"/>
      </w:divBdr>
    </w:div>
    <w:div w:id="1056782604">
      <w:bodyDiv w:val="1"/>
      <w:marLeft w:val="0"/>
      <w:marRight w:val="0"/>
      <w:marTop w:val="0"/>
      <w:marBottom w:val="0"/>
      <w:divBdr>
        <w:top w:val="none" w:sz="0" w:space="0" w:color="auto"/>
        <w:left w:val="none" w:sz="0" w:space="0" w:color="auto"/>
        <w:bottom w:val="none" w:sz="0" w:space="0" w:color="auto"/>
        <w:right w:val="none" w:sz="0" w:space="0" w:color="auto"/>
      </w:divBdr>
    </w:div>
    <w:div w:id="1129472100">
      <w:bodyDiv w:val="1"/>
      <w:marLeft w:val="0"/>
      <w:marRight w:val="0"/>
      <w:marTop w:val="0"/>
      <w:marBottom w:val="0"/>
      <w:divBdr>
        <w:top w:val="none" w:sz="0" w:space="0" w:color="auto"/>
        <w:left w:val="none" w:sz="0" w:space="0" w:color="auto"/>
        <w:bottom w:val="none" w:sz="0" w:space="0" w:color="auto"/>
        <w:right w:val="none" w:sz="0" w:space="0" w:color="auto"/>
      </w:divBdr>
    </w:div>
    <w:div w:id="1234051601">
      <w:bodyDiv w:val="1"/>
      <w:marLeft w:val="0"/>
      <w:marRight w:val="0"/>
      <w:marTop w:val="0"/>
      <w:marBottom w:val="0"/>
      <w:divBdr>
        <w:top w:val="none" w:sz="0" w:space="0" w:color="auto"/>
        <w:left w:val="none" w:sz="0" w:space="0" w:color="auto"/>
        <w:bottom w:val="none" w:sz="0" w:space="0" w:color="auto"/>
        <w:right w:val="none" w:sz="0" w:space="0" w:color="auto"/>
      </w:divBdr>
    </w:div>
    <w:div w:id="1273702630">
      <w:bodyDiv w:val="1"/>
      <w:marLeft w:val="0"/>
      <w:marRight w:val="0"/>
      <w:marTop w:val="0"/>
      <w:marBottom w:val="0"/>
      <w:divBdr>
        <w:top w:val="none" w:sz="0" w:space="0" w:color="auto"/>
        <w:left w:val="none" w:sz="0" w:space="0" w:color="auto"/>
        <w:bottom w:val="none" w:sz="0" w:space="0" w:color="auto"/>
        <w:right w:val="none" w:sz="0" w:space="0" w:color="auto"/>
      </w:divBdr>
    </w:div>
    <w:div w:id="1274166203">
      <w:bodyDiv w:val="1"/>
      <w:marLeft w:val="0"/>
      <w:marRight w:val="0"/>
      <w:marTop w:val="0"/>
      <w:marBottom w:val="0"/>
      <w:divBdr>
        <w:top w:val="none" w:sz="0" w:space="0" w:color="auto"/>
        <w:left w:val="none" w:sz="0" w:space="0" w:color="auto"/>
        <w:bottom w:val="none" w:sz="0" w:space="0" w:color="auto"/>
        <w:right w:val="none" w:sz="0" w:space="0" w:color="auto"/>
      </w:divBdr>
    </w:div>
    <w:div w:id="1518806347">
      <w:bodyDiv w:val="1"/>
      <w:marLeft w:val="0"/>
      <w:marRight w:val="0"/>
      <w:marTop w:val="0"/>
      <w:marBottom w:val="0"/>
      <w:divBdr>
        <w:top w:val="none" w:sz="0" w:space="0" w:color="auto"/>
        <w:left w:val="none" w:sz="0" w:space="0" w:color="auto"/>
        <w:bottom w:val="none" w:sz="0" w:space="0" w:color="auto"/>
        <w:right w:val="none" w:sz="0" w:space="0" w:color="auto"/>
      </w:divBdr>
    </w:div>
    <w:div w:id="1536962315">
      <w:bodyDiv w:val="1"/>
      <w:marLeft w:val="0"/>
      <w:marRight w:val="0"/>
      <w:marTop w:val="0"/>
      <w:marBottom w:val="0"/>
      <w:divBdr>
        <w:top w:val="none" w:sz="0" w:space="0" w:color="auto"/>
        <w:left w:val="none" w:sz="0" w:space="0" w:color="auto"/>
        <w:bottom w:val="none" w:sz="0" w:space="0" w:color="auto"/>
        <w:right w:val="none" w:sz="0" w:space="0" w:color="auto"/>
      </w:divBdr>
    </w:div>
    <w:div w:id="1555964515">
      <w:bodyDiv w:val="1"/>
      <w:marLeft w:val="0"/>
      <w:marRight w:val="0"/>
      <w:marTop w:val="0"/>
      <w:marBottom w:val="0"/>
      <w:divBdr>
        <w:top w:val="none" w:sz="0" w:space="0" w:color="auto"/>
        <w:left w:val="none" w:sz="0" w:space="0" w:color="auto"/>
        <w:bottom w:val="none" w:sz="0" w:space="0" w:color="auto"/>
        <w:right w:val="none" w:sz="0" w:space="0" w:color="auto"/>
      </w:divBdr>
    </w:div>
    <w:div w:id="1792506535">
      <w:bodyDiv w:val="1"/>
      <w:marLeft w:val="0"/>
      <w:marRight w:val="0"/>
      <w:marTop w:val="0"/>
      <w:marBottom w:val="0"/>
      <w:divBdr>
        <w:top w:val="none" w:sz="0" w:space="0" w:color="auto"/>
        <w:left w:val="none" w:sz="0" w:space="0" w:color="auto"/>
        <w:bottom w:val="none" w:sz="0" w:space="0" w:color="auto"/>
        <w:right w:val="none" w:sz="0" w:space="0" w:color="auto"/>
      </w:divBdr>
    </w:div>
    <w:div w:id="209933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2025-11-04T18:06:58+00:00</DateReceived>
    <TaxCatchAll xmlns="801a3cf6-255d-4ff5-98fe-b4415afa84b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B45B4-A309-430B-A030-D874F46E126B}"/>
</file>

<file path=customXml/itemProps2.xml><?xml version="1.0" encoding="utf-8"?>
<ds:datastoreItem xmlns:ds="http://schemas.openxmlformats.org/officeDocument/2006/customXml" ds:itemID="{F4EE3345-D7BB-4B21-91E4-43408B176C55}">
  <ds:schemaRefs>
    <ds:schemaRef ds:uri="http://schemas.microsoft.com/sharepoint/v3/contenttype/forms"/>
  </ds:schemaRefs>
</ds:datastoreItem>
</file>

<file path=customXml/itemProps3.xml><?xml version="1.0" encoding="utf-8"?>
<ds:datastoreItem xmlns:ds="http://schemas.openxmlformats.org/officeDocument/2006/customXml" ds:itemID="{026BBB28-9A20-4839-9315-86C9A122CFAD}">
  <ds:schemaRefs>
    <ds:schemaRef ds:uri="http://schemas.microsoft.com/office/2006/metadata/properties"/>
    <ds:schemaRef ds:uri="http://schemas.microsoft.com/office/infopath/2007/PartnerControls"/>
    <ds:schemaRef ds:uri="60db372e-b693-48bb-945c-96a611be7f87"/>
  </ds:schemaRefs>
</ds:datastoreItem>
</file>

<file path=customXml/itemProps4.xml><?xml version="1.0" encoding="utf-8"?>
<ds:datastoreItem xmlns:ds="http://schemas.openxmlformats.org/officeDocument/2006/customXml" ds:itemID="{555DB7D4-E8C0-42D2-9E0F-3854A6C6F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1480</Words>
  <Characters>8071</Characters>
  <Application>Microsoft Office Word</Application>
  <DocSecurity>4</DocSecurity>
  <Lines>179</Lines>
  <Paragraphs>120</Paragraphs>
  <ScaleCrop>false</ScaleCrop>
  <HeadingPairs>
    <vt:vector size="2" baseType="variant">
      <vt:variant>
        <vt:lpstr>Title</vt:lpstr>
      </vt:variant>
      <vt:variant>
        <vt:i4>1</vt:i4>
      </vt:variant>
    </vt:vector>
  </HeadingPairs>
  <TitlesOfParts>
    <vt:vector size="1" baseType="lpstr">
      <vt:lpstr/>
    </vt:vector>
  </TitlesOfParts>
  <Company>Glanbia Plc</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Hennigan, Liam</dc:creator>
  <cp:keywords/>
  <dc:description/>
  <cp:lastModifiedBy>Leo, Karen</cp:lastModifiedBy>
  <cp:revision>2</cp:revision>
  <cp:lastPrinted>2025-10-24T11:51:00Z</cp:lastPrinted>
  <dcterms:created xsi:type="dcterms:W3CDTF">2025-11-04T15:59:00Z</dcterms:created>
  <dcterms:modified xsi:type="dcterms:W3CDTF">2025-11-04T15:59:00Z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