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859A" w14:textId="77777777" w:rsidR="0032003B" w:rsidRPr="009C6B0A" w:rsidRDefault="0032003B" w:rsidP="000304E4">
      <w:pPr>
        <w:spacing w:after="200" w:line="253" w:lineRule="atLeast"/>
        <w:jc w:val="center"/>
        <w:rPr>
          <w:rFonts w:ascii="Calibri" w:eastAsia="Times New Roman" w:hAnsi="Calibri" w:cs="Calibri"/>
          <w:b/>
          <w:bCs/>
          <w:color w:val="000000"/>
        </w:rPr>
      </w:pPr>
      <w:r w:rsidRPr="009C6B0A">
        <w:rPr>
          <w:rFonts w:ascii="Calibri" w:eastAsia="Times New Roman" w:hAnsi="Calibri" w:cs="Calibri"/>
          <w:b/>
          <w:bCs/>
          <w:color w:val="1F497D"/>
        </w:rPr>
        <w:t xml:space="preserve">Glanbia plc Capital Markets Day and </w:t>
      </w:r>
      <w:r>
        <w:rPr>
          <w:rFonts w:ascii="Calibri" w:eastAsia="Times New Roman" w:hAnsi="Calibri" w:cs="Calibri"/>
          <w:b/>
          <w:bCs/>
          <w:color w:val="1F497D"/>
        </w:rPr>
        <w:t>New Medium-Term Targets</w:t>
      </w:r>
    </w:p>
    <w:p w14:paraId="7B7662E5" w14:textId="249C7E5E" w:rsidR="0032003B" w:rsidRDefault="0032003B" w:rsidP="0032003B">
      <w:pPr>
        <w:spacing w:after="200" w:line="253" w:lineRule="atLeast"/>
        <w:jc w:val="both"/>
      </w:pPr>
      <w:r>
        <w:rPr>
          <w:rFonts w:ascii="Calibri" w:eastAsia="Times New Roman" w:hAnsi="Calibri" w:cs="Calibri"/>
          <w:color w:val="000000"/>
        </w:rPr>
        <w:t>19 November 2025</w:t>
      </w:r>
      <w:r w:rsidRPr="009C6B0A">
        <w:rPr>
          <w:rFonts w:ascii="Calibri" w:eastAsia="Times New Roman" w:hAnsi="Calibri" w:cs="Calibri"/>
          <w:color w:val="000000"/>
        </w:rPr>
        <w:t>, Glanbia plc ("Glanbia"</w:t>
      </w:r>
      <w:r w:rsidR="001205FF">
        <w:rPr>
          <w:rFonts w:ascii="Calibri" w:eastAsia="Times New Roman" w:hAnsi="Calibri" w:cs="Calibri"/>
          <w:color w:val="000000"/>
        </w:rPr>
        <w:t xml:space="preserve"> or </w:t>
      </w:r>
      <w:r w:rsidRPr="009C6B0A">
        <w:rPr>
          <w:rFonts w:ascii="Calibri" w:eastAsia="Times New Roman" w:hAnsi="Calibri" w:cs="Calibri"/>
          <w:color w:val="000000"/>
        </w:rPr>
        <w:t>the "Group") is holding a Capital Markets Day ("CMD") today</w:t>
      </w:r>
      <w:r>
        <w:rPr>
          <w:rFonts w:ascii="Calibri" w:eastAsia="Times New Roman" w:hAnsi="Calibri" w:cs="Calibri"/>
          <w:color w:val="000000"/>
        </w:rPr>
        <w:t xml:space="preserve">. </w:t>
      </w:r>
      <w:r w:rsidRPr="009C6B0A">
        <w:rPr>
          <w:rFonts w:ascii="Calibri" w:eastAsia="Times New Roman" w:hAnsi="Calibri" w:cs="Calibri"/>
          <w:color w:val="000000"/>
        </w:rPr>
        <w:t xml:space="preserve"> </w:t>
      </w:r>
      <w:r w:rsidRPr="008E3655">
        <w:t xml:space="preserve">The event will focus on </w:t>
      </w:r>
      <w:r>
        <w:t>Glanbia’s growth strategy and associated financial targets from 2026 to 2028.</w:t>
      </w:r>
      <w:r w:rsidR="003601F8" w:rsidRPr="003601F8">
        <w:t xml:space="preserve"> </w:t>
      </w:r>
    </w:p>
    <w:p w14:paraId="45174739" w14:textId="4B82CF46" w:rsidR="003601F8" w:rsidRPr="009C6B0A" w:rsidRDefault="003601F8" w:rsidP="0032003B">
      <w:pPr>
        <w:spacing w:after="200" w:line="253" w:lineRule="atLeast"/>
        <w:jc w:val="both"/>
        <w:rPr>
          <w:rFonts w:ascii="Calibri" w:eastAsia="Times New Roman" w:hAnsi="Calibri" w:cs="Calibri"/>
          <w:color w:val="000000"/>
        </w:rPr>
      </w:pPr>
      <w:r w:rsidRPr="003601F8">
        <w:rPr>
          <w:rFonts w:ascii="Calibri" w:eastAsia="Times New Roman" w:hAnsi="Calibri" w:cs="Calibri"/>
          <w:color w:val="000000"/>
        </w:rPr>
        <w:t xml:space="preserve">Hugh McGuire, CEO of Glanbia said: </w:t>
      </w:r>
      <w:r w:rsidR="008D5A90" w:rsidRPr="008D5A90">
        <w:rPr>
          <w:rFonts w:ascii="Calibri" w:eastAsia="Times New Roman" w:hAnsi="Calibri" w:cs="Calibri"/>
          <w:color w:val="000000"/>
        </w:rPr>
        <w:t>“Glanbia sits at the centre of powerful consumer megatrends, focused on fast-growing health and wellness categories. Through our portfolio of leading brands and ingredients, we help consumers around the world to achieve their health, fitness and nutrition goals.  Today’s event will showcase how we are sharpening our focus to achieve our three year growth ambition and capitalise on the significant opportunities ahead. We are well positioned to deliver on our ambition to drive growth and shareholder returns.”</w:t>
      </w:r>
    </w:p>
    <w:p w14:paraId="07BCF86F" w14:textId="77777777" w:rsidR="0032003B" w:rsidRPr="009C6B0A" w:rsidRDefault="0032003B" w:rsidP="0032003B">
      <w:pPr>
        <w:spacing w:after="200" w:line="253" w:lineRule="atLeast"/>
        <w:jc w:val="both"/>
        <w:rPr>
          <w:rFonts w:ascii="Calibri" w:eastAsia="Times New Roman" w:hAnsi="Calibri" w:cs="Calibri"/>
          <w:b/>
          <w:bCs/>
          <w:color w:val="000000"/>
        </w:rPr>
      </w:pPr>
      <w:r>
        <w:rPr>
          <w:rFonts w:ascii="Calibri" w:eastAsia="Times New Roman" w:hAnsi="Calibri" w:cs="Calibri"/>
          <w:b/>
          <w:bCs/>
          <w:color w:val="1F497D"/>
        </w:rPr>
        <w:t>Medium-term</w:t>
      </w:r>
      <w:r w:rsidRPr="009C6B0A">
        <w:rPr>
          <w:rFonts w:ascii="Calibri" w:eastAsia="Times New Roman" w:hAnsi="Calibri" w:cs="Calibri"/>
          <w:b/>
          <w:bCs/>
          <w:color w:val="1F497D"/>
        </w:rPr>
        <w:t xml:space="preserve"> </w:t>
      </w:r>
      <w:r>
        <w:rPr>
          <w:rFonts w:ascii="Calibri" w:eastAsia="Times New Roman" w:hAnsi="Calibri" w:cs="Calibri"/>
          <w:b/>
          <w:bCs/>
          <w:color w:val="1F497D"/>
        </w:rPr>
        <w:t>financial targets</w:t>
      </w:r>
    </w:p>
    <w:p w14:paraId="77937CEF" w14:textId="6E056279" w:rsidR="0032003B" w:rsidRDefault="0032003B" w:rsidP="0032003B">
      <w:pPr>
        <w:spacing w:line="253" w:lineRule="atLeast"/>
        <w:jc w:val="both"/>
        <w:rPr>
          <w:rFonts w:ascii="Calibri" w:eastAsia="Times New Roman" w:hAnsi="Calibri" w:cs="Calibri"/>
          <w:color w:val="000000"/>
        </w:rPr>
      </w:pPr>
      <w:r w:rsidRPr="009C6B0A">
        <w:rPr>
          <w:rFonts w:ascii="Calibri" w:eastAsia="Times New Roman" w:hAnsi="Calibri" w:cs="Calibri"/>
          <w:color w:val="000000"/>
        </w:rPr>
        <w:t xml:space="preserve">The </w:t>
      </w:r>
      <w:r>
        <w:rPr>
          <w:rFonts w:ascii="Calibri" w:eastAsia="Times New Roman" w:hAnsi="Calibri" w:cs="Calibri"/>
          <w:color w:val="000000"/>
        </w:rPr>
        <w:t>financial</w:t>
      </w:r>
      <w:r w:rsidRPr="009C6B0A">
        <w:rPr>
          <w:rFonts w:ascii="Calibri" w:eastAsia="Times New Roman" w:hAnsi="Calibri" w:cs="Calibri"/>
          <w:color w:val="000000"/>
        </w:rPr>
        <w:t xml:space="preserve"> </w:t>
      </w:r>
      <w:r>
        <w:rPr>
          <w:rFonts w:ascii="Calibri" w:eastAsia="Times New Roman" w:hAnsi="Calibri" w:cs="Calibri"/>
          <w:color w:val="000000"/>
        </w:rPr>
        <w:t>metrics</w:t>
      </w:r>
      <w:r w:rsidRPr="009C6B0A">
        <w:rPr>
          <w:rFonts w:ascii="Calibri" w:eastAsia="Times New Roman" w:hAnsi="Calibri" w:cs="Calibri"/>
          <w:color w:val="000000"/>
        </w:rPr>
        <w:t xml:space="preserve"> </w:t>
      </w:r>
      <w:r>
        <w:rPr>
          <w:rFonts w:ascii="Calibri" w:eastAsia="Times New Roman" w:hAnsi="Calibri" w:cs="Calibri"/>
          <w:color w:val="000000"/>
        </w:rPr>
        <w:t xml:space="preserve">for the 2026 to 2028 financial years; </w:t>
      </w:r>
      <w:r w:rsidRPr="009C6B0A">
        <w:rPr>
          <w:rFonts w:ascii="Calibri" w:eastAsia="Times New Roman" w:hAnsi="Calibri" w:cs="Calibri"/>
          <w:color w:val="000000"/>
        </w:rPr>
        <w:t xml:space="preserve">which will be outlined at the CMD </w:t>
      </w:r>
      <w:r>
        <w:rPr>
          <w:rFonts w:ascii="Calibri" w:eastAsia="Times New Roman" w:hAnsi="Calibri" w:cs="Calibri"/>
          <w:color w:val="000000"/>
        </w:rPr>
        <w:t>are</w:t>
      </w:r>
      <w:r w:rsidRPr="009C6B0A">
        <w:rPr>
          <w:rFonts w:ascii="Calibri" w:eastAsia="Times New Roman" w:hAnsi="Calibri" w:cs="Calibri"/>
          <w:color w:val="000000"/>
        </w:rPr>
        <w:t xml:space="preserve"> as follows:</w:t>
      </w:r>
    </w:p>
    <w:p w14:paraId="702CC905" w14:textId="114CC2A6" w:rsidR="0032003B" w:rsidRPr="00482CF7" w:rsidRDefault="0032003B" w:rsidP="0032003B">
      <w:pPr>
        <w:spacing w:line="253" w:lineRule="atLeast"/>
        <w:jc w:val="both"/>
        <w:rPr>
          <w:rFonts w:ascii="Calibri" w:eastAsia="Times New Roman" w:hAnsi="Calibri" w:cs="Calibri"/>
          <w:b/>
          <w:bCs/>
          <w:color w:val="000000"/>
        </w:rPr>
      </w:pPr>
      <w:r w:rsidRPr="00482CF7">
        <w:rPr>
          <w:rFonts w:ascii="Calibri" w:eastAsia="Times New Roman" w:hAnsi="Calibri" w:cs="Calibri"/>
          <w:b/>
          <w:bCs/>
          <w:color w:val="000000"/>
        </w:rPr>
        <w:t>Group</w:t>
      </w:r>
      <w:r w:rsidR="00F6555A">
        <w:rPr>
          <w:rFonts w:ascii="Calibri" w:eastAsia="Times New Roman" w:hAnsi="Calibri" w:cs="Calibri"/>
          <w:b/>
          <w:bCs/>
          <w:color w:val="000000"/>
        </w:rPr>
        <w:t xml:space="preserve"> annual targets</w:t>
      </w:r>
      <w:r w:rsidRPr="00482CF7">
        <w:rPr>
          <w:rFonts w:ascii="Calibri" w:eastAsia="Times New Roman" w:hAnsi="Calibri" w:cs="Calibri"/>
          <w:b/>
          <w:bCs/>
          <w:color w:val="000000"/>
        </w:rPr>
        <w:t>:</w:t>
      </w:r>
    </w:p>
    <w:p w14:paraId="0128A9C0" w14:textId="509C65B3" w:rsidR="0032003B" w:rsidRDefault="0032003B" w:rsidP="0032003B">
      <w:pPr>
        <w:pStyle w:val="ListParagraph"/>
        <w:numPr>
          <w:ilvl w:val="0"/>
          <w:numId w:val="2"/>
        </w:numPr>
        <w:spacing w:line="253" w:lineRule="atLeast"/>
        <w:jc w:val="both"/>
        <w:rPr>
          <w:rFonts w:ascii="Calibri" w:eastAsia="Times New Roman" w:hAnsi="Calibri" w:cs="Calibri"/>
          <w:color w:val="000000"/>
        </w:rPr>
      </w:pPr>
      <w:r>
        <w:rPr>
          <w:rFonts w:ascii="Calibri" w:eastAsia="Times New Roman" w:hAnsi="Calibri" w:cs="Calibri"/>
          <w:color w:val="000000"/>
        </w:rPr>
        <w:t>Adjusted earnings per share (“EPS”) growth of 7% to 11% (on a constant currency basis);</w:t>
      </w:r>
    </w:p>
    <w:p w14:paraId="1004D1A4" w14:textId="36E752B6" w:rsidR="0032003B" w:rsidRDefault="0032003B" w:rsidP="0032003B">
      <w:pPr>
        <w:pStyle w:val="ListParagraph"/>
        <w:numPr>
          <w:ilvl w:val="0"/>
          <w:numId w:val="2"/>
        </w:numPr>
        <w:spacing w:line="253" w:lineRule="atLeast"/>
        <w:jc w:val="both"/>
        <w:rPr>
          <w:rFonts w:ascii="Calibri" w:eastAsia="Times New Roman" w:hAnsi="Calibri" w:cs="Calibri"/>
          <w:color w:val="000000"/>
        </w:rPr>
      </w:pPr>
      <w:r>
        <w:rPr>
          <w:rFonts w:ascii="Calibri" w:eastAsia="Times New Roman" w:hAnsi="Calibri" w:cs="Calibri"/>
          <w:color w:val="000000"/>
        </w:rPr>
        <w:t xml:space="preserve">Operating cash conversion of EBITDA 85%+; </w:t>
      </w:r>
    </w:p>
    <w:p w14:paraId="23EB3E79" w14:textId="4BB953AA" w:rsidR="0032003B" w:rsidRDefault="0032003B" w:rsidP="0032003B">
      <w:pPr>
        <w:pStyle w:val="ListParagraph"/>
        <w:numPr>
          <w:ilvl w:val="0"/>
          <w:numId w:val="2"/>
        </w:numPr>
        <w:spacing w:line="253" w:lineRule="atLeast"/>
        <w:jc w:val="both"/>
        <w:rPr>
          <w:rFonts w:ascii="Calibri" w:eastAsia="Times New Roman" w:hAnsi="Calibri" w:cs="Calibri"/>
          <w:color w:val="000000"/>
        </w:rPr>
      </w:pPr>
      <w:r>
        <w:rPr>
          <w:rFonts w:ascii="Calibri" w:eastAsia="Times New Roman" w:hAnsi="Calibri" w:cs="Calibri"/>
          <w:color w:val="000000"/>
        </w:rPr>
        <w:t>Return on capital employed (“ROCE”) of 10% to 13%; and</w:t>
      </w:r>
    </w:p>
    <w:p w14:paraId="12C86849" w14:textId="5E4A58CF" w:rsidR="0032003B" w:rsidRDefault="0032003B" w:rsidP="0032003B">
      <w:pPr>
        <w:pStyle w:val="ListParagraph"/>
        <w:numPr>
          <w:ilvl w:val="0"/>
          <w:numId w:val="2"/>
        </w:numPr>
        <w:spacing w:line="253" w:lineRule="atLeast"/>
        <w:jc w:val="both"/>
        <w:rPr>
          <w:rFonts w:ascii="Calibri" w:eastAsia="Times New Roman" w:hAnsi="Calibri" w:cs="Calibri"/>
          <w:color w:val="000000"/>
        </w:rPr>
      </w:pPr>
      <w:r>
        <w:rPr>
          <w:rFonts w:ascii="Calibri" w:eastAsia="Times New Roman" w:hAnsi="Calibri" w:cs="Calibri"/>
          <w:color w:val="000000"/>
        </w:rPr>
        <w:t>Progressive dividend maintained with target payout ratio range of 30% to 40%.</w:t>
      </w:r>
    </w:p>
    <w:p w14:paraId="2D557CD1" w14:textId="1DF3A8BC" w:rsidR="0032003B" w:rsidRPr="00482CF7" w:rsidRDefault="003601F8" w:rsidP="0032003B">
      <w:pPr>
        <w:spacing w:line="253" w:lineRule="atLeast"/>
        <w:jc w:val="both"/>
        <w:rPr>
          <w:rFonts w:ascii="Calibri" w:eastAsia="Times New Roman" w:hAnsi="Calibri" w:cs="Calibri"/>
          <w:b/>
          <w:bCs/>
          <w:color w:val="000000"/>
        </w:rPr>
      </w:pPr>
      <w:r>
        <w:rPr>
          <w:rFonts w:ascii="Calibri" w:eastAsia="Times New Roman" w:hAnsi="Calibri" w:cs="Calibri"/>
          <w:b/>
          <w:bCs/>
          <w:color w:val="000000"/>
        </w:rPr>
        <w:t xml:space="preserve">By </w:t>
      </w:r>
      <w:r w:rsidR="0032003B" w:rsidRPr="00482CF7">
        <w:rPr>
          <w:rFonts w:ascii="Calibri" w:eastAsia="Times New Roman" w:hAnsi="Calibri" w:cs="Calibri"/>
          <w:b/>
          <w:bCs/>
          <w:color w:val="000000"/>
        </w:rPr>
        <w:t>Segment</w:t>
      </w:r>
      <w:r w:rsidR="0032003B">
        <w:rPr>
          <w:rFonts w:ascii="Calibri" w:eastAsia="Times New Roman" w:hAnsi="Calibri" w:cs="Calibri"/>
          <w:b/>
          <w:bCs/>
          <w:color w:val="000000"/>
        </w:rPr>
        <w:t>:</w:t>
      </w:r>
    </w:p>
    <w:p w14:paraId="43A23A46" w14:textId="77777777" w:rsidR="0032003B" w:rsidRDefault="0032003B" w:rsidP="0032003B">
      <w:pPr>
        <w:pStyle w:val="ListParagraph"/>
        <w:numPr>
          <w:ilvl w:val="0"/>
          <w:numId w:val="2"/>
        </w:numPr>
        <w:spacing w:line="253" w:lineRule="atLeast"/>
        <w:jc w:val="both"/>
        <w:rPr>
          <w:rFonts w:ascii="Calibri" w:eastAsia="Times New Roman" w:hAnsi="Calibri" w:cs="Calibri"/>
          <w:color w:val="000000"/>
        </w:rPr>
      </w:pPr>
      <w:r w:rsidRPr="006F021F">
        <w:rPr>
          <w:rFonts w:ascii="Calibri" w:eastAsia="Times New Roman" w:hAnsi="Calibri" w:cs="Calibri"/>
          <w:b/>
          <w:bCs/>
          <w:color w:val="000000"/>
        </w:rPr>
        <w:t>Performance Nutrition</w:t>
      </w:r>
      <w:r>
        <w:rPr>
          <w:rFonts w:ascii="Calibri" w:eastAsia="Times New Roman" w:hAnsi="Calibri" w:cs="Calibri"/>
          <w:color w:val="000000"/>
        </w:rPr>
        <w:t>:</w:t>
      </w:r>
    </w:p>
    <w:p w14:paraId="41A2778B" w14:textId="7AB9B984" w:rsidR="0032003B" w:rsidRDefault="00F6555A" w:rsidP="0032003B">
      <w:pPr>
        <w:pStyle w:val="ListParagraph"/>
        <w:numPr>
          <w:ilvl w:val="1"/>
          <w:numId w:val="2"/>
        </w:numPr>
        <w:spacing w:line="253" w:lineRule="atLeast"/>
        <w:jc w:val="both"/>
        <w:rPr>
          <w:rFonts w:ascii="Calibri" w:eastAsia="Times New Roman" w:hAnsi="Calibri" w:cs="Calibri"/>
          <w:color w:val="000000"/>
        </w:rPr>
      </w:pPr>
      <w:r>
        <w:rPr>
          <w:rFonts w:ascii="Calibri" w:eastAsia="Times New Roman" w:hAnsi="Calibri" w:cs="Calibri"/>
          <w:color w:val="000000"/>
        </w:rPr>
        <w:t xml:space="preserve">Annual </w:t>
      </w:r>
      <w:r w:rsidR="00BC4F54">
        <w:rPr>
          <w:rFonts w:ascii="Calibri" w:eastAsia="Times New Roman" w:hAnsi="Calibri" w:cs="Calibri"/>
          <w:color w:val="000000"/>
        </w:rPr>
        <w:t>o</w:t>
      </w:r>
      <w:r w:rsidR="0032003B">
        <w:rPr>
          <w:rFonts w:ascii="Calibri" w:eastAsia="Times New Roman" w:hAnsi="Calibri" w:cs="Calibri"/>
          <w:color w:val="000000"/>
        </w:rPr>
        <w:t>rganic revenue growth* of 5% to 7%; and</w:t>
      </w:r>
    </w:p>
    <w:p w14:paraId="10D0E511" w14:textId="5B4235F7" w:rsidR="0032003B" w:rsidRPr="00D83DD1" w:rsidRDefault="0032003B" w:rsidP="0032003B">
      <w:pPr>
        <w:pStyle w:val="ListParagraph"/>
        <w:numPr>
          <w:ilvl w:val="1"/>
          <w:numId w:val="2"/>
        </w:numPr>
        <w:spacing w:line="253" w:lineRule="atLeast"/>
        <w:jc w:val="both"/>
      </w:pPr>
      <w:r w:rsidRPr="006F021F">
        <w:rPr>
          <w:rFonts w:ascii="Calibri" w:eastAsia="Times New Roman" w:hAnsi="Calibri" w:cs="Calibri"/>
          <w:color w:val="000000"/>
        </w:rPr>
        <w:t>Total three-year EBITDA margin progression of 250 basis points from FY 2025 reported base**</w:t>
      </w:r>
    </w:p>
    <w:p w14:paraId="38F08149" w14:textId="77777777" w:rsidR="0032003B" w:rsidRDefault="0032003B" w:rsidP="0032003B">
      <w:pPr>
        <w:pStyle w:val="ListParagraph"/>
        <w:numPr>
          <w:ilvl w:val="0"/>
          <w:numId w:val="2"/>
        </w:numPr>
        <w:spacing w:line="253" w:lineRule="atLeast"/>
        <w:jc w:val="both"/>
        <w:rPr>
          <w:rFonts w:ascii="Calibri" w:eastAsia="Times New Roman" w:hAnsi="Calibri" w:cs="Calibri"/>
          <w:color w:val="000000"/>
        </w:rPr>
      </w:pPr>
      <w:r w:rsidRPr="006F021F">
        <w:rPr>
          <w:rFonts w:ascii="Calibri" w:eastAsia="Times New Roman" w:hAnsi="Calibri" w:cs="Calibri"/>
          <w:b/>
          <w:bCs/>
          <w:color w:val="000000"/>
        </w:rPr>
        <w:t>Health and Nutrition</w:t>
      </w:r>
      <w:r>
        <w:rPr>
          <w:rFonts w:ascii="Calibri" w:eastAsia="Times New Roman" w:hAnsi="Calibri" w:cs="Calibri"/>
          <w:color w:val="000000"/>
        </w:rPr>
        <w:t>:</w:t>
      </w:r>
    </w:p>
    <w:p w14:paraId="7D9CABA0" w14:textId="50A600CC" w:rsidR="0032003B" w:rsidRDefault="00F6555A" w:rsidP="0032003B">
      <w:pPr>
        <w:pStyle w:val="ListParagraph"/>
        <w:numPr>
          <w:ilvl w:val="1"/>
          <w:numId w:val="2"/>
        </w:numPr>
        <w:spacing w:line="253" w:lineRule="atLeast"/>
        <w:jc w:val="both"/>
        <w:rPr>
          <w:rFonts w:ascii="Calibri" w:eastAsia="Times New Roman" w:hAnsi="Calibri" w:cs="Calibri"/>
          <w:color w:val="000000"/>
        </w:rPr>
      </w:pPr>
      <w:r>
        <w:rPr>
          <w:rFonts w:ascii="Calibri" w:eastAsia="Times New Roman" w:hAnsi="Calibri" w:cs="Calibri"/>
          <w:color w:val="000000"/>
        </w:rPr>
        <w:t xml:space="preserve">Annual </w:t>
      </w:r>
      <w:r w:rsidR="00BC4F54">
        <w:rPr>
          <w:rFonts w:ascii="Calibri" w:eastAsia="Times New Roman" w:hAnsi="Calibri" w:cs="Calibri"/>
          <w:color w:val="000000"/>
        </w:rPr>
        <w:t>o</w:t>
      </w:r>
      <w:r w:rsidR="0032003B">
        <w:rPr>
          <w:rFonts w:ascii="Calibri" w:eastAsia="Times New Roman" w:hAnsi="Calibri" w:cs="Calibri"/>
          <w:color w:val="000000"/>
        </w:rPr>
        <w:t>rganic revenue growth of 4% to 6%; and</w:t>
      </w:r>
    </w:p>
    <w:p w14:paraId="7E711EB8" w14:textId="273884C1" w:rsidR="0032003B" w:rsidRPr="00D83DD1" w:rsidRDefault="0032003B" w:rsidP="0032003B">
      <w:pPr>
        <w:pStyle w:val="ListParagraph"/>
        <w:numPr>
          <w:ilvl w:val="1"/>
          <w:numId w:val="2"/>
        </w:numPr>
        <w:spacing w:line="253" w:lineRule="atLeast"/>
        <w:jc w:val="both"/>
      </w:pPr>
      <w:r w:rsidRPr="006F021F">
        <w:rPr>
          <w:rFonts w:ascii="Calibri" w:eastAsia="Times New Roman" w:hAnsi="Calibri" w:cs="Calibri"/>
          <w:color w:val="000000"/>
        </w:rPr>
        <w:t>EBITDA margin range of 17% to 19%</w:t>
      </w:r>
      <w:r w:rsidR="008D5A90">
        <w:rPr>
          <w:rFonts w:ascii="Calibri" w:eastAsia="Times New Roman" w:hAnsi="Calibri" w:cs="Calibri"/>
          <w:color w:val="000000"/>
        </w:rPr>
        <w:t>.</w:t>
      </w:r>
    </w:p>
    <w:p w14:paraId="54B473F3" w14:textId="77777777" w:rsidR="0032003B" w:rsidRPr="006F021F" w:rsidRDefault="0032003B" w:rsidP="0032003B">
      <w:pPr>
        <w:pStyle w:val="ListParagraph"/>
        <w:numPr>
          <w:ilvl w:val="0"/>
          <w:numId w:val="2"/>
        </w:numPr>
        <w:spacing w:line="253" w:lineRule="atLeast"/>
        <w:jc w:val="both"/>
        <w:rPr>
          <w:rFonts w:ascii="Calibri" w:eastAsia="Times New Roman" w:hAnsi="Calibri" w:cs="Calibri"/>
          <w:b/>
          <w:bCs/>
          <w:color w:val="000000"/>
        </w:rPr>
      </w:pPr>
      <w:r w:rsidRPr="006F021F">
        <w:rPr>
          <w:rFonts w:ascii="Calibri" w:eastAsia="Times New Roman" w:hAnsi="Calibri" w:cs="Calibri"/>
          <w:b/>
          <w:bCs/>
          <w:color w:val="000000"/>
        </w:rPr>
        <w:t>Dairy Nutrition:</w:t>
      </w:r>
    </w:p>
    <w:p w14:paraId="29D11BE7" w14:textId="2FAE4429" w:rsidR="0032003B" w:rsidRPr="00482CF7" w:rsidRDefault="0032003B" w:rsidP="0032003B">
      <w:pPr>
        <w:pStyle w:val="ListParagraph"/>
        <w:numPr>
          <w:ilvl w:val="1"/>
          <w:numId w:val="2"/>
        </w:numPr>
        <w:spacing w:line="253" w:lineRule="atLeast"/>
        <w:jc w:val="both"/>
        <w:rPr>
          <w:rFonts w:ascii="Calibri" w:eastAsia="Times New Roman" w:hAnsi="Calibri" w:cs="Calibri"/>
          <w:color w:val="000000"/>
        </w:rPr>
      </w:pPr>
      <w:r>
        <w:rPr>
          <w:rFonts w:ascii="Calibri" w:eastAsia="Times New Roman" w:hAnsi="Calibri" w:cs="Calibri"/>
          <w:color w:val="000000"/>
        </w:rPr>
        <w:t>Annual EBITDA range of approximately $150 million to $160 million</w:t>
      </w:r>
      <w:r w:rsidR="008D5A90">
        <w:rPr>
          <w:rFonts w:ascii="Calibri" w:eastAsia="Times New Roman" w:hAnsi="Calibri" w:cs="Calibri"/>
          <w:color w:val="000000"/>
        </w:rPr>
        <w:t>.</w:t>
      </w:r>
    </w:p>
    <w:p w14:paraId="5628329A" w14:textId="77777777" w:rsidR="0032003B" w:rsidRPr="003022D8" w:rsidRDefault="0032003B" w:rsidP="0032003B">
      <w:pPr>
        <w:pStyle w:val="ListParagraph"/>
        <w:spacing w:line="253" w:lineRule="atLeast"/>
        <w:jc w:val="both"/>
        <w:rPr>
          <w:rFonts w:ascii="Calibri" w:eastAsia="Times New Roman" w:hAnsi="Calibri" w:cs="Calibri"/>
          <w:bCs/>
          <w:color w:val="000000"/>
        </w:rPr>
      </w:pPr>
    </w:p>
    <w:p w14:paraId="5F2A14EF" w14:textId="77777777" w:rsidR="0032003B" w:rsidRPr="009C6B0A" w:rsidRDefault="0032003B" w:rsidP="0032003B">
      <w:pPr>
        <w:spacing w:after="200" w:line="253" w:lineRule="atLeast"/>
        <w:jc w:val="both"/>
        <w:rPr>
          <w:rFonts w:ascii="Calibri" w:eastAsia="Times New Roman" w:hAnsi="Calibri" w:cs="Calibri"/>
          <w:b/>
          <w:bCs/>
          <w:color w:val="000000"/>
        </w:rPr>
      </w:pPr>
      <w:r>
        <w:rPr>
          <w:rFonts w:ascii="Calibri" w:eastAsia="Times New Roman" w:hAnsi="Calibri" w:cs="Calibri"/>
          <w:b/>
          <w:bCs/>
          <w:color w:val="1F497D"/>
        </w:rPr>
        <w:t>Event Details and W</w:t>
      </w:r>
      <w:r w:rsidRPr="009C6B0A">
        <w:rPr>
          <w:rFonts w:ascii="Calibri" w:eastAsia="Times New Roman" w:hAnsi="Calibri" w:cs="Calibri"/>
          <w:b/>
          <w:bCs/>
          <w:color w:val="1F497D"/>
        </w:rPr>
        <w:t>ebcast</w:t>
      </w:r>
    </w:p>
    <w:p w14:paraId="6C72109A" w14:textId="7BF2BE92" w:rsidR="0032003B" w:rsidRDefault="0032003B" w:rsidP="0032003B">
      <w:pPr>
        <w:spacing w:after="200" w:line="253" w:lineRule="atLeast"/>
        <w:jc w:val="both"/>
        <w:rPr>
          <w:rFonts w:ascii="Calibri" w:eastAsia="Times New Roman" w:hAnsi="Calibri" w:cs="Calibri"/>
          <w:color w:val="000000"/>
        </w:rPr>
      </w:pPr>
      <w:r w:rsidRPr="009C6B0A">
        <w:rPr>
          <w:rFonts w:ascii="Calibri" w:eastAsia="Times New Roman" w:hAnsi="Calibri" w:cs="Calibri"/>
          <w:color w:val="000000"/>
        </w:rPr>
        <w:t xml:space="preserve">The CMD </w:t>
      </w:r>
      <w:r>
        <w:rPr>
          <w:rFonts w:ascii="Calibri" w:eastAsia="Times New Roman" w:hAnsi="Calibri" w:cs="Calibri"/>
          <w:color w:val="000000"/>
        </w:rPr>
        <w:t xml:space="preserve">will be held </w:t>
      </w:r>
      <w:r w:rsidRPr="009C6B0A">
        <w:rPr>
          <w:rFonts w:ascii="Calibri" w:eastAsia="Times New Roman" w:hAnsi="Calibri" w:cs="Calibri"/>
          <w:color w:val="000000"/>
        </w:rPr>
        <w:t>at</w:t>
      </w:r>
      <w:r>
        <w:rPr>
          <w:rFonts w:ascii="Calibri" w:eastAsia="Times New Roman" w:hAnsi="Calibri" w:cs="Calibri"/>
          <w:color w:val="000000"/>
        </w:rPr>
        <w:t xml:space="preserve"> the London Stock Exchange and</w:t>
      </w:r>
      <w:r w:rsidRPr="009C6B0A">
        <w:rPr>
          <w:rFonts w:ascii="Calibri" w:eastAsia="Times New Roman" w:hAnsi="Calibri" w:cs="Calibri"/>
          <w:color w:val="000000"/>
        </w:rPr>
        <w:t xml:space="preserve"> will run from </w:t>
      </w:r>
      <w:r>
        <w:rPr>
          <w:rFonts w:ascii="Calibri" w:eastAsia="Times New Roman" w:hAnsi="Calibri" w:cs="Calibri"/>
          <w:color w:val="000000"/>
        </w:rPr>
        <w:t xml:space="preserve">2.00pm GMT </w:t>
      </w:r>
      <w:r w:rsidRPr="009C6B0A">
        <w:rPr>
          <w:rFonts w:ascii="Calibri" w:eastAsia="Times New Roman" w:hAnsi="Calibri" w:cs="Calibri"/>
          <w:color w:val="000000"/>
        </w:rPr>
        <w:t xml:space="preserve">to </w:t>
      </w:r>
      <w:r>
        <w:rPr>
          <w:rFonts w:ascii="Calibri" w:eastAsia="Times New Roman" w:hAnsi="Calibri" w:cs="Calibri"/>
          <w:color w:val="000000"/>
        </w:rPr>
        <w:t xml:space="preserve">approximately </w:t>
      </w:r>
      <w:r w:rsidR="000B3F7E">
        <w:rPr>
          <w:rFonts w:ascii="Calibri" w:eastAsia="Times New Roman" w:hAnsi="Calibri" w:cs="Calibri"/>
          <w:color w:val="000000"/>
        </w:rPr>
        <w:t>4.30</w:t>
      </w:r>
      <w:r>
        <w:rPr>
          <w:rFonts w:ascii="Calibri" w:eastAsia="Times New Roman" w:hAnsi="Calibri" w:cs="Calibri"/>
          <w:color w:val="000000"/>
        </w:rPr>
        <w:t>pm GMT.  The event will be broadcast live via a webcast. D</w:t>
      </w:r>
      <w:r w:rsidRPr="009C6B0A">
        <w:rPr>
          <w:rFonts w:ascii="Calibri" w:eastAsia="Times New Roman" w:hAnsi="Calibri" w:cs="Calibri"/>
          <w:color w:val="000000"/>
        </w:rPr>
        <w:t>etails on how to</w:t>
      </w:r>
      <w:r>
        <w:rPr>
          <w:rFonts w:ascii="Calibri" w:eastAsia="Times New Roman" w:hAnsi="Calibri" w:cs="Calibri"/>
          <w:color w:val="000000"/>
        </w:rPr>
        <w:t xml:space="preserve"> register and</w:t>
      </w:r>
      <w:r w:rsidRPr="009C6B0A">
        <w:rPr>
          <w:rFonts w:ascii="Calibri" w:eastAsia="Times New Roman" w:hAnsi="Calibri" w:cs="Calibri"/>
          <w:color w:val="000000"/>
        </w:rPr>
        <w:t xml:space="preserve"> view the webcast can be found at the following link: </w:t>
      </w:r>
      <w:hyperlink r:id="rId10" w:history="1">
        <w:r w:rsidRPr="00101B97">
          <w:rPr>
            <w:rStyle w:val="Hyperlink"/>
            <w:rFonts w:ascii="Calibri" w:eastAsia="Times New Roman" w:hAnsi="Calibri" w:cs="Calibri"/>
          </w:rPr>
          <w:t>https://edge.media-server.com/mmc/p/imc9dzgu/</w:t>
        </w:r>
      </w:hyperlink>
    </w:p>
    <w:p w14:paraId="6EF3E6D8" w14:textId="77777777" w:rsidR="0032003B" w:rsidRDefault="0032003B" w:rsidP="0032003B">
      <w:pPr>
        <w:spacing w:after="200" w:line="264" w:lineRule="atLeast"/>
        <w:jc w:val="both"/>
        <w:rPr>
          <w:rFonts w:cstheme="minorHAnsi"/>
        </w:rPr>
      </w:pPr>
      <w:r>
        <w:rPr>
          <w:rFonts w:cstheme="minorHAnsi"/>
          <w:color w:val="000000"/>
          <w:shd w:val="clear" w:color="auto" w:fill="FFFFFF"/>
        </w:rPr>
        <w:t xml:space="preserve">Following the event, todays webcast (including presentations) </w:t>
      </w:r>
      <w:r w:rsidRPr="00F418E5">
        <w:rPr>
          <w:rFonts w:cstheme="minorHAnsi"/>
          <w:color w:val="000000"/>
          <w:shd w:val="clear" w:color="auto" w:fill="FFFFFF"/>
        </w:rPr>
        <w:t>will be available</w:t>
      </w:r>
      <w:r>
        <w:rPr>
          <w:rFonts w:cstheme="minorHAnsi"/>
          <w:color w:val="000000"/>
          <w:shd w:val="clear" w:color="auto" w:fill="FFFFFF"/>
        </w:rPr>
        <w:t xml:space="preserve"> for playback on </w:t>
      </w:r>
      <w:hyperlink r:id="rId11" w:history="1">
        <w:r w:rsidRPr="00FD6EFD">
          <w:rPr>
            <w:rStyle w:val="Hyperlink"/>
            <w:rFonts w:cstheme="minorHAnsi"/>
          </w:rPr>
          <w:t>www.glanbia.com</w:t>
        </w:r>
      </w:hyperlink>
    </w:p>
    <w:p w14:paraId="1DEBD2E6" w14:textId="4E492A20" w:rsidR="0032003B" w:rsidRPr="00FB50FA" w:rsidRDefault="0032003B" w:rsidP="0032003B">
      <w:pPr>
        <w:spacing w:after="200" w:line="264" w:lineRule="atLeast"/>
        <w:jc w:val="both"/>
        <w:rPr>
          <w:rFonts w:cstheme="minorHAnsi"/>
          <w:sz w:val="14"/>
          <w:szCs w:val="14"/>
        </w:rPr>
      </w:pPr>
      <w:r>
        <w:rPr>
          <w:rFonts w:cstheme="minorHAnsi"/>
        </w:rPr>
        <w:t>*</w:t>
      </w:r>
      <w:r w:rsidR="00F6555A" w:rsidRPr="00F6555A">
        <w:rPr>
          <w:rFonts w:cstheme="minorHAnsi"/>
          <w:sz w:val="14"/>
          <w:szCs w:val="14"/>
        </w:rPr>
        <w:t xml:space="preserve">FY 2025 base </w:t>
      </w:r>
      <w:r w:rsidR="00F6555A">
        <w:rPr>
          <w:rFonts w:cstheme="minorHAnsi"/>
          <w:sz w:val="14"/>
          <w:szCs w:val="14"/>
        </w:rPr>
        <w:t>e</w:t>
      </w:r>
      <w:r>
        <w:rPr>
          <w:rFonts w:cstheme="minorHAnsi"/>
          <w:sz w:val="14"/>
          <w:szCs w:val="14"/>
        </w:rPr>
        <w:t>xcludes revenue from brands disposed during 2025</w:t>
      </w:r>
    </w:p>
    <w:p w14:paraId="7B0680B7" w14:textId="31F63458" w:rsidR="0032003B" w:rsidRPr="00BC19C0" w:rsidRDefault="0032003B" w:rsidP="0032003B">
      <w:pPr>
        <w:spacing w:after="200" w:line="264" w:lineRule="atLeast"/>
        <w:jc w:val="both"/>
        <w:rPr>
          <w:rFonts w:cstheme="minorHAnsi"/>
          <w:sz w:val="14"/>
          <w:szCs w:val="14"/>
        </w:rPr>
      </w:pPr>
      <w:r>
        <w:rPr>
          <w:rFonts w:cstheme="minorHAnsi"/>
        </w:rPr>
        <w:t>**</w:t>
      </w:r>
      <w:r w:rsidR="00ED5F9E">
        <w:rPr>
          <w:rFonts w:cstheme="minorHAnsi"/>
          <w:sz w:val="14"/>
          <w:szCs w:val="14"/>
        </w:rPr>
        <w:t>Target</w:t>
      </w:r>
      <w:r w:rsidR="00273CE0" w:rsidRPr="00273CE0">
        <w:rPr>
          <w:rFonts w:cstheme="minorHAnsi"/>
          <w:sz w:val="14"/>
          <w:szCs w:val="14"/>
        </w:rPr>
        <w:t xml:space="preserve"> </w:t>
      </w:r>
      <w:r>
        <w:rPr>
          <w:rFonts w:cstheme="minorHAnsi"/>
          <w:sz w:val="14"/>
          <w:szCs w:val="14"/>
        </w:rPr>
        <w:t>PN EBITDA margin progression is total for the three years 2026 to 2028.</w:t>
      </w:r>
    </w:p>
    <w:p w14:paraId="4384F167" w14:textId="77777777" w:rsidR="0032003B" w:rsidRPr="009C6B0A" w:rsidRDefault="0032003B" w:rsidP="0032003B">
      <w:pPr>
        <w:spacing w:after="200" w:line="264" w:lineRule="atLeast"/>
        <w:jc w:val="both"/>
        <w:rPr>
          <w:rFonts w:ascii="Calibri" w:eastAsia="Times New Roman" w:hAnsi="Calibri" w:cs="Calibri"/>
          <w:b/>
          <w:bCs/>
          <w:color w:val="000000"/>
        </w:rPr>
      </w:pPr>
      <w:r w:rsidRPr="009C6B0A">
        <w:rPr>
          <w:rFonts w:ascii="Calibri" w:eastAsia="Times New Roman" w:hAnsi="Calibri" w:cs="Calibri"/>
          <w:b/>
          <w:bCs/>
          <w:color w:val="002060"/>
          <w:sz w:val="24"/>
          <w:szCs w:val="24"/>
        </w:rPr>
        <w:t>ENDS</w:t>
      </w:r>
    </w:p>
    <w:p w14:paraId="5E2DDF3F" w14:textId="77777777" w:rsidR="0032003B" w:rsidRDefault="0032003B" w:rsidP="0032003B">
      <w:pPr>
        <w:spacing w:after="200" w:line="253" w:lineRule="atLeast"/>
        <w:jc w:val="both"/>
        <w:rPr>
          <w:rFonts w:ascii="Calibri" w:eastAsia="Times New Roman" w:hAnsi="Calibri" w:cs="Calibri"/>
          <w:b/>
          <w:bCs/>
          <w:color w:val="002060"/>
          <w:sz w:val="20"/>
          <w:szCs w:val="20"/>
        </w:rPr>
      </w:pPr>
    </w:p>
    <w:p w14:paraId="20DA6422" w14:textId="77777777" w:rsidR="0032003B" w:rsidRPr="009C6B0A" w:rsidRDefault="0032003B" w:rsidP="0032003B">
      <w:pPr>
        <w:spacing w:after="200" w:line="253" w:lineRule="atLeast"/>
        <w:jc w:val="both"/>
        <w:rPr>
          <w:rFonts w:ascii="Calibri" w:eastAsia="Times New Roman" w:hAnsi="Calibri" w:cs="Calibri"/>
          <w:b/>
          <w:bCs/>
          <w:color w:val="000000"/>
        </w:rPr>
      </w:pPr>
      <w:r w:rsidRPr="009C6B0A">
        <w:rPr>
          <w:rFonts w:ascii="Calibri" w:eastAsia="Times New Roman" w:hAnsi="Calibri" w:cs="Calibri"/>
          <w:b/>
          <w:bCs/>
          <w:color w:val="002060"/>
          <w:sz w:val="20"/>
          <w:szCs w:val="20"/>
        </w:rPr>
        <w:t>Cautionary statement</w:t>
      </w:r>
    </w:p>
    <w:p w14:paraId="75402392" w14:textId="77777777" w:rsidR="0032003B" w:rsidRPr="009C6B0A" w:rsidRDefault="0032003B" w:rsidP="0032003B">
      <w:pPr>
        <w:spacing w:after="0" w:line="264" w:lineRule="atLeast"/>
        <w:jc w:val="both"/>
        <w:rPr>
          <w:rFonts w:ascii="Calibri" w:eastAsia="Times New Roman" w:hAnsi="Calibri" w:cs="Calibri"/>
          <w:color w:val="000000"/>
        </w:rPr>
      </w:pPr>
      <w:r w:rsidRPr="009C6B0A">
        <w:rPr>
          <w:rFonts w:ascii="Calibri" w:eastAsia="Times New Roman" w:hAnsi="Calibri" w:cs="Calibri"/>
          <w:color w:val="000000"/>
          <w:sz w:val="20"/>
          <w:szCs w:val="20"/>
        </w:rPr>
        <w:lastRenderedPageBreak/>
        <w:t xml:space="preserve">This announcement contains forward-looking statements. These statements have been made by the Directors in good faith based on the information available to them up to the time of their approval of this announcement. Due to the inherent uncertainties, including both economic and business risk factors underlying such forward looking information, actual results may differ materially from those expressed or implied by these forward-looking statements. The Directors </w:t>
      </w:r>
      <w:r>
        <w:rPr>
          <w:rFonts w:ascii="Calibri" w:eastAsia="Times New Roman" w:hAnsi="Calibri" w:cs="Calibri"/>
          <w:color w:val="000000"/>
          <w:sz w:val="20"/>
          <w:szCs w:val="20"/>
        </w:rPr>
        <w:t>do not undertake any</w:t>
      </w:r>
      <w:r w:rsidRPr="009C6B0A">
        <w:rPr>
          <w:rFonts w:ascii="Calibri" w:eastAsia="Times New Roman" w:hAnsi="Calibri" w:cs="Calibri"/>
          <w:color w:val="000000"/>
          <w:sz w:val="20"/>
          <w:szCs w:val="20"/>
        </w:rPr>
        <w:t xml:space="preserve"> obligation to update any forward-looking statements contained in this announcement, whether as a result of new information, future events, or otherwise</w:t>
      </w:r>
      <w:r>
        <w:rPr>
          <w:rFonts w:ascii="Calibri" w:eastAsia="Times New Roman" w:hAnsi="Calibri" w:cs="Calibri"/>
          <w:color w:val="000000"/>
          <w:sz w:val="20"/>
          <w:szCs w:val="20"/>
        </w:rPr>
        <w:t>, except as required by law</w:t>
      </w:r>
      <w:r w:rsidRPr="009C6B0A">
        <w:rPr>
          <w:rFonts w:ascii="Calibri" w:eastAsia="Times New Roman" w:hAnsi="Calibri" w:cs="Calibri"/>
          <w:color w:val="000000"/>
          <w:sz w:val="20"/>
          <w:szCs w:val="20"/>
        </w:rPr>
        <w:t>.</w:t>
      </w:r>
    </w:p>
    <w:p w14:paraId="38A19339" w14:textId="77777777" w:rsidR="0032003B" w:rsidRPr="009C6B0A" w:rsidRDefault="0032003B" w:rsidP="0032003B">
      <w:pPr>
        <w:spacing w:after="200" w:line="264" w:lineRule="atLeast"/>
        <w:jc w:val="both"/>
        <w:rPr>
          <w:rFonts w:ascii="Calibri" w:eastAsia="Times New Roman" w:hAnsi="Calibri" w:cs="Calibri"/>
          <w:b/>
          <w:bCs/>
          <w:color w:val="000000"/>
        </w:rPr>
      </w:pPr>
    </w:p>
    <w:p w14:paraId="2999BCDD" w14:textId="77777777" w:rsidR="0032003B" w:rsidRPr="009C6B0A" w:rsidRDefault="0032003B" w:rsidP="0032003B">
      <w:pPr>
        <w:spacing w:after="200" w:line="264" w:lineRule="atLeast"/>
        <w:jc w:val="both"/>
        <w:rPr>
          <w:rFonts w:ascii="Calibri" w:eastAsia="Times New Roman" w:hAnsi="Calibri" w:cs="Calibri"/>
          <w:b/>
          <w:bCs/>
          <w:color w:val="000000"/>
        </w:rPr>
      </w:pPr>
      <w:r w:rsidRPr="009C6B0A">
        <w:rPr>
          <w:rFonts w:ascii="Calibri" w:eastAsia="Times New Roman" w:hAnsi="Calibri" w:cs="Calibri"/>
          <w:b/>
          <w:bCs/>
          <w:color w:val="002060"/>
          <w:sz w:val="24"/>
          <w:szCs w:val="24"/>
        </w:rPr>
        <w:t>For further information contact</w:t>
      </w:r>
    </w:p>
    <w:p w14:paraId="09EF24E2" w14:textId="77777777" w:rsidR="0032003B" w:rsidRPr="009C6B0A" w:rsidRDefault="0032003B" w:rsidP="0032003B">
      <w:pPr>
        <w:spacing w:after="0" w:line="264" w:lineRule="atLeast"/>
        <w:jc w:val="both"/>
        <w:rPr>
          <w:rFonts w:ascii="Calibri" w:eastAsia="Times New Roman" w:hAnsi="Calibri" w:cs="Calibri"/>
          <w:color w:val="000000"/>
        </w:rPr>
      </w:pPr>
      <w:r w:rsidRPr="009C6B0A">
        <w:rPr>
          <w:rFonts w:ascii="Calibri" w:eastAsia="Times New Roman" w:hAnsi="Calibri" w:cs="Calibri"/>
          <w:color w:val="E36C0A"/>
          <w:sz w:val="20"/>
          <w:szCs w:val="20"/>
        </w:rPr>
        <w:t>Glanbia plc +353 56 777 2200 </w:t>
      </w:r>
    </w:p>
    <w:p w14:paraId="3666A73A" w14:textId="77777777" w:rsidR="0032003B" w:rsidRDefault="0032003B" w:rsidP="0032003B">
      <w:pPr>
        <w:spacing w:after="0" w:line="264" w:lineRule="atLeast"/>
        <w:jc w:val="both"/>
        <w:rPr>
          <w:rFonts w:ascii="Calibri" w:eastAsia="Times New Roman" w:hAnsi="Calibri" w:cs="Calibri"/>
          <w:color w:val="000000"/>
          <w:sz w:val="20"/>
          <w:szCs w:val="20"/>
        </w:rPr>
      </w:pPr>
    </w:p>
    <w:p w14:paraId="1B2A2D98" w14:textId="77777777" w:rsidR="0032003B" w:rsidRDefault="0032003B" w:rsidP="0032003B">
      <w:pPr>
        <w:spacing w:after="0" w:line="264" w:lineRule="atLeast"/>
        <w:jc w:val="both"/>
        <w:rPr>
          <w:rFonts w:ascii="Calibri" w:eastAsia="Times New Roman" w:hAnsi="Calibri" w:cs="Calibri"/>
          <w:color w:val="000000"/>
          <w:sz w:val="20"/>
          <w:szCs w:val="20"/>
        </w:rPr>
      </w:pPr>
      <w:r w:rsidRPr="009C6B0A">
        <w:rPr>
          <w:rFonts w:ascii="Calibri" w:eastAsia="Times New Roman" w:hAnsi="Calibri" w:cs="Calibri"/>
          <w:color w:val="000000"/>
          <w:sz w:val="20"/>
          <w:szCs w:val="20"/>
        </w:rPr>
        <w:t>Mark Garvey, Group Finance Director</w:t>
      </w:r>
    </w:p>
    <w:p w14:paraId="3C23EBAC" w14:textId="77777777" w:rsidR="0032003B" w:rsidRPr="009C6B0A" w:rsidRDefault="0032003B" w:rsidP="0032003B">
      <w:pPr>
        <w:spacing w:after="0" w:line="264" w:lineRule="atLeast"/>
        <w:jc w:val="both"/>
        <w:rPr>
          <w:rFonts w:ascii="Calibri" w:eastAsia="Times New Roman" w:hAnsi="Calibri" w:cs="Calibri"/>
          <w:color w:val="000000"/>
        </w:rPr>
      </w:pPr>
    </w:p>
    <w:p w14:paraId="4914FBF4" w14:textId="77777777" w:rsidR="0032003B" w:rsidRPr="009C6B0A" w:rsidRDefault="0032003B" w:rsidP="0032003B">
      <w:pPr>
        <w:spacing w:after="0" w:line="264" w:lineRule="atLeast"/>
        <w:jc w:val="both"/>
        <w:rPr>
          <w:rFonts w:ascii="Calibri" w:eastAsia="Times New Roman" w:hAnsi="Calibri" w:cs="Calibri"/>
          <w:color w:val="000000"/>
        </w:rPr>
      </w:pPr>
      <w:r w:rsidRPr="009C6B0A">
        <w:rPr>
          <w:rFonts w:ascii="Calibri" w:eastAsia="Times New Roman" w:hAnsi="Calibri" w:cs="Calibri"/>
          <w:color w:val="000000"/>
          <w:sz w:val="20"/>
          <w:szCs w:val="20"/>
        </w:rPr>
        <w:t xml:space="preserve">Liam Hennigan, </w:t>
      </w:r>
      <w:r>
        <w:rPr>
          <w:rFonts w:ascii="Calibri" w:eastAsia="Times New Roman" w:hAnsi="Calibri" w:cs="Calibri"/>
          <w:color w:val="000000"/>
          <w:sz w:val="20"/>
          <w:szCs w:val="20"/>
        </w:rPr>
        <w:t xml:space="preserve">Group Secretary &amp; </w:t>
      </w:r>
      <w:r w:rsidRPr="009C6B0A">
        <w:rPr>
          <w:rFonts w:ascii="Calibri" w:eastAsia="Times New Roman" w:hAnsi="Calibri" w:cs="Calibri"/>
          <w:color w:val="000000"/>
          <w:sz w:val="20"/>
          <w:szCs w:val="20"/>
        </w:rPr>
        <w:t xml:space="preserve">Head of Investor Relations: </w:t>
      </w:r>
      <w:r>
        <w:rPr>
          <w:rFonts w:ascii="Calibri" w:eastAsia="Times New Roman" w:hAnsi="Calibri" w:cs="Calibri"/>
          <w:color w:val="000000"/>
          <w:sz w:val="20"/>
          <w:szCs w:val="20"/>
        </w:rPr>
        <w:tab/>
      </w:r>
      <w:r w:rsidRPr="009C6B0A">
        <w:rPr>
          <w:rFonts w:ascii="Calibri" w:eastAsia="Times New Roman" w:hAnsi="Calibri" w:cs="Calibri"/>
          <w:color w:val="000000"/>
          <w:sz w:val="20"/>
          <w:szCs w:val="20"/>
        </w:rPr>
        <w:t xml:space="preserve">+353 </w:t>
      </w:r>
      <w:r>
        <w:rPr>
          <w:rFonts w:ascii="Calibri" w:eastAsia="Times New Roman" w:hAnsi="Calibri" w:cs="Calibri"/>
          <w:color w:val="000000"/>
          <w:sz w:val="20"/>
          <w:szCs w:val="20"/>
        </w:rPr>
        <w:t xml:space="preserve">(0) </w:t>
      </w:r>
      <w:r w:rsidRPr="009C6B0A">
        <w:rPr>
          <w:rFonts w:ascii="Calibri" w:eastAsia="Times New Roman" w:hAnsi="Calibri" w:cs="Calibri"/>
          <w:color w:val="000000"/>
          <w:sz w:val="20"/>
          <w:szCs w:val="20"/>
        </w:rPr>
        <w:t>86 046 8375</w:t>
      </w:r>
    </w:p>
    <w:p w14:paraId="45128AA5" w14:textId="77777777" w:rsidR="0032003B" w:rsidRDefault="0032003B" w:rsidP="0032003B">
      <w:pPr>
        <w:spacing w:after="0" w:line="264" w:lineRule="atLeast"/>
        <w:jc w:val="both"/>
        <w:rPr>
          <w:rFonts w:ascii="Calibri" w:eastAsia="Times New Roman" w:hAnsi="Calibri" w:cs="Calibri"/>
          <w:color w:val="000000"/>
          <w:sz w:val="20"/>
          <w:szCs w:val="20"/>
        </w:rPr>
      </w:pPr>
    </w:p>
    <w:p w14:paraId="735DAEF6" w14:textId="77777777" w:rsidR="0032003B" w:rsidRDefault="0032003B" w:rsidP="0032003B">
      <w:pPr>
        <w:spacing w:after="0" w:line="264" w:lineRule="atLeast"/>
        <w:jc w:val="both"/>
        <w:rPr>
          <w:rFonts w:ascii="Calibri" w:eastAsia="Times New Roman" w:hAnsi="Calibri" w:cs="Calibri"/>
          <w:color w:val="000000"/>
          <w:sz w:val="20"/>
          <w:szCs w:val="20"/>
        </w:rPr>
      </w:pPr>
      <w:r w:rsidRPr="001F0C8A">
        <w:rPr>
          <w:rFonts w:ascii="Calibri" w:eastAsia="Times New Roman" w:hAnsi="Calibri" w:cs="Calibri"/>
          <w:color w:val="000000"/>
          <w:sz w:val="20"/>
          <w:szCs w:val="20"/>
        </w:rPr>
        <w:t xml:space="preserve">Lauren O’Sullivan, Investor Relations Manager:      </w:t>
      </w:r>
      <w:r>
        <w:rPr>
          <w:rFonts w:ascii="Calibri" w:eastAsia="Times New Roman" w:hAnsi="Calibri" w:cs="Calibri"/>
          <w:color w:val="000000"/>
          <w:sz w:val="20"/>
          <w:szCs w:val="20"/>
        </w:rPr>
        <w:tab/>
      </w:r>
      <w:r>
        <w:rPr>
          <w:rFonts w:ascii="Calibri" w:eastAsia="Times New Roman" w:hAnsi="Calibri" w:cs="Calibri"/>
          <w:color w:val="000000"/>
          <w:sz w:val="20"/>
          <w:szCs w:val="20"/>
        </w:rPr>
        <w:tab/>
      </w:r>
      <w:r>
        <w:rPr>
          <w:rFonts w:ascii="Calibri" w:eastAsia="Times New Roman" w:hAnsi="Calibri" w:cs="Calibri"/>
          <w:color w:val="000000"/>
          <w:sz w:val="20"/>
          <w:szCs w:val="20"/>
        </w:rPr>
        <w:tab/>
      </w:r>
      <w:r w:rsidRPr="001F0C8A">
        <w:rPr>
          <w:rFonts w:ascii="Calibri" w:eastAsia="Times New Roman" w:hAnsi="Calibri" w:cs="Calibri"/>
          <w:color w:val="000000"/>
          <w:sz w:val="20"/>
          <w:szCs w:val="20"/>
        </w:rPr>
        <w:t>+353 (0)85 741 7861</w:t>
      </w:r>
    </w:p>
    <w:p w14:paraId="6C0DF718" w14:textId="77777777" w:rsidR="0032003B" w:rsidRDefault="0032003B" w:rsidP="0032003B">
      <w:pPr>
        <w:spacing w:after="0" w:line="264" w:lineRule="atLeast"/>
        <w:jc w:val="both"/>
        <w:rPr>
          <w:rFonts w:ascii="Calibri" w:eastAsia="Times New Roman" w:hAnsi="Calibri" w:cs="Calibri"/>
          <w:color w:val="000000"/>
          <w:sz w:val="20"/>
          <w:szCs w:val="20"/>
        </w:rPr>
      </w:pPr>
    </w:p>
    <w:p w14:paraId="6ECD4AED" w14:textId="629DF3AC" w:rsidR="0032003B" w:rsidRPr="00F01B49" w:rsidRDefault="0032003B" w:rsidP="0032003B">
      <w:pPr>
        <w:spacing w:after="0" w:line="264" w:lineRule="atLeast"/>
        <w:jc w:val="both"/>
        <w:rPr>
          <w:rFonts w:ascii="Calibri" w:eastAsia="Times New Roman" w:hAnsi="Calibri" w:cs="Calibri"/>
          <w:color w:val="000000"/>
        </w:rPr>
      </w:pPr>
      <w:r w:rsidRPr="001F0C8A">
        <w:rPr>
          <w:rFonts w:ascii="Calibri" w:eastAsia="Times New Roman" w:hAnsi="Calibri" w:cs="Calibri"/>
          <w:color w:val="000000"/>
          <w:sz w:val="20"/>
          <w:szCs w:val="20"/>
        </w:rPr>
        <w:t xml:space="preserve">Martha Kavanagh, </w:t>
      </w:r>
      <w:r w:rsidR="003601F8">
        <w:rPr>
          <w:rFonts w:ascii="Calibri" w:eastAsia="Times New Roman" w:hAnsi="Calibri" w:cs="Calibri"/>
          <w:color w:val="000000"/>
          <w:sz w:val="20"/>
          <w:szCs w:val="20"/>
        </w:rPr>
        <w:t>Director of Corporate Affairs</w:t>
      </w:r>
      <w:r w:rsidRPr="001F0C8A">
        <w:rPr>
          <w:rFonts w:ascii="Calibri" w:eastAsia="Times New Roman" w:hAnsi="Calibri" w:cs="Calibri"/>
          <w:color w:val="000000"/>
          <w:sz w:val="20"/>
          <w:szCs w:val="20"/>
        </w:rPr>
        <w:t>:</w:t>
      </w:r>
      <w:r w:rsidR="003601F8">
        <w:rPr>
          <w:rFonts w:ascii="Calibri" w:eastAsia="Times New Roman" w:hAnsi="Calibri" w:cs="Calibri"/>
          <w:color w:val="000000"/>
          <w:sz w:val="20"/>
          <w:szCs w:val="20"/>
        </w:rPr>
        <w:tab/>
      </w:r>
      <w:r w:rsidRPr="001F0C8A">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ab/>
      </w:r>
      <w:r>
        <w:rPr>
          <w:rFonts w:ascii="Calibri" w:eastAsia="Times New Roman" w:hAnsi="Calibri" w:cs="Calibri"/>
          <w:color w:val="000000"/>
          <w:sz w:val="20"/>
          <w:szCs w:val="20"/>
        </w:rPr>
        <w:tab/>
      </w:r>
      <w:r w:rsidRPr="001F0C8A">
        <w:rPr>
          <w:rFonts w:ascii="Calibri" w:eastAsia="Times New Roman" w:hAnsi="Calibri" w:cs="Calibri"/>
          <w:color w:val="000000"/>
          <w:sz w:val="20"/>
          <w:szCs w:val="20"/>
        </w:rPr>
        <w:t>+353 (0)87 646 2006</w:t>
      </w:r>
    </w:p>
    <w:p w14:paraId="7947A87E" w14:textId="661F185C" w:rsidR="00505177" w:rsidRPr="0032003B" w:rsidRDefault="00505177" w:rsidP="0032003B"/>
    <w:sectPr w:rsidR="00505177" w:rsidRPr="003200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1511" w14:textId="77777777" w:rsidR="00387E05" w:rsidRDefault="00387E05" w:rsidP="00387E05">
      <w:pPr>
        <w:spacing w:after="0" w:line="240" w:lineRule="auto"/>
      </w:pPr>
      <w:r>
        <w:separator/>
      </w:r>
    </w:p>
  </w:endnote>
  <w:endnote w:type="continuationSeparator" w:id="0">
    <w:p w14:paraId="4D228B82" w14:textId="77777777" w:rsidR="00387E05" w:rsidRDefault="00387E05" w:rsidP="0038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D07A" w14:textId="77777777" w:rsidR="00387E05" w:rsidRDefault="00387E05" w:rsidP="00387E05">
      <w:pPr>
        <w:spacing w:after="0" w:line="240" w:lineRule="auto"/>
      </w:pPr>
      <w:r>
        <w:separator/>
      </w:r>
    </w:p>
  </w:footnote>
  <w:footnote w:type="continuationSeparator" w:id="0">
    <w:p w14:paraId="42EFBE54" w14:textId="77777777" w:rsidR="00387E05" w:rsidRDefault="00387E05" w:rsidP="00387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1E65"/>
    <w:multiLevelType w:val="hybridMultilevel"/>
    <w:tmpl w:val="3064BD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D302474"/>
    <w:multiLevelType w:val="hybridMultilevel"/>
    <w:tmpl w:val="7DF822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D3E5B4B"/>
    <w:multiLevelType w:val="hybridMultilevel"/>
    <w:tmpl w:val="083088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15885360">
    <w:abstractNumId w:val="1"/>
  </w:num>
  <w:num w:numId="2" w16cid:durableId="583077833">
    <w:abstractNumId w:val="0"/>
  </w:num>
  <w:num w:numId="3" w16cid:durableId="879324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B0A"/>
    <w:rsid w:val="000148D3"/>
    <w:rsid w:val="000304E4"/>
    <w:rsid w:val="00042920"/>
    <w:rsid w:val="00087D21"/>
    <w:rsid w:val="000B3F7E"/>
    <w:rsid w:val="000B62CA"/>
    <w:rsid w:val="000F49D2"/>
    <w:rsid w:val="0011642F"/>
    <w:rsid w:val="001205FF"/>
    <w:rsid w:val="001450B5"/>
    <w:rsid w:val="001C376B"/>
    <w:rsid w:val="001F0C8A"/>
    <w:rsid w:val="00273CE0"/>
    <w:rsid w:val="003022D8"/>
    <w:rsid w:val="00317DF5"/>
    <w:rsid w:val="0032003B"/>
    <w:rsid w:val="003601F8"/>
    <w:rsid w:val="00387E05"/>
    <w:rsid w:val="00416DA3"/>
    <w:rsid w:val="004377B5"/>
    <w:rsid w:val="004454D7"/>
    <w:rsid w:val="00466588"/>
    <w:rsid w:val="0048035E"/>
    <w:rsid w:val="00482CF7"/>
    <w:rsid w:val="00505177"/>
    <w:rsid w:val="005318EE"/>
    <w:rsid w:val="005C4D85"/>
    <w:rsid w:val="005F3629"/>
    <w:rsid w:val="00601D5C"/>
    <w:rsid w:val="00674B90"/>
    <w:rsid w:val="0069541D"/>
    <w:rsid w:val="007326E4"/>
    <w:rsid w:val="007A32A9"/>
    <w:rsid w:val="007B7C34"/>
    <w:rsid w:val="007D7B16"/>
    <w:rsid w:val="008D5A90"/>
    <w:rsid w:val="009C5CEF"/>
    <w:rsid w:val="009C6B0A"/>
    <w:rsid w:val="00A37080"/>
    <w:rsid w:val="00A63D65"/>
    <w:rsid w:val="00B5223E"/>
    <w:rsid w:val="00BC19C0"/>
    <w:rsid w:val="00BC4F54"/>
    <w:rsid w:val="00C301D3"/>
    <w:rsid w:val="00C600E5"/>
    <w:rsid w:val="00C76A8B"/>
    <w:rsid w:val="00D10D13"/>
    <w:rsid w:val="00D85DE2"/>
    <w:rsid w:val="00DC4786"/>
    <w:rsid w:val="00E30D73"/>
    <w:rsid w:val="00E866EE"/>
    <w:rsid w:val="00E966B3"/>
    <w:rsid w:val="00ED5F9E"/>
    <w:rsid w:val="00F01B49"/>
    <w:rsid w:val="00F01BF4"/>
    <w:rsid w:val="00F6555A"/>
    <w:rsid w:val="00FB50FA"/>
    <w:rsid w:val="00FD427B"/>
    <w:rsid w:val="00FF1B7D"/>
    <w:rsid w:val="00FF59F8"/>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AAB7FCE"/>
  <w15:chartTrackingRefBased/>
  <w15:docId w15:val="{0C977C73-CF0B-494E-B606-C1388CC3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B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
    <w:name w:val="an"/>
    <w:basedOn w:val="Normal"/>
    <w:rsid w:val="009C6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
    <w:name w:val="al"/>
    <w:basedOn w:val="DefaultParagraphFont"/>
    <w:rsid w:val="009C6B0A"/>
  </w:style>
  <w:style w:type="paragraph" w:customStyle="1" w:styleId="a">
    <w:name w:val="a"/>
    <w:basedOn w:val="Normal"/>
    <w:rsid w:val="009C6B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o">
    <w:name w:val="ao"/>
    <w:basedOn w:val="Normal"/>
    <w:rsid w:val="009C6B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q">
    <w:name w:val="aq"/>
    <w:basedOn w:val="Normal"/>
    <w:rsid w:val="009C6B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
    <w:name w:val="ar"/>
    <w:basedOn w:val="Normal"/>
    <w:rsid w:val="009C6B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
    <w:name w:val="at"/>
    <w:basedOn w:val="Normal"/>
    <w:rsid w:val="009C6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
    <w:name w:val="u"/>
    <w:basedOn w:val="DefaultParagraphFont"/>
    <w:rsid w:val="009C6B0A"/>
  </w:style>
  <w:style w:type="paragraph" w:customStyle="1" w:styleId="au">
    <w:name w:val="au"/>
    <w:basedOn w:val="Normal"/>
    <w:rsid w:val="009C6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
    <w:name w:val="s"/>
    <w:basedOn w:val="DefaultParagraphFont"/>
    <w:rsid w:val="009C6B0A"/>
  </w:style>
  <w:style w:type="character" w:customStyle="1" w:styleId="q">
    <w:name w:val="q"/>
    <w:basedOn w:val="DefaultParagraphFont"/>
    <w:rsid w:val="009C6B0A"/>
  </w:style>
  <w:style w:type="character" w:customStyle="1" w:styleId="p">
    <w:name w:val="p"/>
    <w:basedOn w:val="DefaultParagraphFont"/>
    <w:rsid w:val="009C6B0A"/>
  </w:style>
  <w:style w:type="paragraph" w:customStyle="1" w:styleId="av">
    <w:name w:val="av"/>
    <w:basedOn w:val="Normal"/>
    <w:rsid w:val="009C6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
    <w:name w:val="o"/>
    <w:basedOn w:val="DefaultParagraphFont"/>
    <w:rsid w:val="009C6B0A"/>
  </w:style>
  <w:style w:type="paragraph" w:customStyle="1" w:styleId="aw">
    <w:name w:val="aw"/>
    <w:basedOn w:val="Normal"/>
    <w:rsid w:val="009C6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
    <w:name w:val="m"/>
    <w:basedOn w:val="DefaultParagraphFont"/>
    <w:rsid w:val="009C6B0A"/>
  </w:style>
  <w:style w:type="character" w:customStyle="1" w:styleId="k">
    <w:name w:val="k"/>
    <w:basedOn w:val="DefaultParagraphFont"/>
    <w:rsid w:val="009C6B0A"/>
  </w:style>
  <w:style w:type="character" w:styleId="Hyperlink">
    <w:name w:val="Hyperlink"/>
    <w:basedOn w:val="DefaultParagraphFont"/>
    <w:uiPriority w:val="99"/>
    <w:unhideWhenUsed/>
    <w:rsid w:val="009C6B0A"/>
    <w:rPr>
      <w:color w:val="0000FF"/>
      <w:u w:val="single"/>
    </w:rPr>
  </w:style>
  <w:style w:type="paragraph" w:styleId="ListParagraph">
    <w:name w:val="List Paragraph"/>
    <w:basedOn w:val="Normal"/>
    <w:uiPriority w:val="34"/>
    <w:qFormat/>
    <w:rsid w:val="005318EE"/>
    <w:pPr>
      <w:ind w:left="720"/>
      <w:contextualSpacing/>
    </w:pPr>
  </w:style>
  <w:style w:type="paragraph" w:styleId="BalloonText">
    <w:name w:val="Balloon Text"/>
    <w:basedOn w:val="Normal"/>
    <w:link w:val="BalloonTextChar"/>
    <w:uiPriority w:val="99"/>
    <w:semiHidden/>
    <w:unhideWhenUsed/>
    <w:rsid w:val="00695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41D"/>
    <w:rPr>
      <w:rFonts w:ascii="Segoe UI" w:hAnsi="Segoe UI" w:cs="Segoe UI"/>
      <w:sz w:val="18"/>
      <w:szCs w:val="18"/>
    </w:rPr>
  </w:style>
  <w:style w:type="paragraph" w:styleId="Header">
    <w:name w:val="header"/>
    <w:basedOn w:val="Normal"/>
    <w:link w:val="HeaderChar"/>
    <w:uiPriority w:val="99"/>
    <w:unhideWhenUsed/>
    <w:rsid w:val="00C76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A8B"/>
  </w:style>
  <w:style w:type="paragraph" w:styleId="Footer">
    <w:name w:val="footer"/>
    <w:basedOn w:val="Normal"/>
    <w:link w:val="FooterChar"/>
    <w:uiPriority w:val="99"/>
    <w:unhideWhenUsed/>
    <w:rsid w:val="00C76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A8B"/>
  </w:style>
  <w:style w:type="character" w:styleId="UnresolvedMention">
    <w:name w:val="Unresolved Mention"/>
    <w:basedOn w:val="DefaultParagraphFont"/>
    <w:uiPriority w:val="99"/>
    <w:semiHidden/>
    <w:unhideWhenUsed/>
    <w:rsid w:val="001F0C8A"/>
    <w:rPr>
      <w:color w:val="605E5C"/>
      <w:shd w:val="clear" w:color="auto" w:fill="E1DFDD"/>
    </w:rPr>
  </w:style>
  <w:style w:type="paragraph" w:styleId="Revision">
    <w:name w:val="Revision"/>
    <w:hidden/>
    <w:uiPriority w:val="99"/>
    <w:semiHidden/>
    <w:rsid w:val="001450B5"/>
    <w:pPr>
      <w:spacing w:after="0" w:line="240" w:lineRule="auto"/>
    </w:pPr>
  </w:style>
  <w:style w:type="character" w:styleId="FollowedHyperlink">
    <w:name w:val="FollowedHyperlink"/>
    <w:basedOn w:val="DefaultParagraphFont"/>
    <w:uiPriority w:val="99"/>
    <w:semiHidden/>
    <w:unhideWhenUsed/>
    <w:rsid w:val="00145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86574">
      <w:bodyDiv w:val="1"/>
      <w:marLeft w:val="0"/>
      <w:marRight w:val="0"/>
      <w:marTop w:val="0"/>
      <w:marBottom w:val="0"/>
      <w:divBdr>
        <w:top w:val="none" w:sz="0" w:space="0" w:color="auto"/>
        <w:left w:val="none" w:sz="0" w:space="0" w:color="auto"/>
        <w:bottom w:val="none" w:sz="0" w:space="0" w:color="auto"/>
        <w:right w:val="none" w:sz="0" w:space="0" w:color="auto"/>
      </w:divBdr>
    </w:div>
    <w:div w:id="1379547410">
      <w:bodyDiv w:val="1"/>
      <w:marLeft w:val="0"/>
      <w:marRight w:val="0"/>
      <w:marTop w:val="0"/>
      <w:marBottom w:val="0"/>
      <w:divBdr>
        <w:top w:val="none" w:sz="0" w:space="0" w:color="auto"/>
        <w:left w:val="none" w:sz="0" w:space="0" w:color="auto"/>
        <w:bottom w:val="none" w:sz="0" w:space="0" w:color="auto"/>
        <w:right w:val="none" w:sz="0" w:space="0" w:color="auto"/>
      </w:divBdr>
      <w:divsChild>
        <w:div w:id="992834193">
          <w:marLeft w:val="0"/>
          <w:marRight w:val="0"/>
          <w:marTop w:val="0"/>
          <w:marBottom w:val="0"/>
          <w:divBdr>
            <w:top w:val="none" w:sz="0" w:space="0" w:color="auto"/>
            <w:left w:val="none" w:sz="0" w:space="0" w:color="auto"/>
            <w:bottom w:val="none" w:sz="0" w:space="0" w:color="auto"/>
            <w:right w:val="none" w:sz="0" w:space="0" w:color="auto"/>
          </w:divBdr>
          <w:divsChild>
            <w:div w:id="1788766929">
              <w:marLeft w:val="0"/>
              <w:marRight w:val="0"/>
              <w:marTop w:val="0"/>
              <w:marBottom w:val="0"/>
              <w:divBdr>
                <w:top w:val="none" w:sz="0" w:space="0" w:color="auto"/>
                <w:left w:val="none" w:sz="0" w:space="0" w:color="auto"/>
                <w:bottom w:val="none" w:sz="0" w:space="0" w:color="auto"/>
                <w:right w:val="none" w:sz="0" w:space="0" w:color="auto"/>
              </w:divBdr>
            </w:div>
            <w:div w:id="2052875918">
              <w:marLeft w:val="0"/>
              <w:marRight w:val="0"/>
              <w:marTop w:val="0"/>
              <w:marBottom w:val="0"/>
              <w:divBdr>
                <w:top w:val="none" w:sz="0" w:space="0" w:color="auto"/>
                <w:left w:val="none" w:sz="0" w:space="0" w:color="auto"/>
                <w:bottom w:val="none" w:sz="0" w:space="0" w:color="auto"/>
                <w:right w:val="none" w:sz="0" w:space="0" w:color="auto"/>
              </w:divBdr>
            </w:div>
            <w:div w:id="2066175623">
              <w:marLeft w:val="0"/>
              <w:marRight w:val="0"/>
              <w:marTop w:val="0"/>
              <w:marBottom w:val="0"/>
              <w:divBdr>
                <w:top w:val="none" w:sz="0" w:space="0" w:color="auto"/>
                <w:left w:val="none" w:sz="0" w:space="0" w:color="auto"/>
                <w:bottom w:val="none" w:sz="0" w:space="0" w:color="auto"/>
                <w:right w:val="none" w:sz="0" w:space="0" w:color="auto"/>
              </w:divBdr>
            </w:div>
            <w:div w:id="259917942">
              <w:marLeft w:val="0"/>
              <w:marRight w:val="0"/>
              <w:marTop w:val="0"/>
              <w:marBottom w:val="0"/>
              <w:divBdr>
                <w:top w:val="none" w:sz="0" w:space="0" w:color="auto"/>
                <w:left w:val="none" w:sz="0" w:space="0" w:color="auto"/>
                <w:bottom w:val="none" w:sz="0" w:space="0" w:color="auto"/>
                <w:right w:val="none" w:sz="0" w:space="0" w:color="auto"/>
              </w:divBdr>
            </w:div>
            <w:div w:id="456874649">
              <w:marLeft w:val="1440"/>
              <w:marRight w:val="1440"/>
              <w:marTop w:val="1440"/>
              <w:marBottom w:val="1440"/>
              <w:divBdr>
                <w:top w:val="none" w:sz="0" w:space="0" w:color="auto"/>
                <w:left w:val="none" w:sz="0" w:space="0" w:color="auto"/>
                <w:bottom w:val="none" w:sz="0" w:space="0" w:color="auto"/>
                <w:right w:val="none" w:sz="0" w:space="0" w:color="auto"/>
              </w:divBdr>
            </w:div>
            <w:div w:id="1435589686">
              <w:marLeft w:val="0"/>
              <w:marRight w:val="0"/>
              <w:marTop w:val="0"/>
              <w:marBottom w:val="0"/>
              <w:divBdr>
                <w:top w:val="none" w:sz="0" w:space="0" w:color="auto"/>
                <w:left w:val="none" w:sz="0" w:space="0" w:color="auto"/>
                <w:bottom w:val="none" w:sz="0" w:space="0" w:color="auto"/>
                <w:right w:val="none" w:sz="0" w:space="0" w:color="auto"/>
              </w:divBdr>
            </w:div>
            <w:div w:id="3945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lanbia.com" TargetMode="External"/><Relationship Id="rId5" Type="http://schemas.openxmlformats.org/officeDocument/2006/relationships/styles" Target="styles.xml"/><Relationship Id="rId10" Type="http://schemas.openxmlformats.org/officeDocument/2006/relationships/hyperlink" Target="https://edge.media-server.com/mmc/p/imc9dzg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2025-11-18T20:30:42+00:00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6CC80-D612-445F-ADEF-F598397097DC}">
  <ds:schemaRefs>
    <ds:schemaRef ds:uri="http://schemas.openxmlformats.org/package/2006/metadata/core-properties"/>
    <ds:schemaRef ds:uri="http://schemas.microsoft.com/office/2006/documentManagement/types"/>
    <ds:schemaRef ds:uri="60db372e-b693-48bb-945c-96a611be7f87"/>
    <ds:schemaRef ds:uri="baba18b0-2ecc-49f2-b72d-2f164d341762"/>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6D43F5C-C0D7-4089-A102-A45B65348D52}">
  <ds:schemaRefs>
    <ds:schemaRef ds:uri="http://schemas.microsoft.com/sharepoint/v3/contenttype/forms"/>
  </ds:schemaRefs>
</ds:datastoreItem>
</file>

<file path=customXml/itemProps3.xml><?xml version="1.0" encoding="utf-8"?>
<ds:datastoreItem xmlns:ds="http://schemas.openxmlformats.org/officeDocument/2006/customXml" ds:itemID="{430D7948-9F75-4D08-AB6C-22DA8D1120F0}"/>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O'Keeffe, Donal</dc:creator>
  <cp:keywords/>
  <dc:description/>
  <cp:lastModifiedBy>Hennigan, Liam</cp:lastModifiedBy>
  <cp:revision>10</cp:revision>
  <dcterms:created xsi:type="dcterms:W3CDTF">2025-11-18T13:21:00Z</dcterms:created>
  <dcterms:modified xsi:type="dcterms:W3CDTF">2025-11-18T20:06:00Z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SIP_Label_0f66cdb1-1e3f-4bcc-ade7-f28493286b94_Enabled">
    <vt:lpwstr>true</vt:lpwstr>
  </property>
  <property fmtid="{D5CDD505-2E9C-101B-9397-08002B2CF9AE}" pid="4" name="MSIP_Label_0f66cdb1-1e3f-4bcc-ade7-f28493286b94_SetDate">
    <vt:lpwstr>2022-11-07T15:02:29Z</vt:lpwstr>
  </property>
  <property fmtid="{D5CDD505-2E9C-101B-9397-08002B2CF9AE}" pid="5" name="MSIP_Label_0f66cdb1-1e3f-4bcc-ade7-f28493286b94_Method">
    <vt:lpwstr>Standard</vt:lpwstr>
  </property>
  <property fmtid="{D5CDD505-2E9C-101B-9397-08002B2CF9AE}" pid="6" name="MSIP_Label_0f66cdb1-1e3f-4bcc-ade7-f28493286b94_Name">
    <vt:lpwstr>Confidential (IBD-GCM)</vt:lpwstr>
  </property>
  <property fmtid="{D5CDD505-2E9C-101B-9397-08002B2CF9AE}" pid="7" name="MSIP_Label_0f66cdb1-1e3f-4bcc-ade7-f28493286b94_SiteId">
    <vt:lpwstr>e29b8111-49f8-418d-ac2a-935335a52614</vt:lpwstr>
  </property>
  <property fmtid="{D5CDD505-2E9C-101B-9397-08002B2CF9AE}" pid="8" name="MSIP_Label_0f66cdb1-1e3f-4bcc-ade7-f28493286b94_ActionId">
    <vt:lpwstr>607cc107-005e-45a3-bf28-db9326037b66</vt:lpwstr>
  </property>
  <property fmtid="{D5CDD505-2E9C-101B-9397-08002B2CF9AE}" pid="9" name="MSIP_Label_0f66cdb1-1e3f-4bcc-ade7-f28493286b94_ContentBits">
    <vt:lpwstr>0</vt:lpwstr>
  </property>
  <property fmtid="{D5CDD505-2E9C-101B-9397-08002B2CF9AE}" pid="10" name="MediaServiceImageTags">
    <vt:lpwstr/>
  </property>
</Properties>
</file>