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892C2A6" w14:textId="77777777" w:rsidR="001F7A99" w:rsidRPr="00374154" w:rsidRDefault="001F7A99" w:rsidP="001F7A99">
      <w:pPr>
        <w:pStyle w:val="NoSpacing"/>
        <w:jc w:val="center"/>
        <w:rPr>
          <w:color w:val="FC6317" w:themeColor="accent1"/>
          <w:sz w:val="24"/>
          <w:szCs w:val="24"/>
        </w:rPr>
      </w:pPr>
      <w:r w:rsidRPr="00374154">
        <w:rPr>
          <w:color w:val="FC6317" w:themeColor="accent1"/>
          <w:sz w:val="24"/>
          <w:szCs w:val="24"/>
        </w:rPr>
        <w:t>DATALEX PLC</w:t>
      </w:r>
    </w:p>
    <w:p w14:paraId="01420AF0" w14:textId="27CC95EE" w:rsidR="001F7A99" w:rsidRPr="00374154" w:rsidRDefault="00D70EBF" w:rsidP="001F7A99">
      <w:pPr>
        <w:pStyle w:val="NoSpacing"/>
        <w:jc w:val="center"/>
        <w:rPr>
          <w:rFonts w:eastAsia="Times New Roman"/>
          <w:color w:val="FC6317" w:themeColor="accent1"/>
          <w:sz w:val="24"/>
          <w:szCs w:val="24"/>
        </w:rPr>
      </w:pPr>
      <w:r w:rsidRPr="00374154">
        <w:rPr>
          <w:rFonts w:eastAsia="Times New Roman"/>
          <w:color w:val="FC6317" w:themeColor="accent1"/>
          <w:sz w:val="24"/>
          <w:szCs w:val="24"/>
        </w:rPr>
        <w:t>Total Voting Rights</w:t>
      </w:r>
    </w:p>
    <w:p w14:paraId="6831BCC8" w14:textId="6D2F0CBC" w:rsidR="00374154" w:rsidRPr="00A47880" w:rsidRDefault="001F7A99" w:rsidP="00A47880">
      <w:pPr>
        <w:rPr>
          <w:b/>
          <w:sz w:val="24"/>
          <w:szCs w:val="24"/>
        </w:rPr>
      </w:pPr>
      <w:r w:rsidRPr="00374154">
        <w:rPr>
          <w:sz w:val="24"/>
          <w:szCs w:val="24"/>
        </w:rPr>
        <w:br/>
      </w:r>
      <w:r w:rsidRPr="00374154">
        <w:rPr>
          <w:b/>
          <w:sz w:val="24"/>
          <w:szCs w:val="24"/>
        </w:rPr>
        <w:t xml:space="preserve">Dublin, Ireland – </w:t>
      </w:r>
      <w:r w:rsidR="00457EEC">
        <w:rPr>
          <w:b/>
          <w:sz w:val="24"/>
          <w:szCs w:val="24"/>
        </w:rPr>
        <w:t>31</w:t>
      </w:r>
      <w:r w:rsidR="00C21EA4" w:rsidRPr="00374154">
        <w:rPr>
          <w:b/>
          <w:sz w:val="24"/>
          <w:szCs w:val="24"/>
        </w:rPr>
        <w:t xml:space="preserve"> </w:t>
      </w:r>
      <w:r w:rsidR="00AF41FD" w:rsidRPr="00374154">
        <w:rPr>
          <w:b/>
          <w:sz w:val="24"/>
          <w:szCs w:val="24"/>
        </w:rPr>
        <w:t>July</w:t>
      </w:r>
      <w:r w:rsidRPr="00374154">
        <w:rPr>
          <w:b/>
          <w:sz w:val="24"/>
          <w:szCs w:val="24"/>
        </w:rPr>
        <w:t xml:space="preserve"> 2020</w:t>
      </w:r>
      <w:r w:rsidR="00D54B8A">
        <w:rPr>
          <w:b/>
          <w:sz w:val="24"/>
          <w:szCs w:val="24"/>
        </w:rPr>
        <w:t>:</w:t>
      </w:r>
      <w:r w:rsidR="00A47880">
        <w:rPr>
          <w:b/>
          <w:sz w:val="24"/>
          <w:szCs w:val="24"/>
        </w:rPr>
        <w:t xml:space="preserve"> </w:t>
      </w:r>
      <w:r w:rsidR="00374154" w:rsidRPr="00374154">
        <w:rPr>
          <w:sz w:val="24"/>
          <w:szCs w:val="24"/>
        </w:rPr>
        <w:t>In conformity with Regulation 20</w:t>
      </w:r>
      <w:r w:rsidR="006A0D96">
        <w:rPr>
          <w:sz w:val="24"/>
          <w:szCs w:val="24"/>
        </w:rPr>
        <w:t xml:space="preserve"> </w:t>
      </w:r>
      <w:r w:rsidR="00374154" w:rsidRPr="00374154">
        <w:rPr>
          <w:sz w:val="24"/>
          <w:szCs w:val="24"/>
        </w:rPr>
        <w:t>of the Transparency Directive (2004/109/EC) Regulations 2007</w:t>
      </w:r>
      <w:r w:rsidR="006A0D96">
        <w:rPr>
          <w:sz w:val="24"/>
          <w:szCs w:val="24"/>
        </w:rPr>
        <w:t xml:space="preserve"> </w:t>
      </w:r>
      <w:r w:rsidR="00374154" w:rsidRPr="00374154">
        <w:rPr>
          <w:sz w:val="24"/>
          <w:szCs w:val="24"/>
        </w:rPr>
        <w:t>(as amended), Datalex plc</w:t>
      </w:r>
      <w:r w:rsidR="006A0D96">
        <w:rPr>
          <w:sz w:val="24"/>
          <w:szCs w:val="24"/>
        </w:rPr>
        <w:t xml:space="preserve"> </w:t>
      </w:r>
      <w:r w:rsidR="00D54B8A" w:rsidRPr="00D54B8A">
        <w:rPr>
          <w:sz w:val="24"/>
          <w:szCs w:val="24"/>
        </w:rPr>
        <w:t>(the “Company”) (Euronext Dublin: DLE)</w:t>
      </w:r>
      <w:r w:rsidR="00A47880">
        <w:rPr>
          <w:sz w:val="24"/>
          <w:szCs w:val="24"/>
        </w:rPr>
        <w:t xml:space="preserve"> </w:t>
      </w:r>
      <w:r w:rsidR="00374154" w:rsidRPr="00374154">
        <w:rPr>
          <w:sz w:val="24"/>
          <w:szCs w:val="24"/>
        </w:rPr>
        <w:t>announces that:</w:t>
      </w:r>
    </w:p>
    <w:p w14:paraId="394CF8A4" w14:textId="42C9FAEE" w:rsidR="002658C2" w:rsidRDefault="00374154" w:rsidP="00C95D02">
      <w:pPr>
        <w:spacing w:after="0" w:line="276" w:lineRule="auto"/>
        <w:rPr>
          <w:sz w:val="24"/>
          <w:szCs w:val="24"/>
        </w:rPr>
      </w:pPr>
      <w:r w:rsidRPr="00374154">
        <w:rPr>
          <w:sz w:val="24"/>
          <w:szCs w:val="24"/>
        </w:rPr>
        <w:t>The</w:t>
      </w:r>
      <w:r w:rsidR="00177EAE">
        <w:rPr>
          <w:sz w:val="24"/>
          <w:szCs w:val="24"/>
        </w:rPr>
        <w:t xml:space="preserve"> </w:t>
      </w:r>
      <w:r w:rsidRPr="00374154">
        <w:rPr>
          <w:sz w:val="24"/>
          <w:szCs w:val="24"/>
        </w:rPr>
        <w:t>total</w:t>
      </w:r>
      <w:r w:rsidR="00177EAE">
        <w:rPr>
          <w:sz w:val="24"/>
          <w:szCs w:val="24"/>
        </w:rPr>
        <w:t xml:space="preserve"> </w:t>
      </w:r>
      <w:r w:rsidRPr="00374154">
        <w:rPr>
          <w:sz w:val="24"/>
          <w:szCs w:val="24"/>
        </w:rPr>
        <w:t>number</w:t>
      </w:r>
      <w:r w:rsidR="00177EAE">
        <w:rPr>
          <w:sz w:val="24"/>
          <w:szCs w:val="24"/>
        </w:rPr>
        <w:t xml:space="preserve"> </w:t>
      </w:r>
      <w:r w:rsidRPr="00374154">
        <w:rPr>
          <w:sz w:val="24"/>
          <w:szCs w:val="24"/>
        </w:rPr>
        <w:t>of</w:t>
      </w:r>
      <w:r w:rsidR="00177EAE">
        <w:rPr>
          <w:sz w:val="24"/>
          <w:szCs w:val="24"/>
        </w:rPr>
        <w:t xml:space="preserve"> </w:t>
      </w:r>
      <w:r w:rsidRPr="00374154">
        <w:rPr>
          <w:sz w:val="24"/>
          <w:szCs w:val="24"/>
        </w:rPr>
        <w:t>Ordinary Shares</w:t>
      </w:r>
      <w:r w:rsidR="00177EAE">
        <w:rPr>
          <w:sz w:val="24"/>
          <w:szCs w:val="24"/>
        </w:rPr>
        <w:t xml:space="preserve"> </w:t>
      </w:r>
      <w:r w:rsidRPr="00374154">
        <w:rPr>
          <w:sz w:val="24"/>
          <w:szCs w:val="24"/>
        </w:rPr>
        <w:t>of</w:t>
      </w:r>
      <w:r w:rsidR="00177EAE">
        <w:rPr>
          <w:sz w:val="24"/>
          <w:szCs w:val="24"/>
        </w:rPr>
        <w:t xml:space="preserve"> </w:t>
      </w:r>
      <w:r w:rsidRPr="00374154">
        <w:rPr>
          <w:sz w:val="24"/>
          <w:szCs w:val="24"/>
        </w:rPr>
        <w:t>US$0.10</w:t>
      </w:r>
      <w:r w:rsidR="00177EAE">
        <w:rPr>
          <w:sz w:val="24"/>
          <w:szCs w:val="24"/>
        </w:rPr>
        <w:t xml:space="preserve"> </w:t>
      </w:r>
      <w:r w:rsidRPr="00374154">
        <w:rPr>
          <w:sz w:val="24"/>
          <w:szCs w:val="24"/>
        </w:rPr>
        <w:t>each</w:t>
      </w:r>
      <w:r w:rsidR="00177EAE">
        <w:rPr>
          <w:sz w:val="24"/>
          <w:szCs w:val="24"/>
        </w:rPr>
        <w:t xml:space="preserve"> </w:t>
      </w:r>
      <w:r w:rsidRPr="00374154">
        <w:rPr>
          <w:sz w:val="24"/>
          <w:szCs w:val="24"/>
        </w:rPr>
        <w:t>in</w:t>
      </w:r>
      <w:r w:rsidR="00177EAE">
        <w:rPr>
          <w:sz w:val="24"/>
          <w:szCs w:val="24"/>
        </w:rPr>
        <w:t xml:space="preserve"> </w:t>
      </w:r>
      <w:r w:rsidRPr="00374154">
        <w:rPr>
          <w:sz w:val="24"/>
          <w:szCs w:val="24"/>
        </w:rPr>
        <w:t>issue</w:t>
      </w:r>
      <w:r w:rsidR="00177EAE">
        <w:rPr>
          <w:sz w:val="24"/>
          <w:szCs w:val="24"/>
        </w:rPr>
        <w:t xml:space="preserve"> </w:t>
      </w:r>
      <w:r w:rsidRPr="00374154">
        <w:rPr>
          <w:sz w:val="24"/>
          <w:szCs w:val="24"/>
        </w:rPr>
        <w:t>as</w:t>
      </w:r>
      <w:r w:rsidR="00177EAE">
        <w:rPr>
          <w:sz w:val="24"/>
          <w:szCs w:val="24"/>
        </w:rPr>
        <w:t xml:space="preserve"> </w:t>
      </w:r>
      <w:r w:rsidR="00FD7B60">
        <w:rPr>
          <w:sz w:val="24"/>
          <w:szCs w:val="24"/>
        </w:rPr>
        <w:t>at the date of this notice</w:t>
      </w:r>
      <w:r w:rsidR="002658C2">
        <w:rPr>
          <w:sz w:val="24"/>
          <w:szCs w:val="24"/>
        </w:rPr>
        <w:t xml:space="preserve"> </w:t>
      </w:r>
      <w:r w:rsidR="001F7DDA">
        <w:rPr>
          <w:sz w:val="24"/>
          <w:szCs w:val="24"/>
        </w:rPr>
        <w:t>is</w:t>
      </w:r>
      <w:r w:rsidR="002658C2">
        <w:rPr>
          <w:sz w:val="24"/>
          <w:szCs w:val="24"/>
        </w:rPr>
        <w:t xml:space="preserve"> </w:t>
      </w:r>
      <w:r w:rsidR="00996EB2" w:rsidRPr="00996EB2">
        <w:rPr>
          <w:sz w:val="24"/>
          <w:szCs w:val="24"/>
        </w:rPr>
        <w:t>82,133,842</w:t>
      </w:r>
      <w:r w:rsidRPr="00374154">
        <w:rPr>
          <w:sz w:val="24"/>
          <w:szCs w:val="24"/>
        </w:rPr>
        <w:t>.</w:t>
      </w:r>
      <w:r w:rsidR="002658C2">
        <w:rPr>
          <w:sz w:val="24"/>
          <w:szCs w:val="24"/>
        </w:rPr>
        <w:t xml:space="preserve"> </w:t>
      </w:r>
      <w:r w:rsidRPr="00374154">
        <w:rPr>
          <w:sz w:val="24"/>
          <w:szCs w:val="24"/>
        </w:rPr>
        <w:t>Each Ordinary Share carries one vote. The Company does not hold any Ordinary Shares in treasury. Therefore, the total number of voting rights is</w:t>
      </w:r>
      <w:r w:rsidR="002658C2">
        <w:rPr>
          <w:sz w:val="24"/>
          <w:szCs w:val="24"/>
        </w:rPr>
        <w:t xml:space="preserve"> </w:t>
      </w:r>
      <w:r w:rsidR="00996EB2" w:rsidRPr="00996EB2">
        <w:rPr>
          <w:sz w:val="24"/>
          <w:szCs w:val="24"/>
        </w:rPr>
        <w:t>82,133,842</w:t>
      </w:r>
      <w:r w:rsidRPr="00374154">
        <w:rPr>
          <w:sz w:val="24"/>
          <w:szCs w:val="24"/>
        </w:rPr>
        <w:t>.</w:t>
      </w:r>
    </w:p>
    <w:p w14:paraId="7FE3F3BB" w14:textId="77777777" w:rsidR="00985F10" w:rsidRDefault="00985F10" w:rsidP="00C95D02">
      <w:pPr>
        <w:spacing w:after="0" w:line="276" w:lineRule="auto"/>
        <w:rPr>
          <w:sz w:val="24"/>
          <w:szCs w:val="24"/>
        </w:rPr>
      </w:pPr>
    </w:p>
    <w:p w14:paraId="2549A01C" w14:textId="77946E20" w:rsidR="002658C2" w:rsidRDefault="00374154" w:rsidP="00C95D02">
      <w:pPr>
        <w:spacing w:after="0" w:line="276" w:lineRule="auto"/>
        <w:rPr>
          <w:sz w:val="24"/>
          <w:szCs w:val="24"/>
        </w:rPr>
      </w:pPr>
      <w:r w:rsidRPr="00374154">
        <w:rPr>
          <w:sz w:val="24"/>
          <w:szCs w:val="24"/>
        </w:rPr>
        <w:t>The above figure may be used by shareholders as the denominator for the calculations by which they will determine if they are required to notify their interest in, or a change to their interest in the Company under the Transparency (Directive 2004/109/EC) Regulations 2007</w:t>
      </w:r>
      <w:r w:rsidR="005F43AC">
        <w:rPr>
          <w:sz w:val="24"/>
          <w:szCs w:val="24"/>
        </w:rPr>
        <w:t xml:space="preserve"> </w:t>
      </w:r>
      <w:r w:rsidRPr="00374154">
        <w:rPr>
          <w:sz w:val="24"/>
          <w:szCs w:val="24"/>
        </w:rPr>
        <w:t>(as amended)</w:t>
      </w:r>
      <w:r w:rsidR="005F43AC">
        <w:rPr>
          <w:sz w:val="24"/>
          <w:szCs w:val="24"/>
        </w:rPr>
        <w:t xml:space="preserve"> </w:t>
      </w:r>
      <w:r w:rsidRPr="00374154">
        <w:rPr>
          <w:sz w:val="24"/>
          <w:szCs w:val="24"/>
        </w:rPr>
        <w:t>and</w:t>
      </w:r>
      <w:r w:rsidR="002658C2">
        <w:rPr>
          <w:sz w:val="24"/>
          <w:szCs w:val="24"/>
        </w:rPr>
        <w:t xml:space="preserve"> </w:t>
      </w:r>
      <w:r w:rsidRPr="00374154">
        <w:rPr>
          <w:sz w:val="24"/>
          <w:szCs w:val="24"/>
        </w:rPr>
        <w:t>the Transparency Rules.</w:t>
      </w:r>
    </w:p>
    <w:p w14:paraId="43DCB7D5" w14:textId="77777777" w:rsidR="00985F10" w:rsidRDefault="00985F10" w:rsidP="00C95D02">
      <w:pPr>
        <w:spacing w:after="0" w:line="276" w:lineRule="auto"/>
        <w:rPr>
          <w:sz w:val="24"/>
          <w:szCs w:val="24"/>
        </w:rPr>
      </w:pPr>
    </w:p>
    <w:p w14:paraId="79E6E168" w14:textId="7A8470B3" w:rsidR="002658C2" w:rsidRDefault="00561A70" w:rsidP="00C95D02">
      <w:pPr>
        <w:spacing w:after="0" w:line="276" w:lineRule="auto"/>
        <w:rPr>
          <w:sz w:val="24"/>
          <w:szCs w:val="24"/>
        </w:rPr>
      </w:pPr>
      <w:r w:rsidRPr="00561A70">
        <w:rPr>
          <w:sz w:val="24"/>
          <w:szCs w:val="24"/>
        </w:rPr>
        <w:t>Neil McLoughlin</w:t>
      </w:r>
    </w:p>
    <w:p w14:paraId="45E485ED" w14:textId="08B4EA75" w:rsidR="00561A70" w:rsidRDefault="00561A70" w:rsidP="00C95D02">
      <w:pPr>
        <w:spacing w:after="0" w:line="276" w:lineRule="auto"/>
        <w:rPr>
          <w:sz w:val="24"/>
          <w:szCs w:val="24"/>
        </w:rPr>
      </w:pPr>
      <w:r>
        <w:rPr>
          <w:sz w:val="24"/>
          <w:szCs w:val="24"/>
        </w:rPr>
        <w:t>General Counsel &amp; Company Secretary</w:t>
      </w:r>
    </w:p>
    <w:p w14:paraId="1F934793" w14:textId="3A31E47D" w:rsidR="00561A70" w:rsidRDefault="00561A70" w:rsidP="00C95D02">
      <w:pPr>
        <w:spacing w:after="0"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+353 (1) </w:t>
      </w:r>
      <w:r w:rsidR="00C95D02">
        <w:rPr>
          <w:sz w:val="24"/>
          <w:szCs w:val="24"/>
        </w:rPr>
        <w:t>806 3500</w:t>
      </w:r>
    </w:p>
    <w:sectPr w:rsidR="00561A70" w:rsidSect="001F7A99">
      <w:headerReference w:type="default" r:id="rId11"/>
      <w:footerReference w:type="default" r:id="rId12"/>
      <w:type w:val="continuous"/>
      <w:pgSz w:w="11906" w:h="16838"/>
      <w:pgMar w:top="1871" w:right="737" w:bottom="1134" w:left="737" w:header="680" w:footer="454" w:gutter="0"/>
      <w:cols w:space="34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E32B9D4" w14:textId="77777777" w:rsidR="005750FB" w:rsidRDefault="005750FB" w:rsidP="004D7CAB">
      <w:pPr>
        <w:spacing w:after="0" w:line="240" w:lineRule="auto"/>
      </w:pPr>
      <w:r>
        <w:separator/>
      </w:r>
    </w:p>
  </w:endnote>
  <w:endnote w:type="continuationSeparator" w:id="0">
    <w:p w14:paraId="4309B1BF" w14:textId="77777777" w:rsidR="005750FB" w:rsidRDefault="005750FB" w:rsidP="004D7C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50CC570C-05B6-481F-9733-2BB173DABAB7}"/>
  </w:font>
  <w:font w:name="Cabin">
    <w:altName w:val="Century Gothic"/>
    <w:charset w:val="00"/>
    <w:family w:val="auto"/>
    <w:pitch w:val="variable"/>
    <w:sig w:usb0="20000007" w:usb1="00000001" w:usb2="00000000" w:usb3="00000000" w:csb0="00000193" w:csb1="00000000"/>
    <w:embedRegular r:id="rId2" w:fontKey="{9EE8B598-5317-4D9C-B760-B2F0372101FF}"/>
    <w:embedBold r:id="rId3" w:fontKey="{8A015176-48FE-4E00-83DF-926793B50B3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B2486AD5-91B3-4F22-9B96-EA073CF069CF}"/>
    <w:embedBold r:id="rId5" w:fontKey="{96AD5CE3-B93D-482F-9499-17F6F32C54B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F6C16CDB-52BE-4967-AD6E-DB4DF426AD00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7" w:fontKey="{29A3CA7E-FB97-46A9-8E7A-5EFD75FDDFAE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B419FD2A-1266-4223-8415-F2376FA22DB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E40BC6E3-E36D-4616-8972-3468F560B13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0" w:fontKey="{1805F91B-E018-4276-B4E8-9F02BCABAE7A}"/>
    <w:embedBold r:id="rId11" w:fontKey="{6979E3E2-B3E5-4F59-B7CA-42B3325E619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F5CDD7" w14:textId="77777777" w:rsidR="00787A86" w:rsidRPr="00E929CB" w:rsidRDefault="00787A86" w:rsidP="00E929CB">
    <w:pPr>
      <w:pStyle w:val="Footer"/>
    </w:pPr>
    <w:r w:rsidRPr="00E929CB">
      <w:t>© Datalex</w:t>
    </w:r>
    <w:r w:rsidR="00B4163E">
      <w:t xml:space="preserve"> PLC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1208FF5" w14:textId="77777777" w:rsidR="005750FB" w:rsidRDefault="005750FB" w:rsidP="004D7CAB">
      <w:pPr>
        <w:spacing w:after="0" w:line="240" w:lineRule="auto"/>
      </w:pPr>
      <w:r>
        <w:separator/>
      </w:r>
    </w:p>
  </w:footnote>
  <w:footnote w:type="continuationSeparator" w:id="0">
    <w:p w14:paraId="57F64181" w14:textId="77777777" w:rsidR="005750FB" w:rsidRDefault="005750FB" w:rsidP="004D7C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3F90E8" w14:textId="77777777" w:rsidR="00787A86" w:rsidRDefault="00787A86">
    <w:pPr>
      <w:pStyle w:val="Header"/>
    </w:pPr>
    <w:r>
      <w:rPr>
        <w:noProof/>
        <w:lang w:eastAsia="en-IE"/>
      </w:rPr>
      <w:drawing>
        <wp:anchor distT="0" distB="0" distL="114300" distR="114300" simplePos="0" relativeHeight="251659776" behindDoc="0" locked="1" layoutInCell="1" allowOverlap="1" wp14:anchorId="6092DEFF" wp14:editId="7D81C5AF">
          <wp:simplePos x="0" y="0"/>
          <wp:positionH relativeFrom="margin">
            <wp:align>left</wp:align>
          </wp:positionH>
          <wp:positionV relativeFrom="page">
            <wp:posOffset>430530</wp:posOffset>
          </wp:positionV>
          <wp:extent cx="1318895" cy="417830"/>
          <wp:effectExtent l="0" t="0" r="0" b="127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9740" cy="4248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 w:rsidR="00BE759E">
      <w:rPr>
        <w:noProof/>
      </w:rPr>
      <w:t>1</w:t>
    </w:r>
    <w:r>
      <w:rPr>
        <w:noProof/>
      </w:rPr>
      <w:fldChar w:fldCharType="end"/>
    </w:r>
    <w:r>
      <w:rPr>
        <w:noProof/>
      </w:rPr>
      <w:t xml:space="preserve"> of 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 w:rsidR="00BE759E">
      <w:rPr>
        <w:noProof/>
      </w:rPr>
      <w:t>4</w:t>
    </w:r>
    <w:r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013B10"/>
    <w:multiLevelType w:val="hybridMultilevel"/>
    <w:tmpl w:val="F752B358"/>
    <w:lvl w:ilvl="0" w:tplc="5DD64426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7D74F2"/>
    <w:multiLevelType w:val="multilevel"/>
    <w:tmpl w:val="3C003D54"/>
    <w:numStyleLink w:val="DLXList1"/>
  </w:abstractNum>
  <w:abstractNum w:abstractNumId="2" w15:restartNumberingAfterBreak="0">
    <w:nsid w:val="29D45E60"/>
    <w:multiLevelType w:val="multilevel"/>
    <w:tmpl w:val="3C003D54"/>
    <w:styleLink w:val="DLXList1"/>
    <w:lvl w:ilvl="0">
      <w:numFmt w:val="bullet"/>
      <w:lvlText w:val="&gt;"/>
      <w:lvlJc w:val="left"/>
      <w:pPr>
        <w:ind w:left="142" w:hanging="142"/>
      </w:pPr>
      <w:rPr>
        <w:rFonts w:ascii="Cabin" w:hAnsi="Cabin" w:hint="default"/>
      </w:rPr>
    </w:lvl>
    <w:lvl w:ilvl="1">
      <w:start w:val="1"/>
      <w:numFmt w:val="bullet"/>
      <w:lvlText w:val=""/>
      <w:lvlJc w:val="left"/>
      <w:pPr>
        <w:ind w:left="794" w:hanging="227"/>
      </w:pPr>
      <w:rPr>
        <w:rFonts w:ascii="Symbol" w:hAnsi="Symbol" w:hint="default"/>
        <w:color w:val="17333B" w:themeColor="text2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EC4BEF"/>
    <w:multiLevelType w:val="hybridMultilevel"/>
    <w:tmpl w:val="921EEDFC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306012"/>
    <w:multiLevelType w:val="multilevel"/>
    <w:tmpl w:val="3C003D54"/>
    <w:numStyleLink w:val="DLXList1"/>
  </w:abstractNum>
  <w:abstractNum w:abstractNumId="5" w15:restartNumberingAfterBreak="0">
    <w:nsid w:val="56DA22A8"/>
    <w:multiLevelType w:val="multilevel"/>
    <w:tmpl w:val="6320358C"/>
    <w:lvl w:ilvl="0">
      <w:start w:val="1"/>
      <w:numFmt w:val="decimal"/>
      <w:lvlText w:val="(%1)"/>
      <w:lvlJc w:val="left"/>
      <w:pPr>
        <w:ind w:left="330" w:hanging="330"/>
      </w:pPr>
      <w:rPr>
        <w:rFonts w:ascii="Calibri" w:eastAsia="Calibri" w:hAnsi="Calibri" w:cs="Calibri"/>
        <w:b w:val="0"/>
        <w:i w:val="0"/>
        <w:strike w:val="0"/>
        <w:color w:val="000000"/>
        <w:sz w:val="16"/>
        <w:szCs w:val="16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164" w:hanging="1164"/>
      </w:pPr>
      <w:rPr>
        <w:rFonts w:ascii="Calibri" w:eastAsia="Calibri" w:hAnsi="Calibri" w:cs="Calibri"/>
        <w:b w:val="0"/>
        <w:i w:val="0"/>
        <w:strike w:val="0"/>
        <w:color w:val="000000"/>
        <w:sz w:val="16"/>
        <w:szCs w:val="16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84" w:hanging="1884"/>
      </w:pPr>
      <w:rPr>
        <w:rFonts w:ascii="Calibri" w:eastAsia="Calibri" w:hAnsi="Calibri" w:cs="Calibri"/>
        <w:b w:val="0"/>
        <w:i w:val="0"/>
        <w:strike w:val="0"/>
        <w:color w:val="000000"/>
        <w:sz w:val="16"/>
        <w:szCs w:val="16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604" w:hanging="2604"/>
      </w:pPr>
      <w:rPr>
        <w:rFonts w:ascii="Calibri" w:eastAsia="Calibri" w:hAnsi="Calibri" w:cs="Calibri"/>
        <w:b w:val="0"/>
        <w:i w:val="0"/>
        <w:strike w:val="0"/>
        <w:color w:val="000000"/>
        <w:sz w:val="16"/>
        <w:szCs w:val="16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324" w:hanging="3324"/>
      </w:pPr>
      <w:rPr>
        <w:rFonts w:ascii="Calibri" w:eastAsia="Calibri" w:hAnsi="Calibri" w:cs="Calibri"/>
        <w:b w:val="0"/>
        <w:i w:val="0"/>
        <w:strike w:val="0"/>
        <w:color w:val="000000"/>
        <w:sz w:val="16"/>
        <w:szCs w:val="16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044" w:hanging="4044"/>
      </w:pPr>
      <w:rPr>
        <w:rFonts w:ascii="Calibri" w:eastAsia="Calibri" w:hAnsi="Calibri" w:cs="Calibri"/>
        <w:b w:val="0"/>
        <w:i w:val="0"/>
        <w:strike w:val="0"/>
        <w:color w:val="000000"/>
        <w:sz w:val="16"/>
        <w:szCs w:val="16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764" w:hanging="4764"/>
      </w:pPr>
      <w:rPr>
        <w:rFonts w:ascii="Calibri" w:eastAsia="Calibri" w:hAnsi="Calibri" w:cs="Calibri"/>
        <w:b w:val="0"/>
        <w:i w:val="0"/>
        <w:strike w:val="0"/>
        <w:color w:val="000000"/>
        <w:sz w:val="16"/>
        <w:szCs w:val="16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84" w:hanging="5484"/>
      </w:pPr>
      <w:rPr>
        <w:rFonts w:ascii="Calibri" w:eastAsia="Calibri" w:hAnsi="Calibri" w:cs="Calibri"/>
        <w:b w:val="0"/>
        <w:i w:val="0"/>
        <w:strike w:val="0"/>
        <w:color w:val="000000"/>
        <w:sz w:val="16"/>
        <w:szCs w:val="16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204" w:hanging="6204"/>
      </w:pPr>
      <w:rPr>
        <w:rFonts w:ascii="Calibri" w:eastAsia="Calibri" w:hAnsi="Calibri" w:cs="Calibri"/>
        <w:b w:val="0"/>
        <w:i w:val="0"/>
        <w:strike w:val="0"/>
        <w:color w:val="000000"/>
        <w:sz w:val="16"/>
        <w:szCs w:val="16"/>
        <w:u w:val="none"/>
        <w:shd w:val="clear" w:color="auto" w:fill="auto"/>
        <w:vertAlign w:val="baseline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4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displayBackgroundShape/>
  <w:embedTrueTypeFonts/>
  <w:embedSystem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55AB"/>
    <w:rsid w:val="000030FB"/>
    <w:rsid w:val="000103ED"/>
    <w:rsid w:val="0001040B"/>
    <w:rsid w:val="0001710E"/>
    <w:rsid w:val="00023BD9"/>
    <w:rsid w:val="00027C5C"/>
    <w:rsid w:val="0003729F"/>
    <w:rsid w:val="00062A49"/>
    <w:rsid w:val="00065D3C"/>
    <w:rsid w:val="000827A8"/>
    <w:rsid w:val="000A36AC"/>
    <w:rsid w:val="000B1A93"/>
    <w:rsid w:val="000C0239"/>
    <w:rsid w:val="000C2E63"/>
    <w:rsid w:val="000D0D0E"/>
    <w:rsid w:val="000D6645"/>
    <w:rsid w:val="000E16D3"/>
    <w:rsid w:val="000E35BF"/>
    <w:rsid w:val="000E5222"/>
    <w:rsid w:val="000E5D4F"/>
    <w:rsid w:val="001012DA"/>
    <w:rsid w:val="00105159"/>
    <w:rsid w:val="00145CA5"/>
    <w:rsid w:val="00150566"/>
    <w:rsid w:val="00153794"/>
    <w:rsid w:val="0016698F"/>
    <w:rsid w:val="00171D1D"/>
    <w:rsid w:val="00177DF2"/>
    <w:rsid w:val="00177EAE"/>
    <w:rsid w:val="001878F4"/>
    <w:rsid w:val="00195B20"/>
    <w:rsid w:val="001B406E"/>
    <w:rsid w:val="001D190F"/>
    <w:rsid w:val="001D7489"/>
    <w:rsid w:val="001E7668"/>
    <w:rsid w:val="001F192A"/>
    <w:rsid w:val="001F424B"/>
    <w:rsid w:val="001F7A99"/>
    <w:rsid w:val="001F7DDA"/>
    <w:rsid w:val="00200549"/>
    <w:rsid w:val="00202D86"/>
    <w:rsid w:val="00202D87"/>
    <w:rsid w:val="00207D5C"/>
    <w:rsid w:val="00217691"/>
    <w:rsid w:val="0022476E"/>
    <w:rsid w:val="00230699"/>
    <w:rsid w:val="002366A2"/>
    <w:rsid w:val="0026296F"/>
    <w:rsid w:val="002658C2"/>
    <w:rsid w:val="00266992"/>
    <w:rsid w:val="00273506"/>
    <w:rsid w:val="002903DD"/>
    <w:rsid w:val="00290A63"/>
    <w:rsid w:val="00291FB8"/>
    <w:rsid w:val="002A0872"/>
    <w:rsid w:val="002B1CD0"/>
    <w:rsid w:val="002B2B6C"/>
    <w:rsid w:val="002D34B7"/>
    <w:rsid w:val="002E3ED0"/>
    <w:rsid w:val="002E5FC6"/>
    <w:rsid w:val="002F0C9D"/>
    <w:rsid w:val="002F6C56"/>
    <w:rsid w:val="00307FA7"/>
    <w:rsid w:val="00315A79"/>
    <w:rsid w:val="003221CE"/>
    <w:rsid w:val="00322F81"/>
    <w:rsid w:val="003268CE"/>
    <w:rsid w:val="003368B9"/>
    <w:rsid w:val="00374154"/>
    <w:rsid w:val="00375BF3"/>
    <w:rsid w:val="003802BC"/>
    <w:rsid w:val="0038489D"/>
    <w:rsid w:val="00385036"/>
    <w:rsid w:val="003A0513"/>
    <w:rsid w:val="003A67D9"/>
    <w:rsid w:val="003B2E40"/>
    <w:rsid w:val="003C27FE"/>
    <w:rsid w:val="003C3B86"/>
    <w:rsid w:val="003D3035"/>
    <w:rsid w:val="003D6F0E"/>
    <w:rsid w:val="003E4A92"/>
    <w:rsid w:val="003F7305"/>
    <w:rsid w:val="004076C3"/>
    <w:rsid w:val="004161A4"/>
    <w:rsid w:val="00417374"/>
    <w:rsid w:val="00454613"/>
    <w:rsid w:val="00457EEC"/>
    <w:rsid w:val="00483B4E"/>
    <w:rsid w:val="004850C3"/>
    <w:rsid w:val="004868C3"/>
    <w:rsid w:val="00493E72"/>
    <w:rsid w:val="004A4081"/>
    <w:rsid w:val="004A55AA"/>
    <w:rsid w:val="004C5345"/>
    <w:rsid w:val="004D0820"/>
    <w:rsid w:val="004D7CAB"/>
    <w:rsid w:val="004E6207"/>
    <w:rsid w:val="004F53E6"/>
    <w:rsid w:val="004F5C7D"/>
    <w:rsid w:val="0050148B"/>
    <w:rsid w:val="00503DC6"/>
    <w:rsid w:val="00503E31"/>
    <w:rsid w:val="005204E2"/>
    <w:rsid w:val="0052724C"/>
    <w:rsid w:val="00535DA3"/>
    <w:rsid w:val="0054043F"/>
    <w:rsid w:val="00543804"/>
    <w:rsid w:val="0054381B"/>
    <w:rsid w:val="005474E4"/>
    <w:rsid w:val="005604CB"/>
    <w:rsid w:val="00561A70"/>
    <w:rsid w:val="005643E9"/>
    <w:rsid w:val="00572AAF"/>
    <w:rsid w:val="005750FB"/>
    <w:rsid w:val="00580812"/>
    <w:rsid w:val="005926BE"/>
    <w:rsid w:val="005C47F4"/>
    <w:rsid w:val="005D3975"/>
    <w:rsid w:val="005E3B73"/>
    <w:rsid w:val="005F1DAE"/>
    <w:rsid w:val="005F43AC"/>
    <w:rsid w:val="006117B1"/>
    <w:rsid w:val="00612240"/>
    <w:rsid w:val="0062691A"/>
    <w:rsid w:val="006367BE"/>
    <w:rsid w:val="00643E3F"/>
    <w:rsid w:val="006624B6"/>
    <w:rsid w:val="006651E2"/>
    <w:rsid w:val="006658C4"/>
    <w:rsid w:val="00671BBE"/>
    <w:rsid w:val="0068332B"/>
    <w:rsid w:val="006A0D96"/>
    <w:rsid w:val="006A673A"/>
    <w:rsid w:val="006F5B8E"/>
    <w:rsid w:val="006F7492"/>
    <w:rsid w:val="0070238E"/>
    <w:rsid w:val="00703B27"/>
    <w:rsid w:val="0071141B"/>
    <w:rsid w:val="007518DD"/>
    <w:rsid w:val="00752694"/>
    <w:rsid w:val="007563CB"/>
    <w:rsid w:val="00765846"/>
    <w:rsid w:val="00787A86"/>
    <w:rsid w:val="007945AF"/>
    <w:rsid w:val="00794B79"/>
    <w:rsid w:val="007B4C04"/>
    <w:rsid w:val="007D043F"/>
    <w:rsid w:val="007D6209"/>
    <w:rsid w:val="007E12B6"/>
    <w:rsid w:val="00802A6E"/>
    <w:rsid w:val="0081006E"/>
    <w:rsid w:val="00831FF6"/>
    <w:rsid w:val="00841529"/>
    <w:rsid w:val="00853EA8"/>
    <w:rsid w:val="00855249"/>
    <w:rsid w:val="00875117"/>
    <w:rsid w:val="00876925"/>
    <w:rsid w:val="00882F75"/>
    <w:rsid w:val="00884511"/>
    <w:rsid w:val="00890A03"/>
    <w:rsid w:val="008A2E52"/>
    <w:rsid w:val="008A4F62"/>
    <w:rsid w:val="008A68EA"/>
    <w:rsid w:val="008B1092"/>
    <w:rsid w:val="008C43F1"/>
    <w:rsid w:val="008E35C6"/>
    <w:rsid w:val="008F7C83"/>
    <w:rsid w:val="00900D52"/>
    <w:rsid w:val="00912943"/>
    <w:rsid w:val="00915887"/>
    <w:rsid w:val="00930171"/>
    <w:rsid w:val="009327FD"/>
    <w:rsid w:val="00937D59"/>
    <w:rsid w:val="00956F84"/>
    <w:rsid w:val="009733FB"/>
    <w:rsid w:val="00973564"/>
    <w:rsid w:val="00974369"/>
    <w:rsid w:val="00984C32"/>
    <w:rsid w:val="00985F10"/>
    <w:rsid w:val="009862ED"/>
    <w:rsid w:val="00996411"/>
    <w:rsid w:val="00996EB2"/>
    <w:rsid w:val="009A2261"/>
    <w:rsid w:val="009B0F04"/>
    <w:rsid w:val="009B4655"/>
    <w:rsid w:val="009B4D2D"/>
    <w:rsid w:val="009B6A0C"/>
    <w:rsid w:val="009C0903"/>
    <w:rsid w:val="009C3334"/>
    <w:rsid w:val="009C57A0"/>
    <w:rsid w:val="009D7A9B"/>
    <w:rsid w:val="00A123F4"/>
    <w:rsid w:val="00A23DE7"/>
    <w:rsid w:val="00A35D2F"/>
    <w:rsid w:val="00A47880"/>
    <w:rsid w:val="00A558C3"/>
    <w:rsid w:val="00A77226"/>
    <w:rsid w:val="00A85262"/>
    <w:rsid w:val="00A86A17"/>
    <w:rsid w:val="00A91E94"/>
    <w:rsid w:val="00AA0ABA"/>
    <w:rsid w:val="00AA4437"/>
    <w:rsid w:val="00AA61E6"/>
    <w:rsid w:val="00AA7198"/>
    <w:rsid w:val="00AB78D7"/>
    <w:rsid w:val="00AD243D"/>
    <w:rsid w:val="00AD3D0A"/>
    <w:rsid w:val="00AE7A41"/>
    <w:rsid w:val="00AE7C85"/>
    <w:rsid w:val="00AF41FD"/>
    <w:rsid w:val="00B12BCF"/>
    <w:rsid w:val="00B179A1"/>
    <w:rsid w:val="00B2366B"/>
    <w:rsid w:val="00B4163E"/>
    <w:rsid w:val="00B432D8"/>
    <w:rsid w:val="00B45E8C"/>
    <w:rsid w:val="00B468B6"/>
    <w:rsid w:val="00B46D5D"/>
    <w:rsid w:val="00B60404"/>
    <w:rsid w:val="00B81EED"/>
    <w:rsid w:val="00B869E9"/>
    <w:rsid w:val="00B925A6"/>
    <w:rsid w:val="00B94041"/>
    <w:rsid w:val="00BA62A1"/>
    <w:rsid w:val="00BD0CC4"/>
    <w:rsid w:val="00BD1BB5"/>
    <w:rsid w:val="00BE74B4"/>
    <w:rsid w:val="00BE759E"/>
    <w:rsid w:val="00BF0850"/>
    <w:rsid w:val="00C1100B"/>
    <w:rsid w:val="00C21EA4"/>
    <w:rsid w:val="00C23B9B"/>
    <w:rsid w:val="00C30FA5"/>
    <w:rsid w:val="00C379C4"/>
    <w:rsid w:val="00C41073"/>
    <w:rsid w:val="00C43FA5"/>
    <w:rsid w:val="00C5103B"/>
    <w:rsid w:val="00C547AF"/>
    <w:rsid w:val="00C55D4E"/>
    <w:rsid w:val="00C56400"/>
    <w:rsid w:val="00C60F2E"/>
    <w:rsid w:val="00C70D17"/>
    <w:rsid w:val="00C95D02"/>
    <w:rsid w:val="00C976A2"/>
    <w:rsid w:val="00CB135E"/>
    <w:rsid w:val="00CB2E9F"/>
    <w:rsid w:val="00CC05C0"/>
    <w:rsid w:val="00CE4756"/>
    <w:rsid w:val="00CE55AB"/>
    <w:rsid w:val="00CE7BD4"/>
    <w:rsid w:val="00D15FEE"/>
    <w:rsid w:val="00D21BB8"/>
    <w:rsid w:val="00D26A6C"/>
    <w:rsid w:val="00D3103D"/>
    <w:rsid w:val="00D43CCB"/>
    <w:rsid w:val="00D4628E"/>
    <w:rsid w:val="00D54B8A"/>
    <w:rsid w:val="00D612B4"/>
    <w:rsid w:val="00D70EBF"/>
    <w:rsid w:val="00D82D34"/>
    <w:rsid w:val="00DB5C13"/>
    <w:rsid w:val="00DB612E"/>
    <w:rsid w:val="00DD101E"/>
    <w:rsid w:val="00DD10AA"/>
    <w:rsid w:val="00DD1D6E"/>
    <w:rsid w:val="00DF2178"/>
    <w:rsid w:val="00DF271B"/>
    <w:rsid w:val="00DF4873"/>
    <w:rsid w:val="00E04763"/>
    <w:rsid w:val="00E5584C"/>
    <w:rsid w:val="00E5633D"/>
    <w:rsid w:val="00E57836"/>
    <w:rsid w:val="00E57B86"/>
    <w:rsid w:val="00E70A65"/>
    <w:rsid w:val="00E72CEC"/>
    <w:rsid w:val="00E74CFB"/>
    <w:rsid w:val="00E82B9A"/>
    <w:rsid w:val="00E83B8A"/>
    <w:rsid w:val="00E929CB"/>
    <w:rsid w:val="00EB16DA"/>
    <w:rsid w:val="00EB1FF9"/>
    <w:rsid w:val="00EB4157"/>
    <w:rsid w:val="00EC363D"/>
    <w:rsid w:val="00ED25F9"/>
    <w:rsid w:val="00ED610F"/>
    <w:rsid w:val="00ED7FF6"/>
    <w:rsid w:val="00EE001A"/>
    <w:rsid w:val="00EF2015"/>
    <w:rsid w:val="00EF735B"/>
    <w:rsid w:val="00F12DB8"/>
    <w:rsid w:val="00F159B9"/>
    <w:rsid w:val="00F33AF7"/>
    <w:rsid w:val="00F45C64"/>
    <w:rsid w:val="00F73E90"/>
    <w:rsid w:val="00F75463"/>
    <w:rsid w:val="00F8634F"/>
    <w:rsid w:val="00F873C7"/>
    <w:rsid w:val="00FA7FEF"/>
    <w:rsid w:val="00FC793E"/>
    <w:rsid w:val="00FD182F"/>
    <w:rsid w:val="00FD3056"/>
    <w:rsid w:val="00FD7B60"/>
    <w:rsid w:val="00FE7722"/>
    <w:rsid w:val="00FF2FCF"/>
    <w:rsid w:val="00FF48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BF04648"/>
  <w15:docId w15:val="{261A256D-14E6-4DFA-B819-F65BFBE281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80812"/>
    <w:pPr>
      <w:spacing w:after="240" w:line="235" w:lineRule="auto"/>
    </w:pPr>
    <w:rPr>
      <w:sz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7518DD"/>
    <w:pPr>
      <w:keepNext/>
      <w:keepLines/>
      <w:spacing w:before="360" w:after="180"/>
      <w:outlineLvl w:val="0"/>
    </w:pPr>
    <w:rPr>
      <w:rFonts w:eastAsiaTheme="majorEastAsia" w:cstheme="majorBidi"/>
      <w:b/>
      <w:color w:val="FC6317" w:themeColor="accent1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518D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b/>
      <w:color w:val="17333B" w:themeColor="text2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518DD"/>
    <w:pPr>
      <w:keepNext/>
      <w:keepLines/>
      <w:spacing w:before="300" w:after="180"/>
      <w:outlineLvl w:val="2"/>
    </w:pPr>
    <w:rPr>
      <w:rFonts w:asciiTheme="majorHAnsi" w:eastAsiaTheme="majorEastAsia" w:hAnsiTheme="majorHAnsi" w:cstheme="majorBidi"/>
      <w:b/>
      <w:color w:val="FC6317" w:themeColor="accent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A67D9"/>
    <w:pPr>
      <w:tabs>
        <w:tab w:val="center" w:pos="4513"/>
        <w:tab w:val="right" w:pos="9026"/>
      </w:tabs>
      <w:spacing w:line="240" w:lineRule="auto"/>
      <w:jc w:val="right"/>
    </w:pPr>
    <w:rPr>
      <w:color w:val="17333B" w:themeColor="text2"/>
      <w:sz w:val="18"/>
    </w:rPr>
  </w:style>
  <w:style w:type="character" w:customStyle="1" w:styleId="HeaderChar">
    <w:name w:val="Header Char"/>
    <w:basedOn w:val="DefaultParagraphFont"/>
    <w:link w:val="Header"/>
    <w:uiPriority w:val="99"/>
    <w:rsid w:val="003A67D9"/>
    <w:rPr>
      <w:color w:val="17333B" w:themeColor="text2"/>
      <w:sz w:val="18"/>
    </w:rPr>
  </w:style>
  <w:style w:type="paragraph" w:styleId="Footer">
    <w:name w:val="footer"/>
    <w:basedOn w:val="Normal"/>
    <w:link w:val="FooterChar"/>
    <w:uiPriority w:val="99"/>
    <w:unhideWhenUsed/>
    <w:rsid w:val="003A67D9"/>
    <w:pPr>
      <w:tabs>
        <w:tab w:val="center" w:pos="4513"/>
        <w:tab w:val="right" w:pos="9026"/>
      </w:tabs>
      <w:spacing w:after="0" w:line="240" w:lineRule="auto"/>
    </w:pPr>
    <w:rPr>
      <w:color w:val="17333B" w:themeColor="text2"/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3A67D9"/>
    <w:rPr>
      <w:color w:val="17333B" w:themeColor="text2"/>
      <w:sz w:val="18"/>
    </w:rPr>
  </w:style>
  <w:style w:type="character" w:customStyle="1" w:styleId="Heading1Char">
    <w:name w:val="Heading 1 Char"/>
    <w:basedOn w:val="DefaultParagraphFont"/>
    <w:link w:val="Heading1"/>
    <w:uiPriority w:val="9"/>
    <w:rsid w:val="007518DD"/>
    <w:rPr>
      <w:rFonts w:eastAsiaTheme="majorEastAsia" w:cstheme="majorBidi"/>
      <w:b/>
      <w:color w:val="FC6317" w:themeColor="accent1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7518DD"/>
    <w:rPr>
      <w:rFonts w:asciiTheme="majorHAnsi" w:eastAsiaTheme="majorEastAsia" w:hAnsiTheme="majorHAnsi" w:cstheme="majorBidi"/>
      <w:b/>
      <w:color w:val="17333B" w:themeColor="text2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518DD"/>
    <w:rPr>
      <w:rFonts w:asciiTheme="majorHAnsi" w:eastAsiaTheme="majorEastAsia" w:hAnsiTheme="majorHAnsi" w:cstheme="majorBidi"/>
      <w:b/>
      <w:color w:val="FC6317" w:themeColor="accent1"/>
      <w:sz w:val="24"/>
      <w:szCs w:val="24"/>
    </w:rPr>
  </w:style>
  <w:style w:type="paragraph" w:styleId="ListParagraph">
    <w:name w:val="List Paragraph"/>
    <w:basedOn w:val="Normal"/>
    <w:uiPriority w:val="34"/>
    <w:qFormat/>
    <w:rsid w:val="007518DD"/>
    <w:pPr>
      <w:spacing w:before="180" w:after="120"/>
      <w:ind w:left="720"/>
    </w:pPr>
  </w:style>
  <w:style w:type="numbering" w:customStyle="1" w:styleId="DLXList1">
    <w:name w:val="DLX List 1"/>
    <w:uiPriority w:val="99"/>
    <w:rsid w:val="007518DD"/>
    <w:pPr>
      <w:numPr>
        <w:numId w:val="3"/>
      </w:numPr>
    </w:pPr>
  </w:style>
  <w:style w:type="table" w:styleId="TableGrid">
    <w:name w:val="Table Grid"/>
    <w:basedOn w:val="TableNormal"/>
    <w:uiPriority w:val="39"/>
    <w:rsid w:val="00FE7722"/>
    <w:pPr>
      <w:spacing w:after="0" w:line="240" w:lineRule="auto"/>
    </w:pPr>
    <w:rPr>
      <w:color w:val="17333B" w:themeColor="text2"/>
      <w:sz w:val="18"/>
    </w:rPr>
    <w:tblPr>
      <w:tblStyleRowBandSize w:val="1"/>
      <w:tblCellMar>
        <w:top w:w="28" w:type="dxa"/>
        <w:left w:w="142" w:type="dxa"/>
        <w:bottom w:w="28" w:type="dxa"/>
        <w:right w:w="85" w:type="dxa"/>
      </w:tblCellMar>
    </w:tblPr>
    <w:tcPr>
      <w:shd w:val="clear" w:color="auto" w:fill="E3E3E3" w:themeFill="background2"/>
      <w:vAlign w:val="center"/>
    </w:tcPr>
    <w:tblStylePr w:type="firstRow">
      <w:rPr>
        <w:b/>
        <w:color w:val="F2F2F2" w:themeColor="background1" w:themeShade="F2"/>
      </w:rPr>
      <w:tblPr/>
      <w:tcPr>
        <w:shd w:val="clear" w:color="auto" w:fill="17333B" w:themeFill="text2"/>
      </w:tcPr>
    </w:tblStylePr>
    <w:tblStylePr w:type="firstCol">
      <w:rPr>
        <w:b/>
      </w:rPr>
    </w:tblStylePr>
    <w:tblStylePr w:type="band1Horz">
      <w:tblPr/>
      <w:tcPr>
        <w:shd w:val="clear" w:color="auto" w:fill="F2F2F2"/>
      </w:tcPr>
    </w:tblStylePr>
    <w:tblStylePr w:type="band2Horz">
      <w:tblPr/>
      <w:tcPr>
        <w:shd w:val="clear" w:color="auto" w:fill="E3E3E3" w:themeFill="background2"/>
      </w:tcPr>
    </w:tblStylePr>
  </w:style>
  <w:style w:type="paragraph" w:customStyle="1" w:styleId="DLXTableText">
    <w:name w:val="DLX Table Text"/>
    <w:basedOn w:val="Normal"/>
    <w:qFormat/>
    <w:rsid w:val="00E83B8A"/>
    <w:pPr>
      <w:spacing w:before="120" w:after="120" w:line="240" w:lineRule="auto"/>
    </w:pPr>
    <w:rPr>
      <w:sz w:val="18"/>
    </w:rPr>
  </w:style>
  <w:style w:type="table" w:customStyle="1" w:styleId="PlainTable31">
    <w:name w:val="Plain Table 31"/>
    <w:basedOn w:val="TableNormal"/>
    <w:uiPriority w:val="43"/>
    <w:rsid w:val="00956F8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1">
    <w:name w:val="Plain Table 41"/>
    <w:basedOn w:val="TableNormal"/>
    <w:uiPriority w:val="44"/>
    <w:rsid w:val="00956F8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DLXTableShaded">
    <w:name w:val="DLX Table Shaded"/>
    <w:basedOn w:val="TableGrid"/>
    <w:rsid w:val="00956F84"/>
    <w:tblPr/>
    <w:tcPr>
      <w:shd w:val="clear" w:color="auto" w:fill="E3E3E3" w:themeFill="background2"/>
    </w:tcPr>
    <w:tblStylePr w:type="firstRow">
      <w:rPr>
        <w:b/>
        <w:color w:val="F2F2F2" w:themeColor="background1" w:themeShade="F2"/>
      </w:rPr>
      <w:tblPr/>
      <w:tcPr>
        <w:shd w:val="clear" w:color="auto" w:fill="17333B" w:themeFill="text2"/>
      </w:tcPr>
    </w:tblStylePr>
    <w:tblStylePr w:type="firstCol">
      <w:rPr>
        <w:b/>
      </w:rPr>
    </w:tblStylePr>
    <w:tblStylePr w:type="band1Horz">
      <w:tblPr/>
      <w:tcPr>
        <w:shd w:val="clear" w:color="auto" w:fill="F2F2F2"/>
      </w:tcPr>
    </w:tblStylePr>
    <w:tblStylePr w:type="band2Horz">
      <w:tblPr/>
      <w:tcPr>
        <w:shd w:val="clear" w:color="auto" w:fill="E3E3E3" w:themeFill="background2"/>
      </w:tcPr>
    </w:tblStylePr>
  </w:style>
  <w:style w:type="table" w:customStyle="1" w:styleId="DLXTableNavy">
    <w:name w:val="DLX Table Navy"/>
    <w:basedOn w:val="DLXTableShaded"/>
    <w:rsid w:val="00956F84"/>
    <w:tblPr>
      <w:tblBorders>
        <w:top w:val="single" w:sz="4" w:space="0" w:color="17333B" w:themeColor="text2"/>
        <w:bottom w:val="single" w:sz="4" w:space="0" w:color="17333B" w:themeColor="text2"/>
        <w:insideH w:val="single" w:sz="4" w:space="0" w:color="17333B" w:themeColor="text2"/>
      </w:tblBorders>
    </w:tblPr>
    <w:tcPr>
      <w:shd w:val="clear" w:color="auto" w:fill="auto"/>
    </w:tcPr>
    <w:tblStylePr w:type="firstRow">
      <w:rPr>
        <w:b/>
        <w:color w:val="F2F2F2" w:themeColor="background1" w:themeShade="F2"/>
      </w:rPr>
      <w:tblPr/>
      <w:tcPr>
        <w:shd w:val="clear" w:color="auto" w:fill="17333B" w:themeFill="text2"/>
      </w:tcPr>
    </w:tblStylePr>
    <w:tblStylePr w:type="firstCol">
      <w:rPr>
        <w:b/>
      </w:rPr>
    </w:tblStylePr>
    <w:tblStylePr w:type="band1Horz">
      <w:tblPr/>
      <w:tcPr>
        <w:shd w:val="clear" w:color="auto" w:fill="F2F2F2"/>
      </w:tcPr>
    </w:tblStylePr>
    <w:tblStylePr w:type="band2Horz">
      <w:tblPr/>
      <w:tcPr>
        <w:shd w:val="clear" w:color="auto" w:fill="E3E3E3" w:themeFill="background2"/>
      </w:tcPr>
    </w:tblStylePr>
  </w:style>
  <w:style w:type="table" w:customStyle="1" w:styleId="DLXTableOrange">
    <w:name w:val="DLX Table Orange"/>
    <w:basedOn w:val="DLXTableNavy"/>
    <w:rsid w:val="00956F84"/>
    <w:tblPr>
      <w:tblBorders>
        <w:top w:val="single" w:sz="4" w:space="0" w:color="FC6317" w:themeColor="accent1"/>
        <w:bottom w:val="single" w:sz="4" w:space="0" w:color="FC6317" w:themeColor="accent1"/>
        <w:insideH w:val="single" w:sz="4" w:space="0" w:color="FC6317" w:themeColor="accent1"/>
      </w:tblBorders>
    </w:tblPr>
    <w:tcPr>
      <w:shd w:val="clear" w:color="auto" w:fill="auto"/>
    </w:tcPr>
    <w:tblStylePr w:type="firstRow">
      <w:rPr>
        <w:b/>
        <w:color w:val="FFFFFF" w:themeColor="background1"/>
      </w:rPr>
      <w:tblPr/>
      <w:tcPr>
        <w:shd w:val="clear" w:color="auto" w:fill="FC6317" w:themeFill="accent1"/>
      </w:tcPr>
    </w:tblStylePr>
    <w:tblStylePr w:type="firstCol">
      <w:rPr>
        <w:b/>
      </w:rPr>
    </w:tblStylePr>
    <w:tblStylePr w:type="band1Horz">
      <w:tblPr/>
      <w:tcPr>
        <w:shd w:val="clear" w:color="auto" w:fill="F2F2F2"/>
      </w:tcPr>
    </w:tblStylePr>
    <w:tblStylePr w:type="band2Horz">
      <w:tblPr/>
      <w:tcPr>
        <w:shd w:val="clear" w:color="auto" w:fill="E3E3E3" w:themeFill="background2"/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580812"/>
    <w:pPr>
      <w:spacing w:after="360" w:line="240" w:lineRule="auto"/>
      <w:contextualSpacing/>
    </w:pPr>
    <w:rPr>
      <w:rFonts w:asciiTheme="majorHAnsi" w:eastAsiaTheme="majorEastAsia" w:hAnsiTheme="majorHAnsi" w:cstheme="majorBidi"/>
      <w:color w:val="FC6317" w:themeColor="accent1"/>
      <w:spacing w:val="-10"/>
      <w:kern w:val="28"/>
      <w:sz w:val="50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80812"/>
    <w:rPr>
      <w:rFonts w:asciiTheme="majorHAnsi" w:eastAsiaTheme="majorEastAsia" w:hAnsiTheme="majorHAnsi" w:cstheme="majorBidi"/>
      <w:color w:val="FC6317" w:themeColor="accent1"/>
      <w:spacing w:val="-10"/>
      <w:kern w:val="28"/>
      <w:sz w:val="50"/>
      <w:szCs w:val="56"/>
    </w:rPr>
  </w:style>
  <w:style w:type="table" w:customStyle="1" w:styleId="TableGridLight1">
    <w:name w:val="Table Grid Light1"/>
    <w:basedOn w:val="TableNormal"/>
    <w:uiPriority w:val="40"/>
    <w:rsid w:val="000E5D4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yperlink">
    <w:name w:val="Hyperlink"/>
    <w:basedOn w:val="DefaultParagraphFont"/>
    <w:uiPriority w:val="99"/>
    <w:unhideWhenUsed/>
    <w:rsid w:val="0070238E"/>
    <w:rPr>
      <w:color w:val="FC6317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87A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7A86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1F7A99"/>
    <w:pPr>
      <w:spacing w:after="0" w:line="240" w:lineRule="auto"/>
    </w:pPr>
    <w:rPr>
      <w:sz w:val="28"/>
    </w:rPr>
  </w:style>
  <w:style w:type="paragraph" w:styleId="NormalWeb">
    <w:name w:val="Normal (Web)"/>
    <w:basedOn w:val="Normal"/>
    <w:uiPriority w:val="99"/>
    <w:unhideWhenUsed/>
    <w:rsid w:val="001F7A99"/>
    <w:pPr>
      <w:spacing w:before="100" w:beforeAutospacing="1" w:after="100" w:afterAutospacing="1" w:line="240" w:lineRule="auto"/>
    </w:pPr>
    <w:rPr>
      <w:rFonts w:ascii="Times New Roman" w:hAnsi="Times New Roman" w:cs="Arial"/>
      <w:sz w:val="24"/>
      <w:szCs w:val="24"/>
      <w:lang w:eastAsia="en-IE"/>
    </w:rPr>
  </w:style>
  <w:style w:type="character" w:styleId="CommentReference">
    <w:name w:val="annotation reference"/>
    <w:basedOn w:val="DefaultParagraphFont"/>
    <w:semiHidden/>
    <w:unhideWhenUsed/>
    <w:rsid w:val="001F7A99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1F7A99"/>
    <w:pPr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1F7A99"/>
    <w:rPr>
      <w:rFonts w:ascii="Arial" w:eastAsia="Times New Roman" w:hAnsi="Arial" w:cs="Arial"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F7A99"/>
    <w:rPr>
      <w:color w:val="605E5C"/>
      <w:shd w:val="clear" w:color="auto" w:fill="E1DFD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77226"/>
    <w:pPr>
      <w:spacing w:after="240"/>
    </w:pPr>
    <w:rPr>
      <w:rFonts w:asciiTheme="minorHAnsi" w:eastAsiaTheme="minorHAnsi" w:hAnsiTheme="minorHAnsi" w:cstheme="minorBid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77226"/>
    <w:rPr>
      <w:rFonts w:ascii="Arial" w:eastAsia="Times New Roman" w:hAnsi="Arial" w:cs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5463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Datalex 2020">
      <a:dk1>
        <a:sysClr val="windowText" lastClr="000000"/>
      </a:dk1>
      <a:lt1>
        <a:sysClr val="window" lastClr="FFFFFF"/>
      </a:lt1>
      <a:dk2>
        <a:srgbClr val="17333B"/>
      </a:dk2>
      <a:lt2>
        <a:srgbClr val="E3E3E3"/>
      </a:lt2>
      <a:accent1>
        <a:srgbClr val="FC6317"/>
      </a:accent1>
      <a:accent2>
        <a:srgbClr val="241F21"/>
      </a:accent2>
      <a:accent3>
        <a:srgbClr val="7A8B8C"/>
      </a:accent3>
      <a:accent4>
        <a:srgbClr val="CEBFB9"/>
      </a:accent4>
      <a:accent5>
        <a:srgbClr val="1AAFA4"/>
      </a:accent5>
      <a:accent6>
        <a:srgbClr val="FF4870"/>
      </a:accent6>
      <a:hlink>
        <a:srgbClr val="FC6317"/>
      </a:hlink>
      <a:folHlink>
        <a:srgbClr val="7A8B8C"/>
      </a:folHlink>
    </a:clrScheme>
    <a:fontScheme name="Datalex Letter">
      <a:majorFont>
        <a:latin typeface="Cabin"/>
        <a:ea typeface=""/>
        <a:cs typeface=""/>
      </a:majorFont>
      <a:minorFont>
        <a:latin typeface="Cabin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custClrLst>
    <a:custClr name="Datalex Green">
      <a:srgbClr val="1AB0A3"/>
    </a:custClr>
    <a:custClr name="Datalex Blue">
      <a:srgbClr val="2670AD"/>
    </a:custClr>
    <a:custClr name="Datalex Yellow">
      <a:srgbClr val="FC9E29"/>
    </a:custClr>
    <a:custClr name="Datalex Pink">
      <a:srgbClr val="FF4870"/>
    </a:custClr>
  </a:custClrLst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JobId xmlns="http://schemas.microsoft.com/sharepoint/v3/fields" xsi:nil="true"/>
    <SendToFR xmlns="http://schemas.microsoft.com/sharepoint/v3/fields">false</SendToFR>
    <DateReceived xmlns="http://schemas.microsoft.com/sharepoint/v3/fields">2020-07-31T06:48:11+00:00</DateReceived>
    <DocType_AnnouncementDocument xmlns="http://schemas.microsoft.com/sharepoint/v3/fields">RNS Announcement</DocType_AnnouncementDocument>
    <lcf76f155ced4ddcb4097134ff3c332f xmlns="ad78b5f7-9d3a-4547-a77a-85adc8bf2297">
      <Terms xmlns="http://schemas.microsoft.com/office/infopath/2007/PartnerControls"/>
    </lcf76f155ced4ddcb4097134ff3c332f>
    <TaxCatchAll xmlns="801a3cf6-255d-4ff5-98fe-b4415afa84b5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Announcement Document" ma:contentTypeID="0x010100BE156B1CF39149A8843C57AB06C49AFE0011B886BEF4CCD94F85F46E94360FD412" ma:contentTypeVersion="28" ma:contentTypeDescription="Upload a new Announcement" ma:contentTypeScope="" ma:versionID="a65d3a867704dbccc7620baafa55db40">
  <xsd:schema xmlns:xsd="http://www.w3.org/2001/XMLSchema" xmlns:xs="http://www.w3.org/2001/XMLSchema" xmlns:p="http://schemas.microsoft.com/office/2006/metadata/properties" xmlns:ns1="http://schemas.microsoft.com/sharepoint/v3" xmlns:ns2="http://schemas.microsoft.com/sharepoint/v3/fields" xmlns:ns3="ad78b5f7-9d3a-4547-a77a-85adc8bf2297" xmlns:ns4="801a3cf6-255d-4ff5-98fe-b4415afa84b5" targetNamespace="http://schemas.microsoft.com/office/2006/metadata/properties" ma:root="true" ma:fieldsID="f6d0e36a5296999e29e57769c86102d3" ns1:_="" ns2:_="" ns3:_="" ns4:_="">
    <xsd:import namespace="http://schemas.microsoft.com/sharepoint/v3"/>
    <xsd:import namespace="http://schemas.microsoft.com/sharepoint/v3/fields"/>
    <xsd:import namespace="ad78b5f7-9d3a-4547-a77a-85adc8bf2297"/>
    <xsd:import namespace="801a3cf6-255d-4ff5-98fe-b4415afa84b5"/>
    <xsd:element name="properties">
      <xsd:complexType>
        <xsd:sequence>
          <xsd:element name="documentManagement">
            <xsd:complexType>
              <xsd:all>
                <xsd:element ref="ns2:DateReceived" minOccurs="0"/>
                <xsd:element ref="ns2:JobId" minOccurs="0"/>
                <xsd:element ref="ns2:DocType_AnnouncementDocument" minOccurs="0"/>
                <xsd:element ref="ns2:SendToFR" minOccurs="0"/>
                <xsd:element ref="ns1:Name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lcf76f155ced4ddcb4097134ff3c332f" minOccurs="0"/>
                <xsd:element ref="ns4:TaxCatchAll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4:SharedWithUsers" minOccurs="0"/>
                <xsd:element ref="ns4:SharedWithDetails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Name" ma:index="12" nillable="true" ma:displayName="Account" ma:internalName="Nam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DateReceived" ma:index="8" nillable="true" ma:displayName="Date Received" ma:internalName="DateReceived" ma:readOnly="false">
      <xsd:simpleType>
        <xsd:restriction base="dms:DateTime"/>
      </xsd:simpleType>
    </xsd:element>
    <xsd:element name="JobId" ma:index="9" nillable="true" ma:displayName="Job Id" ma:internalName="JobId">
      <xsd:simpleType>
        <xsd:restriction base="dms:Text"/>
      </xsd:simpleType>
    </xsd:element>
    <xsd:element name="DocType_AnnouncementDocument" ma:index="10" nillable="true" ma:displayName="Document Type (Announcement)" ma:default="Announcement" ma:format="Dropdown" ma:internalName="DocType_AnnouncementDocument">
      <xsd:simpleType>
        <xsd:restriction base="dms:Choice">
          <xsd:enumeration value="Announcement"/>
          <xsd:enumeration value="Application Form GEM"/>
          <xsd:enumeration value="Application Form MSM"/>
          <xsd:enumeration value="Corporate Action DB"/>
          <xsd:enumeration value="Customer Notification"/>
          <xsd:enumeration value="DB Set-up Mod Delete"/>
          <xsd:enumeration value="DB Suspension Unsuspension"/>
          <xsd:enumeration value="Payment Confirmation"/>
          <xsd:enumeration value="RNS Announcement"/>
          <xsd:enumeration value="Supporting Document"/>
          <xsd:enumeration value="T7 Deletion"/>
          <xsd:enumeration value="T7 Modification"/>
          <xsd:enumeration value="Miscellaneous"/>
          <xsd:enumeration value="Other"/>
          <xsd:enumeration value="Final Terms"/>
          <xsd:enumeration value="AccInfo"/>
          <xsd:enumeration value="Interim Accounts"/>
          <xsd:enumeration value="AudFin"/>
          <xsd:enumeration value="Sedol"/>
          <xsd:enumeration value="Circular"/>
          <xsd:enumeration value="Pre-Initial"/>
          <xsd:enumeration value="NA"/>
          <xsd:enumeration value="Ch3Feeder"/>
          <xsd:enumeration value="Redraft"/>
          <xsd:enumeration value="Comments"/>
          <xsd:enumeration value="SLP"/>
          <xsd:enumeration value="LP"/>
          <xsd:enumeration value="DirResp"/>
          <xsd:enumeration value="Ch9checklist"/>
          <xsd:enumeration value="Ch3short"/>
          <xsd:enumeration value="Ch3Fins"/>
        </xsd:restriction>
      </xsd:simpleType>
    </xsd:element>
    <xsd:element name="SendToFR" ma:index="11" nillable="true" ma:displayName="Send to Financial Regulator" ma:default="0" ma:internalName="SendToFR" ma:readOnly="fals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78b5f7-9d3a-4547-a77a-85adc8bf229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56448b7c-b198-4f3f-91b4-0f03f23d7cf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3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1a3cf6-255d-4ff5-98fe-b4415afa84b5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7a5403e9-b76d-4f5f-a13e-89da56148491}" ma:internalName="TaxCatchAll" ma:showField="CatchAllData" ma:web="801a3cf6-255d-4ff5-98fe-b4415afa84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BBA5E8D-DF0D-4E6E-B8BC-77D6345ABF05}"/>
</file>

<file path=customXml/itemProps2.xml><?xml version="1.0" encoding="utf-8"?>
<ds:datastoreItem xmlns:ds="http://schemas.openxmlformats.org/officeDocument/2006/customXml" ds:itemID="{B5BA4871-99F2-456F-AD52-4687A6C18371}"/>
</file>

<file path=customXml/itemProps3.xml><?xml version="1.0" encoding="utf-8"?>
<ds:datastoreItem xmlns:ds="http://schemas.openxmlformats.org/officeDocument/2006/customXml" ds:itemID="{5BEDD583-FCA0-493B-9B2C-015E4250D7F4}"/>
</file>

<file path=customXml/itemProps4.xml><?xml version="1.0" encoding="utf-8"?>
<ds:datastoreItem xmlns:ds="http://schemas.openxmlformats.org/officeDocument/2006/customXml" ds:itemID="{377BEDBB-4233-4ECC-B2F7-9D5CFE51F49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1</Pages>
  <Words>132</Words>
  <Characters>757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Furlong;Sebastiaan Townsend</dc:creator>
  <cp:keywords/>
  <dc:description/>
  <cp:lastModifiedBy>Neil McLoughlin</cp:lastModifiedBy>
  <cp:revision>18</cp:revision>
  <cp:lastPrinted>2020-06-30T13:28:00Z</cp:lastPrinted>
  <dcterms:created xsi:type="dcterms:W3CDTF">2020-07-20T11:50:00Z</dcterms:created>
  <dcterms:modified xsi:type="dcterms:W3CDTF">2020-07-31T06:45:00Z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0x010100BE156B1CF39149A8843C57AB06C49AFE0011B886BEF4CCD94F85F46E94360FD412</vt:lpwstr>
  </property>
  <property fmtid="{D5CDD505-2E9C-101B-9397-08002B2CF9AE}" pid="3" name="IssuerName">
    <vt:lpwstr/>
  </property>
  <property fmtid="{D5CDD505-2E9C-101B-9397-08002B2CF9AE}" pid="4" name="MigrateFolderIssueDetected">
    <vt:bool>false</vt:bool>
  </property>
  <property fmtid="{D5CDD505-2E9C-101B-9397-08002B2CF9AE}" pid="5" name="Order">
    <vt:r8>64439400</vt:r8>
  </property>
  <property fmtid="{D5CDD505-2E9C-101B-9397-08002B2CF9AE}" pid="6" name="JobType">
    <vt:lpwstr/>
  </property>
  <property fmtid="{D5CDD505-2E9C-101B-9397-08002B2CF9AE}" pid="7" name="IssuerID">
    <vt:lpwstr/>
  </property>
  <property fmtid="{D5CDD505-2E9C-101B-9397-08002B2CF9AE}" pid="8" name="SendToWeb">
    <vt:bool>false</vt:bool>
  </property>
  <property fmtid="{D5CDD505-2E9C-101B-9397-08002B2CF9AE}" pid="9" name="JobContentType">
    <vt:lpwstr/>
  </property>
  <property fmtid="{D5CDD505-2E9C-101B-9397-08002B2CF9AE}" pid="10" name="Organisation">
    <vt:lpwstr/>
  </property>
  <property fmtid="{D5CDD505-2E9C-101B-9397-08002B2CF9AE}" pid="11" name="Contact">
    <vt:lpwstr/>
  </property>
  <property fmtid="{D5CDD505-2E9C-101B-9397-08002B2CF9AE}" pid="12" name="MigrateFolderIssueDetected0">
    <vt:bool>false</vt:bool>
  </property>
</Properties>
</file>