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94908" w14:textId="77777777" w:rsidR="00EB6782" w:rsidRPr="00423751" w:rsidRDefault="00F133FC" w:rsidP="00EB6782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23751">
        <w:rPr>
          <w:rFonts w:ascii="Arial" w:hAnsi="Arial" w:cs="Arial"/>
          <w:b/>
          <w:sz w:val="20"/>
          <w:szCs w:val="20"/>
        </w:rPr>
        <w:t>Donegal Investment Group</w:t>
      </w:r>
      <w:r w:rsidR="00EB6782" w:rsidRPr="00423751">
        <w:rPr>
          <w:rFonts w:ascii="Arial" w:hAnsi="Arial" w:cs="Arial"/>
          <w:b/>
          <w:sz w:val="20"/>
          <w:szCs w:val="20"/>
        </w:rPr>
        <w:t xml:space="preserve"> plc</w:t>
      </w:r>
    </w:p>
    <w:p w14:paraId="7023A586" w14:textId="77777777" w:rsidR="00EB6782" w:rsidRPr="00423751" w:rsidRDefault="00F30F4E" w:rsidP="00EB6782">
      <w:pPr>
        <w:jc w:val="center"/>
        <w:rPr>
          <w:rFonts w:ascii="Arial" w:hAnsi="Arial" w:cs="Arial"/>
          <w:b/>
          <w:sz w:val="20"/>
          <w:szCs w:val="20"/>
        </w:rPr>
      </w:pPr>
      <w:r w:rsidRPr="00423751">
        <w:rPr>
          <w:rFonts w:ascii="Arial" w:hAnsi="Arial" w:cs="Arial"/>
          <w:b/>
          <w:sz w:val="20"/>
          <w:szCs w:val="20"/>
        </w:rPr>
        <w:t>(“</w:t>
      </w:r>
      <w:r w:rsidR="00F133FC" w:rsidRPr="00423751">
        <w:rPr>
          <w:rFonts w:ascii="Arial" w:hAnsi="Arial" w:cs="Arial"/>
          <w:b/>
          <w:sz w:val="20"/>
          <w:szCs w:val="20"/>
        </w:rPr>
        <w:t>Donegal</w:t>
      </w:r>
      <w:r w:rsidRPr="00423751">
        <w:rPr>
          <w:rFonts w:ascii="Arial" w:hAnsi="Arial" w:cs="Arial"/>
          <w:b/>
          <w:sz w:val="20"/>
          <w:szCs w:val="20"/>
        </w:rPr>
        <w:t>” or</w:t>
      </w:r>
      <w:r w:rsidR="00EB6782" w:rsidRPr="00423751">
        <w:rPr>
          <w:rFonts w:ascii="Arial" w:hAnsi="Arial" w:cs="Arial"/>
          <w:b/>
          <w:sz w:val="20"/>
          <w:szCs w:val="20"/>
        </w:rPr>
        <w:t xml:space="preserve"> the “Company”)</w:t>
      </w:r>
    </w:p>
    <w:p w14:paraId="2291FBEB" w14:textId="77777777" w:rsidR="00EB6782" w:rsidRDefault="00EB6782" w:rsidP="00EB6782">
      <w:pPr>
        <w:jc w:val="center"/>
        <w:rPr>
          <w:rFonts w:ascii="Arial" w:hAnsi="Arial" w:cs="Arial"/>
          <w:b/>
          <w:sz w:val="20"/>
          <w:szCs w:val="20"/>
        </w:rPr>
      </w:pPr>
    </w:p>
    <w:p w14:paraId="557A321F" w14:textId="69F87D31" w:rsidR="00DB169A" w:rsidRDefault="00050CE8" w:rsidP="00EB678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 February 2021</w:t>
      </w:r>
    </w:p>
    <w:p w14:paraId="4BE1C19A" w14:textId="77777777" w:rsidR="00DB169A" w:rsidRPr="00423751" w:rsidRDefault="00DB169A" w:rsidP="00EB6782">
      <w:pPr>
        <w:jc w:val="center"/>
        <w:rPr>
          <w:rFonts w:ascii="Arial" w:hAnsi="Arial" w:cs="Arial"/>
          <w:b/>
          <w:sz w:val="20"/>
          <w:szCs w:val="20"/>
        </w:rPr>
      </w:pPr>
    </w:p>
    <w:p w14:paraId="2ECD11D4" w14:textId="3C362E82" w:rsidR="00867C5B" w:rsidRPr="00423751" w:rsidRDefault="00BA0E34" w:rsidP="00EB6782">
      <w:pPr>
        <w:pStyle w:val="bt"/>
        <w:spacing w:before="0" w:beforeAutospacing="0" w:after="160" w:afterAutospacing="0" w:line="253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br"/>
          <w:rFonts w:ascii="Arial" w:hAnsi="Arial" w:cs="Arial"/>
          <w:b/>
          <w:bCs/>
          <w:color w:val="000000"/>
          <w:sz w:val="20"/>
          <w:szCs w:val="20"/>
        </w:rPr>
        <w:t>Migration EGM</w:t>
      </w:r>
    </w:p>
    <w:p w14:paraId="0C31C68A" w14:textId="77777777" w:rsidR="00292002" w:rsidRDefault="00292002" w:rsidP="00C97AA6">
      <w:pPr>
        <w:pStyle w:val="Default"/>
        <w:jc w:val="both"/>
        <w:rPr>
          <w:rStyle w:val="A5"/>
          <w:rFonts w:ascii="Arial" w:eastAsia="Times New Roman" w:hAnsi="Arial" w:cs="Arial"/>
          <w:b/>
          <w:sz w:val="20"/>
          <w:szCs w:val="20"/>
          <w:lang w:eastAsia="en-IE"/>
        </w:rPr>
      </w:pPr>
    </w:p>
    <w:p w14:paraId="7C7795F5" w14:textId="6D88568C" w:rsidR="00050CE8" w:rsidRDefault="00050CE8" w:rsidP="00050CE8">
      <w:pPr>
        <w:spacing w:line="253" w:lineRule="atLeast"/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  <w:r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Pursuant to the </w:t>
      </w:r>
      <w:r w:rsidR="002913A1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Letter to Shareholders and the EGM Circular both of 14 January 2021, </w:t>
      </w:r>
      <w:r w:rsidR="00BA0E34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and </w:t>
      </w:r>
      <w:r w:rsidR="002913A1">
        <w:rPr>
          <w:rStyle w:val="A5"/>
          <w:rFonts w:ascii="Arial" w:eastAsia="Times New Roman" w:hAnsi="Arial" w:cs="Arial"/>
          <w:sz w:val="20"/>
          <w:szCs w:val="20"/>
          <w:lang w:eastAsia="en-IE"/>
        </w:rPr>
        <w:t>copies of which are available on the Company’s website, the EGM took place at 11.30am today at the Company’s Head Office at Ballyraine, Letterkenny, Co.Donegal.</w:t>
      </w:r>
    </w:p>
    <w:p w14:paraId="0B333B01" w14:textId="77777777" w:rsidR="00050CE8" w:rsidRDefault="00050CE8" w:rsidP="00050CE8">
      <w:pPr>
        <w:spacing w:line="253" w:lineRule="atLeast"/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</w:p>
    <w:p w14:paraId="657E13F3" w14:textId="5D923817" w:rsidR="006B679A" w:rsidRDefault="006A37AC" w:rsidP="00050CE8">
      <w:pPr>
        <w:spacing w:line="253" w:lineRule="atLeast"/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  <w:r w:rsidRPr="006B679A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Donegal </w:t>
      </w:r>
      <w:r w:rsidR="002913A1">
        <w:rPr>
          <w:rStyle w:val="A5"/>
          <w:rFonts w:ascii="Arial" w:eastAsia="Times New Roman" w:hAnsi="Arial" w:cs="Arial"/>
          <w:sz w:val="20"/>
          <w:szCs w:val="20"/>
          <w:lang w:eastAsia="en-IE"/>
        </w:rPr>
        <w:t>are pleased</w:t>
      </w:r>
      <w:r w:rsidR="00050CE8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 to confirm that</w:t>
      </w:r>
      <w:r w:rsidR="00AF7A5C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 </w:t>
      </w:r>
      <w:r w:rsidR="002913A1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all </w:t>
      </w:r>
      <w:r w:rsidRPr="006B679A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the </w:t>
      </w:r>
      <w:r w:rsidR="00050CE8">
        <w:rPr>
          <w:rStyle w:val="A5"/>
          <w:rFonts w:ascii="Arial" w:eastAsia="Times New Roman" w:hAnsi="Arial" w:cs="Arial"/>
          <w:sz w:val="20"/>
          <w:szCs w:val="20"/>
          <w:lang w:eastAsia="en-IE"/>
        </w:rPr>
        <w:t>resolution</w:t>
      </w:r>
      <w:r w:rsidR="002913A1">
        <w:rPr>
          <w:rStyle w:val="A5"/>
          <w:rFonts w:ascii="Arial" w:eastAsia="Times New Roman" w:hAnsi="Arial" w:cs="Arial"/>
          <w:sz w:val="20"/>
          <w:szCs w:val="20"/>
          <w:lang w:eastAsia="en-IE"/>
        </w:rPr>
        <w:t>s</w:t>
      </w:r>
      <w:r w:rsidR="00050CE8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 proposed at today’s EGM </w:t>
      </w:r>
      <w:r w:rsidR="00BA0E34">
        <w:rPr>
          <w:rStyle w:val="A5"/>
          <w:rFonts w:ascii="Arial" w:eastAsia="Times New Roman" w:hAnsi="Arial" w:cs="Arial"/>
          <w:sz w:val="20"/>
          <w:szCs w:val="20"/>
          <w:lang w:eastAsia="en-IE"/>
        </w:rPr>
        <w:t>for the purposes of replacing</w:t>
      </w:r>
      <w:r w:rsidR="00050CE8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 CREST with Euroclear Bank for electronic settlement of trading in the Company’s shares, ha</w:t>
      </w:r>
      <w:r w:rsidR="00BA0E34">
        <w:rPr>
          <w:rStyle w:val="A5"/>
          <w:rFonts w:ascii="Arial" w:eastAsia="Times New Roman" w:hAnsi="Arial" w:cs="Arial"/>
          <w:sz w:val="20"/>
          <w:szCs w:val="20"/>
          <w:lang w:eastAsia="en-IE"/>
        </w:rPr>
        <w:t>ve</w:t>
      </w:r>
      <w:r w:rsidR="00050CE8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 been approved by Shareholders</w:t>
      </w:r>
      <w:r w:rsidR="00BA0E34">
        <w:rPr>
          <w:rStyle w:val="A5"/>
          <w:rFonts w:ascii="Arial" w:eastAsia="Times New Roman" w:hAnsi="Arial" w:cs="Arial"/>
          <w:sz w:val="20"/>
          <w:szCs w:val="20"/>
          <w:lang w:eastAsia="en-IE"/>
        </w:rPr>
        <w:t>, as set out below</w:t>
      </w:r>
      <w:r w:rsidR="00050CE8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.  </w:t>
      </w:r>
    </w:p>
    <w:p w14:paraId="5C8EF8E1" w14:textId="472AE9E0" w:rsidR="00050CE8" w:rsidRDefault="00050CE8" w:rsidP="00050CE8">
      <w:pPr>
        <w:spacing w:line="253" w:lineRule="atLeast"/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11"/>
        <w:gridCol w:w="1617"/>
        <w:gridCol w:w="1559"/>
        <w:gridCol w:w="1559"/>
        <w:gridCol w:w="1559"/>
      </w:tblGrid>
      <w:tr w:rsidR="00BA0E34" w:rsidRPr="00BA0E34" w14:paraId="205614F7" w14:textId="77777777" w:rsidTr="00BA0E34">
        <w:tc>
          <w:tcPr>
            <w:tcW w:w="27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E1784D" w14:textId="77777777" w:rsidR="00BA0E34" w:rsidRPr="00BA0E34" w:rsidRDefault="00BA0E34" w:rsidP="00F20B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0E34">
              <w:rPr>
                <w:rFonts w:ascii="Arial" w:hAnsi="Arial" w:cs="Arial"/>
                <w:b/>
                <w:sz w:val="20"/>
                <w:szCs w:val="20"/>
              </w:rPr>
              <w:t>Resolution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14:paraId="61D0EF4C" w14:textId="77777777" w:rsidR="00BA0E34" w:rsidRPr="00BA0E34" w:rsidRDefault="00BA0E34" w:rsidP="00F20B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E34">
              <w:rPr>
                <w:rFonts w:ascii="Arial" w:hAnsi="Arial" w:cs="Arial"/>
                <w:b/>
                <w:sz w:val="20"/>
                <w:szCs w:val="20"/>
              </w:rPr>
              <w:t>Votes For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77921D5" w14:textId="77777777" w:rsidR="00BA0E34" w:rsidRPr="00BA0E34" w:rsidRDefault="00BA0E34" w:rsidP="00F20B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E34">
              <w:rPr>
                <w:rFonts w:ascii="Arial" w:hAnsi="Arial" w:cs="Arial"/>
                <w:b/>
                <w:sz w:val="20"/>
                <w:szCs w:val="20"/>
              </w:rPr>
              <w:t>Votes Against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D13BF71" w14:textId="77777777" w:rsidR="00BA0E34" w:rsidRPr="00BA0E34" w:rsidRDefault="00BA0E34" w:rsidP="00F20B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E34">
              <w:rPr>
                <w:rFonts w:ascii="Arial" w:hAnsi="Arial" w:cs="Arial"/>
                <w:b/>
                <w:sz w:val="20"/>
                <w:szCs w:val="20"/>
              </w:rPr>
              <w:t>Votes Withheld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9A454CD" w14:textId="77777777" w:rsidR="00BA0E34" w:rsidRPr="00BA0E34" w:rsidRDefault="00BA0E34" w:rsidP="00F20B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E34">
              <w:rPr>
                <w:rFonts w:ascii="Arial" w:hAnsi="Arial" w:cs="Arial"/>
                <w:b/>
                <w:sz w:val="20"/>
                <w:szCs w:val="20"/>
              </w:rPr>
              <w:t>Votes Total</w:t>
            </w:r>
          </w:p>
        </w:tc>
      </w:tr>
      <w:tr w:rsidR="00BA0E34" w:rsidRPr="00BA0E34" w14:paraId="42C8895A" w14:textId="77777777" w:rsidTr="00BA0E34">
        <w:tc>
          <w:tcPr>
            <w:tcW w:w="567" w:type="dxa"/>
            <w:tcBorders>
              <w:right w:val="nil"/>
            </w:tcBorders>
            <w:vAlign w:val="center"/>
          </w:tcPr>
          <w:p w14:paraId="216F0F10" w14:textId="77777777" w:rsidR="00BA0E34" w:rsidRPr="00BA0E34" w:rsidRDefault="00BA0E34" w:rsidP="00F20B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E3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left w:val="nil"/>
            </w:tcBorders>
          </w:tcPr>
          <w:p w14:paraId="3CA1AFA8" w14:textId="70E1A9F7" w:rsidR="00BA0E34" w:rsidRPr="00BA0E34" w:rsidRDefault="00BA0E34" w:rsidP="00F20B60">
            <w:pPr>
              <w:rPr>
                <w:rFonts w:ascii="Arial" w:hAnsi="Arial" w:cs="Arial"/>
                <w:sz w:val="20"/>
                <w:szCs w:val="20"/>
              </w:rPr>
            </w:pPr>
            <w:r w:rsidRPr="00BA0E34">
              <w:rPr>
                <w:rFonts w:ascii="Arial" w:hAnsi="Arial" w:cs="Arial"/>
                <w:sz w:val="20"/>
                <w:szCs w:val="20"/>
              </w:rPr>
              <w:t>Shareholders' Consent to the Migration</w:t>
            </w:r>
          </w:p>
        </w:tc>
        <w:tc>
          <w:tcPr>
            <w:tcW w:w="1617" w:type="dxa"/>
            <w:vAlign w:val="center"/>
          </w:tcPr>
          <w:p w14:paraId="21DC8784" w14:textId="72F13894" w:rsidR="00BA0E34" w:rsidRPr="00BA0E34" w:rsidRDefault="00E4737A" w:rsidP="00654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1,27</w:t>
            </w:r>
            <w:r w:rsidR="00654FE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654FE8">
              <w:rPr>
                <w:rFonts w:ascii="Arial" w:hAnsi="Arial" w:cs="Arial"/>
                <w:sz w:val="20"/>
                <w:szCs w:val="20"/>
              </w:rPr>
              <w:t>679</w:t>
            </w:r>
          </w:p>
        </w:tc>
        <w:tc>
          <w:tcPr>
            <w:tcW w:w="1559" w:type="dxa"/>
            <w:vAlign w:val="center"/>
          </w:tcPr>
          <w:p w14:paraId="2447915F" w14:textId="587D9AF7" w:rsidR="00BA0E34" w:rsidRPr="00BA0E34" w:rsidRDefault="00E4737A" w:rsidP="00F20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59" w:type="dxa"/>
            <w:vAlign w:val="center"/>
          </w:tcPr>
          <w:p w14:paraId="68A0A8C0" w14:textId="65AED14A" w:rsidR="00BA0E34" w:rsidRPr="00BA0E34" w:rsidRDefault="00E4737A" w:rsidP="00F20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7676B346" w14:textId="5EFF9FB5" w:rsidR="00BA0E34" w:rsidRPr="00BA0E34" w:rsidRDefault="00E4737A" w:rsidP="00654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1,27</w:t>
            </w:r>
            <w:r w:rsidR="00654FE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654FE8">
              <w:rPr>
                <w:rFonts w:ascii="Arial" w:hAnsi="Arial" w:cs="Arial"/>
                <w:sz w:val="20"/>
                <w:szCs w:val="20"/>
              </w:rPr>
              <w:t>701</w:t>
            </w:r>
          </w:p>
        </w:tc>
      </w:tr>
      <w:tr w:rsidR="00E4737A" w:rsidRPr="00BA0E34" w14:paraId="783C2CF8" w14:textId="77777777" w:rsidTr="00BA0E34">
        <w:tc>
          <w:tcPr>
            <w:tcW w:w="567" w:type="dxa"/>
            <w:tcBorders>
              <w:right w:val="nil"/>
            </w:tcBorders>
            <w:vAlign w:val="center"/>
          </w:tcPr>
          <w:p w14:paraId="1D363D2A" w14:textId="37962878" w:rsidR="00E4737A" w:rsidRPr="00BA0E34" w:rsidRDefault="00E4737A" w:rsidP="00E473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left w:val="nil"/>
            </w:tcBorders>
          </w:tcPr>
          <w:p w14:paraId="44D5463B" w14:textId="11D95C6A" w:rsidR="00E4737A" w:rsidRPr="00BA0E34" w:rsidRDefault="00E4737A" w:rsidP="00E4737A">
            <w:pPr>
              <w:rPr>
                <w:rFonts w:ascii="Arial" w:hAnsi="Arial" w:cs="Arial"/>
                <w:sz w:val="20"/>
                <w:szCs w:val="20"/>
              </w:rPr>
            </w:pPr>
            <w:r>
              <w:t>Approval and Adoption of Amended Articles of Association of the Company</w:t>
            </w:r>
          </w:p>
        </w:tc>
        <w:tc>
          <w:tcPr>
            <w:tcW w:w="1617" w:type="dxa"/>
            <w:vAlign w:val="center"/>
          </w:tcPr>
          <w:p w14:paraId="44F41455" w14:textId="1272D008" w:rsidR="00E4737A" w:rsidRPr="00BA0E34" w:rsidRDefault="00E4737A" w:rsidP="00654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1,27</w:t>
            </w:r>
            <w:r w:rsidR="00654FE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654FE8">
              <w:rPr>
                <w:rFonts w:ascii="Arial" w:hAnsi="Arial" w:cs="Arial"/>
                <w:sz w:val="20"/>
                <w:szCs w:val="20"/>
              </w:rPr>
              <w:t>679</w:t>
            </w:r>
          </w:p>
        </w:tc>
        <w:tc>
          <w:tcPr>
            <w:tcW w:w="1559" w:type="dxa"/>
            <w:vAlign w:val="center"/>
          </w:tcPr>
          <w:p w14:paraId="62BCE4FB" w14:textId="3B35BD5F" w:rsidR="00E4737A" w:rsidRPr="00BA0E34" w:rsidRDefault="00E4737A" w:rsidP="00E47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59" w:type="dxa"/>
            <w:vAlign w:val="center"/>
          </w:tcPr>
          <w:p w14:paraId="03A964CD" w14:textId="17AECAE4" w:rsidR="00E4737A" w:rsidRPr="00BA0E34" w:rsidRDefault="00E4737A" w:rsidP="00E47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48CCA5E" w14:textId="59AFCE21" w:rsidR="00E4737A" w:rsidRPr="00BA0E34" w:rsidRDefault="00E4737A" w:rsidP="00654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1,27</w:t>
            </w:r>
            <w:r w:rsidR="00654FE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654FE8">
              <w:rPr>
                <w:rFonts w:ascii="Arial" w:hAnsi="Arial" w:cs="Arial"/>
                <w:sz w:val="20"/>
                <w:szCs w:val="20"/>
              </w:rPr>
              <w:t>701</w:t>
            </w:r>
          </w:p>
        </w:tc>
      </w:tr>
      <w:tr w:rsidR="00E4737A" w:rsidRPr="00BA0E34" w14:paraId="21AF626F" w14:textId="77777777" w:rsidTr="00BA0E34">
        <w:tc>
          <w:tcPr>
            <w:tcW w:w="567" w:type="dxa"/>
            <w:tcBorders>
              <w:right w:val="nil"/>
            </w:tcBorders>
            <w:vAlign w:val="center"/>
          </w:tcPr>
          <w:p w14:paraId="341B7AC8" w14:textId="60601124" w:rsidR="00E4737A" w:rsidRDefault="00E4737A" w:rsidP="00E473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11" w:type="dxa"/>
            <w:tcBorders>
              <w:left w:val="nil"/>
            </w:tcBorders>
          </w:tcPr>
          <w:p w14:paraId="1D42289E" w14:textId="15DB0349" w:rsidR="00E4737A" w:rsidRDefault="00E4737A" w:rsidP="00E4737A">
            <w:r>
              <w:t>To give effect to aspects of the Migration</w:t>
            </w:r>
          </w:p>
        </w:tc>
        <w:tc>
          <w:tcPr>
            <w:tcW w:w="1617" w:type="dxa"/>
            <w:vAlign w:val="center"/>
          </w:tcPr>
          <w:p w14:paraId="0E1D06B3" w14:textId="71C19F96" w:rsidR="00E4737A" w:rsidRPr="00BA0E34" w:rsidRDefault="00E4737A" w:rsidP="00654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1,27</w:t>
            </w:r>
            <w:r w:rsidR="00654FE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654FE8">
              <w:rPr>
                <w:rFonts w:ascii="Arial" w:hAnsi="Arial" w:cs="Arial"/>
                <w:sz w:val="20"/>
                <w:szCs w:val="20"/>
              </w:rPr>
              <w:t>679</w:t>
            </w:r>
          </w:p>
        </w:tc>
        <w:tc>
          <w:tcPr>
            <w:tcW w:w="1559" w:type="dxa"/>
            <w:vAlign w:val="center"/>
          </w:tcPr>
          <w:p w14:paraId="0A96B794" w14:textId="76C0ABF2" w:rsidR="00E4737A" w:rsidRPr="00BA0E34" w:rsidRDefault="00E4737A" w:rsidP="00E47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59" w:type="dxa"/>
            <w:vAlign w:val="center"/>
          </w:tcPr>
          <w:p w14:paraId="530D653B" w14:textId="589148E4" w:rsidR="00E4737A" w:rsidRPr="00BA0E34" w:rsidRDefault="00E4737A" w:rsidP="00E47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3F178AD" w14:textId="4B38BA2D" w:rsidR="00E4737A" w:rsidRPr="00BA0E34" w:rsidRDefault="00E4737A" w:rsidP="00654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1,27</w:t>
            </w:r>
            <w:r w:rsidR="00654FE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654FE8">
              <w:rPr>
                <w:rFonts w:ascii="Arial" w:hAnsi="Arial" w:cs="Arial"/>
                <w:sz w:val="20"/>
                <w:szCs w:val="20"/>
              </w:rPr>
              <w:t>701</w:t>
            </w:r>
          </w:p>
        </w:tc>
      </w:tr>
    </w:tbl>
    <w:p w14:paraId="545B0E91" w14:textId="57D9CDF3" w:rsidR="002913A1" w:rsidRDefault="002913A1" w:rsidP="00050CE8">
      <w:pPr>
        <w:spacing w:line="253" w:lineRule="atLeast"/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</w:p>
    <w:p w14:paraId="59BEBCD1" w14:textId="1F7478F7" w:rsidR="001F2BB1" w:rsidRDefault="001F2BB1" w:rsidP="00050CE8">
      <w:pPr>
        <w:spacing w:line="253" w:lineRule="atLeast"/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  <w:r>
        <w:rPr>
          <w:rStyle w:val="A5"/>
          <w:rFonts w:ascii="Arial" w:eastAsia="Times New Roman" w:hAnsi="Arial" w:cs="Arial"/>
          <w:sz w:val="20"/>
          <w:szCs w:val="20"/>
          <w:lang w:eastAsia="en-IE"/>
        </w:rPr>
        <w:t>Resolutions one and two were special resolutions and resolution three, an ordinary resolution.</w:t>
      </w:r>
    </w:p>
    <w:p w14:paraId="292B1F10" w14:textId="77777777" w:rsidR="00050CE8" w:rsidRPr="00AF7A5C" w:rsidRDefault="00050CE8" w:rsidP="00050CE8">
      <w:pPr>
        <w:spacing w:line="253" w:lineRule="atLeast"/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</w:p>
    <w:p w14:paraId="5E6A2947" w14:textId="77777777" w:rsidR="006B679A" w:rsidRPr="00AF7A5C" w:rsidRDefault="006B679A" w:rsidP="00C97AA6">
      <w:pPr>
        <w:pStyle w:val="Default"/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</w:p>
    <w:p w14:paraId="093962C0" w14:textId="77777777" w:rsidR="00423751" w:rsidRPr="00423751" w:rsidRDefault="00423751" w:rsidP="00423751">
      <w:pPr>
        <w:spacing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375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Enquiries:</w:t>
      </w:r>
    </w:p>
    <w:p w14:paraId="798E0EBA" w14:textId="77777777" w:rsidR="00423751" w:rsidRPr="00423751" w:rsidRDefault="00423751" w:rsidP="00867C5B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652"/>
        <w:gridCol w:w="3252"/>
      </w:tblGrid>
      <w:tr w:rsidR="00D4379D" w:rsidRPr="00423751" w14:paraId="4C58A61F" w14:textId="77777777" w:rsidTr="00423751">
        <w:trPr>
          <w:trHeight w:val="98"/>
        </w:trPr>
        <w:tc>
          <w:tcPr>
            <w:tcW w:w="6904" w:type="dxa"/>
            <w:gridSpan w:val="2"/>
          </w:tcPr>
          <w:p w14:paraId="59D7F180" w14:textId="77777777" w:rsidR="00D4379D" w:rsidRPr="00423751" w:rsidRDefault="00F173F7" w:rsidP="00D437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3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Donegal Investment Group</w:t>
            </w:r>
            <w:r w:rsidR="00D4379D" w:rsidRPr="00423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plc </w:t>
            </w:r>
          </w:p>
        </w:tc>
      </w:tr>
      <w:tr w:rsidR="00D4379D" w:rsidRPr="00423751" w14:paraId="160F4BCC" w14:textId="77777777" w:rsidTr="00423751">
        <w:trPr>
          <w:trHeight w:val="100"/>
        </w:trPr>
        <w:tc>
          <w:tcPr>
            <w:tcW w:w="3652" w:type="dxa"/>
          </w:tcPr>
          <w:p w14:paraId="7FE9DF4E" w14:textId="77777777" w:rsidR="00D4379D" w:rsidRPr="00423751" w:rsidRDefault="00F173F7" w:rsidP="00D437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3751">
              <w:rPr>
                <w:rFonts w:ascii="Arial" w:hAnsi="Arial" w:cs="Arial"/>
                <w:color w:val="000000"/>
                <w:sz w:val="20"/>
                <w:szCs w:val="20"/>
              </w:rPr>
              <w:t>Padraic Lenehan</w:t>
            </w:r>
            <w:r w:rsidR="00D4379D" w:rsidRPr="0042375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423751">
              <w:rPr>
                <w:rFonts w:ascii="Arial" w:hAnsi="Arial" w:cs="Arial"/>
                <w:color w:val="000000"/>
                <w:sz w:val="20"/>
                <w:szCs w:val="20"/>
              </w:rPr>
              <w:t>Finance Director</w:t>
            </w:r>
            <w:r w:rsidR="00D4379D" w:rsidRPr="004237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</w:tcPr>
          <w:p w14:paraId="4A28B0B1" w14:textId="77777777" w:rsidR="00D4379D" w:rsidRPr="00423751" w:rsidRDefault="00D4379D" w:rsidP="00D437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3751">
              <w:rPr>
                <w:rFonts w:ascii="Arial" w:hAnsi="Arial" w:cs="Arial"/>
                <w:color w:val="000000"/>
                <w:sz w:val="20"/>
                <w:szCs w:val="20"/>
              </w:rPr>
              <w:t>Tel: +353</w:t>
            </w:r>
            <w:r w:rsidR="00F173F7" w:rsidRPr="00423751">
              <w:rPr>
                <w:rFonts w:ascii="Arial" w:hAnsi="Arial" w:cs="Arial"/>
                <w:color w:val="000000"/>
                <w:sz w:val="20"/>
                <w:szCs w:val="20"/>
              </w:rPr>
              <w:t>749121766</w:t>
            </w:r>
            <w:r w:rsidRPr="00423751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423751" w:rsidRPr="00423751" w14:paraId="3977C08B" w14:textId="77777777" w:rsidTr="00423751">
        <w:trPr>
          <w:trHeight w:val="100"/>
        </w:trPr>
        <w:tc>
          <w:tcPr>
            <w:tcW w:w="3652" w:type="dxa"/>
          </w:tcPr>
          <w:p w14:paraId="63DB8E40" w14:textId="77777777" w:rsidR="00423751" w:rsidRPr="00423751" w:rsidRDefault="00423751" w:rsidP="00D437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2" w:type="dxa"/>
          </w:tcPr>
          <w:p w14:paraId="78ED0F7A" w14:textId="77777777" w:rsidR="00423751" w:rsidRPr="00423751" w:rsidRDefault="00423751" w:rsidP="00D437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379D" w:rsidRPr="00423751" w14:paraId="3DB62D80" w14:textId="77777777" w:rsidTr="00423751">
        <w:trPr>
          <w:trHeight w:val="98"/>
        </w:trPr>
        <w:tc>
          <w:tcPr>
            <w:tcW w:w="6904" w:type="dxa"/>
            <w:gridSpan w:val="2"/>
          </w:tcPr>
          <w:p w14:paraId="42226CD6" w14:textId="2272A786" w:rsidR="00423751" w:rsidRPr="00423751" w:rsidRDefault="00970FF2" w:rsidP="00D437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Investec Europe Limited</w:t>
            </w:r>
          </w:p>
        </w:tc>
      </w:tr>
      <w:tr w:rsidR="00D4379D" w:rsidRPr="00423751" w14:paraId="7A042987" w14:textId="77777777" w:rsidTr="00423751">
        <w:trPr>
          <w:trHeight w:val="100"/>
        </w:trPr>
        <w:tc>
          <w:tcPr>
            <w:tcW w:w="3652" w:type="dxa"/>
          </w:tcPr>
          <w:p w14:paraId="10FC6696" w14:textId="77777777" w:rsidR="00D4379D" w:rsidRPr="00423751" w:rsidRDefault="00423751" w:rsidP="00D437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3751">
              <w:rPr>
                <w:rFonts w:ascii="Arial" w:hAnsi="Arial" w:cs="Arial"/>
                <w:color w:val="000000"/>
                <w:sz w:val="20"/>
                <w:szCs w:val="20"/>
              </w:rPr>
              <w:t>Jonathan Simmons, Director</w:t>
            </w:r>
          </w:p>
        </w:tc>
        <w:tc>
          <w:tcPr>
            <w:tcW w:w="3252" w:type="dxa"/>
          </w:tcPr>
          <w:p w14:paraId="3DF84F3A" w14:textId="15014F5D" w:rsidR="00D4379D" w:rsidRPr="00423751" w:rsidRDefault="00423751" w:rsidP="00571D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3751">
              <w:rPr>
                <w:rFonts w:ascii="Arial" w:hAnsi="Arial" w:cs="Arial"/>
                <w:color w:val="000000"/>
                <w:sz w:val="20"/>
                <w:szCs w:val="20"/>
              </w:rPr>
              <w:t>Tel: +</w:t>
            </w:r>
            <w:r w:rsidR="00571DCB" w:rsidRPr="00423751">
              <w:rPr>
                <w:rFonts w:ascii="Arial" w:hAnsi="Arial" w:cs="Arial"/>
                <w:color w:val="000000"/>
                <w:sz w:val="20"/>
                <w:szCs w:val="20"/>
              </w:rPr>
              <w:t>3531</w:t>
            </w:r>
            <w:r w:rsidR="00571DCB">
              <w:rPr>
                <w:rFonts w:ascii="Arial" w:hAnsi="Arial" w:cs="Arial"/>
                <w:color w:val="000000"/>
                <w:sz w:val="20"/>
                <w:szCs w:val="20"/>
              </w:rPr>
              <w:t>4210000</w:t>
            </w:r>
          </w:p>
        </w:tc>
      </w:tr>
    </w:tbl>
    <w:p w14:paraId="0CBA087F" w14:textId="77777777" w:rsidR="00662839" w:rsidRPr="00ED0E41" w:rsidRDefault="00662839" w:rsidP="00867C5B">
      <w:pPr>
        <w:pStyle w:val="Default"/>
        <w:rPr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37"/>
        <w:gridCol w:w="3337"/>
      </w:tblGrid>
      <w:tr w:rsidR="00D4379D" w:rsidRPr="00ED0E41" w14:paraId="7A9C01BD" w14:textId="77777777">
        <w:trPr>
          <w:trHeight w:val="98"/>
        </w:trPr>
        <w:tc>
          <w:tcPr>
            <w:tcW w:w="6674" w:type="dxa"/>
            <w:gridSpan w:val="2"/>
          </w:tcPr>
          <w:p w14:paraId="57E4ABB4" w14:textId="77777777" w:rsidR="00D4379D" w:rsidRPr="00ED0E41" w:rsidRDefault="00D4379D" w:rsidP="00D437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</w:tr>
      <w:tr w:rsidR="00D4379D" w:rsidRPr="00ED0E41" w14:paraId="25CFC899" w14:textId="77777777" w:rsidTr="00F173F7">
        <w:trPr>
          <w:trHeight w:val="89"/>
        </w:trPr>
        <w:tc>
          <w:tcPr>
            <w:tcW w:w="3337" w:type="dxa"/>
          </w:tcPr>
          <w:p w14:paraId="4DFB9856" w14:textId="77777777" w:rsidR="00D4379D" w:rsidRPr="00ED0E41" w:rsidRDefault="00D4379D" w:rsidP="00D437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37" w:type="dxa"/>
          </w:tcPr>
          <w:p w14:paraId="480FEBA4" w14:textId="77777777" w:rsidR="00D4379D" w:rsidRPr="00ED0E41" w:rsidRDefault="00D4379D" w:rsidP="00D437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D0E41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14:paraId="2F4F5D24" w14:textId="77777777" w:rsidR="00D4379D" w:rsidRPr="003219D1" w:rsidRDefault="00D4379D" w:rsidP="00867C5B">
      <w:pPr>
        <w:pStyle w:val="Default"/>
        <w:rPr>
          <w:sz w:val="20"/>
          <w:szCs w:val="20"/>
        </w:rPr>
      </w:pPr>
    </w:p>
    <w:sectPr w:rsidR="00D4379D" w:rsidRPr="00321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05F01" w14:textId="77777777" w:rsidR="00030DA3" w:rsidRDefault="00030DA3" w:rsidP="00F133FC">
      <w:r>
        <w:separator/>
      </w:r>
    </w:p>
  </w:endnote>
  <w:endnote w:type="continuationSeparator" w:id="0">
    <w:p w14:paraId="6EB2D62A" w14:textId="77777777" w:rsidR="00030DA3" w:rsidRDefault="00030DA3" w:rsidP="00F1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AA999" w14:textId="77777777" w:rsidR="00030DA3" w:rsidRDefault="00030DA3" w:rsidP="00F133FC">
      <w:r>
        <w:separator/>
      </w:r>
    </w:p>
  </w:footnote>
  <w:footnote w:type="continuationSeparator" w:id="0">
    <w:p w14:paraId="4307CF54" w14:textId="77777777" w:rsidR="00030DA3" w:rsidRDefault="00030DA3" w:rsidP="00F13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912522"/>
    <w:multiLevelType w:val="hybridMultilevel"/>
    <w:tmpl w:val="F957B1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A52242"/>
    <w:multiLevelType w:val="hybridMultilevel"/>
    <w:tmpl w:val="BE9DE1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DE3C04"/>
    <w:multiLevelType w:val="hybridMultilevel"/>
    <w:tmpl w:val="46409B2E"/>
    <w:lvl w:ilvl="0" w:tplc="CC58F83C">
      <w:numFmt w:val="bullet"/>
      <w:lvlText w:val="·"/>
      <w:lvlJc w:val="left"/>
      <w:pPr>
        <w:ind w:left="795" w:hanging="435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67365"/>
    <w:multiLevelType w:val="hybridMultilevel"/>
    <w:tmpl w:val="64E640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516B3"/>
    <w:multiLevelType w:val="hybridMultilevel"/>
    <w:tmpl w:val="0EAAD7C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EB6782"/>
    <w:rsid w:val="00001E62"/>
    <w:rsid w:val="00011352"/>
    <w:rsid w:val="00030DA3"/>
    <w:rsid w:val="000456A1"/>
    <w:rsid w:val="00050CE8"/>
    <w:rsid w:val="00067351"/>
    <w:rsid w:val="00074433"/>
    <w:rsid w:val="000A4044"/>
    <w:rsid w:val="000A6D40"/>
    <w:rsid w:val="000B5232"/>
    <w:rsid w:val="000B734D"/>
    <w:rsid w:val="000C23E8"/>
    <w:rsid w:val="000C3E4A"/>
    <w:rsid w:val="000C645C"/>
    <w:rsid w:val="001100EF"/>
    <w:rsid w:val="00113997"/>
    <w:rsid w:val="00122EE1"/>
    <w:rsid w:val="001369D6"/>
    <w:rsid w:val="00162B27"/>
    <w:rsid w:val="00184AC8"/>
    <w:rsid w:val="001911A9"/>
    <w:rsid w:val="001967C2"/>
    <w:rsid w:val="001C3895"/>
    <w:rsid w:val="001E5000"/>
    <w:rsid w:val="001F2BB1"/>
    <w:rsid w:val="001F3E46"/>
    <w:rsid w:val="002055B2"/>
    <w:rsid w:val="002151ED"/>
    <w:rsid w:val="00221FF9"/>
    <w:rsid w:val="00222E75"/>
    <w:rsid w:val="00224CF0"/>
    <w:rsid w:val="002261B0"/>
    <w:rsid w:val="002367AB"/>
    <w:rsid w:val="0025224E"/>
    <w:rsid w:val="00255EE1"/>
    <w:rsid w:val="0025767F"/>
    <w:rsid w:val="00264FA6"/>
    <w:rsid w:val="00277AC5"/>
    <w:rsid w:val="002913A1"/>
    <w:rsid w:val="00292002"/>
    <w:rsid w:val="002951DF"/>
    <w:rsid w:val="002C3D8B"/>
    <w:rsid w:val="002D0D7B"/>
    <w:rsid w:val="002D285D"/>
    <w:rsid w:val="002D491E"/>
    <w:rsid w:val="002F0C62"/>
    <w:rsid w:val="002F7201"/>
    <w:rsid w:val="003028BE"/>
    <w:rsid w:val="003219D1"/>
    <w:rsid w:val="00326CBD"/>
    <w:rsid w:val="003308A4"/>
    <w:rsid w:val="003608B8"/>
    <w:rsid w:val="00375958"/>
    <w:rsid w:val="003960B9"/>
    <w:rsid w:val="003A0362"/>
    <w:rsid w:val="003A30DD"/>
    <w:rsid w:val="003B0623"/>
    <w:rsid w:val="003B0BB6"/>
    <w:rsid w:val="003B2B97"/>
    <w:rsid w:val="003B60EA"/>
    <w:rsid w:val="003C2F1C"/>
    <w:rsid w:val="003E1844"/>
    <w:rsid w:val="00401FBB"/>
    <w:rsid w:val="004054E9"/>
    <w:rsid w:val="00423751"/>
    <w:rsid w:val="00433B52"/>
    <w:rsid w:val="00451B4E"/>
    <w:rsid w:val="00480A01"/>
    <w:rsid w:val="00497BCA"/>
    <w:rsid w:val="004C65F3"/>
    <w:rsid w:val="004F03FB"/>
    <w:rsid w:val="004F4159"/>
    <w:rsid w:val="004F58C9"/>
    <w:rsid w:val="0050705C"/>
    <w:rsid w:val="00512CF2"/>
    <w:rsid w:val="005154F7"/>
    <w:rsid w:val="00517381"/>
    <w:rsid w:val="00536F0D"/>
    <w:rsid w:val="00541176"/>
    <w:rsid w:val="00562E83"/>
    <w:rsid w:val="00571DCB"/>
    <w:rsid w:val="005A15D4"/>
    <w:rsid w:val="005A2E0B"/>
    <w:rsid w:val="005C3AD3"/>
    <w:rsid w:val="005C7996"/>
    <w:rsid w:val="005E42B5"/>
    <w:rsid w:val="005F3D29"/>
    <w:rsid w:val="00631FFF"/>
    <w:rsid w:val="00650DFD"/>
    <w:rsid w:val="00654FE8"/>
    <w:rsid w:val="00655EA0"/>
    <w:rsid w:val="00662839"/>
    <w:rsid w:val="00676AF4"/>
    <w:rsid w:val="0069144D"/>
    <w:rsid w:val="006A1BD5"/>
    <w:rsid w:val="006A2ADE"/>
    <w:rsid w:val="006A37AC"/>
    <w:rsid w:val="006B679A"/>
    <w:rsid w:val="006C1323"/>
    <w:rsid w:val="006C2B09"/>
    <w:rsid w:val="006D6DA9"/>
    <w:rsid w:val="006E6BFC"/>
    <w:rsid w:val="006E6E09"/>
    <w:rsid w:val="006F2D9A"/>
    <w:rsid w:val="00712E51"/>
    <w:rsid w:val="00722BFB"/>
    <w:rsid w:val="007326C7"/>
    <w:rsid w:val="00735228"/>
    <w:rsid w:val="00765E6C"/>
    <w:rsid w:val="007662F7"/>
    <w:rsid w:val="0077086E"/>
    <w:rsid w:val="007739CD"/>
    <w:rsid w:val="0077459D"/>
    <w:rsid w:val="00776A1B"/>
    <w:rsid w:val="00780B36"/>
    <w:rsid w:val="0078451A"/>
    <w:rsid w:val="007902E5"/>
    <w:rsid w:val="007C0844"/>
    <w:rsid w:val="007C7817"/>
    <w:rsid w:val="007D4771"/>
    <w:rsid w:val="007D558D"/>
    <w:rsid w:val="007D6A7B"/>
    <w:rsid w:val="008034CE"/>
    <w:rsid w:val="00820E51"/>
    <w:rsid w:val="00821516"/>
    <w:rsid w:val="00853598"/>
    <w:rsid w:val="00867C5B"/>
    <w:rsid w:val="008708BE"/>
    <w:rsid w:val="00870E47"/>
    <w:rsid w:val="00895D61"/>
    <w:rsid w:val="008A435A"/>
    <w:rsid w:val="008B7FCB"/>
    <w:rsid w:val="008C0EBC"/>
    <w:rsid w:val="008C4DCC"/>
    <w:rsid w:val="008E0971"/>
    <w:rsid w:val="008F1D93"/>
    <w:rsid w:val="008F6851"/>
    <w:rsid w:val="009051B5"/>
    <w:rsid w:val="0090543B"/>
    <w:rsid w:val="00910FB8"/>
    <w:rsid w:val="0091676C"/>
    <w:rsid w:val="00932421"/>
    <w:rsid w:val="00932684"/>
    <w:rsid w:val="009400FB"/>
    <w:rsid w:val="00955AE4"/>
    <w:rsid w:val="00970FF2"/>
    <w:rsid w:val="00981ECD"/>
    <w:rsid w:val="009A71C1"/>
    <w:rsid w:val="009A7234"/>
    <w:rsid w:val="009C1295"/>
    <w:rsid w:val="009D174F"/>
    <w:rsid w:val="009F1BA3"/>
    <w:rsid w:val="00A110EB"/>
    <w:rsid w:val="00A11DE3"/>
    <w:rsid w:val="00A12381"/>
    <w:rsid w:val="00A230D5"/>
    <w:rsid w:val="00A26B7E"/>
    <w:rsid w:val="00A26F5C"/>
    <w:rsid w:val="00A30128"/>
    <w:rsid w:val="00A3371E"/>
    <w:rsid w:val="00A512D9"/>
    <w:rsid w:val="00A6752F"/>
    <w:rsid w:val="00A742A6"/>
    <w:rsid w:val="00A86CCC"/>
    <w:rsid w:val="00AC0BE6"/>
    <w:rsid w:val="00AC1B5B"/>
    <w:rsid w:val="00AC34E4"/>
    <w:rsid w:val="00AF3022"/>
    <w:rsid w:val="00AF7A5C"/>
    <w:rsid w:val="00B07A6D"/>
    <w:rsid w:val="00B07C95"/>
    <w:rsid w:val="00B162FF"/>
    <w:rsid w:val="00B17A9F"/>
    <w:rsid w:val="00B306C9"/>
    <w:rsid w:val="00B44E78"/>
    <w:rsid w:val="00B573F1"/>
    <w:rsid w:val="00B66ACD"/>
    <w:rsid w:val="00B70DAD"/>
    <w:rsid w:val="00B72775"/>
    <w:rsid w:val="00B77575"/>
    <w:rsid w:val="00B94024"/>
    <w:rsid w:val="00B97670"/>
    <w:rsid w:val="00BA0E34"/>
    <w:rsid w:val="00BA68F5"/>
    <w:rsid w:val="00BE08AC"/>
    <w:rsid w:val="00BE7B19"/>
    <w:rsid w:val="00BF6F44"/>
    <w:rsid w:val="00C10030"/>
    <w:rsid w:val="00C16652"/>
    <w:rsid w:val="00C20D4C"/>
    <w:rsid w:val="00C33562"/>
    <w:rsid w:val="00C3381C"/>
    <w:rsid w:val="00C61AB7"/>
    <w:rsid w:val="00C61B01"/>
    <w:rsid w:val="00C637A7"/>
    <w:rsid w:val="00C73AF7"/>
    <w:rsid w:val="00C87E1B"/>
    <w:rsid w:val="00C914D1"/>
    <w:rsid w:val="00C97AA6"/>
    <w:rsid w:val="00CC19BF"/>
    <w:rsid w:val="00CC334D"/>
    <w:rsid w:val="00CD22B6"/>
    <w:rsid w:val="00CE0878"/>
    <w:rsid w:val="00CE22E3"/>
    <w:rsid w:val="00CF2C58"/>
    <w:rsid w:val="00D10BA4"/>
    <w:rsid w:val="00D12661"/>
    <w:rsid w:val="00D12E63"/>
    <w:rsid w:val="00D1697B"/>
    <w:rsid w:val="00D26C6B"/>
    <w:rsid w:val="00D373D6"/>
    <w:rsid w:val="00D4192D"/>
    <w:rsid w:val="00D4379D"/>
    <w:rsid w:val="00D471E1"/>
    <w:rsid w:val="00D51DD3"/>
    <w:rsid w:val="00D7412A"/>
    <w:rsid w:val="00D8341E"/>
    <w:rsid w:val="00D8628D"/>
    <w:rsid w:val="00D87B4D"/>
    <w:rsid w:val="00D90662"/>
    <w:rsid w:val="00D96CBB"/>
    <w:rsid w:val="00DA4908"/>
    <w:rsid w:val="00DA670C"/>
    <w:rsid w:val="00DB169A"/>
    <w:rsid w:val="00DB75DA"/>
    <w:rsid w:val="00DC3A97"/>
    <w:rsid w:val="00DD0372"/>
    <w:rsid w:val="00DF52D0"/>
    <w:rsid w:val="00E22A57"/>
    <w:rsid w:val="00E342C2"/>
    <w:rsid w:val="00E34F8C"/>
    <w:rsid w:val="00E35BB7"/>
    <w:rsid w:val="00E4737A"/>
    <w:rsid w:val="00E61C8C"/>
    <w:rsid w:val="00E62081"/>
    <w:rsid w:val="00E92BF2"/>
    <w:rsid w:val="00EB6782"/>
    <w:rsid w:val="00EC5669"/>
    <w:rsid w:val="00ED0E41"/>
    <w:rsid w:val="00ED1C41"/>
    <w:rsid w:val="00ED53DB"/>
    <w:rsid w:val="00EF3307"/>
    <w:rsid w:val="00F133FC"/>
    <w:rsid w:val="00F173F7"/>
    <w:rsid w:val="00F21036"/>
    <w:rsid w:val="00F25C7A"/>
    <w:rsid w:val="00F30F4E"/>
    <w:rsid w:val="00F3346E"/>
    <w:rsid w:val="00F35FC6"/>
    <w:rsid w:val="00F655B3"/>
    <w:rsid w:val="00F65C41"/>
    <w:rsid w:val="00F74AFE"/>
    <w:rsid w:val="00F9566B"/>
    <w:rsid w:val="00FB5C9D"/>
    <w:rsid w:val="00FE60C9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56AC06D"/>
  <w15:docId w15:val="{2B38A10B-C9DD-4E7D-9DC7-2FF354D5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78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6782"/>
    <w:rPr>
      <w:color w:val="0563C1"/>
      <w:u w:val="single"/>
    </w:rPr>
  </w:style>
  <w:style w:type="paragraph" w:customStyle="1" w:styleId="bw">
    <w:name w:val="bw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bx">
    <w:name w:val="bx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ca">
    <w:name w:val="ca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cb">
    <w:name w:val="cb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cc">
    <w:name w:val="cc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bt">
    <w:name w:val="bt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bv">
    <w:name w:val="bv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bz">
    <w:name w:val="bz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cd">
    <w:name w:val="cd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cg">
    <w:name w:val="cg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character" w:customStyle="1" w:styleId="bp">
    <w:name w:val="bp"/>
    <w:basedOn w:val="DefaultParagraphFont"/>
    <w:rsid w:val="00EB6782"/>
  </w:style>
  <w:style w:type="character" w:customStyle="1" w:styleId="bn">
    <w:name w:val="bn"/>
    <w:basedOn w:val="DefaultParagraphFont"/>
    <w:rsid w:val="00EB6782"/>
  </w:style>
  <w:style w:type="character" w:customStyle="1" w:styleId="bg">
    <w:name w:val="bg"/>
    <w:basedOn w:val="DefaultParagraphFont"/>
    <w:rsid w:val="00EB6782"/>
  </w:style>
  <w:style w:type="character" w:customStyle="1" w:styleId="br">
    <w:name w:val="br"/>
    <w:basedOn w:val="DefaultParagraphFont"/>
    <w:rsid w:val="00EB6782"/>
  </w:style>
  <w:style w:type="character" w:customStyle="1" w:styleId="bl">
    <w:name w:val="bl"/>
    <w:basedOn w:val="DefaultParagraphFont"/>
    <w:rsid w:val="00EB6782"/>
  </w:style>
  <w:style w:type="character" w:customStyle="1" w:styleId="bj">
    <w:name w:val="bj"/>
    <w:basedOn w:val="DefaultParagraphFont"/>
    <w:rsid w:val="00EB6782"/>
  </w:style>
  <w:style w:type="character" w:customStyle="1" w:styleId="bh">
    <w:name w:val="bh"/>
    <w:basedOn w:val="DefaultParagraphFont"/>
    <w:rsid w:val="00EB6782"/>
  </w:style>
  <w:style w:type="character" w:customStyle="1" w:styleId="ce">
    <w:name w:val="ce"/>
    <w:basedOn w:val="DefaultParagraphFont"/>
    <w:rsid w:val="00EB6782"/>
  </w:style>
  <w:style w:type="character" w:customStyle="1" w:styleId="ch">
    <w:name w:val="ch"/>
    <w:basedOn w:val="DefaultParagraphFont"/>
    <w:rsid w:val="00EB6782"/>
  </w:style>
  <w:style w:type="character" w:customStyle="1" w:styleId="ci">
    <w:name w:val="ci"/>
    <w:basedOn w:val="DefaultParagraphFont"/>
    <w:rsid w:val="00EB6782"/>
  </w:style>
  <w:style w:type="paragraph" w:customStyle="1" w:styleId="Pa1">
    <w:name w:val="Pa1"/>
    <w:basedOn w:val="Normal"/>
    <w:next w:val="Normal"/>
    <w:uiPriority w:val="99"/>
    <w:rsid w:val="00EB6782"/>
    <w:pPr>
      <w:autoSpaceDE w:val="0"/>
      <w:autoSpaceDN w:val="0"/>
      <w:adjustRightInd w:val="0"/>
      <w:spacing w:line="241" w:lineRule="atLeast"/>
    </w:pPr>
    <w:rPr>
      <w:rFonts w:ascii="Times New Roman" w:hAnsi="Times New Roman"/>
      <w:sz w:val="24"/>
      <w:szCs w:val="24"/>
    </w:rPr>
  </w:style>
  <w:style w:type="character" w:customStyle="1" w:styleId="A5">
    <w:name w:val="A5"/>
    <w:uiPriority w:val="99"/>
    <w:rsid w:val="00EB6782"/>
    <w:rPr>
      <w:color w:val="000000"/>
      <w:sz w:val="22"/>
      <w:szCs w:val="22"/>
    </w:rPr>
  </w:style>
  <w:style w:type="paragraph" w:customStyle="1" w:styleId="Pa11">
    <w:name w:val="Pa11"/>
    <w:basedOn w:val="Normal"/>
    <w:next w:val="Normal"/>
    <w:uiPriority w:val="99"/>
    <w:rsid w:val="00EB6782"/>
    <w:pPr>
      <w:autoSpaceDE w:val="0"/>
      <w:autoSpaceDN w:val="0"/>
      <w:adjustRightInd w:val="0"/>
      <w:spacing w:line="241" w:lineRule="atLeast"/>
    </w:pPr>
    <w:rPr>
      <w:rFonts w:ascii="Times New Roman" w:hAnsi="Times New Roman"/>
      <w:sz w:val="24"/>
      <w:szCs w:val="24"/>
    </w:rPr>
  </w:style>
  <w:style w:type="paragraph" w:customStyle="1" w:styleId="fn">
    <w:name w:val="fn"/>
    <w:basedOn w:val="Normal"/>
    <w:rsid w:val="00EB678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A6">
    <w:name w:val="A6"/>
    <w:uiPriority w:val="99"/>
    <w:rsid w:val="00FE60C9"/>
    <w:rPr>
      <w:color w:val="000000"/>
      <w:sz w:val="22"/>
      <w:szCs w:val="22"/>
    </w:rPr>
  </w:style>
  <w:style w:type="paragraph" w:customStyle="1" w:styleId="Pa14">
    <w:name w:val="Pa14"/>
    <w:basedOn w:val="Normal"/>
    <w:next w:val="Normal"/>
    <w:uiPriority w:val="99"/>
    <w:rsid w:val="00FE60C9"/>
    <w:pPr>
      <w:autoSpaceDE w:val="0"/>
      <w:autoSpaceDN w:val="0"/>
      <w:adjustRightInd w:val="0"/>
      <w:spacing w:line="241" w:lineRule="atLeast"/>
    </w:pPr>
    <w:rPr>
      <w:rFonts w:ascii="Times New Roman" w:hAnsi="Times New Roman"/>
      <w:sz w:val="24"/>
      <w:szCs w:val="24"/>
    </w:rPr>
  </w:style>
  <w:style w:type="paragraph" w:customStyle="1" w:styleId="fo">
    <w:name w:val="fo"/>
    <w:basedOn w:val="Normal"/>
    <w:rsid w:val="00FE60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IE"/>
    </w:rPr>
  </w:style>
  <w:style w:type="paragraph" w:customStyle="1" w:styleId="fp">
    <w:name w:val="fp"/>
    <w:basedOn w:val="Normal"/>
    <w:rsid w:val="00FE60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IE"/>
    </w:rPr>
  </w:style>
  <w:style w:type="paragraph" w:customStyle="1" w:styleId="Default">
    <w:name w:val="Default"/>
    <w:rsid w:val="007D6A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7D6A7B"/>
    <w:pPr>
      <w:spacing w:line="24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7D6A7B"/>
    <w:pPr>
      <w:spacing w:line="241" w:lineRule="atLeast"/>
    </w:pPr>
    <w:rPr>
      <w:color w:val="auto"/>
    </w:rPr>
  </w:style>
  <w:style w:type="table" w:styleId="TableGrid">
    <w:name w:val="Table Grid"/>
    <w:basedOn w:val="TableNormal"/>
    <w:uiPriority w:val="39"/>
    <w:rsid w:val="003219D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A7"/>
    <w:uiPriority w:val="99"/>
    <w:rsid w:val="00D10BA4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F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F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3A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3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3F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133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3FC"/>
    <w:rPr>
      <w:rFonts w:ascii="Calibri" w:hAnsi="Calibri" w:cs="Times New Roman"/>
    </w:rPr>
  </w:style>
  <w:style w:type="paragraph" w:customStyle="1" w:styleId="Pa3">
    <w:name w:val="Pa3"/>
    <w:basedOn w:val="Default"/>
    <w:next w:val="Default"/>
    <w:uiPriority w:val="99"/>
    <w:rsid w:val="00F173F7"/>
    <w:pPr>
      <w:spacing w:line="24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292002"/>
    <w:pPr>
      <w:spacing w:before="100" w:beforeAutospacing="1" w:after="225"/>
    </w:pPr>
    <w:rPr>
      <w:rFonts w:ascii="Times New Roman" w:eastAsia="Times New Roman" w:hAnsi="Times New Roman"/>
      <w:sz w:val="24"/>
      <w:szCs w:val="24"/>
      <w:lang w:eastAsia="en-IE"/>
    </w:rPr>
  </w:style>
  <w:style w:type="paragraph" w:customStyle="1" w:styleId="ACBody1">
    <w:name w:val="AC Body 1"/>
    <w:basedOn w:val="Normal"/>
    <w:uiPriority w:val="99"/>
    <w:rsid w:val="007D558D"/>
    <w:pPr>
      <w:adjustRightInd w:val="0"/>
      <w:spacing w:after="220"/>
      <w:ind w:left="720"/>
      <w:jc w:val="both"/>
    </w:pPr>
    <w:rPr>
      <w:rFonts w:ascii="Times New Roman" w:eastAsia="Times New Roman" w:hAnsi="Times New Roman"/>
      <w:lang w:eastAsia="en-IE"/>
    </w:rPr>
  </w:style>
  <w:style w:type="paragraph" w:styleId="PlainText">
    <w:name w:val="Plain Text"/>
    <w:basedOn w:val="Normal"/>
    <w:link w:val="PlainTextChar"/>
    <w:uiPriority w:val="99"/>
    <w:unhideWhenUsed/>
    <w:rsid w:val="00AF7A5C"/>
    <w:rPr>
      <w:rFonts w:ascii="Courier New" w:hAnsi="Courier New" w:cs="Courier New"/>
      <w:sz w:val="20"/>
      <w:szCs w:val="20"/>
      <w:lang w:eastAsia="en-IE"/>
    </w:rPr>
  </w:style>
  <w:style w:type="character" w:customStyle="1" w:styleId="PlainTextChar">
    <w:name w:val="Plain Text Char"/>
    <w:basedOn w:val="DefaultParagraphFont"/>
    <w:link w:val="PlainText"/>
    <w:uiPriority w:val="99"/>
    <w:rsid w:val="00AF7A5C"/>
    <w:rPr>
      <w:rFonts w:ascii="Courier New" w:hAnsi="Courier New" w:cs="Courier New"/>
      <w:sz w:val="20"/>
      <w:szCs w:val="20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3B0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B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BB6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BB6"/>
    <w:rPr>
      <w:rFonts w:ascii="Calibri" w:hAnsi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3A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A97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3A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0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540814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0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4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64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2021-02-10T12:11:52+00:00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8F6D98BE-F015-4B95-AA11-F027A72C02BE}"/>
</file>

<file path=customXml/itemProps2.xml><?xml version="1.0" encoding="utf-8"?>
<ds:datastoreItem xmlns:ds="http://schemas.openxmlformats.org/officeDocument/2006/customXml" ds:itemID="{51A82BB2-B1CE-4187-ACD9-9CB5B1809616}"/>
</file>

<file path=customXml/itemProps3.xml><?xml version="1.0" encoding="utf-8"?>
<ds:datastoreItem xmlns:ds="http://schemas.openxmlformats.org/officeDocument/2006/customXml" ds:itemID="{94E8D161-B510-47D0-B64F-157B7DF78A30}"/>
</file>

<file path=customXml/itemProps4.xml><?xml version="1.0" encoding="utf-8"?>
<ds:datastoreItem xmlns:ds="http://schemas.openxmlformats.org/officeDocument/2006/customXml" ds:itemID="{CA260597-53F8-4E14-BFCF-BAA8EF66BE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Investec Bank PLC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McGreal</dc:creator>
  <cp:keywords/>
  <dc:description/>
  <cp:lastModifiedBy>Jennifer Porter</cp:lastModifiedBy>
  <cp:revision>2</cp:revision>
  <cp:lastPrinted>2020-08-27T18:29:00Z</cp:lastPrinted>
  <dcterms:created xsi:type="dcterms:W3CDTF">2021-02-10T11:59:00Z</dcterms:created>
  <dcterms:modified xsi:type="dcterms:W3CDTF">2021-02-10T11:59:00Z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21f1854c-9beb-4d18-83d1-67cc2ccb5030_Enabled">
    <vt:lpwstr>true</vt:lpwstr>
  </property>
  <property fmtid="{D5CDD505-2E9C-101B-9397-08002B2CF9AE}" pid="4" name="MSIP_Label_21f1854c-9beb-4d18-83d1-67cc2ccb5030_SetDate">
    <vt:lpwstr>2020-08-25T12:14:08Z</vt:lpwstr>
  </property>
  <property fmtid="{D5CDD505-2E9C-101B-9397-08002B2CF9AE}" pid="5" name="MSIP_Label_21f1854c-9beb-4d18-83d1-67cc2ccb5030_Method">
    <vt:lpwstr>Privileged</vt:lpwstr>
  </property>
  <property fmtid="{D5CDD505-2E9C-101B-9397-08002B2CF9AE}" pid="6" name="MSIP_Label_21f1854c-9beb-4d18-83d1-67cc2ccb5030_Name">
    <vt:lpwstr>21f1854c-9beb-4d18-83d1-67cc2ccb5030</vt:lpwstr>
  </property>
  <property fmtid="{D5CDD505-2E9C-101B-9397-08002B2CF9AE}" pid="7" name="MSIP_Label_21f1854c-9beb-4d18-83d1-67cc2ccb5030_SiteId">
    <vt:lpwstr>6d6a11bc-469a-48df-a548-d3f353ac1be8</vt:lpwstr>
  </property>
  <property fmtid="{D5CDD505-2E9C-101B-9397-08002B2CF9AE}" pid="8" name="MSIP_Label_21f1854c-9beb-4d18-83d1-67cc2ccb5030_ActionId">
    <vt:lpwstr>53471eb8-f484-4e99-a4f6-00007e527226</vt:lpwstr>
  </property>
  <property fmtid="{D5CDD505-2E9C-101B-9397-08002B2CF9AE}" pid="9" name="MSIP_Label_21f1854c-9beb-4d18-83d1-67cc2ccb5030_ContentBits">
    <vt:lpwstr>0</vt:lpwstr>
  </property>
  <property fmtid="{D5CDD505-2E9C-101B-9397-08002B2CF9AE}" pid="10" name="_AdHocReviewCycleID">
    <vt:i4>1230188887</vt:i4>
  </property>
  <property fmtid="{D5CDD505-2E9C-101B-9397-08002B2CF9AE}" pid="11" name="_EmailSubject">
    <vt:lpwstr>EGM Announcement</vt:lpwstr>
  </property>
  <property fmtid="{D5CDD505-2E9C-101B-9397-08002B2CF9AE}" pid="12" name="_AuthorEmail">
    <vt:lpwstr>Jonathan.Simmons@investec.ie</vt:lpwstr>
  </property>
  <property fmtid="{D5CDD505-2E9C-101B-9397-08002B2CF9AE}" pid="13" name="_AuthorEmailDisplayName">
    <vt:lpwstr>Jonathan Simmons</vt:lpwstr>
  </property>
  <property fmtid="{D5CDD505-2E9C-101B-9397-08002B2CF9AE}" pid="14" name="_ReviewingToolsShownOnce">
    <vt:lpwstr/>
  </property>
  <property fmtid="{D5CDD505-2E9C-101B-9397-08002B2CF9AE}" pid="15" name="ContentTypeId">
    <vt:lpwstr>0x010100BE156B1CF39149A8843C57AB06C49AFE0011B886BEF4CCD94F85F46E94360FD412</vt:lpwstr>
  </property>
  <property fmtid="{D5CDD505-2E9C-101B-9397-08002B2CF9AE}" pid="16" name="IssuerName">
    <vt:lpwstr/>
  </property>
  <property fmtid="{D5CDD505-2E9C-101B-9397-08002B2CF9AE}" pid="17" name="MigrateFolderIssueDetected">
    <vt:bool>false</vt:bool>
  </property>
  <property fmtid="{D5CDD505-2E9C-101B-9397-08002B2CF9AE}" pid="18" name="Order">
    <vt:r8>170778200</vt:r8>
  </property>
  <property fmtid="{D5CDD505-2E9C-101B-9397-08002B2CF9AE}" pid="19" name="IssuerID">
    <vt:lpwstr/>
  </property>
  <property fmtid="{D5CDD505-2E9C-101B-9397-08002B2CF9AE}" pid="20" name="SendToWeb">
    <vt:bool>false</vt:bool>
  </property>
  <property fmtid="{D5CDD505-2E9C-101B-9397-08002B2CF9AE}" pid="21" name="JobContentType">
    <vt:lpwstr/>
  </property>
  <property fmtid="{D5CDD505-2E9C-101B-9397-08002B2CF9AE}" pid="22" name="Organisation">
    <vt:lpwstr/>
  </property>
  <property fmtid="{D5CDD505-2E9C-101B-9397-08002B2CF9AE}" pid="23" name="Contact">
    <vt:lpwstr/>
  </property>
  <property fmtid="{D5CDD505-2E9C-101B-9397-08002B2CF9AE}" pid="24" name="MigrateFolderIssueDetected0">
    <vt:bool>false</vt:bool>
  </property>
  <property fmtid="{D5CDD505-2E9C-101B-9397-08002B2CF9AE}" pid="25" name="JobType">
    <vt:lpwstr/>
  </property>
</Properties>
</file>