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E3" w:rsidRDefault="003E35E3" w:rsidP="003E35E3">
      <w:pPr>
        <w:spacing w:after="0" w:line="240" w:lineRule="auto"/>
        <w:jc w:val="both"/>
        <w:rPr>
          <w:rFonts w:cs="Arial"/>
          <w:b/>
          <w:bCs/>
          <w:color w:val="000000"/>
          <w:sz w:val="24"/>
          <w:szCs w:val="24"/>
          <w:lang w:val="en-US"/>
        </w:rPr>
      </w:pPr>
      <w:bookmarkStart w:id="0" w:name="_GoBack"/>
      <w:bookmarkEnd w:id="0"/>
      <w:r>
        <w:rPr>
          <w:rFonts w:cs="Arial"/>
          <w:b/>
          <w:bCs/>
          <w:color w:val="000000"/>
          <w:sz w:val="24"/>
          <w:szCs w:val="24"/>
          <w:lang w:val="en-US"/>
        </w:rPr>
        <w:t>FBD Holdings plc</w:t>
      </w:r>
    </w:p>
    <w:p w:rsidR="003E35E3" w:rsidRDefault="003E35E3" w:rsidP="003E35E3">
      <w:pPr>
        <w:spacing w:after="0" w:line="240" w:lineRule="auto"/>
        <w:jc w:val="both"/>
        <w:rPr>
          <w:rFonts w:cs="Arial"/>
          <w:b/>
          <w:bCs/>
          <w:color w:val="000000"/>
          <w:sz w:val="24"/>
          <w:szCs w:val="24"/>
          <w:lang w:val="en-US"/>
        </w:rPr>
      </w:pPr>
      <w:r>
        <w:rPr>
          <w:rFonts w:cs="Arial"/>
          <w:b/>
          <w:bCs/>
          <w:color w:val="000000"/>
          <w:sz w:val="24"/>
          <w:szCs w:val="24"/>
          <w:lang w:val="en-US"/>
        </w:rPr>
        <w:t>FBD Insurance plc</w:t>
      </w:r>
    </w:p>
    <w:p w:rsidR="003E35E3" w:rsidRDefault="003E35E3" w:rsidP="003E35E3">
      <w:pPr>
        <w:spacing w:after="0" w:line="240" w:lineRule="auto"/>
        <w:jc w:val="both"/>
        <w:rPr>
          <w:rFonts w:cs="Arial"/>
          <w:b/>
          <w:sz w:val="24"/>
          <w:szCs w:val="24"/>
          <w:lang w:val="en-US"/>
        </w:rPr>
      </w:pPr>
      <w:r>
        <w:rPr>
          <w:rFonts w:cs="Arial"/>
          <w:b/>
          <w:sz w:val="24"/>
          <w:szCs w:val="24"/>
          <w:lang w:val="en-US"/>
        </w:rPr>
        <w:t>Appointment of Interim Chief Executive Officer</w:t>
      </w:r>
    </w:p>
    <w:p w:rsidR="003E35E3" w:rsidRDefault="003E35E3" w:rsidP="003E35E3">
      <w:pPr>
        <w:spacing w:after="0" w:line="240" w:lineRule="auto"/>
        <w:jc w:val="both"/>
        <w:rPr>
          <w:rFonts w:cs="Arial"/>
          <w:sz w:val="24"/>
          <w:szCs w:val="24"/>
          <w:lang w:val="en-US"/>
        </w:rPr>
      </w:pPr>
      <w:r>
        <w:rPr>
          <w:rFonts w:cs="Arial"/>
          <w:b/>
          <w:bCs/>
          <w:color w:val="000000"/>
          <w:sz w:val="24"/>
          <w:szCs w:val="24"/>
          <w:lang w:val="en-US"/>
        </w:rPr>
        <w:t>31</w:t>
      </w:r>
      <w:r>
        <w:rPr>
          <w:rFonts w:cs="Arial"/>
          <w:b/>
          <w:bCs/>
          <w:color w:val="000000"/>
          <w:sz w:val="24"/>
          <w:szCs w:val="24"/>
          <w:vertAlign w:val="superscript"/>
          <w:lang w:val="en-US"/>
        </w:rPr>
        <w:t>st</w:t>
      </w:r>
      <w:r>
        <w:rPr>
          <w:rFonts w:cs="Arial"/>
          <w:b/>
          <w:bCs/>
          <w:color w:val="000000"/>
          <w:sz w:val="24"/>
          <w:szCs w:val="24"/>
          <w:lang w:val="en-US"/>
        </w:rPr>
        <w:t xml:space="preserve"> March 2020</w:t>
      </w:r>
    </w:p>
    <w:p w:rsidR="003E35E3" w:rsidRDefault="003E35E3" w:rsidP="003E35E3">
      <w:pPr>
        <w:spacing w:after="0" w:line="240" w:lineRule="auto"/>
        <w:jc w:val="both"/>
        <w:rPr>
          <w:rFonts w:cs="Arial"/>
          <w:sz w:val="24"/>
          <w:szCs w:val="24"/>
          <w:lang w:val="en-US"/>
        </w:rPr>
      </w:pPr>
    </w:p>
    <w:p w:rsidR="003E35E3" w:rsidRDefault="003E35E3" w:rsidP="003E35E3">
      <w:pPr>
        <w:jc w:val="both"/>
        <w:rPr>
          <w:rFonts w:eastAsia="Trebuchet MS" w:cstheme="minorHAnsi"/>
          <w:color w:val="2E3338"/>
        </w:rPr>
      </w:pPr>
      <w:r>
        <w:rPr>
          <w:rFonts w:eastAsia="Trebuchet MS" w:cstheme="minorHAnsi"/>
          <w:color w:val="2E3338"/>
        </w:rPr>
        <w:t>FBD Holdings plc ("FBD" or the "Group") announces the appointment of Paul D’Alton as interim Chief Executive Officer and as an executive Director of both the Group and of FBD Insurance plc, with effect from 3 April, 2020. Mr. D'Alton is succeeding Ms. Fiona Muldoon who informed the Board on 24 October, 2019 of her intention to step down as Group CEO and director in 2020.</w:t>
      </w:r>
    </w:p>
    <w:p w:rsidR="003E35E3" w:rsidRDefault="003E35E3" w:rsidP="003E35E3">
      <w:pPr>
        <w:jc w:val="both"/>
        <w:rPr>
          <w:rFonts w:eastAsia="Trebuchet MS" w:cstheme="minorHAnsi"/>
          <w:color w:val="2E3338"/>
        </w:rPr>
      </w:pPr>
      <w:r>
        <w:rPr>
          <w:rFonts w:eastAsia="Trebuchet MS" w:cstheme="minorHAnsi"/>
          <w:color w:val="2E3338"/>
        </w:rPr>
        <w:t xml:space="preserve">Mr. D’Alton is a Chartered Accountant, with extensive experience in senior leadership roles in the general insurance and banking sectors having previously served as interim Chief Financial Officer of FBD and Chief Financial Officer of Bank of Ireland. </w:t>
      </w:r>
    </w:p>
    <w:p w:rsidR="003E35E3" w:rsidRDefault="003E35E3" w:rsidP="003E35E3">
      <w:pPr>
        <w:jc w:val="both"/>
        <w:rPr>
          <w:rFonts w:eastAsia="Trebuchet MS" w:cstheme="minorHAnsi"/>
          <w:color w:val="2E3338"/>
        </w:rPr>
      </w:pPr>
      <w:r>
        <w:rPr>
          <w:rFonts w:eastAsia="Trebuchet MS" w:cstheme="minorHAnsi"/>
          <w:color w:val="2E3338"/>
        </w:rPr>
        <w:t>Commenting on the changes announced, the Chairman, Liam Herlihy, said:</w:t>
      </w:r>
    </w:p>
    <w:p w:rsidR="003E35E3" w:rsidRDefault="003E35E3" w:rsidP="003E35E3">
      <w:pPr>
        <w:jc w:val="both"/>
        <w:rPr>
          <w:rFonts w:eastAsia="Trebuchet MS" w:cstheme="minorHAnsi"/>
          <w:color w:val="2E3338"/>
        </w:rPr>
      </w:pPr>
      <w:r>
        <w:rPr>
          <w:rFonts w:eastAsia="Trebuchet MS" w:cstheme="minorHAnsi"/>
          <w:color w:val="2E3338"/>
        </w:rPr>
        <w:t xml:space="preserve">“I would like to extend the warmest gratitude to Fiona for her hard work and effective contribution to FBD over the last five years. She has been instrumental in the transformation and </w:t>
      </w:r>
      <w:r w:rsidR="00271035">
        <w:rPr>
          <w:rFonts w:eastAsia="Trebuchet MS" w:cstheme="minorHAnsi"/>
          <w:color w:val="2E3338"/>
        </w:rPr>
        <w:t>development</w:t>
      </w:r>
      <w:r>
        <w:rPr>
          <w:rFonts w:eastAsia="Trebuchet MS" w:cstheme="minorHAnsi"/>
          <w:color w:val="2E3338"/>
        </w:rPr>
        <w:t xml:space="preserve"> that has taken place in FBD.  Her relentless focus on the business and its customers has been remarkable. Shareholders and the community alike have benefitted from her tireless efforts.  We wish her the very best for the future. </w:t>
      </w:r>
    </w:p>
    <w:p w:rsidR="003E35E3" w:rsidRDefault="003E35E3" w:rsidP="003E35E3">
      <w:pPr>
        <w:jc w:val="both"/>
        <w:rPr>
          <w:rFonts w:eastAsia="Trebuchet MS" w:cstheme="minorHAnsi"/>
          <w:color w:val="2E3338"/>
        </w:rPr>
      </w:pPr>
      <w:r>
        <w:rPr>
          <w:rFonts w:eastAsia="Trebuchet MS" w:cstheme="minorHAnsi"/>
          <w:color w:val="2E3338"/>
        </w:rPr>
        <w:t>"I am also pleased to announce Paul’s appointment to the Board and as interim Chief Executive Officer. He is highly regarded in the investment community and as a former FBD colleague, he knows our business well. I look forward to his contribution to FBD and am confident in his ability to deliver for all stakeholders, given his substantial experience in financial services in Ireland. The Board continues to make progress towards its appointment of a permanent CEO."</w:t>
      </w:r>
    </w:p>
    <w:p w:rsidR="003E35E3" w:rsidRDefault="003E35E3" w:rsidP="003E35E3">
      <w:pPr>
        <w:jc w:val="both"/>
        <w:rPr>
          <w:rFonts w:eastAsia="Times New Roman"/>
        </w:rPr>
      </w:pPr>
      <w:r>
        <w:rPr>
          <w:rFonts w:eastAsia="Times New Roman"/>
        </w:rPr>
        <w:t xml:space="preserve">This announcement is made in accordance with Listing Rule 6.1.64 of Euronext Dublin’s Listing Rules and Rule 9.6.11 of the London Stock Exchange Listing Rues. The Group confirms that there are no matters requiring disclosure under Rule 6.1.66(1)-(6) of Euronext Dublin Listing Rules/Rule 9.6.13 of the London Stock Exchange Listing Rules. </w:t>
      </w:r>
    </w:p>
    <w:p w:rsidR="003E35E3" w:rsidRDefault="003E35E3" w:rsidP="003E35E3">
      <w:pPr>
        <w:jc w:val="both"/>
        <w:rPr>
          <w:rFonts w:eastAsia="Times New Roman"/>
        </w:rPr>
      </w:pPr>
      <w:r>
        <w:rPr>
          <w:rFonts w:eastAsia="Times New Roman"/>
        </w:rPr>
        <w:t>Regulation (EU) No 596/2014 of the European Parliament and of the Council of 16 April 2014 on market abuse (the "Market Abuse Regulation") requires disclosure of inside information relating to the Group and this announcement contains inside information as defined in Article 7 of the Market Abuse Regulation and is disclosed in accordance with the Group's obligations under Article 17 of the Market Abuse Regulations.</w:t>
      </w:r>
    </w:p>
    <w:p w:rsidR="003E35E3" w:rsidRDefault="003E35E3" w:rsidP="003E35E3">
      <w:pPr>
        <w:pStyle w:val="NoSpacing"/>
        <w:jc w:val="both"/>
        <w:rPr>
          <w:rFonts w:eastAsia="Times New Roman" w:cstheme="minorHAnsi"/>
          <w:color w:val="000000"/>
        </w:rPr>
      </w:pPr>
    </w:p>
    <w:p w:rsidR="003E35E3" w:rsidRDefault="003E35E3" w:rsidP="003E35E3">
      <w:pPr>
        <w:pStyle w:val="NoSpacing"/>
        <w:jc w:val="both"/>
        <w:rPr>
          <w:rFonts w:eastAsia="Times New Roman" w:cstheme="minorHAnsi"/>
          <w:color w:val="000000"/>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3E35E3" w:rsidTr="003E35E3">
        <w:tc>
          <w:tcPr>
            <w:tcW w:w="6238" w:type="dxa"/>
            <w:tcMar>
              <w:top w:w="0" w:type="dxa"/>
              <w:left w:w="108" w:type="dxa"/>
              <w:bottom w:w="0" w:type="dxa"/>
              <w:right w:w="108" w:type="dxa"/>
            </w:tcMar>
            <w:hideMark/>
          </w:tcPr>
          <w:p w:rsidR="003E35E3" w:rsidRDefault="003E35E3">
            <w:pPr>
              <w:spacing w:after="0" w:line="240" w:lineRule="auto"/>
              <w:ind w:left="142" w:hanging="108"/>
              <w:jc w:val="both"/>
              <w:rPr>
                <w:rFonts w:cstheme="minorHAnsi"/>
                <w:b/>
                <w:lang w:val="en-US"/>
              </w:rPr>
            </w:pPr>
            <w:r>
              <w:rPr>
                <w:rFonts w:cstheme="minorHAnsi"/>
                <w:b/>
                <w:lang w:val="en-US"/>
              </w:rPr>
              <w:t>Enquiries</w:t>
            </w:r>
          </w:p>
        </w:tc>
        <w:tc>
          <w:tcPr>
            <w:tcW w:w="3407" w:type="dxa"/>
            <w:tcMar>
              <w:top w:w="0" w:type="dxa"/>
              <w:left w:w="108" w:type="dxa"/>
              <w:bottom w:w="0" w:type="dxa"/>
              <w:right w:w="108" w:type="dxa"/>
            </w:tcMar>
            <w:hideMark/>
          </w:tcPr>
          <w:p w:rsidR="003E35E3" w:rsidRDefault="003E35E3">
            <w:pPr>
              <w:spacing w:after="0" w:line="240" w:lineRule="auto"/>
              <w:ind w:left="142"/>
              <w:jc w:val="both"/>
              <w:rPr>
                <w:rFonts w:cstheme="minorHAnsi"/>
                <w:b/>
                <w:lang w:val="en-US"/>
              </w:rPr>
            </w:pPr>
            <w:r>
              <w:rPr>
                <w:rFonts w:cstheme="minorHAnsi"/>
                <w:b/>
                <w:lang w:val="en-US"/>
              </w:rPr>
              <w:t>Telephone</w:t>
            </w:r>
          </w:p>
        </w:tc>
      </w:tr>
      <w:tr w:rsidR="003E35E3" w:rsidTr="003E35E3">
        <w:tc>
          <w:tcPr>
            <w:tcW w:w="6238" w:type="dxa"/>
            <w:tcMar>
              <w:top w:w="0" w:type="dxa"/>
              <w:left w:w="108" w:type="dxa"/>
              <w:bottom w:w="0" w:type="dxa"/>
              <w:right w:w="108" w:type="dxa"/>
            </w:tcMar>
            <w:hideMark/>
          </w:tcPr>
          <w:p w:rsidR="003E35E3" w:rsidRDefault="003E35E3">
            <w:pPr>
              <w:rPr>
                <w:rFonts w:cstheme="minorHAnsi"/>
                <w:b/>
                <w:lang w:val="en-US"/>
              </w:rPr>
            </w:pPr>
          </w:p>
        </w:tc>
        <w:tc>
          <w:tcPr>
            <w:tcW w:w="3407" w:type="dxa"/>
            <w:tcMar>
              <w:top w:w="0" w:type="dxa"/>
              <w:left w:w="108" w:type="dxa"/>
              <w:bottom w:w="0" w:type="dxa"/>
              <w:right w:w="108" w:type="dxa"/>
            </w:tcMar>
            <w:hideMark/>
          </w:tcPr>
          <w:p w:rsidR="003E35E3" w:rsidRDefault="003E35E3">
            <w:pPr>
              <w:spacing w:after="0"/>
              <w:rPr>
                <w:sz w:val="20"/>
                <w:szCs w:val="20"/>
                <w:lang w:val="en-IE" w:eastAsia="en-IE"/>
              </w:rPr>
            </w:pPr>
          </w:p>
        </w:tc>
      </w:tr>
      <w:tr w:rsidR="003E35E3" w:rsidTr="003E35E3">
        <w:tc>
          <w:tcPr>
            <w:tcW w:w="6238" w:type="dxa"/>
            <w:tcMar>
              <w:top w:w="0" w:type="dxa"/>
              <w:left w:w="108" w:type="dxa"/>
              <w:bottom w:w="0" w:type="dxa"/>
              <w:right w:w="108" w:type="dxa"/>
            </w:tcMar>
          </w:tcPr>
          <w:p w:rsidR="003E35E3" w:rsidRDefault="003E35E3">
            <w:pPr>
              <w:spacing w:after="0" w:line="240" w:lineRule="auto"/>
              <w:ind w:left="142" w:hanging="142"/>
              <w:jc w:val="both"/>
              <w:rPr>
                <w:rFonts w:cstheme="minorHAnsi"/>
                <w:b/>
                <w:lang w:val="en-US"/>
              </w:rPr>
            </w:pPr>
          </w:p>
          <w:p w:rsidR="003E35E3" w:rsidRDefault="003E35E3">
            <w:pPr>
              <w:spacing w:after="0" w:line="240" w:lineRule="auto"/>
              <w:ind w:left="142" w:hanging="142"/>
              <w:jc w:val="both"/>
              <w:rPr>
                <w:rFonts w:cstheme="minorHAnsi"/>
                <w:b/>
                <w:lang w:val="en-US"/>
              </w:rPr>
            </w:pPr>
            <w:r>
              <w:rPr>
                <w:rFonts w:cstheme="minorHAnsi"/>
                <w:b/>
                <w:lang w:val="en-US"/>
              </w:rPr>
              <w:t>Goodbody</w:t>
            </w:r>
          </w:p>
        </w:tc>
        <w:tc>
          <w:tcPr>
            <w:tcW w:w="3407" w:type="dxa"/>
            <w:tcMar>
              <w:top w:w="0" w:type="dxa"/>
              <w:left w:w="108" w:type="dxa"/>
              <w:bottom w:w="0" w:type="dxa"/>
              <w:right w:w="108" w:type="dxa"/>
            </w:tcMar>
            <w:hideMark/>
          </w:tcPr>
          <w:p w:rsidR="003E35E3" w:rsidRDefault="003E35E3">
            <w:pPr>
              <w:rPr>
                <w:rFonts w:cstheme="minorHAnsi"/>
                <w:b/>
                <w:lang w:val="en-US"/>
              </w:rPr>
            </w:pPr>
          </w:p>
        </w:tc>
      </w:tr>
      <w:tr w:rsidR="003E35E3" w:rsidTr="003E35E3">
        <w:tc>
          <w:tcPr>
            <w:tcW w:w="6238" w:type="dxa"/>
            <w:tcMar>
              <w:top w:w="0" w:type="dxa"/>
              <w:left w:w="108" w:type="dxa"/>
              <w:bottom w:w="0" w:type="dxa"/>
              <w:right w:w="108" w:type="dxa"/>
            </w:tcMar>
            <w:hideMark/>
          </w:tcPr>
          <w:p w:rsidR="003E35E3" w:rsidRDefault="003E35E3">
            <w:pPr>
              <w:spacing w:after="0" w:line="240" w:lineRule="auto"/>
              <w:ind w:left="142" w:hanging="142"/>
              <w:jc w:val="both"/>
              <w:rPr>
                <w:rFonts w:cstheme="minorHAnsi"/>
                <w:lang w:val="en-US"/>
              </w:rPr>
            </w:pPr>
            <w:r>
              <w:rPr>
                <w:rFonts w:cstheme="minorHAnsi"/>
                <w:lang w:eastAsia="en-GB"/>
              </w:rPr>
              <w:t>Joe Gill</w:t>
            </w:r>
          </w:p>
        </w:tc>
        <w:tc>
          <w:tcPr>
            <w:tcW w:w="3407" w:type="dxa"/>
            <w:tcMar>
              <w:top w:w="0" w:type="dxa"/>
              <w:left w:w="108" w:type="dxa"/>
              <w:bottom w:w="0" w:type="dxa"/>
              <w:right w:w="108" w:type="dxa"/>
            </w:tcMar>
            <w:hideMark/>
          </w:tcPr>
          <w:p w:rsidR="003E35E3" w:rsidRDefault="003E35E3">
            <w:pPr>
              <w:spacing w:after="0" w:line="240" w:lineRule="auto"/>
              <w:ind w:left="142" w:hanging="142"/>
              <w:jc w:val="both"/>
              <w:rPr>
                <w:rFonts w:cstheme="minorHAnsi"/>
                <w:lang w:val="en-US"/>
              </w:rPr>
            </w:pPr>
            <w:r>
              <w:rPr>
                <w:rFonts w:cstheme="minorHAnsi"/>
                <w:lang w:eastAsia="en-GB"/>
              </w:rPr>
              <w:t>+353 1 641 9449</w:t>
            </w:r>
          </w:p>
        </w:tc>
      </w:tr>
      <w:tr w:rsidR="003E35E3" w:rsidTr="003E35E3">
        <w:tc>
          <w:tcPr>
            <w:tcW w:w="6238" w:type="dxa"/>
            <w:tcMar>
              <w:top w:w="0" w:type="dxa"/>
              <w:left w:w="108" w:type="dxa"/>
              <w:bottom w:w="0" w:type="dxa"/>
              <w:right w:w="108" w:type="dxa"/>
            </w:tcMar>
          </w:tcPr>
          <w:p w:rsidR="003E35E3" w:rsidRDefault="003E35E3">
            <w:pPr>
              <w:spacing w:after="0" w:line="240" w:lineRule="auto"/>
              <w:ind w:left="142" w:hanging="142"/>
              <w:jc w:val="both"/>
              <w:rPr>
                <w:rFonts w:cstheme="minorHAnsi"/>
                <w:b/>
                <w:lang w:val="en-US"/>
              </w:rPr>
            </w:pPr>
          </w:p>
          <w:p w:rsidR="003E35E3" w:rsidRDefault="003E35E3">
            <w:pPr>
              <w:spacing w:after="0" w:line="240" w:lineRule="auto"/>
              <w:ind w:left="142" w:hanging="142"/>
              <w:jc w:val="both"/>
              <w:rPr>
                <w:rFonts w:cstheme="minorHAnsi"/>
                <w:b/>
                <w:lang w:val="en-US"/>
              </w:rPr>
            </w:pPr>
            <w:r>
              <w:rPr>
                <w:rFonts w:cstheme="minorHAnsi"/>
                <w:b/>
                <w:lang w:val="en-US"/>
              </w:rPr>
              <w:t>Powerscourt</w:t>
            </w:r>
          </w:p>
        </w:tc>
        <w:tc>
          <w:tcPr>
            <w:tcW w:w="3407" w:type="dxa"/>
            <w:tcMar>
              <w:top w:w="0" w:type="dxa"/>
              <w:left w:w="108" w:type="dxa"/>
              <w:bottom w:w="0" w:type="dxa"/>
              <w:right w:w="108" w:type="dxa"/>
            </w:tcMar>
            <w:hideMark/>
          </w:tcPr>
          <w:p w:rsidR="003E35E3" w:rsidRDefault="003E35E3">
            <w:pPr>
              <w:rPr>
                <w:rFonts w:cstheme="minorHAnsi"/>
                <w:b/>
                <w:lang w:val="en-US"/>
              </w:rPr>
            </w:pPr>
          </w:p>
        </w:tc>
      </w:tr>
      <w:tr w:rsidR="003E35E3" w:rsidTr="003E35E3">
        <w:tc>
          <w:tcPr>
            <w:tcW w:w="6238" w:type="dxa"/>
            <w:tcMar>
              <w:top w:w="0" w:type="dxa"/>
              <w:left w:w="108" w:type="dxa"/>
              <w:bottom w:w="0" w:type="dxa"/>
              <w:right w:w="108" w:type="dxa"/>
            </w:tcMar>
            <w:hideMark/>
          </w:tcPr>
          <w:p w:rsidR="003E35E3" w:rsidRDefault="003E35E3">
            <w:pPr>
              <w:spacing w:after="0" w:line="240" w:lineRule="auto"/>
              <w:ind w:left="142" w:hanging="142"/>
              <w:jc w:val="both"/>
              <w:rPr>
                <w:rFonts w:cstheme="minorHAnsi"/>
                <w:lang w:val="en-US"/>
              </w:rPr>
            </w:pPr>
            <w:r>
              <w:rPr>
                <w:rFonts w:cstheme="minorHAnsi"/>
                <w:lang w:val="en-US"/>
              </w:rPr>
              <w:t>Jack Hickey</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3E35E3">
              <w:tc>
                <w:tcPr>
                  <w:tcW w:w="2502" w:type="dxa"/>
                  <w:hideMark/>
                </w:tcPr>
                <w:p w:rsidR="003E35E3" w:rsidRDefault="003E35E3">
                  <w:pPr>
                    <w:autoSpaceDE w:val="0"/>
                    <w:autoSpaceDN w:val="0"/>
                    <w:adjustRightInd w:val="0"/>
                    <w:spacing w:after="0" w:line="240" w:lineRule="auto"/>
                    <w:ind w:hanging="142"/>
                    <w:jc w:val="both"/>
                    <w:rPr>
                      <w:rFonts w:cstheme="minorHAnsi"/>
                      <w:lang w:val="en-IE"/>
                    </w:rPr>
                  </w:pPr>
                  <w:r>
                    <w:rPr>
                      <w:rFonts w:cstheme="minorHAnsi"/>
                      <w:lang w:val="en-IE"/>
                    </w:rPr>
                    <w:t>+353 83 4488 339</w:t>
                  </w:r>
                </w:p>
              </w:tc>
            </w:tr>
          </w:tbl>
          <w:p w:rsidR="003E35E3" w:rsidRDefault="003E35E3">
            <w:pPr>
              <w:spacing w:after="0"/>
            </w:pPr>
          </w:p>
        </w:tc>
      </w:tr>
    </w:tbl>
    <w:p w:rsidR="003E35E3" w:rsidRDefault="003E35E3" w:rsidP="003E35E3">
      <w:pPr>
        <w:spacing w:after="0" w:line="240" w:lineRule="auto"/>
        <w:ind w:hanging="142"/>
        <w:jc w:val="both"/>
        <w:rPr>
          <w:rFonts w:cstheme="minorHAnsi"/>
          <w:lang w:val="en-US"/>
        </w:rPr>
      </w:pPr>
    </w:p>
    <w:p w:rsidR="009338FD" w:rsidRDefault="009338FD" w:rsidP="003E35E3">
      <w:pPr>
        <w:spacing w:after="0" w:line="240" w:lineRule="auto"/>
        <w:ind w:hanging="142"/>
        <w:jc w:val="both"/>
        <w:rPr>
          <w:rFonts w:cstheme="minorHAnsi"/>
          <w:lang w:val="en-US"/>
        </w:rPr>
      </w:pPr>
    </w:p>
    <w:p w:rsidR="009338FD" w:rsidRDefault="009338FD" w:rsidP="003E35E3">
      <w:pPr>
        <w:spacing w:after="0" w:line="240" w:lineRule="auto"/>
        <w:ind w:hanging="142"/>
        <w:jc w:val="both"/>
        <w:rPr>
          <w:rFonts w:cstheme="minorHAnsi"/>
          <w:lang w:val="en-US"/>
        </w:rPr>
      </w:pPr>
    </w:p>
    <w:p w:rsidR="009338FD" w:rsidRDefault="009338FD" w:rsidP="003E35E3">
      <w:pPr>
        <w:spacing w:after="0" w:line="240" w:lineRule="auto"/>
        <w:ind w:hanging="142"/>
        <w:jc w:val="both"/>
        <w:rPr>
          <w:rFonts w:cstheme="minorHAnsi"/>
          <w:lang w:val="en-US"/>
        </w:rPr>
      </w:pPr>
    </w:p>
    <w:p w:rsidR="009338FD" w:rsidRDefault="009338FD" w:rsidP="003E35E3">
      <w:pPr>
        <w:spacing w:after="0" w:line="240" w:lineRule="auto"/>
        <w:ind w:hanging="142"/>
        <w:jc w:val="both"/>
        <w:rPr>
          <w:rFonts w:cstheme="minorHAnsi"/>
          <w:lang w:val="en-US"/>
        </w:rPr>
      </w:pPr>
    </w:p>
    <w:p w:rsidR="003E35E3" w:rsidRDefault="003E35E3" w:rsidP="003E35E3">
      <w:pPr>
        <w:spacing w:after="0" w:line="240" w:lineRule="auto"/>
        <w:jc w:val="both"/>
        <w:rPr>
          <w:rFonts w:cstheme="minorHAnsi"/>
          <w:b/>
          <w:bCs/>
          <w:color w:val="000000"/>
          <w:lang w:val="en-US"/>
        </w:rPr>
      </w:pPr>
      <w:r>
        <w:rPr>
          <w:rFonts w:cstheme="minorHAnsi"/>
          <w:b/>
          <w:bCs/>
          <w:color w:val="000000"/>
          <w:lang w:val="en-US"/>
        </w:rPr>
        <w:t xml:space="preserve">About FBD Holdings plc </w:t>
      </w:r>
    </w:p>
    <w:p w:rsidR="003E35E3" w:rsidRDefault="003E35E3" w:rsidP="003E35E3">
      <w:pPr>
        <w:spacing w:after="0" w:line="240" w:lineRule="auto"/>
        <w:jc w:val="both"/>
        <w:rPr>
          <w:rFonts w:cstheme="minorHAnsi"/>
          <w:color w:val="000000"/>
          <w:lang w:val="en-US"/>
        </w:rPr>
      </w:pPr>
      <w:r>
        <w:rPr>
          <w:rFonts w:cstheme="minorHAnsi"/>
          <w:color w:val="000000"/>
          <w:lang w:val="en-US"/>
        </w:rPr>
        <w:t xml:space="preserve">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rsidR="003E35E3" w:rsidRDefault="003E35E3" w:rsidP="003E35E3">
      <w:pPr>
        <w:spacing w:after="0" w:line="240" w:lineRule="auto"/>
        <w:jc w:val="both"/>
        <w:rPr>
          <w:rFonts w:cstheme="minorHAnsi"/>
          <w:color w:val="000000"/>
          <w:lang w:val="en-US"/>
        </w:rPr>
      </w:pPr>
    </w:p>
    <w:p w:rsidR="003E35E3" w:rsidRDefault="003E35E3" w:rsidP="003E35E3">
      <w:pPr>
        <w:spacing w:after="0" w:line="240" w:lineRule="auto"/>
        <w:jc w:val="both"/>
        <w:rPr>
          <w:rFonts w:cstheme="minorHAnsi"/>
          <w:color w:val="000000"/>
          <w:lang w:val="en-US"/>
        </w:rPr>
      </w:pPr>
      <w:r>
        <w:rPr>
          <w:rFonts w:cstheme="minorHAnsi"/>
          <w:color w:val="000000"/>
          <w:lang w:val="en-US"/>
        </w:rPr>
        <w:t>The following details relate to FBD's ordinary shares of €0.60 each which are publicly traded:</w:t>
      </w:r>
    </w:p>
    <w:p w:rsidR="003E35E3" w:rsidRDefault="003E35E3" w:rsidP="003E35E3">
      <w:pPr>
        <w:spacing w:after="0" w:line="240" w:lineRule="auto"/>
        <w:jc w:val="both"/>
        <w:rPr>
          <w:rFonts w:cstheme="minorHAnsi"/>
          <w:color w:val="000000"/>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Listing</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Euronext Dublin</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UK Listing Authority</w:t>
            </w:r>
          </w:p>
        </w:tc>
      </w:tr>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Listing Category</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Premium</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Premium (Equity)</w:t>
            </w:r>
          </w:p>
        </w:tc>
      </w:tr>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Trading Venue</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Euronext Dublin</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London Stock Exchange</w:t>
            </w:r>
          </w:p>
        </w:tc>
      </w:tr>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Market</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Main Securities Market</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Main Market</w:t>
            </w:r>
          </w:p>
        </w:tc>
      </w:tr>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ISIN</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IE0003290289</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IE0003290289</w:t>
            </w:r>
          </w:p>
        </w:tc>
      </w:tr>
      <w:tr w:rsidR="003E35E3" w:rsidTr="003E35E3">
        <w:tc>
          <w:tcPr>
            <w:tcW w:w="3046"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Ticker</w:t>
            </w:r>
          </w:p>
        </w:tc>
        <w:tc>
          <w:tcPr>
            <w:tcW w:w="3165" w:type="dxa"/>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FBD.I or EG7.IR</w:t>
            </w:r>
          </w:p>
        </w:tc>
        <w:tc>
          <w:tcPr>
            <w:tcW w:w="3434" w:type="dxa"/>
            <w:gridSpan w:val="2"/>
            <w:tcMar>
              <w:top w:w="0" w:type="dxa"/>
              <w:left w:w="108" w:type="dxa"/>
              <w:bottom w:w="0" w:type="dxa"/>
              <w:right w:w="108" w:type="dxa"/>
            </w:tcMar>
            <w:hideMark/>
          </w:tcPr>
          <w:p w:rsidR="003E35E3" w:rsidRDefault="003E35E3">
            <w:pPr>
              <w:spacing w:after="0" w:line="240" w:lineRule="auto"/>
              <w:ind w:left="142"/>
              <w:jc w:val="both"/>
              <w:rPr>
                <w:rFonts w:cstheme="minorHAnsi"/>
                <w:lang w:val="en-US"/>
              </w:rPr>
            </w:pPr>
            <w:r>
              <w:rPr>
                <w:rFonts w:cstheme="minorHAnsi"/>
                <w:lang w:val="en-US"/>
              </w:rPr>
              <w:t>FBH.L</w:t>
            </w:r>
          </w:p>
        </w:tc>
      </w:tr>
      <w:tr w:rsidR="003E35E3" w:rsidTr="003E35E3">
        <w:tc>
          <w:tcPr>
            <w:tcW w:w="6238" w:type="dxa"/>
            <w:gridSpan w:val="3"/>
            <w:tcMar>
              <w:top w:w="0" w:type="dxa"/>
              <w:left w:w="108" w:type="dxa"/>
              <w:bottom w:w="0" w:type="dxa"/>
              <w:right w:w="108" w:type="dxa"/>
            </w:tcMar>
            <w:hideMark/>
          </w:tcPr>
          <w:p w:rsidR="003E35E3" w:rsidRDefault="003E35E3">
            <w:pPr>
              <w:rPr>
                <w:rFonts w:cstheme="minorHAnsi"/>
                <w:lang w:val="en-US"/>
              </w:rPr>
            </w:pPr>
          </w:p>
        </w:tc>
        <w:tc>
          <w:tcPr>
            <w:tcW w:w="3407" w:type="dxa"/>
            <w:tcMar>
              <w:top w:w="0" w:type="dxa"/>
              <w:left w:w="108" w:type="dxa"/>
              <w:bottom w:w="0" w:type="dxa"/>
              <w:right w:w="108" w:type="dxa"/>
            </w:tcMar>
            <w:hideMark/>
          </w:tcPr>
          <w:p w:rsidR="003E35E3" w:rsidRDefault="003E35E3">
            <w:pPr>
              <w:spacing w:after="0"/>
              <w:rPr>
                <w:sz w:val="20"/>
                <w:szCs w:val="20"/>
                <w:lang w:val="en-IE" w:eastAsia="en-IE"/>
              </w:rPr>
            </w:pPr>
          </w:p>
        </w:tc>
      </w:tr>
    </w:tbl>
    <w:p w:rsidR="003E35E3" w:rsidRDefault="003E35E3" w:rsidP="003E35E3">
      <w:pPr>
        <w:spacing w:after="0" w:line="240" w:lineRule="auto"/>
        <w:jc w:val="both"/>
        <w:rPr>
          <w:rFonts w:cstheme="minorHAnsi"/>
          <w:lang w:val="en-US"/>
        </w:rPr>
      </w:pPr>
      <w:r>
        <w:rPr>
          <w:rFonts w:cstheme="minorHAnsi"/>
          <w:lang w:val="en-US"/>
        </w:rPr>
        <w:br/>
        <w:t>FBD Holdings plc, FBD House, Bluebell, Dublin 12</w:t>
      </w:r>
      <w:r>
        <w:rPr>
          <w:rFonts w:cstheme="minorHAnsi"/>
          <w:lang w:val="en-US"/>
        </w:rPr>
        <w:br/>
        <w:t>Registered in Dublin, Ireland Registered Number 135882</w:t>
      </w:r>
    </w:p>
    <w:p w:rsidR="00140146" w:rsidRPr="003E35E3" w:rsidRDefault="00140146" w:rsidP="003E35E3"/>
    <w:sectPr w:rsidR="00140146" w:rsidRPr="003E35E3" w:rsidSect="00341B52">
      <w:headerReference w:type="even" r:id="rId7"/>
      <w:headerReference w:type="default" r:id="rId8"/>
      <w:footerReference w:type="even" r:id="rId9"/>
      <w:footerReference w:type="default" r:id="rId10"/>
      <w:headerReference w:type="first" r:id="rId11"/>
      <w:footerReference w:type="firs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6F9" w:rsidRDefault="006726F9">
      <w:pPr>
        <w:spacing w:after="0" w:line="240" w:lineRule="auto"/>
      </w:pPr>
      <w:r>
        <w:separator/>
      </w:r>
    </w:p>
  </w:endnote>
  <w:endnote w:type="continuationSeparator" w:id="0">
    <w:p w:rsidR="006726F9" w:rsidRDefault="0067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a948c910-84dd-4442-a57f-dedb"/>
  <w:p w:rsidR="006E6371" w:rsidRDefault="006E6371">
    <w:pPr>
      <w:pStyle w:val="DocID"/>
    </w:pPr>
    <w:r>
      <w:fldChar w:fldCharType="begin"/>
    </w:r>
    <w:r>
      <w:instrText xml:space="preserve">  DOCPROPERTY "CUS_DocIDChunk0" </w:instrText>
    </w:r>
    <w:r>
      <w:fldChar w:fldCharType="separate"/>
    </w:r>
    <w:r>
      <w:rPr>
        <w:noProof/>
      </w:rPr>
      <w:t>9338329v1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936151c5-6589-411f-bdac-c37b"/>
  <w:p w:rsidR="006E6371" w:rsidRDefault="006E6371">
    <w:pPr>
      <w:pStyle w:val="DocID"/>
    </w:pPr>
    <w:r>
      <w:fldChar w:fldCharType="begin"/>
    </w:r>
    <w:r>
      <w:instrText xml:space="preserve">  DOCPROPERTY "CUS_DocIDChunk0" </w:instrText>
    </w:r>
    <w:r>
      <w:fldChar w:fldCharType="separate"/>
    </w:r>
    <w:r>
      <w:rPr>
        <w:noProof/>
      </w:rPr>
      <w:t>9338329v1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1bc71f46-534c-4659-a7dc-e590"/>
  <w:p w:rsidR="006E6371" w:rsidRDefault="006E6371">
    <w:pPr>
      <w:pStyle w:val="DocID"/>
    </w:pPr>
    <w:r>
      <w:fldChar w:fldCharType="begin"/>
    </w:r>
    <w:r>
      <w:instrText xml:space="preserve">  DOCPROPERTY "CUS_DocIDChunk0" </w:instrText>
    </w:r>
    <w:r>
      <w:fldChar w:fldCharType="separate"/>
    </w:r>
    <w:r>
      <w:rPr>
        <w:noProof/>
      </w:rPr>
      <w:t>9338329v1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6F9" w:rsidRDefault="006726F9">
      <w:pPr>
        <w:spacing w:after="0" w:line="240" w:lineRule="auto"/>
      </w:pPr>
      <w:r>
        <w:separator/>
      </w:r>
    </w:p>
  </w:footnote>
  <w:footnote w:type="continuationSeparator" w:id="0">
    <w:p w:rsidR="006726F9" w:rsidRDefault="00672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40AC"/>
    <w:multiLevelType w:val="hybridMultilevel"/>
    <w:tmpl w:val="27A4259E"/>
    <w:lvl w:ilvl="0" w:tplc="A636176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63654ED"/>
    <w:multiLevelType w:val="hybridMultilevel"/>
    <w:tmpl w:val="A84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13BC5"/>
    <w:rsid w:val="00025EC2"/>
    <w:rsid w:val="00047915"/>
    <w:rsid w:val="0005642F"/>
    <w:rsid w:val="000737B8"/>
    <w:rsid w:val="000903C0"/>
    <w:rsid w:val="000A09F0"/>
    <w:rsid w:val="000B7EB2"/>
    <w:rsid w:val="000D227A"/>
    <w:rsid w:val="000F2FAF"/>
    <w:rsid w:val="0011661D"/>
    <w:rsid w:val="00122B42"/>
    <w:rsid w:val="00140146"/>
    <w:rsid w:val="001403BF"/>
    <w:rsid w:val="00157793"/>
    <w:rsid w:val="00157E64"/>
    <w:rsid w:val="00172E96"/>
    <w:rsid w:val="0019743B"/>
    <w:rsid w:val="001C7185"/>
    <w:rsid w:val="001E2E80"/>
    <w:rsid w:val="001F56D4"/>
    <w:rsid w:val="001F7A31"/>
    <w:rsid w:val="0020673B"/>
    <w:rsid w:val="00266A2C"/>
    <w:rsid w:val="00271035"/>
    <w:rsid w:val="0027298D"/>
    <w:rsid w:val="002E4BAD"/>
    <w:rsid w:val="0030525C"/>
    <w:rsid w:val="003209D8"/>
    <w:rsid w:val="00341B52"/>
    <w:rsid w:val="00355334"/>
    <w:rsid w:val="0038500C"/>
    <w:rsid w:val="0038502E"/>
    <w:rsid w:val="003A5C4B"/>
    <w:rsid w:val="003C61DC"/>
    <w:rsid w:val="003E35E3"/>
    <w:rsid w:val="004014C4"/>
    <w:rsid w:val="00401763"/>
    <w:rsid w:val="004070CB"/>
    <w:rsid w:val="00440B66"/>
    <w:rsid w:val="004552F3"/>
    <w:rsid w:val="0048117A"/>
    <w:rsid w:val="004B052D"/>
    <w:rsid w:val="004D7EDB"/>
    <w:rsid w:val="004F0E28"/>
    <w:rsid w:val="00511116"/>
    <w:rsid w:val="00542FE5"/>
    <w:rsid w:val="005520FF"/>
    <w:rsid w:val="0055443F"/>
    <w:rsid w:val="00564EA4"/>
    <w:rsid w:val="00564F1E"/>
    <w:rsid w:val="0056530D"/>
    <w:rsid w:val="00580F6A"/>
    <w:rsid w:val="00595D82"/>
    <w:rsid w:val="005C372B"/>
    <w:rsid w:val="0061369B"/>
    <w:rsid w:val="006221D4"/>
    <w:rsid w:val="00636DA3"/>
    <w:rsid w:val="00661EF8"/>
    <w:rsid w:val="00662747"/>
    <w:rsid w:val="006726F9"/>
    <w:rsid w:val="0068201E"/>
    <w:rsid w:val="006D6EA3"/>
    <w:rsid w:val="006E6371"/>
    <w:rsid w:val="006F7801"/>
    <w:rsid w:val="0073101D"/>
    <w:rsid w:val="00734C2A"/>
    <w:rsid w:val="00741804"/>
    <w:rsid w:val="00766A85"/>
    <w:rsid w:val="00786820"/>
    <w:rsid w:val="00786E99"/>
    <w:rsid w:val="00793C63"/>
    <w:rsid w:val="007A174D"/>
    <w:rsid w:val="007B6AF4"/>
    <w:rsid w:val="007C4503"/>
    <w:rsid w:val="007C7482"/>
    <w:rsid w:val="007D7600"/>
    <w:rsid w:val="007E065D"/>
    <w:rsid w:val="007E4237"/>
    <w:rsid w:val="007F14B0"/>
    <w:rsid w:val="00801F11"/>
    <w:rsid w:val="00817504"/>
    <w:rsid w:val="00823CA4"/>
    <w:rsid w:val="00830073"/>
    <w:rsid w:val="00832ADC"/>
    <w:rsid w:val="0084268E"/>
    <w:rsid w:val="00867370"/>
    <w:rsid w:val="008846BD"/>
    <w:rsid w:val="00892AD2"/>
    <w:rsid w:val="008B398C"/>
    <w:rsid w:val="009338FD"/>
    <w:rsid w:val="009A1B8A"/>
    <w:rsid w:val="009A23E6"/>
    <w:rsid w:val="009C79CF"/>
    <w:rsid w:val="009E2999"/>
    <w:rsid w:val="009F3085"/>
    <w:rsid w:val="00A00086"/>
    <w:rsid w:val="00A137EB"/>
    <w:rsid w:val="00A40A55"/>
    <w:rsid w:val="00A53D68"/>
    <w:rsid w:val="00A57987"/>
    <w:rsid w:val="00A60272"/>
    <w:rsid w:val="00A75AE9"/>
    <w:rsid w:val="00A80BF7"/>
    <w:rsid w:val="00AA5591"/>
    <w:rsid w:val="00AC3A60"/>
    <w:rsid w:val="00AC4CE5"/>
    <w:rsid w:val="00AE1790"/>
    <w:rsid w:val="00B2586E"/>
    <w:rsid w:val="00B26F9E"/>
    <w:rsid w:val="00B4117F"/>
    <w:rsid w:val="00B4624E"/>
    <w:rsid w:val="00B53D48"/>
    <w:rsid w:val="00BD67BC"/>
    <w:rsid w:val="00C00D45"/>
    <w:rsid w:val="00C234F9"/>
    <w:rsid w:val="00C30F4C"/>
    <w:rsid w:val="00C32EB3"/>
    <w:rsid w:val="00C757C7"/>
    <w:rsid w:val="00C945DD"/>
    <w:rsid w:val="00CE5E26"/>
    <w:rsid w:val="00CF500B"/>
    <w:rsid w:val="00D307FA"/>
    <w:rsid w:val="00D3744C"/>
    <w:rsid w:val="00D609E9"/>
    <w:rsid w:val="00DA77BF"/>
    <w:rsid w:val="00DA79C4"/>
    <w:rsid w:val="00E07356"/>
    <w:rsid w:val="00E2200B"/>
    <w:rsid w:val="00E5340B"/>
    <w:rsid w:val="00E562FA"/>
    <w:rsid w:val="00E67F59"/>
    <w:rsid w:val="00E764FD"/>
    <w:rsid w:val="00E957C9"/>
    <w:rsid w:val="00EB0033"/>
    <w:rsid w:val="00EB60D1"/>
    <w:rsid w:val="00EC0812"/>
    <w:rsid w:val="00F555D2"/>
    <w:rsid w:val="00F83EC6"/>
    <w:rsid w:val="00F9213D"/>
    <w:rsid w:val="00FA5B85"/>
    <w:rsid w:val="00FC3021"/>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963928B-C097-4F55-93E7-B5D173A3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0B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B2"/>
  </w:style>
  <w:style w:type="paragraph" w:customStyle="1" w:styleId="DocID">
    <w:name w:val="DocID"/>
    <w:basedOn w:val="Footer"/>
    <w:next w:val="Footer"/>
    <w:link w:val="DocIDChar"/>
    <w:rsid w:val="006E6371"/>
    <w:pPr>
      <w:tabs>
        <w:tab w:val="clear" w:pos="4513"/>
        <w:tab w:val="clear" w:pos="9026"/>
      </w:tabs>
    </w:pPr>
    <w:rPr>
      <w:rFonts w:ascii="Arial" w:eastAsia="Times New Roman" w:hAnsi="Arial" w:cs="Arial"/>
      <w:sz w:val="18"/>
      <w:szCs w:val="20"/>
      <w:lang w:val="en-IE" w:eastAsia="en-IE"/>
    </w:rPr>
  </w:style>
  <w:style w:type="character" w:customStyle="1" w:styleId="DocIDChar">
    <w:name w:val="DocID Char"/>
    <w:basedOn w:val="DefaultParagraphFont"/>
    <w:link w:val="DocID"/>
    <w:rsid w:val="006E6371"/>
    <w:rPr>
      <w:rFonts w:ascii="Arial" w:eastAsia="Times New Roman" w:hAnsi="Arial" w:cs="Arial"/>
      <w:sz w:val="18"/>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7127">
      <w:bodyDiv w:val="1"/>
      <w:marLeft w:val="0"/>
      <w:marRight w:val="0"/>
      <w:marTop w:val="0"/>
      <w:marBottom w:val="0"/>
      <w:divBdr>
        <w:top w:val="none" w:sz="0" w:space="0" w:color="auto"/>
        <w:left w:val="none" w:sz="0" w:space="0" w:color="auto"/>
        <w:bottom w:val="none" w:sz="0" w:space="0" w:color="auto"/>
        <w:right w:val="none" w:sz="0" w:space="0" w:color="auto"/>
      </w:divBdr>
    </w:div>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 w:id="18154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2020-03-31T13:13:42+00:00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FCD4366-E5FB-431A-A474-905323787CFD}"/>
</file>

<file path=customXml/itemProps2.xml><?xml version="1.0" encoding="utf-8"?>
<ds:datastoreItem xmlns:ds="http://schemas.openxmlformats.org/officeDocument/2006/customXml" ds:itemID="{2B1AAD40-E510-4E74-AF2B-1F18D472A81A}"/>
</file>

<file path=customXml/itemProps3.xml><?xml version="1.0" encoding="utf-8"?>
<ds:datastoreItem xmlns:ds="http://schemas.openxmlformats.org/officeDocument/2006/customXml" ds:itemID="{1F461A12-E8E5-4801-A99B-FFCF470EFF40}"/>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Higgins</dc:creator>
  <cp:keywords/>
  <cp:lastModifiedBy>Tara O'Callaghan</cp:lastModifiedBy>
  <cp:revision>3</cp:revision>
  <cp:lastPrinted>2020-02-06T08:20:00Z</cp:lastPrinted>
  <dcterms:created xsi:type="dcterms:W3CDTF">2020-03-31T12:16:00Z</dcterms:created>
  <dcterms:modified xsi:type="dcterms:W3CDTF">2020-03-31T12:16:00Z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9338329v1</vt:lpwstr>
  </property>
  <property fmtid="{D5CDD505-2E9C-101B-9397-08002B2CF9AE}" pid="3" name="CUS_DocIDChunk0">
    <vt:lpwstr>9338329v1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0x010100BE156B1CF39149A8843C57AB06C49AFE0011B886BEF4CCD94F85F46E94360FD412</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