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78E" w:rsidRPr="00B6578E" w:rsidRDefault="004D7E87" w:rsidP="00B6578E">
      <w:pPr>
        <w:spacing w:after="0" w:line="240" w:lineRule="auto"/>
        <w:jc w:val="both"/>
        <w:rPr>
          <w:rFonts w:cstheme="minorHAnsi"/>
          <w:b/>
          <w:bCs/>
          <w:color w:val="000000"/>
          <w:sz w:val="24"/>
          <w:szCs w:val="24"/>
          <w:lang w:val="en-US"/>
        </w:rPr>
      </w:pPr>
      <w:bookmarkStart w:id="0" w:name="_GoBack"/>
      <w:bookmarkEnd w:id="0"/>
      <w:r>
        <w:rPr>
          <w:rFonts w:cstheme="minorHAnsi"/>
          <w:b/>
          <w:bCs/>
          <w:color w:val="000000"/>
          <w:sz w:val="24"/>
          <w:szCs w:val="24"/>
          <w:lang w:val="en-US"/>
        </w:rPr>
        <w:t>F</w:t>
      </w:r>
      <w:r w:rsidR="00B6578E" w:rsidRPr="00B6578E">
        <w:rPr>
          <w:rFonts w:cstheme="minorHAnsi"/>
          <w:b/>
          <w:bCs/>
          <w:color w:val="000000"/>
          <w:sz w:val="24"/>
          <w:szCs w:val="24"/>
          <w:lang w:val="en-US"/>
        </w:rPr>
        <w:t>BD Holdings plc</w:t>
      </w:r>
    </w:p>
    <w:p w:rsidR="00B6578E" w:rsidRPr="00B6578E" w:rsidRDefault="00B6578E" w:rsidP="00B6578E">
      <w:pPr>
        <w:spacing w:after="0" w:line="240" w:lineRule="auto"/>
        <w:jc w:val="both"/>
        <w:rPr>
          <w:rFonts w:cstheme="minorHAnsi"/>
          <w:sz w:val="24"/>
          <w:szCs w:val="24"/>
          <w:lang w:val="en-US"/>
        </w:rPr>
      </w:pPr>
      <w:r w:rsidRPr="00B6578E">
        <w:rPr>
          <w:rFonts w:cstheme="minorHAnsi"/>
          <w:b/>
          <w:bCs/>
          <w:color w:val="000000"/>
          <w:sz w:val="24"/>
          <w:szCs w:val="24"/>
          <w:lang w:val="en-US"/>
        </w:rPr>
        <w:t>FBD Insurance plc</w:t>
      </w:r>
    </w:p>
    <w:p w:rsidR="00B6578E" w:rsidRDefault="00B6578E" w:rsidP="00B6578E">
      <w:pPr>
        <w:spacing w:after="0" w:line="240" w:lineRule="auto"/>
        <w:jc w:val="both"/>
        <w:rPr>
          <w:rStyle w:val="aq"/>
          <w:rFonts w:cstheme="minorHAnsi"/>
          <w:b/>
          <w:bCs/>
          <w:color w:val="000000"/>
          <w:sz w:val="24"/>
          <w:szCs w:val="24"/>
        </w:rPr>
      </w:pPr>
    </w:p>
    <w:p w:rsidR="00B6578E" w:rsidRPr="00B6578E" w:rsidRDefault="00DB3524" w:rsidP="00B6578E">
      <w:pPr>
        <w:spacing w:after="0" w:line="240" w:lineRule="auto"/>
        <w:jc w:val="both"/>
        <w:rPr>
          <w:rFonts w:cstheme="minorHAnsi"/>
          <w:sz w:val="24"/>
          <w:szCs w:val="24"/>
          <w:lang w:val="en-US"/>
        </w:rPr>
      </w:pPr>
      <w:r>
        <w:rPr>
          <w:rStyle w:val="aq"/>
          <w:rFonts w:cstheme="minorHAnsi"/>
          <w:b/>
          <w:bCs/>
          <w:color w:val="000000"/>
          <w:sz w:val="24"/>
          <w:szCs w:val="24"/>
        </w:rPr>
        <w:t>Increased Risk Appetite</w:t>
      </w:r>
    </w:p>
    <w:p w:rsidR="00B6578E" w:rsidRPr="00B6578E" w:rsidRDefault="004D7E87" w:rsidP="00B6578E">
      <w:pPr>
        <w:spacing w:after="0" w:line="240" w:lineRule="auto"/>
        <w:jc w:val="both"/>
        <w:rPr>
          <w:rFonts w:cstheme="minorHAnsi"/>
          <w:sz w:val="24"/>
          <w:szCs w:val="24"/>
          <w:lang w:val="en-US"/>
        </w:rPr>
      </w:pPr>
      <w:r>
        <w:rPr>
          <w:rFonts w:cstheme="minorHAnsi"/>
          <w:b/>
          <w:bCs/>
          <w:color w:val="000000"/>
          <w:sz w:val="24"/>
          <w:szCs w:val="24"/>
          <w:lang w:val="en-US"/>
        </w:rPr>
        <w:t>13</w:t>
      </w:r>
      <w:r w:rsidR="00DB3524">
        <w:rPr>
          <w:rFonts w:cstheme="minorHAnsi"/>
          <w:b/>
          <w:bCs/>
          <w:color w:val="000000"/>
          <w:sz w:val="24"/>
          <w:szCs w:val="24"/>
          <w:lang w:val="en-US"/>
        </w:rPr>
        <w:t xml:space="preserve"> October</w:t>
      </w:r>
      <w:r w:rsidR="00B6578E" w:rsidRPr="00B6578E">
        <w:rPr>
          <w:rFonts w:cstheme="minorHAnsi"/>
          <w:b/>
          <w:bCs/>
          <w:color w:val="000000"/>
          <w:sz w:val="24"/>
          <w:szCs w:val="24"/>
          <w:lang w:val="en-US"/>
        </w:rPr>
        <w:t xml:space="preserve"> 2020</w:t>
      </w:r>
    </w:p>
    <w:p w:rsidR="00B6578E" w:rsidRPr="00B6578E" w:rsidRDefault="00B6578E" w:rsidP="00B6578E">
      <w:pPr>
        <w:spacing w:after="0" w:line="240" w:lineRule="auto"/>
        <w:jc w:val="both"/>
        <w:rPr>
          <w:rFonts w:eastAsia="Trebuchet MS" w:cstheme="minorHAnsi"/>
          <w:sz w:val="24"/>
          <w:szCs w:val="24"/>
        </w:rPr>
      </w:pPr>
    </w:p>
    <w:p w:rsidR="00B6578E" w:rsidRPr="00B6578E" w:rsidRDefault="00B6578E" w:rsidP="00B6578E">
      <w:pPr>
        <w:spacing w:after="0" w:line="240" w:lineRule="auto"/>
        <w:jc w:val="both"/>
        <w:rPr>
          <w:rFonts w:eastAsia="Trebuchet MS" w:cstheme="minorHAnsi"/>
          <w:sz w:val="24"/>
          <w:szCs w:val="24"/>
        </w:rPr>
      </w:pPr>
    </w:p>
    <w:p w:rsidR="00DB3524" w:rsidRDefault="00DB3524" w:rsidP="00DB3524">
      <w:pPr>
        <w:pStyle w:val="BodyText"/>
        <w:rPr>
          <w:rFonts w:cs="Arial"/>
        </w:rPr>
      </w:pPr>
      <w:proofErr w:type="gramStart"/>
      <w:r>
        <w:t>FBD Holdings plc (“</w:t>
      </w:r>
      <w:r>
        <w:rPr>
          <w:b/>
        </w:rPr>
        <w:t>FBD</w:t>
      </w:r>
      <w:r>
        <w:t>” or the “</w:t>
      </w:r>
      <w:r>
        <w:rPr>
          <w:b/>
        </w:rPr>
        <w:t>Group</w:t>
      </w:r>
      <w:r>
        <w:t>”) today announces that following engagement between the Central Bank of Ireland (“</w:t>
      </w:r>
      <w:r>
        <w:rPr>
          <w:b/>
        </w:rPr>
        <w:t>CBI</w:t>
      </w:r>
      <w:r>
        <w:t>”) and FBD Insurance plc (“</w:t>
      </w:r>
      <w:r>
        <w:rPr>
          <w:b/>
        </w:rPr>
        <w:t>FBD Insurance</w:t>
      </w:r>
      <w:r>
        <w:t>”) on a range of matters, the board of FBD Insurance (the “</w:t>
      </w:r>
      <w:r>
        <w:rPr>
          <w:b/>
        </w:rPr>
        <w:t>Board</w:t>
      </w:r>
      <w:r>
        <w:t xml:space="preserve">”) has made the decision to increase </w:t>
      </w:r>
      <w:r>
        <w:rPr>
          <w:rFonts w:cs="Arial"/>
        </w:rPr>
        <w:t>its</w:t>
      </w:r>
      <w:r>
        <w:t xml:space="preserve"> </w:t>
      </w:r>
      <w:r>
        <w:rPr>
          <w:rFonts w:cs="Arial"/>
        </w:rPr>
        <w:t>Solvency Capital Ratio Risk Appetite from its current range of 120% to 140% up to 150% to 170%.</w:t>
      </w:r>
      <w:proofErr w:type="gramEnd"/>
    </w:p>
    <w:p w:rsidR="00DB3524" w:rsidRDefault="00DB3524" w:rsidP="00DB3524">
      <w:pPr>
        <w:pStyle w:val="BodyText"/>
        <w:rPr>
          <w:rFonts w:cs="Arial"/>
        </w:rPr>
      </w:pPr>
      <w:r>
        <w:rPr>
          <w:rFonts w:cs="Arial"/>
        </w:rPr>
        <w:t xml:space="preserve">The Board has </w:t>
      </w:r>
      <w:r w:rsidR="00BA2323">
        <w:rPr>
          <w:rFonts w:cs="Arial"/>
        </w:rPr>
        <w:t xml:space="preserve">prudently </w:t>
      </w:r>
      <w:r>
        <w:rPr>
          <w:rFonts w:cs="Arial"/>
        </w:rPr>
        <w:t xml:space="preserve">decided to increase the Solvency Capital Risk Appetite on a voluntary basis and any adjustment below 170% will be subject to CBI approval.  The Solvency Capital Risk Appetite </w:t>
      </w:r>
      <w:proofErr w:type="gramStart"/>
      <w:r>
        <w:rPr>
          <w:rFonts w:cs="Arial"/>
        </w:rPr>
        <w:t>will be kept</w:t>
      </w:r>
      <w:proofErr w:type="gramEnd"/>
      <w:r>
        <w:rPr>
          <w:rFonts w:cs="Arial"/>
        </w:rPr>
        <w:t xml:space="preserve"> under review as part of the regular engagement with the CBI.  </w:t>
      </w:r>
    </w:p>
    <w:p w:rsidR="00DB3524" w:rsidRDefault="00DB3524" w:rsidP="00DB3524">
      <w:pPr>
        <w:pStyle w:val="BodyText"/>
        <w:rPr>
          <w:rFonts w:cs="Arial"/>
        </w:rPr>
      </w:pPr>
      <w:r>
        <w:t xml:space="preserve">The Solvency Capital Risk Appetite takes account of all risks including Non-Life Underwriting, Market, Counterparty Default and Operational Risk incorporating systems of governance and potential uncertainties resulting from the </w:t>
      </w:r>
      <w:proofErr w:type="spellStart"/>
      <w:r>
        <w:t>Covid</w:t>
      </w:r>
      <w:proofErr w:type="spellEnd"/>
      <w:r>
        <w:t xml:space="preserve"> 19 pandemic, including business interruption claims, as well as any risk mitigation techniques applied by FBD Insurance.  </w:t>
      </w:r>
    </w:p>
    <w:p w:rsidR="00DB3524" w:rsidRDefault="00DB3524" w:rsidP="00DB3524">
      <w:pPr>
        <w:pStyle w:val="BodyText"/>
      </w:pPr>
      <w:r>
        <w:t>FBD remains confident in the underlying profitability, future growth prospects and capital strength of the business</w:t>
      </w:r>
      <w:r w:rsidRPr="00DB3524">
        <w:rPr>
          <w:color w:val="FF0000"/>
        </w:rPr>
        <w:t xml:space="preserve">. </w:t>
      </w:r>
    </w:p>
    <w:p w:rsidR="00DB3524" w:rsidRDefault="00DB3524" w:rsidP="00DB3524">
      <w:pPr>
        <w:pStyle w:val="BodyText"/>
      </w:pPr>
    </w:p>
    <w:p w:rsidR="00B6578E" w:rsidRPr="00B6578E" w:rsidRDefault="00B6578E" w:rsidP="00B6578E">
      <w:pPr>
        <w:spacing w:after="0" w:line="240" w:lineRule="auto"/>
        <w:jc w:val="both"/>
        <w:rPr>
          <w:rFonts w:eastAsia="Trebuchet MS" w:cstheme="minorHAnsi"/>
          <w:b/>
          <w:sz w:val="24"/>
          <w:szCs w:val="24"/>
        </w:rPr>
      </w:pPr>
      <w:r w:rsidRPr="00B6578E">
        <w:rPr>
          <w:rFonts w:eastAsia="Trebuchet MS" w:cstheme="minorHAnsi"/>
          <w:b/>
          <w:sz w:val="24"/>
          <w:szCs w:val="24"/>
        </w:rPr>
        <w:t xml:space="preserve">Regulation (EU) No. 596/2014 of the European Parliament and of the Council of 16 April 2014 on market abuse (the “Market Abuse Regulation”) requires disclosure of inside information relating to the Group and FBD Insurance Plc. This announcement contains inside information as defined in Article 7 of the Market Abuse Regulation and </w:t>
      </w:r>
      <w:proofErr w:type="gramStart"/>
      <w:r w:rsidRPr="00B6578E">
        <w:rPr>
          <w:rFonts w:eastAsia="Trebuchet MS" w:cstheme="minorHAnsi"/>
          <w:b/>
          <w:sz w:val="24"/>
          <w:szCs w:val="24"/>
        </w:rPr>
        <w:t>is disclosed</w:t>
      </w:r>
      <w:proofErr w:type="gramEnd"/>
      <w:r w:rsidRPr="00B6578E">
        <w:rPr>
          <w:rFonts w:eastAsia="Trebuchet MS" w:cstheme="minorHAnsi"/>
          <w:b/>
          <w:sz w:val="24"/>
          <w:szCs w:val="24"/>
        </w:rPr>
        <w:t xml:space="preserve"> in accordance with Article 17 of the Market Abuse Regulation.</w:t>
      </w:r>
    </w:p>
    <w:p w:rsidR="00B6578E" w:rsidRPr="00B6578E" w:rsidRDefault="00B6578E" w:rsidP="00B6578E">
      <w:pPr>
        <w:spacing w:after="0" w:line="240" w:lineRule="auto"/>
        <w:jc w:val="both"/>
        <w:rPr>
          <w:rFonts w:eastAsia="Trebuchet MS" w:cstheme="minorHAnsi"/>
          <w:sz w:val="24"/>
          <w:szCs w:val="24"/>
        </w:rPr>
      </w:pPr>
    </w:p>
    <w:p w:rsidR="00B6578E" w:rsidRPr="00B6578E" w:rsidRDefault="00B6578E" w:rsidP="00B6578E">
      <w:pPr>
        <w:spacing w:after="0" w:line="240" w:lineRule="auto"/>
        <w:jc w:val="both"/>
        <w:rPr>
          <w:rFonts w:eastAsia="Trebuchet MS" w:cstheme="minorHAnsi"/>
          <w:b/>
          <w:bCs/>
          <w:sz w:val="24"/>
          <w:szCs w:val="24"/>
          <w:u w:val="single"/>
        </w:rPr>
      </w:pPr>
      <w:r w:rsidRPr="00B6578E">
        <w:rPr>
          <w:rFonts w:eastAsia="Trebuchet MS" w:cstheme="minorHAnsi"/>
          <w:b/>
          <w:bCs/>
          <w:sz w:val="24"/>
          <w:szCs w:val="24"/>
          <w:u w:val="single"/>
        </w:rPr>
        <w:t>Enquiries</w:t>
      </w:r>
    </w:p>
    <w:p w:rsidR="00B6578E" w:rsidRPr="00B6578E" w:rsidRDefault="00B6578E" w:rsidP="00B6578E">
      <w:pPr>
        <w:spacing w:after="0" w:line="240" w:lineRule="auto"/>
        <w:jc w:val="both"/>
        <w:rPr>
          <w:rFonts w:eastAsia="Trebuchet MS" w:cstheme="minorHAnsi"/>
          <w:b/>
          <w:bCs/>
          <w:color w:val="2E3338"/>
          <w:sz w:val="24"/>
          <w:szCs w:val="24"/>
          <w:u w:val="single"/>
        </w:rPr>
      </w:pPr>
    </w:p>
    <w:tbl>
      <w:tblPr>
        <w:tblW w:w="9507" w:type="dxa"/>
        <w:tblInd w:w="-34" w:type="dxa"/>
        <w:tblLook w:val="01E0" w:firstRow="1" w:lastRow="1" w:firstColumn="1" w:lastColumn="1" w:noHBand="0" w:noVBand="0"/>
      </w:tblPr>
      <w:tblGrid>
        <w:gridCol w:w="34"/>
        <w:gridCol w:w="5630"/>
        <w:gridCol w:w="574"/>
        <w:gridCol w:w="2868"/>
        <w:gridCol w:w="401"/>
      </w:tblGrid>
      <w:tr w:rsidR="00BC279D" w:rsidRPr="0006577F" w:rsidTr="00BC279D">
        <w:trPr>
          <w:gridBefore w:val="1"/>
          <w:wBefore w:w="34" w:type="dxa"/>
          <w:trHeight w:val="270"/>
        </w:trPr>
        <w:tc>
          <w:tcPr>
            <w:tcW w:w="5630" w:type="dxa"/>
          </w:tcPr>
          <w:p w:rsidR="00BC279D" w:rsidRPr="007A5A94" w:rsidRDefault="00BC279D" w:rsidP="00D17DC6">
            <w:pPr>
              <w:pStyle w:val="HTMLPreformatted"/>
              <w:jc w:val="both"/>
              <w:rPr>
                <w:rStyle w:val="HTMLKeyboard"/>
                <w:rFonts w:asciiTheme="minorHAnsi" w:hAnsiTheme="minorHAnsi" w:cstheme="minorHAnsi"/>
                <w:b/>
                <w:bCs/>
                <w:sz w:val="24"/>
                <w:szCs w:val="24"/>
              </w:rPr>
            </w:pPr>
            <w:r w:rsidRPr="007A5A94">
              <w:rPr>
                <w:rStyle w:val="HTMLKeyboard"/>
                <w:rFonts w:asciiTheme="minorHAnsi" w:hAnsiTheme="minorHAnsi" w:cstheme="minorHAnsi"/>
                <w:b/>
                <w:bCs/>
                <w:sz w:val="24"/>
                <w:szCs w:val="24"/>
              </w:rPr>
              <w:t>FBD</w:t>
            </w:r>
          </w:p>
        </w:tc>
        <w:tc>
          <w:tcPr>
            <w:tcW w:w="3843" w:type="dxa"/>
            <w:gridSpan w:val="3"/>
          </w:tcPr>
          <w:p w:rsidR="00BC279D" w:rsidRPr="0006577F" w:rsidRDefault="00BC279D" w:rsidP="00D17DC6">
            <w:pPr>
              <w:pStyle w:val="HTMLPreformatted"/>
              <w:jc w:val="both"/>
              <w:rPr>
                <w:rStyle w:val="HTMLKeyboard"/>
                <w:rFonts w:ascii="Arial" w:hAnsi="Arial" w:cs="Arial"/>
                <w:sz w:val="22"/>
                <w:szCs w:val="22"/>
              </w:rPr>
            </w:pPr>
          </w:p>
        </w:tc>
      </w:tr>
      <w:tr w:rsidR="00BC279D" w:rsidRPr="0006577F" w:rsidTr="00BC279D">
        <w:trPr>
          <w:gridBefore w:val="1"/>
          <w:wBefore w:w="34" w:type="dxa"/>
          <w:trHeight w:val="540"/>
        </w:trPr>
        <w:tc>
          <w:tcPr>
            <w:tcW w:w="5630" w:type="dxa"/>
          </w:tcPr>
          <w:p w:rsidR="00BC279D" w:rsidRPr="00BC279D" w:rsidRDefault="00BC279D" w:rsidP="00D17DC6">
            <w:pPr>
              <w:pStyle w:val="HTMLPreformatted"/>
              <w:jc w:val="both"/>
              <w:rPr>
                <w:rStyle w:val="HTMLKeyboard"/>
                <w:rFonts w:asciiTheme="minorHAnsi" w:hAnsiTheme="minorHAnsi" w:cstheme="minorHAnsi"/>
                <w:sz w:val="24"/>
                <w:szCs w:val="24"/>
              </w:rPr>
            </w:pPr>
            <w:r w:rsidRPr="00BC279D">
              <w:rPr>
                <w:rStyle w:val="HTMLKeyboard"/>
                <w:rFonts w:asciiTheme="minorHAnsi" w:hAnsiTheme="minorHAnsi" w:cstheme="minorHAnsi"/>
                <w:sz w:val="24"/>
                <w:szCs w:val="24"/>
              </w:rPr>
              <w:t>Michael Sharpe, Head of Investor Relations</w:t>
            </w:r>
          </w:p>
        </w:tc>
        <w:tc>
          <w:tcPr>
            <w:tcW w:w="3843" w:type="dxa"/>
            <w:gridSpan w:val="3"/>
          </w:tcPr>
          <w:p w:rsidR="00BC279D" w:rsidRPr="00BC279D" w:rsidRDefault="00BC279D" w:rsidP="00BC279D">
            <w:pPr>
              <w:pStyle w:val="HTMLPreformatted"/>
              <w:jc w:val="both"/>
              <w:rPr>
                <w:rStyle w:val="HTMLKeyboard"/>
                <w:rFonts w:asciiTheme="minorHAnsi" w:hAnsiTheme="minorHAnsi" w:cstheme="minorHAnsi"/>
                <w:sz w:val="24"/>
                <w:szCs w:val="24"/>
              </w:rPr>
            </w:pPr>
            <w:r>
              <w:rPr>
                <w:rStyle w:val="HTMLKeyboard"/>
                <w:rFonts w:asciiTheme="minorHAnsi" w:hAnsiTheme="minorHAnsi" w:cstheme="minorHAnsi"/>
                <w:sz w:val="24"/>
                <w:szCs w:val="24"/>
              </w:rPr>
              <w:t xml:space="preserve">          </w:t>
            </w:r>
            <w:r w:rsidRPr="00BC279D">
              <w:rPr>
                <w:rStyle w:val="HTMLKeyboard"/>
                <w:rFonts w:asciiTheme="minorHAnsi" w:hAnsiTheme="minorHAnsi" w:cstheme="minorHAnsi"/>
                <w:sz w:val="24"/>
                <w:szCs w:val="24"/>
              </w:rPr>
              <w:t xml:space="preserve">+353 </w:t>
            </w:r>
            <w:r w:rsidRPr="00BC279D">
              <w:rPr>
                <w:rFonts w:asciiTheme="minorHAnsi" w:hAnsiTheme="minorHAnsi" w:cstheme="minorHAnsi"/>
                <w:sz w:val="24"/>
                <w:szCs w:val="24"/>
              </w:rPr>
              <w:t>87 9152914</w:t>
            </w:r>
          </w:p>
        </w:tc>
      </w:tr>
      <w:tr w:rsidR="00B6578E" w:rsidRPr="00B6578E" w:rsidTr="00BC279D">
        <w:tblPrEx>
          <w:tblCellMar>
            <w:left w:w="0" w:type="dxa"/>
            <w:right w:w="0" w:type="dxa"/>
          </w:tblCellMar>
          <w:tblLook w:val="04A0" w:firstRow="1" w:lastRow="0" w:firstColumn="1" w:lastColumn="0" w:noHBand="0" w:noVBand="1"/>
        </w:tblPrEx>
        <w:trPr>
          <w:gridAfter w:val="1"/>
          <w:wAfter w:w="401" w:type="dxa"/>
        </w:trPr>
        <w:tc>
          <w:tcPr>
            <w:tcW w:w="6238" w:type="dxa"/>
            <w:gridSpan w:val="3"/>
            <w:tcMar>
              <w:top w:w="0" w:type="dxa"/>
              <w:left w:w="108" w:type="dxa"/>
              <w:bottom w:w="0" w:type="dxa"/>
              <w:right w:w="108" w:type="dxa"/>
            </w:tcMar>
            <w:hideMark/>
          </w:tcPr>
          <w:p w:rsidR="00B6578E" w:rsidRPr="00B6578E" w:rsidRDefault="00B6578E" w:rsidP="00B6578E">
            <w:pPr>
              <w:spacing w:after="0" w:line="240" w:lineRule="auto"/>
              <w:ind w:left="142" w:hanging="142"/>
              <w:rPr>
                <w:rFonts w:cstheme="minorHAnsi"/>
                <w:b/>
                <w:sz w:val="24"/>
                <w:szCs w:val="24"/>
                <w:lang w:val="en-US"/>
              </w:rPr>
            </w:pPr>
          </w:p>
        </w:tc>
        <w:tc>
          <w:tcPr>
            <w:tcW w:w="2868" w:type="dxa"/>
            <w:tcMar>
              <w:top w:w="0" w:type="dxa"/>
              <w:left w:w="108" w:type="dxa"/>
              <w:bottom w:w="0" w:type="dxa"/>
              <w:right w:w="108" w:type="dxa"/>
            </w:tcMar>
            <w:hideMark/>
          </w:tcPr>
          <w:p w:rsidR="00B6578E" w:rsidRPr="00B6578E" w:rsidRDefault="00B6578E" w:rsidP="00B6578E">
            <w:pPr>
              <w:spacing w:after="0" w:line="240" w:lineRule="auto"/>
              <w:ind w:left="142" w:hanging="142"/>
              <w:rPr>
                <w:rFonts w:cstheme="minorHAnsi"/>
                <w:sz w:val="24"/>
                <w:szCs w:val="24"/>
                <w:lang w:val="en-US"/>
              </w:rPr>
            </w:pPr>
          </w:p>
        </w:tc>
      </w:tr>
      <w:tr w:rsidR="00B6578E" w:rsidRPr="00B6578E" w:rsidTr="00BC279D">
        <w:tblPrEx>
          <w:tblCellMar>
            <w:left w:w="0" w:type="dxa"/>
            <w:right w:w="0" w:type="dxa"/>
          </w:tblCellMar>
          <w:tblLook w:val="04A0" w:firstRow="1" w:lastRow="0" w:firstColumn="1" w:lastColumn="0" w:noHBand="0" w:noVBand="1"/>
        </w:tblPrEx>
        <w:trPr>
          <w:gridAfter w:val="1"/>
          <w:wAfter w:w="401" w:type="dxa"/>
        </w:trPr>
        <w:tc>
          <w:tcPr>
            <w:tcW w:w="6238" w:type="dxa"/>
            <w:gridSpan w:val="3"/>
            <w:tcMar>
              <w:top w:w="0" w:type="dxa"/>
              <w:left w:w="108" w:type="dxa"/>
              <w:bottom w:w="0" w:type="dxa"/>
              <w:right w:w="108" w:type="dxa"/>
            </w:tcMar>
          </w:tcPr>
          <w:p w:rsidR="00B6578E" w:rsidRPr="00B6578E" w:rsidRDefault="00BC279D" w:rsidP="00B6578E">
            <w:pPr>
              <w:spacing w:after="0" w:line="240" w:lineRule="auto"/>
              <w:jc w:val="both"/>
              <w:rPr>
                <w:rFonts w:eastAsia="Trebuchet MS" w:cstheme="minorHAnsi"/>
                <w:b/>
                <w:sz w:val="24"/>
                <w:szCs w:val="24"/>
              </w:rPr>
            </w:pPr>
            <w:r>
              <w:rPr>
                <w:rFonts w:eastAsia="Trebuchet MS" w:cstheme="minorHAnsi"/>
                <w:b/>
                <w:sz w:val="24"/>
                <w:szCs w:val="24"/>
              </w:rPr>
              <w:t xml:space="preserve"> </w:t>
            </w:r>
            <w:proofErr w:type="spellStart"/>
            <w:r w:rsidR="00B6578E" w:rsidRPr="00B6578E">
              <w:rPr>
                <w:rFonts w:eastAsia="Trebuchet MS" w:cstheme="minorHAnsi"/>
                <w:b/>
                <w:sz w:val="24"/>
                <w:szCs w:val="24"/>
              </w:rPr>
              <w:t>Powerscourt</w:t>
            </w:r>
            <w:proofErr w:type="spellEnd"/>
            <w:r w:rsidR="00B6578E" w:rsidRPr="00B6578E">
              <w:rPr>
                <w:rFonts w:eastAsia="Trebuchet MS" w:cstheme="minorHAnsi"/>
                <w:b/>
                <w:sz w:val="24"/>
                <w:szCs w:val="24"/>
              </w:rPr>
              <w:t xml:space="preserve"> </w:t>
            </w:r>
          </w:p>
          <w:p w:rsidR="00B6578E" w:rsidRPr="00B6578E" w:rsidRDefault="00BC279D" w:rsidP="00B6578E">
            <w:pPr>
              <w:spacing w:after="0" w:line="240" w:lineRule="auto"/>
              <w:ind w:left="142" w:hanging="142"/>
              <w:rPr>
                <w:rFonts w:cstheme="minorHAnsi"/>
                <w:sz w:val="24"/>
                <w:szCs w:val="24"/>
                <w:lang w:eastAsia="en-GB"/>
              </w:rPr>
            </w:pPr>
            <w:r>
              <w:rPr>
                <w:rFonts w:eastAsia="Trebuchet MS" w:cstheme="minorHAnsi"/>
                <w:sz w:val="24"/>
                <w:szCs w:val="24"/>
              </w:rPr>
              <w:t xml:space="preserve"> </w:t>
            </w:r>
            <w:proofErr w:type="spellStart"/>
            <w:r w:rsidR="00B6578E" w:rsidRPr="00B6578E">
              <w:rPr>
                <w:rFonts w:eastAsia="Trebuchet MS" w:cstheme="minorHAnsi"/>
                <w:sz w:val="24"/>
                <w:szCs w:val="24"/>
              </w:rPr>
              <w:t>Eavan</w:t>
            </w:r>
            <w:proofErr w:type="spellEnd"/>
            <w:r w:rsidR="00B6578E" w:rsidRPr="00B6578E">
              <w:rPr>
                <w:rFonts w:eastAsia="Trebuchet MS" w:cstheme="minorHAnsi"/>
                <w:sz w:val="24"/>
                <w:szCs w:val="24"/>
              </w:rPr>
              <w:t xml:space="preserve"> Gannon</w:t>
            </w:r>
          </w:p>
        </w:tc>
        <w:tc>
          <w:tcPr>
            <w:tcW w:w="2868" w:type="dxa"/>
            <w:tcMar>
              <w:top w:w="0" w:type="dxa"/>
              <w:left w:w="108" w:type="dxa"/>
              <w:bottom w:w="0" w:type="dxa"/>
              <w:right w:w="108" w:type="dxa"/>
            </w:tcMar>
          </w:tcPr>
          <w:p w:rsidR="00B6578E" w:rsidRPr="00B6578E" w:rsidRDefault="00B6578E" w:rsidP="00B6578E">
            <w:pPr>
              <w:spacing w:after="0" w:line="240" w:lineRule="auto"/>
              <w:ind w:left="142" w:hanging="142"/>
              <w:rPr>
                <w:rFonts w:cstheme="minorHAnsi"/>
                <w:sz w:val="24"/>
                <w:szCs w:val="24"/>
                <w:lang w:eastAsia="en-GB"/>
              </w:rPr>
            </w:pPr>
          </w:p>
          <w:p w:rsidR="00B6578E" w:rsidRPr="00B6578E" w:rsidRDefault="00BC279D" w:rsidP="00B6578E">
            <w:pPr>
              <w:spacing w:after="0" w:line="240" w:lineRule="auto"/>
              <w:ind w:left="142" w:hanging="142"/>
              <w:rPr>
                <w:rFonts w:cstheme="minorHAnsi"/>
                <w:sz w:val="24"/>
                <w:szCs w:val="24"/>
                <w:lang w:eastAsia="en-GB"/>
              </w:rPr>
            </w:pPr>
            <w:r>
              <w:rPr>
                <w:rFonts w:eastAsia="Trebuchet MS" w:cstheme="minorHAnsi"/>
                <w:sz w:val="24"/>
                <w:szCs w:val="24"/>
              </w:rPr>
              <w:t>+353 87 236</w:t>
            </w:r>
            <w:r w:rsidR="00B6578E" w:rsidRPr="00B6578E">
              <w:rPr>
                <w:rFonts w:eastAsia="Trebuchet MS" w:cstheme="minorHAnsi"/>
                <w:sz w:val="24"/>
                <w:szCs w:val="24"/>
              </w:rPr>
              <w:t>5973</w:t>
            </w:r>
          </w:p>
        </w:tc>
      </w:tr>
    </w:tbl>
    <w:p w:rsidR="00B6578E" w:rsidRDefault="00B6578E" w:rsidP="00D307FA">
      <w:pPr>
        <w:spacing w:after="0" w:line="240" w:lineRule="auto"/>
        <w:jc w:val="both"/>
        <w:rPr>
          <w:rFonts w:cstheme="minorHAnsi"/>
          <w:b/>
          <w:bCs/>
          <w:color w:val="000000"/>
          <w:sz w:val="24"/>
          <w:szCs w:val="24"/>
          <w:lang w:val="en-US"/>
        </w:rPr>
      </w:pPr>
    </w:p>
    <w:p w:rsidR="00B6578E" w:rsidRPr="00051C56" w:rsidRDefault="00B6578E" w:rsidP="00B6578E">
      <w:pPr>
        <w:spacing w:after="0" w:line="240" w:lineRule="auto"/>
        <w:rPr>
          <w:rFonts w:ascii="Arial" w:hAnsi="Arial" w:cs="Arial"/>
          <w:lang w:val="en-IE"/>
        </w:rPr>
      </w:pPr>
    </w:p>
    <w:p w:rsidR="00B6578E" w:rsidRPr="00051C56" w:rsidRDefault="00B6578E" w:rsidP="00B6578E">
      <w:pPr>
        <w:pBdr>
          <w:top w:val="single" w:sz="4" w:space="1" w:color="auto"/>
        </w:pBdr>
        <w:shd w:val="clear" w:color="auto" w:fill="FFFFFF"/>
        <w:spacing w:after="0" w:line="240" w:lineRule="auto"/>
        <w:ind w:right="5"/>
        <w:jc w:val="both"/>
        <w:rPr>
          <w:rFonts w:ascii="Arial" w:hAnsi="Arial" w:cs="Arial"/>
          <w:b/>
          <w:bCs/>
          <w:color w:val="000000"/>
          <w:lang w:val="en-IE"/>
        </w:rPr>
      </w:pPr>
    </w:p>
    <w:p w:rsidR="00D307FA" w:rsidRPr="00341B52" w:rsidRDefault="00D307FA" w:rsidP="00D307FA">
      <w:pPr>
        <w:spacing w:after="0" w:line="240" w:lineRule="auto"/>
        <w:jc w:val="both"/>
        <w:rPr>
          <w:rFonts w:cs="Arial"/>
          <w:b/>
          <w:bCs/>
          <w:color w:val="000000"/>
          <w:sz w:val="24"/>
          <w:szCs w:val="24"/>
          <w:lang w:val="en-US"/>
        </w:rPr>
      </w:pPr>
      <w:r w:rsidRPr="00341B52">
        <w:rPr>
          <w:rFonts w:cs="Arial"/>
          <w:b/>
          <w:bCs/>
          <w:color w:val="000000"/>
          <w:sz w:val="24"/>
          <w:szCs w:val="24"/>
          <w:lang w:val="en-US"/>
        </w:rPr>
        <w:t xml:space="preserve">About FBD Holdings plc </w:t>
      </w:r>
    </w:p>
    <w:p w:rsidR="00D307FA" w:rsidRDefault="004B052D" w:rsidP="00D307FA">
      <w:pPr>
        <w:spacing w:after="0" w:line="240" w:lineRule="auto"/>
        <w:jc w:val="both"/>
        <w:rPr>
          <w:rFonts w:cs="Arial"/>
          <w:color w:val="000000"/>
          <w:sz w:val="24"/>
          <w:szCs w:val="24"/>
          <w:lang w:val="en-US"/>
        </w:rPr>
      </w:pPr>
      <w:r>
        <w:rPr>
          <w:rFonts w:cs="Arial"/>
          <w:color w:val="000000"/>
          <w:sz w:val="24"/>
          <w:szCs w:val="24"/>
          <w:lang w:val="en-US"/>
        </w:rPr>
        <w:t>FBD is one of Ireland’s largest property and casualty insurers, looking after the insurance needs of farmers, consumers and business owners. E</w:t>
      </w:r>
      <w:r w:rsidR="00D307FA" w:rsidRPr="00341B52">
        <w:rPr>
          <w:rFonts w:cs="Arial"/>
          <w:color w:val="000000"/>
          <w:sz w:val="24"/>
          <w:szCs w:val="24"/>
          <w:lang w:val="en-US"/>
        </w:rPr>
        <w:t xml:space="preserve">stablished in the 1960s </w:t>
      </w:r>
      <w:r>
        <w:rPr>
          <w:rFonts w:cs="Arial"/>
          <w:color w:val="000000"/>
          <w:sz w:val="24"/>
          <w:szCs w:val="24"/>
          <w:lang w:val="en-US"/>
        </w:rPr>
        <w:t>by farmers for farmers, FBD has built on those roots in agriculture to become a leading general insurer serving the needs of its direct agricultural, small business and consumer customers throughout Ireland. It has a network of 34 branches nationwide</w:t>
      </w:r>
      <w:r w:rsidR="00D307FA" w:rsidRPr="00341B52">
        <w:rPr>
          <w:rFonts w:cs="Arial"/>
          <w:color w:val="000000"/>
          <w:sz w:val="24"/>
          <w:szCs w:val="24"/>
          <w:lang w:val="en-US"/>
        </w:rPr>
        <w:t xml:space="preserve">. </w:t>
      </w:r>
    </w:p>
    <w:p w:rsidR="001854CB" w:rsidRDefault="001854CB" w:rsidP="00D307FA">
      <w:pPr>
        <w:spacing w:after="0" w:line="240" w:lineRule="auto"/>
        <w:jc w:val="both"/>
        <w:rPr>
          <w:rFonts w:cs="Arial"/>
          <w:color w:val="000000"/>
          <w:sz w:val="24"/>
          <w:szCs w:val="24"/>
          <w:lang w:val="en-US"/>
        </w:rPr>
      </w:pPr>
    </w:p>
    <w:p w:rsidR="001854CB" w:rsidRDefault="001854CB" w:rsidP="00D307FA">
      <w:pPr>
        <w:spacing w:after="0" w:line="240" w:lineRule="auto"/>
        <w:jc w:val="both"/>
        <w:rPr>
          <w:rFonts w:cs="Arial"/>
          <w:color w:val="000000"/>
          <w:sz w:val="24"/>
          <w:szCs w:val="24"/>
          <w:lang w:val="en-US"/>
        </w:rPr>
      </w:pPr>
    </w:p>
    <w:p w:rsidR="001854CB" w:rsidRDefault="001854CB" w:rsidP="00D307FA">
      <w:pPr>
        <w:spacing w:after="0" w:line="240" w:lineRule="auto"/>
        <w:jc w:val="both"/>
        <w:rPr>
          <w:rFonts w:cs="Arial"/>
          <w:color w:val="000000"/>
          <w:sz w:val="24"/>
          <w:szCs w:val="24"/>
          <w:lang w:val="en-US"/>
        </w:rPr>
      </w:pPr>
    </w:p>
    <w:p w:rsidR="001854CB" w:rsidRDefault="001854CB" w:rsidP="00D307FA">
      <w:pPr>
        <w:spacing w:after="0" w:line="240" w:lineRule="auto"/>
        <w:jc w:val="both"/>
        <w:rPr>
          <w:rFonts w:cs="Arial"/>
          <w:color w:val="000000"/>
          <w:sz w:val="24"/>
          <w:szCs w:val="24"/>
          <w:lang w:val="en-US"/>
        </w:rPr>
      </w:pPr>
    </w:p>
    <w:p w:rsidR="00341B52" w:rsidRPr="00341B52" w:rsidRDefault="00341B52" w:rsidP="00D307FA">
      <w:pPr>
        <w:spacing w:after="0" w:line="240" w:lineRule="auto"/>
        <w:jc w:val="both"/>
        <w:rPr>
          <w:rFonts w:cs="Arial"/>
          <w:color w:val="000000"/>
          <w:sz w:val="24"/>
          <w:szCs w:val="24"/>
          <w:lang w:val="en-US"/>
        </w:rPr>
      </w:pPr>
    </w:p>
    <w:p w:rsidR="00D307FA" w:rsidRPr="00341B52" w:rsidRDefault="00D307FA" w:rsidP="00D307FA">
      <w:pPr>
        <w:spacing w:after="0" w:line="240" w:lineRule="auto"/>
        <w:jc w:val="both"/>
        <w:rPr>
          <w:rFonts w:cs="Arial"/>
          <w:color w:val="000000"/>
          <w:sz w:val="24"/>
          <w:szCs w:val="24"/>
          <w:lang w:val="en-US"/>
        </w:rPr>
      </w:pPr>
      <w:r w:rsidRPr="00341B52">
        <w:rPr>
          <w:rFonts w:cs="Arial"/>
          <w:color w:val="000000"/>
          <w:sz w:val="24"/>
          <w:szCs w:val="24"/>
          <w:lang w:val="en-US"/>
        </w:rPr>
        <w:t>The following details relate to FBD's ordinary shares of €</w:t>
      </w:r>
      <w:proofErr w:type="gramStart"/>
      <w:r w:rsidRPr="00341B52">
        <w:rPr>
          <w:rFonts w:cs="Arial"/>
          <w:color w:val="000000"/>
          <w:sz w:val="24"/>
          <w:szCs w:val="24"/>
          <w:lang w:val="en-US"/>
        </w:rPr>
        <w:t>0.60 each which</w:t>
      </w:r>
      <w:proofErr w:type="gramEnd"/>
      <w:r w:rsidRPr="00341B52">
        <w:rPr>
          <w:rFonts w:cs="Arial"/>
          <w:color w:val="000000"/>
          <w:sz w:val="24"/>
          <w:szCs w:val="24"/>
          <w:lang w:val="en-US"/>
        </w:rPr>
        <w:t xml:space="preserve"> are publicly traded:</w:t>
      </w:r>
    </w:p>
    <w:p w:rsidR="00D307FA" w:rsidRPr="00341B52" w:rsidRDefault="00D307FA" w:rsidP="00D307FA">
      <w:pPr>
        <w:spacing w:after="0" w:line="240" w:lineRule="auto"/>
        <w:jc w:val="both"/>
        <w:rPr>
          <w:rFonts w:cs="Arial"/>
          <w:color w:val="000000"/>
          <w:sz w:val="24"/>
          <w:szCs w:val="24"/>
          <w:lang w:val="en-US"/>
        </w:rPr>
      </w:pPr>
    </w:p>
    <w:tbl>
      <w:tblPr>
        <w:tblW w:w="9645" w:type="dxa"/>
        <w:tblInd w:w="-34" w:type="dxa"/>
        <w:tblCellMar>
          <w:left w:w="0" w:type="dxa"/>
          <w:right w:w="0" w:type="dxa"/>
        </w:tblCellMar>
        <w:tblLook w:val="04A0" w:firstRow="1" w:lastRow="0" w:firstColumn="1" w:lastColumn="0" w:noHBand="0" w:noVBand="1"/>
      </w:tblPr>
      <w:tblGrid>
        <w:gridCol w:w="3046"/>
        <w:gridCol w:w="3165"/>
        <w:gridCol w:w="27"/>
        <w:gridCol w:w="3407"/>
      </w:tblGrid>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w:t>
            </w:r>
          </w:p>
        </w:tc>
        <w:tc>
          <w:tcPr>
            <w:tcW w:w="3165" w:type="dxa"/>
            <w:tcMar>
              <w:top w:w="0" w:type="dxa"/>
              <w:left w:w="108" w:type="dxa"/>
              <w:bottom w:w="0" w:type="dxa"/>
              <w:right w:w="108" w:type="dxa"/>
            </w:tcMar>
            <w:hideMark/>
          </w:tcPr>
          <w:p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UK Listing Authority</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 Category</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 (Equity)</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Trading Venue</w:t>
            </w:r>
          </w:p>
        </w:tc>
        <w:tc>
          <w:tcPr>
            <w:tcW w:w="3165" w:type="dxa"/>
            <w:tcMar>
              <w:top w:w="0" w:type="dxa"/>
              <w:left w:w="108" w:type="dxa"/>
              <w:bottom w:w="0" w:type="dxa"/>
              <w:right w:w="108" w:type="dxa"/>
            </w:tcMar>
            <w:hideMark/>
          </w:tcPr>
          <w:p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London Stock Exchange</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Market</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Securities Market</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Market</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ISIN</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Ticker</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FBD.I or EG7.IR</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FBH.L</w:t>
            </w:r>
          </w:p>
        </w:tc>
      </w:tr>
      <w:tr w:rsidR="00D307FA" w:rsidRPr="00D307FA" w:rsidTr="00341B52">
        <w:tc>
          <w:tcPr>
            <w:tcW w:w="6238" w:type="dxa"/>
            <w:gridSpan w:val="3"/>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c>
          <w:tcPr>
            <w:tcW w:w="3407"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r>
    </w:tbl>
    <w:p w:rsidR="00D307FA" w:rsidRPr="00D307FA" w:rsidRDefault="00D307FA" w:rsidP="00D307FA">
      <w:pPr>
        <w:spacing w:after="0" w:line="240" w:lineRule="auto"/>
        <w:jc w:val="center"/>
        <w:rPr>
          <w:rFonts w:cs="Arial"/>
          <w:sz w:val="24"/>
          <w:szCs w:val="24"/>
          <w:lang w:val="en-US"/>
        </w:rPr>
      </w:pPr>
      <w:r w:rsidRPr="00D307FA">
        <w:rPr>
          <w:rFonts w:cs="Arial"/>
          <w:sz w:val="24"/>
          <w:szCs w:val="24"/>
          <w:lang w:val="en-US"/>
        </w:rPr>
        <w:br/>
        <w:t>FBD Holdings plc, FBD House, Bluebell, Dublin 12</w:t>
      </w:r>
      <w:r w:rsidRPr="00D307FA">
        <w:rPr>
          <w:rFonts w:cs="Arial"/>
          <w:sz w:val="24"/>
          <w:szCs w:val="24"/>
          <w:lang w:val="en-US"/>
        </w:rPr>
        <w:br/>
        <w:t>Registered in Dublin, Ireland Registered Number 135882</w:t>
      </w:r>
    </w:p>
    <w:p w:rsidR="00140146" w:rsidRPr="00341B52" w:rsidRDefault="00140146">
      <w:pPr>
        <w:rPr>
          <w:sz w:val="24"/>
          <w:szCs w:val="24"/>
        </w:rPr>
      </w:pPr>
    </w:p>
    <w:sectPr w:rsidR="00140146" w:rsidRPr="00341B52" w:rsidSect="00341B52">
      <w:headerReference w:type="even" r:id="rId7"/>
      <w:headerReference w:type="default" r:id="rId8"/>
      <w:footerReference w:type="even" r:id="rId9"/>
      <w:footerReference w:type="default" r:id="rId10"/>
      <w:headerReference w:type="first" r:id="rId11"/>
      <w:footerReference w:type="firs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703" w:rsidRDefault="00191703">
      <w:pPr>
        <w:spacing w:after="0" w:line="240" w:lineRule="auto"/>
      </w:pPr>
      <w:r>
        <w:separator/>
      </w:r>
    </w:p>
  </w:endnote>
  <w:endnote w:type="continuationSeparator" w:id="0">
    <w:p w:rsidR="00191703" w:rsidRDefault="0019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9486f149-f4fd-4ec5-b1e5-3842"/>
  <w:p w:rsidR="00D14E57" w:rsidRDefault="00D14E57">
    <w:pPr>
      <w:pStyle w:val="DocID"/>
    </w:pPr>
    <w:r>
      <w:fldChar w:fldCharType="begin"/>
    </w:r>
    <w:r>
      <w:instrText xml:space="preserve">  DOCPROPERTY "CUS_DocIDChunk0" </w:instrText>
    </w:r>
    <w:r>
      <w:fldChar w:fldCharType="separate"/>
    </w:r>
    <w:r>
      <w:rPr>
        <w:noProof/>
      </w:rPr>
      <w:t>9728661v1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ec9e624b-226d-4ae9-b337-9ac8"/>
  <w:p w:rsidR="00D14E57" w:rsidRDefault="00D14E57">
    <w:pPr>
      <w:pStyle w:val="DocID"/>
    </w:pPr>
    <w:r>
      <w:fldChar w:fldCharType="begin"/>
    </w:r>
    <w:r>
      <w:instrText xml:space="preserve">  DOCPROPERTY "CUS_DocIDChunk0" </w:instrText>
    </w:r>
    <w:r>
      <w:fldChar w:fldCharType="separate"/>
    </w:r>
    <w:r>
      <w:rPr>
        <w:noProof/>
      </w:rPr>
      <w:t>9728661v1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01ff415a-24f7-4474-91d1-7d29"/>
  <w:p w:rsidR="00D14E57" w:rsidRDefault="00D14E57">
    <w:pPr>
      <w:pStyle w:val="DocID"/>
    </w:pPr>
    <w:r>
      <w:fldChar w:fldCharType="begin"/>
    </w:r>
    <w:r>
      <w:instrText xml:space="preserve">  DOCPROPERTY "CUS_DocIDChunk0" </w:instrText>
    </w:r>
    <w:r>
      <w:fldChar w:fldCharType="separate"/>
    </w:r>
    <w:r>
      <w:rPr>
        <w:noProof/>
      </w:rPr>
      <w:t>9728661v1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703" w:rsidRDefault="00191703">
      <w:pPr>
        <w:spacing w:after="0" w:line="240" w:lineRule="auto"/>
      </w:pPr>
      <w:r>
        <w:separator/>
      </w:r>
    </w:p>
  </w:footnote>
  <w:footnote w:type="continuationSeparator" w:id="0">
    <w:p w:rsidR="00191703" w:rsidRDefault="00191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57" w:rsidRDefault="00D14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57" w:rsidRDefault="00D14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57" w:rsidRDefault="00D14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A40AC"/>
    <w:multiLevelType w:val="hybridMultilevel"/>
    <w:tmpl w:val="27A4259E"/>
    <w:lvl w:ilvl="0" w:tplc="A6361766">
      <w:start w:val="201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5A723C2"/>
    <w:multiLevelType w:val="multilevel"/>
    <w:tmpl w:val="0BB09E60"/>
    <w:name w:val="BulletLT"/>
    <w:lvl w:ilvl="0">
      <w:start w:val="1"/>
      <w:numFmt w:val="bullet"/>
      <w:pStyle w:val="Bullet1"/>
      <w:lvlText w:val=""/>
      <w:lvlJc w:val="left"/>
      <w:pPr>
        <w:tabs>
          <w:tab w:val="num" w:pos="709"/>
        </w:tabs>
        <w:ind w:left="709" w:hanging="709"/>
      </w:pPr>
      <w:rPr>
        <w:rFonts w:ascii="Wingdings" w:hAnsi="Wingdings" w:hint="default"/>
        <w:b w:val="0"/>
        <w:i w:val="0"/>
        <w:sz w:val="20"/>
      </w:rPr>
    </w:lvl>
    <w:lvl w:ilvl="1">
      <w:start w:val="1"/>
      <w:numFmt w:val="bullet"/>
      <w:pStyle w:val="Bullet2"/>
      <w:lvlText w:val=""/>
      <w:lvlJc w:val="left"/>
      <w:pPr>
        <w:tabs>
          <w:tab w:val="num" w:pos="1418"/>
        </w:tabs>
        <w:ind w:left="1418" w:hanging="709"/>
      </w:pPr>
      <w:rPr>
        <w:rFonts w:ascii="Wingdings" w:hAnsi="Wingdings" w:hint="default"/>
        <w:b w:val="0"/>
        <w:i w:val="0"/>
        <w:sz w:val="20"/>
      </w:rPr>
    </w:lvl>
    <w:lvl w:ilvl="2">
      <w:start w:val="1"/>
      <w:numFmt w:val="bullet"/>
      <w:pStyle w:val="Bullet3"/>
      <w:lvlText w:val=""/>
      <w:lvlJc w:val="left"/>
      <w:pPr>
        <w:tabs>
          <w:tab w:val="num" w:pos="2127"/>
        </w:tabs>
        <w:ind w:left="2127" w:hanging="709"/>
      </w:pPr>
      <w:rPr>
        <w:rFonts w:ascii="Wingdings" w:hAnsi="Wingdings" w:hint="default"/>
        <w:b w:val="0"/>
        <w:i w:val="0"/>
        <w:sz w:val="20"/>
      </w:rPr>
    </w:lvl>
    <w:lvl w:ilvl="3">
      <w:start w:val="1"/>
      <w:numFmt w:val="bullet"/>
      <w:pStyle w:val="Bullet4"/>
      <w:lvlText w:val=""/>
      <w:lvlJc w:val="left"/>
      <w:pPr>
        <w:tabs>
          <w:tab w:val="num" w:pos="2836"/>
        </w:tabs>
        <w:ind w:left="2836" w:hanging="709"/>
      </w:pPr>
      <w:rPr>
        <w:rFonts w:ascii="Wingdings" w:hAnsi="Wingdings" w:hint="default"/>
        <w:b w:val="0"/>
        <w:i w:val="0"/>
        <w:sz w:val="20"/>
      </w:rPr>
    </w:lvl>
    <w:lvl w:ilvl="4">
      <w:start w:val="1"/>
      <w:numFmt w:val="bullet"/>
      <w:pStyle w:val="Bullet5"/>
      <w:lvlText w:val=""/>
      <w:lvlJc w:val="left"/>
      <w:pPr>
        <w:tabs>
          <w:tab w:val="num" w:pos="3545"/>
        </w:tabs>
        <w:ind w:left="3545" w:hanging="709"/>
      </w:pPr>
      <w:rPr>
        <w:rFonts w:ascii="Wingdings" w:hAnsi="Wingdings" w:hint="default"/>
        <w:b w:val="0"/>
        <w:i w:val="0"/>
        <w:sz w:val="20"/>
      </w:rPr>
    </w:lvl>
    <w:lvl w:ilvl="5">
      <w:start w:val="1"/>
      <w:numFmt w:val="bullet"/>
      <w:pStyle w:val="Bullet6"/>
      <w:lvlText w:val=""/>
      <w:lvlJc w:val="left"/>
      <w:pPr>
        <w:tabs>
          <w:tab w:val="num" w:pos="4254"/>
        </w:tabs>
        <w:ind w:left="4254" w:hanging="709"/>
      </w:pPr>
      <w:rPr>
        <w:rFonts w:ascii="Wingdings" w:hAnsi="Wingdings" w:hint="default"/>
        <w:b w:val="0"/>
        <w:i w:val="0"/>
        <w:sz w:val="20"/>
      </w:rPr>
    </w:lvl>
    <w:lvl w:ilvl="6">
      <w:start w:val="1"/>
      <w:numFmt w:val="bullet"/>
      <w:pStyle w:val="Bullet7"/>
      <w:lvlText w:val=""/>
      <w:lvlJc w:val="left"/>
      <w:pPr>
        <w:tabs>
          <w:tab w:val="num" w:pos="4963"/>
        </w:tabs>
        <w:ind w:left="4963" w:hanging="709"/>
      </w:pPr>
      <w:rPr>
        <w:rFonts w:ascii="Wingdings" w:hAnsi="Wingdings" w:hint="default"/>
        <w:b w:val="0"/>
        <w:i w:val="0"/>
        <w:sz w:val="20"/>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2" w15:restartNumberingAfterBreak="0">
    <w:nsid w:val="763654ED"/>
    <w:multiLevelType w:val="hybridMultilevel"/>
    <w:tmpl w:val="A84CE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FA"/>
    <w:rsid w:val="00013BC5"/>
    <w:rsid w:val="000174E6"/>
    <w:rsid w:val="00025EC2"/>
    <w:rsid w:val="00047915"/>
    <w:rsid w:val="0005642F"/>
    <w:rsid w:val="00085327"/>
    <w:rsid w:val="00085551"/>
    <w:rsid w:val="000903C0"/>
    <w:rsid w:val="000A09F0"/>
    <w:rsid w:val="000A2180"/>
    <w:rsid w:val="000B6220"/>
    <w:rsid w:val="000B7EB2"/>
    <w:rsid w:val="000D227A"/>
    <w:rsid w:val="000F2FAF"/>
    <w:rsid w:val="0011661D"/>
    <w:rsid w:val="00122B42"/>
    <w:rsid w:val="00140146"/>
    <w:rsid w:val="001403BF"/>
    <w:rsid w:val="0015646F"/>
    <w:rsid w:val="00157793"/>
    <w:rsid w:val="00157E64"/>
    <w:rsid w:val="00170E1A"/>
    <w:rsid w:val="00172E96"/>
    <w:rsid w:val="001854CB"/>
    <w:rsid w:val="00191703"/>
    <w:rsid w:val="00192B96"/>
    <w:rsid w:val="0019743B"/>
    <w:rsid w:val="001C7185"/>
    <w:rsid w:val="001E2987"/>
    <w:rsid w:val="001E2E80"/>
    <w:rsid w:val="001F56D4"/>
    <w:rsid w:val="001F7A31"/>
    <w:rsid w:val="0020673B"/>
    <w:rsid w:val="002157B0"/>
    <w:rsid w:val="00252371"/>
    <w:rsid w:val="00266A2C"/>
    <w:rsid w:val="00267DA4"/>
    <w:rsid w:val="0027298D"/>
    <w:rsid w:val="00290F85"/>
    <w:rsid w:val="002E23C1"/>
    <w:rsid w:val="002E4BAD"/>
    <w:rsid w:val="0030525C"/>
    <w:rsid w:val="0031308D"/>
    <w:rsid w:val="003209D8"/>
    <w:rsid w:val="00325EF5"/>
    <w:rsid w:val="00326DEF"/>
    <w:rsid w:val="00341B52"/>
    <w:rsid w:val="00355334"/>
    <w:rsid w:val="00380CBD"/>
    <w:rsid w:val="0038500C"/>
    <w:rsid w:val="0038502E"/>
    <w:rsid w:val="00386034"/>
    <w:rsid w:val="003A5C4B"/>
    <w:rsid w:val="003D51D5"/>
    <w:rsid w:val="004014C4"/>
    <w:rsid w:val="004070CB"/>
    <w:rsid w:val="00417F34"/>
    <w:rsid w:val="00440B66"/>
    <w:rsid w:val="004552F3"/>
    <w:rsid w:val="0048117A"/>
    <w:rsid w:val="004905E8"/>
    <w:rsid w:val="004B052D"/>
    <w:rsid w:val="004B4AA1"/>
    <w:rsid w:val="004D7E87"/>
    <w:rsid w:val="004D7EDB"/>
    <w:rsid w:val="004F0E28"/>
    <w:rsid w:val="00511116"/>
    <w:rsid w:val="00542FE5"/>
    <w:rsid w:val="0055104A"/>
    <w:rsid w:val="0055443F"/>
    <w:rsid w:val="00564EA4"/>
    <w:rsid w:val="00564F1E"/>
    <w:rsid w:val="0056530D"/>
    <w:rsid w:val="00580F6A"/>
    <w:rsid w:val="005828EA"/>
    <w:rsid w:val="00595D82"/>
    <w:rsid w:val="005A76B0"/>
    <w:rsid w:val="005B1D81"/>
    <w:rsid w:val="005C372B"/>
    <w:rsid w:val="005D4FAF"/>
    <w:rsid w:val="005E60C0"/>
    <w:rsid w:val="006050FB"/>
    <w:rsid w:val="006221D4"/>
    <w:rsid w:val="00636DA3"/>
    <w:rsid w:val="00660FE3"/>
    <w:rsid w:val="00661EF8"/>
    <w:rsid w:val="00662747"/>
    <w:rsid w:val="006726F9"/>
    <w:rsid w:val="006750A2"/>
    <w:rsid w:val="0068201E"/>
    <w:rsid w:val="00684525"/>
    <w:rsid w:val="006D6EA3"/>
    <w:rsid w:val="006F7801"/>
    <w:rsid w:val="0070709F"/>
    <w:rsid w:val="0073101D"/>
    <w:rsid w:val="00734C2A"/>
    <w:rsid w:val="00741804"/>
    <w:rsid w:val="007623FF"/>
    <w:rsid w:val="00766A85"/>
    <w:rsid w:val="00771AD6"/>
    <w:rsid w:val="0078640A"/>
    <w:rsid w:val="00786820"/>
    <w:rsid w:val="00786E99"/>
    <w:rsid w:val="00793C63"/>
    <w:rsid w:val="007A5A94"/>
    <w:rsid w:val="007B6AF4"/>
    <w:rsid w:val="007C4503"/>
    <w:rsid w:val="007C7482"/>
    <w:rsid w:val="007D7600"/>
    <w:rsid w:val="007E065D"/>
    <w:rsid w:val="007E4237"/>
    <w:rsid w:val="007F14B0"/>
    <w:rsid w:val="00801F11"/>
    <w:rsid w:val="00817504"/>
    <w:rsid w:val="00823CA4"/>
    <w:rsid w:val="00830073"/>
    <w:rsid w:val="00832ADC"/>
    <w:rsid w:val="0084268E"/>
    <w:rsid w:val="00867370"/>
    <w:rsid w:val="008846BD"/>
    <w:rsid w:val="00890D19"/>
    <w:rsid w:val="00892AD2"/>
    <w:rsid w:val="008B398C"/>
    <w:rsid w:val="008B4B22"/>
    <w:rsid w:val="00900D2F"/>
    <w:rsid w:val="00941689"/>
    <w:rsid w:val="00942E10"/>
    <w:rsid w:val="009629F5"/>
    <w:rsid w:val="00975660"/>
    <w:rsid w:val="00981E5D"/>
    <w:rsid w:val="009A1B8A"/>
    <w:rsid w:val="009A23E6"/>
    <w:rsid w:val="009E2999"/>
    <w:rsid w:val="009F18B9"/>
    <w:rsid w:val="009F3085"/>
    <w:rsid w:val="00A00086"/>
    <w:rsid w:val="00A00890"/>
    <w:rsid w:val="00A137EB"/>
    <w:rsid w:val="00A53D68"/>
    <w:rsid w:val="00A57987"/>
    <w:rsid w:val="00A60272"/>
    <w:rsid w:val="00A75AE9"/>
    <w:rsid w:val="00A80BF7"/>
    <w:rsid w:val="00AA5591"/>
    <w:rsid w:val="00AC3A60"/>
    <w:rsid w:val="00AC4CE5"/>
    <w:rsid w:val="00AE1790"/>
    <w:rsid w:val="00B2586E"/>
    <w:rsid w:val="00B26F9E"/>
    <w:rsid w:val="00B41BA2"/>
    <w:rsid w:val="00B53D48"/>
    <w:rsid w:val="00B6578E"/>
    <w:rsid w:val="00B67EC6"/>
    <w:rsid w:val="00BA2323"/>
    <w:rsid w:val="00BA59F7"/>
    <w:rsid w:val="00BB2FA6"/>
    <w:rsid w:val="00BC279D"/>
    <w:rsid w:val="00BD67BC"/>
    <w:rsid w:val="00BE635C"/>
    <w:rsid w:val="00BF762D"/>
    <w:rsid w:val="00C00D45"/>
    <w:rsid w:val="00C234F9"/>
    <w:rsid w:val="00C23F9C"/>
    <w:rsid w:val="00C30F4C"/>
    <w:rsid w:val="00C32EB3"/>
    <w:rsid w:val="00C364B0"/>
    <w:rsid w:val="00C44B71"/>
    <w:rsid w:val="00C45C94"/>
    <w:rsid w:val="00C5333C"/>
    <w:rsid w:val="00C64230"/>
    <w:rsid w:val="00C7089F"/>
    <w:rsid w:val="00C75D90"/>
    <w:rsid w:val="00C945DD"/>
    <w:rsid w:val="00CC038B"/>
    <w:rsid w:val="00CC4232"/>
    <w:rsid w:val="00CC7AE6"/>
    <w:rsid w:val="00CD2540"/>
    <w:rsid w:val="00CE5E26"/>
    <w:rsid w:val="00CF500B"/>
    <w:rsid w:val="00D14E57"/>
    <w:rsid w:val="00D15AD5"/>
    <w:rsid w:val="00D307FA"/>
    <w:rsid w:val="00D3744C"/>
    <w:rsid w:val="00D609E9"/>
    <w:rsid w:val="00DA38DD"/>
    <w:rsid w:val="00DA77BF"/>
    <w:rsid w:val="00DA79C4"/>
    <w:rsid w:val="00DB3524"/>
    <w:rsid w:val="00DC5D9F"/>
    <w:rsid w:val="00E07356"/>
    <w:rsid w:val="00E2200B"/>
    <w:rsid w:val="00E27B29"/>
    <w:rsid w:val="00E5340B"/>
    <w:rsid w:val="00E562FA"/>
    <w:rsid w:val="00E67F59"/>
    <w:rsid w:val="00E764FD"/>
    <w:rsid w:val="00E957C9"/>
    <w:rsid w:val="00E97F33"/>
    <w:rsid w:val="00EB60D1"/>
    <w:rsid w:val="00EC0812"/>
    <w:rsid w:val="00EC68C1"/>
    <w:rsid w:val="00ED0389"/>
    <w:rsid w:val="00EE1E34"/>
    <w:rsid w:val="00EF20F0"/>
    <w:rsid w:val="00EF5B41"/>
    <w:rsid w:val="00F311C1"/>
    <w:rsid w:val="00F51B82"/>
    <w:rsid w:val="00F555D2"/>
    <w:rsid w:val="00F83AC8"/>
    <w:rsid w:val="00F83EC6"/>
    <w:rsid w:val="00F9213D"/>
    <w:rsid w:val="00FA5B85"/>
    <w:rsid w:val="00FC3021"/>
    <w:rsid w:val="00FD20EE"/>
    <w:rsid w:val="00FD5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5188AC4-9E9A-439D-9DD1-B71B935D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FA"/>
  </w:style>
  <w:style w:type="paragraph" w:styleId="BalloonText">
    <w:name w:val="Balloon Text"/>
    <w:basedOn w:val="Normal"/>
    <w:link w:val="BalloonTextChar"/>
    <w:uiPriority w:val="99"/>
    <w:semiHidden/>
    <w:unhideWhenUsed/>
    <w:rsid w:val="00AE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90"/>
    <w:rPr>
      <w:rFonts w:ascii="Tahoma" w:hAnsi="Tahoma" w:cs="Tahoma"/>
      <w:sz w:val="16"/>
      <w:szCs w:val="16"/>
    </w:rPr>
  </w:style>
  <w:style w:type="paragraph" w:styleId="NoSpacing">
    <w:name w:val="No Spacing"/>
    <w:uiPriority w:val="1"/>
    <w:qFormat/>
    <w:rsid w:val="00C32EB3"/>
    <w:pPr>
      <w:spacing w:after="0" w:line="240" w:lineRule="auto"/>
    </w:pPr>
    <w:rPr>
      <w:lang w:val="en-US"/>
    </w:rPr>
  </w:style>
  <w:style w:type="character" w:customStyle="1" w:styleId="aq">
    <w:name w:val="aq"/>
    <w:basedOn w:val="DefaultParagraphFont"/>
    <w:rsid w:val="00C00D45"/>
  </w:style>
  <w:style w:type="character" w:customStyle="1" w:styleId="an">
    <w:name w:val="an"/>
    <w:basedOn w:val="DefaultParagraphFont"/>
    <w:rsid w:val="00C00D45"/>
  </w:style>
  <w:style w:type="paragraph" w:styleId="Footer">
    <w:name w:val="footer"/>
    <w:basedOn w:val="Normal"/>
    <w:link w:val="FooterChar"/>
    <w:uiPriority w:val="99"/>
    <w:unhideWhenUsed/>
    <w:rsid w:val="000B7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EB2"/>
  </w:style>
  <w:style w:type="paragraph" w:customStyle="1" w:styleId="Bullet1">
    <w:name w:val="Bullet 1"/>
    <w:basedOn w:val="BodyText"/>
    <w:uiPriority w:val="99"/>
    <w:unhideWhenUsed/>
    <w:rsid w:val="00FD54E9"/>
    <w:pPr>
      <w:numPr>
        <w:numId w:val="3"/>
      </w:numPr>
      <w:tabs>
        <w:tab w:val="clear" w:pos="709"/>
        <w:tab w:val="num" w:pos="360"/>
      </w:tabs>
      <w:spacing w:after="240" w:line="288" w:lineRule="auto"/>
      <w:ind w:left="0" w:firstLine="0"/>
      <w:jc w:val="both"/>
    </w:pPr>
    <w:rPr>
      <w:rFonts w:ascii="Arial" w:hAnsi="Arial"/>
      <w:sz w:val="20"/>
      <w:szCs w:val="20"/>
    </w:rPr>
  </w:style>
  <w:style w:type="paragraph" w:customStyle="1" w:styleId="Bullet2">
    <w:name w:val="Bullet 2"/>
    <w:basedOn w:val="BodyText"/>
    <w:uiPriority w:val="99"/>
    <w:unhideWhenUsed/>
    <w:rsid w:val="00FD54E9"/>
    <w:pPr>
      <w:numPr>
        <w:ilvl w:val="1"/>
        <w:numId w:val="3"/>
      </w:numPr>
      <w:tabs>
        <w:tab w:val="clear" w:pos="1418"/>
        <w:tab w:val="num" w:pos="360"/>
      </w:tabs>
      <w:spacing w:after="240" w:line="288" w:lineRule="auto"/>
      <w:ind w:left="0" w:firstLine="0"/>
      <w:jc w:val="both"/>
    </w:pPr>
    <w:rPr>
      <w:rFonts w:ascii="Arial" w:hAnsi="Arial"/>
      <w:sz w:val="20"/>
      <w:szCs w:val="20"/>
    </w:rPr>
  </w:style>
  <w:style w:type="paragraph" w:customStyle="1" w:styleId="Bullet3">
    <w:name w:val="Bullet 3"/>
    <w:basedOn w:val="BodyText"/>
    <w:uiPriority w:val="99"/>
    <w:semiHidden/>
    <w:unhideWhenUsed/>
    <w:rsid w:val="00FD54E9"/>
    <w:pPr>
      <w:numPr>
        <w:ilvl w:val="2"/>
        <w:numId w:val="3"/>
      </w:numPr>
      <w:tabs>
        <w:tab w:val="clear" w:pos="2127"/>
        <w:tab w:val="num" w:pos="360"/>
      </w:tabs>
      <w:spacing w:after="240" w:line="288" w:lineRule="auto"/>
      <w:ind w:left="0" w:firstLine="0"/>
      <w:jc w:val="both"/>
    </w:pPr>
    <w:rPr>
      <w:rFonts w:ascii="Arial" w:hAnsi="Arial"/>
      <w:sz w:val="20"/>
      <w:szCs w:val="20"/>
    </w:rPr>
  </w:style>
  <w:style w:type="paragraph" w:customStyle="1" w:styleId="Bullet4">
    <w:name w:val="Bullet 4"/>
    <w:basedOn w:val="BodyText"/>
    <w:uiPriority w:val="99"/>
    <w:semiHidden/>
    <w:unhideWhenUsed/>
    <w:rsid w:val="00FD54E9"/>
    <w:pPr>
      <w:numPr>
        <w:ilvl w:val="3"/>
        <w:numId w:val="3"/>
      </w:numPr>
      <w:tabs>
        <w:tab w:val="clear" w:pos="2836"/>
        <w:tab w:val="num" w:pos="360"/>
      </w:tabs>
      <w:spacing w:after="240" w:line="288" w:lineRule="auto"/>
      <w:ind w:left="0" w:firstLine="0"/>
      <w:jc w:val="both"/>
    </w:pPr>
    <w:rPr>
      <w:rFonts w:ascii="Arial" w:hAnsi="Arial"/>
      <w:sz w:val="20"/>
      <w:szCs w:val="20"/>
    </w:rPr>
  </w:style>
  <w:style w:type="paragraph" w:customStyle="1" w:styleId="Bullet5">
    <w:name w:val="Bullet 5"/>
    <w:basedOn w:val="BodyText"/>
    <w:uiPriority w:val="99"/>
    <w:semiHidden/>
    <w:unhideWhenUsed/>
    <w:rsid w:val="00FD54E9"/>
    <w:pPr>
      <w:numPr>
        <w:ilvl w:val="4"/>
        <w:numId w:val="3"/>
      </w:numPr>
      <w:tabs>
        <w:tab w:val="clear" w:pos="3545"/>
        <w:tab w:val="num" w:pos="360"/>
      </w:tabs>
      <w:spacing w:after="240" w:line="288" w:lineRule="auto"/>
      <w:ind w:left="0" w:firstLine="0"/>
      <w:jc w:val="both"/>
    </w:pPr>
    <w:rPr>
      <w:rFonts w:ascii="Arial" w:hAnsi="Arial"/>
      <w:sz w:val="20"/>
      <w:szCs w:val="20"/>
    </w:rPr>
  </w:style>
  <w:style w:type="paragraph" w:customStyle="1" w:styleId="Bullet6">
    <w:name w:val="Bullet 6"/>
    <w:basedOn w:val="BodyText"/>
    <w:uiPriority w:val="99"/>
    <w:semiHidden/>
    <w:unhideWhenUsed/>
    <w:rsid w:val="00FD54E9"/>
    <w:pPr>
      <w:numPr>
        <w:ilvl w:val="5"/>
        <w:numId w:val="3"/>
      </w:numPr>
      <w:tabs>
        <w:tab w:val="clear" w:pos="4254"/>
        <w:tab w:val="num" w:pos="360"/>
      </w:tabs>
      <w:spacing w:after="240" w:line="288" w:lineRule="auto"/>
      <w:ind w:left="0" w:firstLine="0"/>
      <w:jc w:val="both"/>
    </w:pPr>
    <w:rPr>
      <w:rFonts w:ascii="Arial" w:hAnsi="Arial"/>
      <w:sz w:val="20"/>
      <w:szCs w:val="20"/>
    </w:rPr>
  </w:style>
  <w:style w:type="paragraph" w:customStyle="1" w:styleId="Bullet7">
    <w:name w:val="Bullet 7"/>
    <w:basedOn w:val="BodyText"/>
    <w:uiPriority w:val="99"/>
    <w:semiHidden/>
    <w:unhideWhenUsed/>
    <w:rsid w:val="00FD54E9"/>
    <w:pPr>
      <w:numPr>
        <w:ilvl w:val="6"/>
        <w:numId w:val="3"/>
      </w:numPr>
      <w:tabs>
        <w:tab w:val="clear" w:pos="4963"/>
        <w:tab w:val="num" w:pos="360"/>
      </w:tabs>
      <w:spacing w:after="240" w:line="288" w:lineRule="auto"/>
      <w:ind w:left="0" w:firstLine="0"/>
      <w:jc w:val="both"/>
    </w:pPr>
    <w:rPr>
      <w:rFonts w:ascii="Arial" w:hAnsi="Arial"/>
      <w:sz w:val="20"/>
      <w:szCs w:val="20"/>
    </w:rPr>
  </w:style>
  <w:style w:type="paragraph" w:styleId="BodyText">
    <w:name w:val="Body Text"/>
    <w:basedOn w:val="Normal"/>
    <w:link w:val="BodyTextChar"/>
    <w:uiPriority w:val="99"/>
    <w:semiHidden/>
    <w:unhideWhenUsed/>
    <w:rsid w:val="00FD54E9"/>
    <w:pPr>
      <w:spacing w:after="120"/>
    </w:pPr>
  </w:style>
  <w:style w:type="character" w:customStyle="1" w:styleId="BodyTextChar">
    <w:name w:val="Body Text Char"/>
    <w:basedOn w:val="DefaultParagraphFont"/>
    <w:link w:val="BodyText"/>
    <w:uiPriority w:val="99"/>
    <w:semiHidden/>
    <w:rsid w:val="00FD54E9"/>
  </w:style>
  <w:style w:type="character" w:customStyle="1" w:styleId="googqs-tidbit1">
    <w:name w:val="goog_qs-tidbit1"/>
    <w:rsid w:val="00EF5B41"/>
    <w:rPr>
      <w:rFonts w:cs="Times New Roman"/>
    </w:rPr>
  </w:style>
  <w:style w:type="table" w:styleId="TableGrid">
    <w:name w:val="Table Grid"/>
    <w:basedOn w:val="TableNormal"/>
    <w:rsid w:val="00C45C94"/>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C2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rsid w:val="00BC279D"/>
    <w:rPr>
      <w:rFonts w:ascii="Courier New" w:eastAsia="Times New Roman" w:hAnsi="Courier New" w:cs="Courier New"/>
      <w:sz w:val="20"/>
      <w:szCs w:val="20"/>
      <w:lang w:eastAsia="en-GB"/>
    </w:rPr>
  </w:style>
  <w:style w:type="character" w:styleId="HTMLKeyboard">
    <w:name w:val="HTML Keyboard"/>
    <w:rsid w:val="00BC279D"/>
    <w:rPr>
      <w:rFonts w:ascii="Courier New" w:eastAsia="Times New Roman" w:hAnsi="Courier New" w:cs="Courier New"/>
      <w:sz w:val="20"/>
      <w:szCs w:val="20"/>
    </w:rPr>
  </w:style>
  <w:style w:type="paragraph" w:customStyle="1" w:styleId="DocID">
    <w:name w:val="DocID"/>
    <w:basedOn w:val="Footer"/>
    <w:next w:val="Footer"/>
    <w:link w:val="DocIDChar"/>
    <w:rsid w:val="00D14E57"/>
    <w:pPr>
      <w:tabs>
        <w:tab w:val="clear" w:pos="4513"/>
        <w:tab w:val="clear" w:pos="9026"/>
      </w:tabs>
    </w:pPr>
    <w:rPr>
      <w:rFonts w:ascii="Arial" w:eastAsia="Times New Roman" w:hAnsi="Arial" w:cs="Arial"/>
      <w:sz w:val="18"/>
      <w:szCs w:val="20"/>
      <w:lang w:val="en-IE" w:eastAsia="en-IE"/>
    </w:rPr>
  </w:style>
  <w:style w:type="character" w:customStyle="1" w:styleId="DocIDChar">
    <w:name w:val="DocID Char"/>
    <w:basedOn w:val="DefaultParagraphFont"/>
    <w:link w:val="DocID"/>
    <w:rsid w:val="00D14E57"/>
    <w:rPr>
      <w:rFonts w:ascii="Arial" w:eastAsia="Times New Roman" w:hAnsi="Arial" w:cs="Arial"/>
      <w:sz w:val="18"/>
      <w:szCs w:val="20"/>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8060">
      <w:bodyDiv w:val="1"/>
      <w:marLeft w:val="0"/>
      <w:marRight w:val="0"/>
      <w:marTop w:val="0"/>
      <w:marBottom w:val="0"/>
      <w:divBdr>
        <w:top w:val="none" w:sz="0" w:space="0" w:color="auto"/>
        <w:left w:val="none" w:sz="0" w:space="0" w:color="auto"/>
        <w:bottom w:val="none" w:sz="0" w:space="0" w:color="auto"/>
        <w:right w:val="none" w:sz="0" w:space="0" w:color="auto"/>
      </w:divBdr>
    </w:div>
    <w:div w:id="846866939">
      <w:bodyDiv w:val="1"/>
      <w:marLeft w:val="0"/>
      <w:marRight w:val="0"/>
      <w:marTop w:val="0"/>
      <w:marBottom w:val="0"/>
      <w:divBdr>
        <w:top w:val="none" w:sz="0" w:space="0" w:color="auto"/>
        <w:left w:val="none" w:sz="0" w:space="0" w:color="auto"/>
        <w:bottom w:val="none" w:sz="0" w:space="0" w:color="auto"/>
        <w:right w:val="none" w:sz="0" w:space="0" w:color="auto"/>
      </w:divBdr>
    </w:div>
    <w:div w:id="1047337256">
      <w:bodyDiv w:val="1"/>
      <w:marLeft w:val="0"/>
      <w:marRight w:val="0"/>
      <w:marTop w:val="0"/>
      <w:marBottom w:val="0"/>
      <w:divBdr>
        <w:top w:val="none" w:sz="0" w:space="0" w:color="auto"/>
        <w:left w:val="none" w:sz="0" w:space="0" w:color="auto"/>
        <w:bottom w:val="none" w:sz="0" w:space="0" w:color="auto"/>
        <w:right w:val="none" w:sz="0" w:space="0" w:color="auto"/>
      </w:divBdr>
    </w:div>
    <w:div w:id="15857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2020-10-13T15:00:29+00:00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A3B37A6D-F45C-43B4-8562-614E8B7BC7E8}"/>
</file>

<file path=customXml/itemProps2.xml><?xml version="1.0" encoding="utf-8"?>
<ds:datastoreItem xmlns:ds="http://schemas.openxmlformats.org/officeDocument/2006/customXml" ds:itemID="{B23C8BF5-EAE9-4CA3-9CFB-FA551EDAB7F6}"/>
</file>

<file path=customXml/itemProps3.xml><?xml version="1.0" encoding="utf-8"?>
<ds:datastoreItem xmlns:ds="http://schemas.openxmlformats.org/officeDocument/2006/customXml" ds:itemID="{2F1BD276-7948-4B8F-957B-3CD9C677029C}"/>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Higgins</dc:creator>
  <cp:keywords/>
  <cp:lastModifiedBy>Tara O'Callaghan</cp:lastModifiedBy>
  <cp:revision>3</cp:revision>
  <cp:lastPrinted>2020-02-06T08:20:00Z</cp:lastPrinted>
  <dcterms:created xsi:type="dcterms:W3CDTF">2020-10-13T14:29:00Z</dcterms:created>
  <dcterms:modified xsi:type="dcterms:W3CDTF">2020-10-13T14:29:00Z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9728661v1</vt:lpwstr>
  </property>
  <property fmtid="{D5CDD505-2E9C-101B-9397-08002B2CF9AE}" pid="3" name="CUS_DocIDChunk0">
    <vt:lpwstr>9728661v1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0x010100BE156B1CF39149A8843C57AB06C49AFE0011B886BEF4CCD94F85F46E94360FD412</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168707600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ies>
</file>