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E5" w:rsidRPr="00EE0B5B" w:rsidRDefault="003355E5" w:rsidP="003355E5">
      <w:pPr>
        <w:rPr>
          <w:rFonts w:ascii="Arial" w:hAnsi="Arial" w:cs="Arial"/>
          <w:b/>
          <w:sz w:val="26"/>
          <w:szCs w:val="26"/>
        </w:rPr>
      </w:pPr>
      <w:r w:rsidRPr="00EE0B5B">
        <w:rPr>
          <w:rFonts w:ascii="Arial" w:hAnsi="Arial" w:cs="Arial"/>
          <w:b/>
          <w:sz w:val="26"/>
          <w:szCs w:val="26"/>
        </w:rPr>
        <w:t>FBD Holdings plc</w:t>
      </w:r>
    </w:p>
    <w:p w:rsidR="003355E5" w:rsidRPr="00EE0B5B" w:rsidRDefault="00AD21CA" w:rsidP="003355E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12 May 202</w:t>
      </w:r>
      <w:r w:rsidR="005722BF">
        <w:rPr>
          <w:rFonts w:ascii="Arial" w:hAnsi="Arial" w:cs="Arial"/>
          <w:b/>
          <w:sz w:val="26"/>
          <w:szCs w:val="26"/>
        </w:rPr>
        <w:t>2</w:t>
      </w:r>
    </w:p>
    <w:p w:rsidR="003355E5" w:rsidRPr="00EE0B5B" w:rsidRDefault="003355E5" w:rsidP="003355E5">
      <w:pPr>
        <w:rPr>
          <w:rFonts w:ascii="Arial" w:hAnsi="Arial" w:cs="Arial"/>
          <w:b/>
          <w:sz w:val="26"/>
          <w:szCs w:val="26"/>
        </w:rPr>
      </w:pPr>
    </w:p>
    <w:p w:rsidR="003355E5" w:rsidRPr="00EE0B5B" w:rsidRDefault="003355E5" w:rsidP="003355E5">
      <w:pPr>
        <w:rPr>
          <w:rFonts w:ascii="Arial" w:hAnsi="Arial" w:cs="Arial"/>
          <w:b/>
          <w:sz w:val="26"/>
          <w:szCs w:val="26"/>
        </w:rPr>
      </w:pPr>
      <w:r w:rsidRPr="00EE0B5B">
        <w:rPr>
          <w:rFonts w:ascii="Arial" w:hAnsi="Arial" w:cs="Arial"/>
          <w:b/>
          <w:sz w:val="26"/>
          <w:szCs w:val="26"/>
        </w:rPr>
        <w:t>Result of Annual General Meeting</w:t>
      </w:r>
    </w:p>
    <w:p w:rsidR="00FF0E6B" w:rsidRDefault="00FF0E6B" w:rsidP="001D6007">
      <w:pPr>
        <w:jc w:val="both"/>
        <w:rPr>
          <w:rFonts w:ascii="Arial" w:hAnsi="Arial" w:cs="Arial"/>
          <w:sz w:val="22"/>
          <w:szCs w:val="22"/>
        </w:rPr>
      </w:pPr>
    </w:p>
    <w:p w:rsidR="00E4062F" w:rsidRDefault="003355E5" w:rsidP="001D6007">
      <w:pPr>
        <w:jc w:val="both"/>
        <w:rPr>
          <w:rFonts w:ascii="Arial" w:hAnsi="Arial" w:cs="Arial"/>
          <w:sz w:val="22"/>
          <w:szCs w:val="22"/>
        </w:rPr>
      </w:pPr>
      <w:r w:rsidRPr="00BC7C60">
        <w:rPr>
          <w:rFonts w:ascii="Arial" w:hAnsi="Arial" w:cs="Arial"/>
          <w:sz w:val="22"/>
          <w:szCs w:val="22"/>
        </w:rPr>
        <w:t xml:space="preserve">All of the ordinary and special resolutions proposed at the Annual General Meeting of the Company held on </w:t>
      </w:r>
      <w:r w:rsidR="005722BF">
        <w:rPr>
          <w:rFonts w:ascii="Arial" w:hAnsi="Arial" w:cs="Arial"/>
          <w:sz w:val="22"/>
          <w:szCs w:val="22"/>
        </w:rPr>
        <w:t>12 May 2022</w:t>
      </w:r>
      <w:r w:rsidRPr="00BC7C60">
        <w:rPr>
          <w:rFonts w:ascii="Arial" w:hAnsi="Arial" w:cs="Arial"/>
          <w:sz w:val="22"/>
          <w:szCs w:val="22"/>
        </w:rPr>
        <w:t xml:space="preserve"> were duly passed.</w:t>
      </w:r>
      <w:r w:rsidR="00FF0E6B" w:rsidRPr="00BC7C60">
        <w:rPr>
          <w:rFonts w:ascii="Arial" w:hAnsi="Arial" w:cs="Arial"/>
          <w:sz w:val="22"/>
          <w:szCs w:val="22"/>
        </w:rPr>
        <w:t xml:space="preserve"> </w:t>
      </w:r>
      <w:r w:rsidR="005722BF" w:rsidRPr="00EE0B5B">
        <w:rPr>
          <w:rFonts w:ascii="Arial" w:hAnsi="Arial" w:cs="Arial"/>
          <w:sz w:val="22"/>
          <w:szCs w:val="22"/>
        </w:rPr>
        <w:t>Details of the numbers of shares in respect of which valid proxy appointments had been made in advance of the meeting are set out below.</w:t>
      </w:r>
      <w:r w:rsidR="005722BF">
        <w:rPr>
          <w:rFonts w:ascii="Arial" w:hAnsi="Arial" w:cs="Arial"/>
          <w:sz w:val="22"/>
          <w:szCs w:val="22"/>
        </w:rPr>
        <w:t xml:space="preserve"> </w:t>
      </w:r>
      <w:r w:rsidR="002471D4">
        <w:rPr>
          <w:rFonts w:ascii="Arial" w:hAnsi="Arial" w:cs="Arial"/>
          <w:sz w:val="22"/>
          <w:szCs w:val="22"/>
        </w:rPr>
        <w:t>Details of the resolutions are contained in the 202</w:t>
      </w:r>
      <w:r w:rsidR="005722BF">
        <w:rPr>
          <w:rFonts w:ascii="Arial" w:hAnsi="Arial" w:cs="Arial"/>
          <w:sz w:val="22"/>
          <w:szCs w:val="22"/>
        </w:rPr>
        <w:t>2</w:t>
      </w:r>
      <w:r w:rsidR="002471D4">
        <w:rPr>
          <w:rFonts w:ascii="Arial" w:hAnsi="Arial" w:cs="Arial"/>
          <w:sz w:val="22"/>
          <w:szCs w:val="22"/>
        </w:rPr>
        <w:t xml:space="preserve"> Notice of Annual General Meeting which is available on the Company’s website </w:t>
      </w:r>
      <w:hyperlink r:id="rId7" w:history="1">
        <w:r w:rsidRPr="00BC7C60">
          <w:rPr>
            <w:rStyle w:val="Hyperlink"/>
            <w:rFonts w:ascii="Arial" w:hAnsi="Arial" w:cs="Arial"/>
            <w:sz w:val="22"/>
            <w:szCs w:val="22"/>
          </w:rPr>
          <w:t>www.fbdgroup.com</w:t>
        </w:r>
      </w:hyperlink>
      <w:r w:rsidRPr="00BC7C60">
        <w:rPr>
          <w:rFonts w:ascii="Arial" w:hAnsi="Arial" w:cs="Arial"/>
          <w:sz w:val="22"/>
          <w:szCs w:val="22"/>
        </w:rPr>
        <w:t xml:space="preserve">. </w:t>
      </w:r>
    </w:p>
    <w:p w:rsidR="00E4062F" w:rsidRDefault="00E4062F" w:rsidP="001D6007">
      <w:pPr>
        <w:jc w:val="both"/>
        <w:rPr>
          <w:rFonts w:ascii="Arial" w:hAnsi="Arial" w:cs="Arial"/>
          <w:sz w:val="22"/>
          <w:szCs w:val="22"/>
        </w:rPr>
      </w:pPr>
    </w:p>
    <w:p w:rsidR="003355E5" w:rsidRPr="00BC7C60" w:rsidRDefault="003355E5" w:rsidP="005722BF">
      <w:pPr>
        <w:jc w:val="both"/>
        <w:rPr>
          <w:rFonts w:ascii="Arial" w:hAnsi="Arial" w:cs="Arial"/>
          <w:sz w:val="22"/>
          <w:szCs w:val="22"/>
        </w:rPr>
      </w:pPr>
      <w:r w:rsidRPr="00BC7C60">
        <w:rPr>
          <w:rFonts w:ascii="Arial" w:hAnsi="Arial" w:cs="Arial"/>
          <w:sz w:val="22"/>
          <w:szCs w:val="22"/>
        </w:rPr>
        <w:t>This announcement will also be made available on the Company’s website in the “</w:t>
      </w:r>
      <w:r w:rsidR="00194F1C" w:rsidRPr="00BC7C60">
        <w:rPr>
          <w:rFonts w:ascii="Arial" w:hAnsi="Arial" w:cs="Arial"/>
          <w:sz w:val="22"/>
          <w:szCs w:val="22"/>
        </w:rPr>
        <w:t>Investors</w:t>
      </w:r>
      <w:r w:rsidRPr="00BC7C60">
        <w:rPr>
          <w:rFonts w:ascii="Arial" w:hAnsi="Arial" w:cs="Arial"/>
          <w:sz w:val="22"/>
          <w:szCs w:val="22"/>
        </w:rPr>
        <w:t>” section.</w:t>
      </w: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537" w:type="dxa"/>
        <w:tblLook w:val="04A0" w:firstRow="1" w:lastRow="0" w:firstColumn="1" w:lastColumn="0" w:noHBand="0" w:noVBand="1"/>
      </w:tblPr>
      <w:tblGrid>
        <w:gridCol w:w="658"/>
        <w:gridCol w:w="2747"/>
        <w:gridCol w:w="1835"/>
        <w:gridCol w:w="1418"/>
        <w:gridCol w:w="1417"/>
        <w:gridCol w:w="1462"/>
      </w:tblGrid>
      <w:tr w:rsidR="005722BF" w:rsidRPr="00D87B62" w:rsidTr="005722BF">
        <w:trPr>
          <w:trHeight w:val="600"/>
        </w:trPr>
        <w:tc>
          <w:tcPr>
            <w:tcW w:w="658" w:type="dxa"/>
            <w:noWrap/>
            <w:hideMark/>
          </w:tcPr>
          <w:p w:rsidR="00D87B62" w:rsidRPr="00D87B62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B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2747" w:type="dxa"/>
            <w:noWrap/>
            <w:hideMark/>
          </w:tcPr>
          <w:p w:rsidR="00D87B62" w:rsidRPr="00D87B62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B62">
              <w:rPr>
                <w:rFonts w:ascii="Arial" w:hAnsi="Arial" w:cs="Arial"/>
                <w:b/>
                <w:bCs/>
                <w:sz w:val="22"/>
                <w:szCs w:val="22"/>
              </w:rPr>
              <w:t>Matter</w:t>
            </w:r>
          </w:p>
        </w:tc>
        <w:tc>
          <w:tcPr>
            <w:tcW w:w="1835" w:type="dxa"/>
            <w:hideMark/>
          </w:tcPr>
          <w:p w:rsidR="00D87B62" w:rsidRPr="00D87B62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B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voted  including withheld </w:t>
            </w:r>
          </w:p>
        </w:tc>
        <w:tc>
          <w:tcPr>
            <w:tcW w:w="1418" w:type="dxa"/>
            <w:noWrap/>
            <w:hideMark/>
          </w:tcPr>
          <w:p w:rsidR="00D87B62" w:rsidRPr="00D87B62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B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For </w:t>
            </w:r>
          </w:p>
        </w:tc>
        <w:tc>
          <w:tcPr>
            <w:tcW w:w="1417" w:type="dxa"/>
            <w:noWrap/>
            <w:hideMark/>
          </w:tcPr>
          <w:p w:rsidR="00D87B62" w:rsidRPr="00D87B62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B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Against </w:t>
            </w:r>
          </w:p>
        </w:tc>
        <w:tc>
          <w:tcPr>
            <w:tcW w:w="1462" w:type="dxa"/>
            <w:noWrap/>
            <w:hideMark/>
          </w:tcPr>
          <w:p w:rsidR="00D87B62" w:rsidRPr="00D87B62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B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Withheld 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Financial Statements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28,375,988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356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14% Dividend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28,375,907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4,112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8% Dividend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28,370,458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6,128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3,758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Final Dividend 100 cent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28,380,019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Directors Remuneration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26,522,998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1,757,133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100,213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6a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M Brennan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28,247,692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132,327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6b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S Cronin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28,228,941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151,078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6c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T </w:t>
            </w:r>
            <w:proofErr w:type="spellStart"/>
            <w:r w:rsidRPr="005722BF">
              <w:rPr>
                <w:rFonts w:ascii="Arial" w:hAnsi="Arial" w:cs="Arial"/>
                <w:sz w:val="22"/>
                <w:szCs w:val="22"/>
              </w:rPr>
              <w:t>Cullinan</w:t>
            </w:r>
            <w:proofErr w:type="spellEnd"/>
            <w:r w:rsidRPr="005722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28,246,611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133,408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6d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L Herlihy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25,890,968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2,489,051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6e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D O'Connor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28,212,408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167,611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6f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J O'Grady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28,246,992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133,027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6g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T Ó </w:t>
            </w:r>
            <w:proofErr w:type="spellStart"/>
            <w:r w:rsidRPr="005722BF">
              <w:rPr>
                <w:rFonts w:ascii="Arial" w:hAnsi="Arial" w:cs="Arial"/>
                <w:sz w:val="22"/>
                <w:szCs w:val="22"/>
              </w:rPr>
              <w:t>Midheach</w:t>
            </w:r>
            <w:proofErr w:type="spellEnd"/>
            <w:r w:rsidRPr="005722B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28,247,657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132,687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6h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R Pike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28,247,217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133,127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6i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Re-Appoint P Walshe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28,245,960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133,784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6j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J </w:t>
            </w:r>
            <w:proofErr w:type="spellStart"/>
            <w:r w:rsidRPr="005722BF">
              <w:rPr>
                <w:rFonts w:ascii="Arial" w:hAnsi="Arial" w:cs="Arial"/>
                <w:sz w:val="22"/>
                <w:szCs w:val="22"/>
              </w:rPr>
              <w:t>O'Dwyer</w:t>
            </w:r>
            <w:proofErr w:type="spellEnd"/>
            <w:r w:rsidRPr="005722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28,248,017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132,327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6k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Re-Appoint J Sharp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28,247,220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133,124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Remuneration of Auditors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28,378,953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1,360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Director Authority to Allot shares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26,739,388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1,639,706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Disapplication of Pre-emption Rights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28,370,589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5,072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4,683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Renew Authority to Purchase of Own Shares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28,282,044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98,300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 xml:space="preserve">Set Re-Issue Price for Treasury Shares 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28,270,249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105,412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4,683</w:t>
            </w:r>
          </w:p>
        </w:tc>
      </w:tr>
      <w:tr w:rsidR="005722BF" w:rsidRPr="00D87B62" w:rsidTr="005722BF">
        <w:trPr>
          <w:trHeight w:val="300"/>
        </w:trPr>
        <w:tc>
          <w:tcPr>
            <w:tcW w:w="65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74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Authorise EGM at 14 Days' Notice</w:t>
            </w:r>
          </w:p>
        </w:tc>
        <w:tc>
          <w:tcPr>
            <w:tcW w:w="1835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28,380,344</w:t>
            </w:r>
          </w:p>
        </w:tc>
        <w:tc>
          <w:tcPr>
            <w:tcW w:w="1418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28,208,003</w:t>
            </w:r>
          </w:p>
        </w:tc>
        <w:tc>
          <w:tcPr>
            <w:tcW w:w="1417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172,310</w:t>
            </w:r>
          </w:p>
        </w:tc>
        <w:tc>
          <w:tcPr>
            <w:tcW w:w="1462" w:type="dxa"/>
            <w:noWrap/>
            <w:hideMark/>
          </w:tcPr>
          <w:p w:rsidR="00D87B62" w:rsidRPr="005722BF" w:rsidRDefault="00D87B62" w:rsidP="00D87B6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22BF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</w:tbl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87B62" w:rsidRDefault="00D87B62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355E5" w:rsidRPr="000D044B" w:rsidRDefault="003355E5" w:rsidP="003355E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D044B">
        <w:rPr>
          <w:rFonts w:ascii="Arial" w:hAnsi="Arial" w:cs="Arial"/>
          <w:b/>
          <w:sz w:val="22"/>
          <w:szCs w:val="22"/>
        </w:rPr>
        <w:t>For Reference</w:t>
      </w:r>
    </w:p>
    <w:p w:rsidR="003355E5" w:rsidRDefault="003355E5" w:rsidP="003355E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722BF" w:rsidRPr="00051C56" w:rsidRDefault="005722BF" w:rsidP="005722BF">
      <w:pPr>
        <w:autoSpaceDE w:val="0"/>
        <w:autoSpaceDN w:val="0"/>
        <w:adjustRightInd w:val="0"/>
        <w:rPr>
          <w:rFonts w:ascii="Arial" w:hAnsi="Arial" w:cs="Arial"/>
          <w:lang w:val="en-IE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26"/>
        <w:gridCol w:w="2502"/>
      </w:tblGrid>
      <w:tr w:rsidR="005722BF" w:rsidRPr="00051C56" w:rsidTr="00A77D39">
        <w:tc>
          <w:tcPr>
            <w:tcW w:w="4626" w:type="dxa"/>
          </w:tcPr>
          <w:p w:rsidR="005722BF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FBD Holdings plc</w:t>
            </w:r>
          </w:p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</w:p>
        </w:tc>
        <w:tc>
          <w:tcPr>
            <w:tcW w:w="2502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Telephone</w:t>
            </w:r>
          </w:p>
        </w:tc>
      </w:tr>
      <w:tr w:rsidR="005722BF" w:rsidRPr="00051C56" w:rsidTr="00A77D39">
        <w:tc>
          <w:tcPr>
            <w:tcW w:w="4626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Nadine Conlon</w:t>
            </w:r>
            <w:r w:rsidRPr="00051C56">
              <w:rPr>
                <w:rFonts w:ascii="Arial" w:hAnsi="Arial" w:cs="Arial"/>
                <w:lang w:val="en-IE"/>
              </w:rPr>
              <w:t>, Company Secretary</w:t>
            </w:r>
          </w:p>
        </w:tc>
        <w:tc>
          <w:tcPr>
            <w:tcW w:w="2502" w:type="dxa"/>
          </w:tcPr>
          <w:p w:rsidR="005722BF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val="en-IE"/>
              </w:rPr>
              <w:t>00353 87</w:t>
            </w:r>
            <w:r>
              <w:rPr>
                <w:rFonts w:ascii="Arial" w:hAnsi="Arial" w:cs="Arial"/>
                <w:lang w:eastAsia="en-IE"/>
              </w:rPr>
              <w:t xml:space="preserve"> 3844435</w:t>
            </w:r>
          </w:p>
          <w:p w:rsidR="005722BF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IE"/>
              </w:rPr>
            </w:pPr>
          </w:p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</w:p>
        </w:tc>
      </w:tr>
    </w:tbl>
    <w:p w:rsidR="005722BF" w:rsidRPr="00051C56" w:rsidRDefault="005722BF" w:rsidP="005722BF">
      <w:pPr>
        <w:pBdr>
          <w:top w:val="single" w:sz="4" w:space="1" w:color="auto"/>
        </w:pBdr>
        <w:shd w:val="clear" w:color="auto" w:fill="FFFFFF"/>
        <w:ind w:right="5"/>
        <w:jc w:val="both"/>
        <w:rPr>
          <w:rFonts w:ascii="Arial" w:hAnsi="Arial" w:cs="Arial"/>
          <w:b/>
          <w:bCs/>
          <w:color w:val="000000"/>
          <w:lang w:val="en-IE"/>
        </w:rPr>
      </w:pPr>
    </w:p>
    <w:p w:rsidR="005722BF" w:rsidRPr="00051C56" w:rsidRDefault="005722BF" w:rsidP="005722BF">
      <w:pPr>
        <w:pBdr>
          <w:top w:val="single" w:sz="4" w:space="1" w:color="auto"/>
        </w:pBdr>
        <w:shd w:val="clear" w:color="auto" w:fill="FFFFFF"/>
        <w:ind w:right="5"/>
        <w:jc w:val="both"/>
        <w:rPr>
          <w:rFonts w:ascii="Arial" w:hAnsi="Arial" w:cs="Arial"/>
          <w:b/>
          <w:bCs/>
          <w:color w:val="000000"/>
          <w:lang w:val="en-IE"/>
        </w:rPr>
      </w:pPr>
      <w:r w:rsidRPr="00051C56">
        <w:rPr>
          <w:rFonts w:ascii="Arial" w:hAnsi="Arial" w:cs="Arial"/>
          <w:b/>
          <w:bCs/>
          <w:color w:val="000000"/>
          <w:lang w:val="en-IE"/>
        </w:rPr>
        <w:t xml:space="preserve">About FBD Holdings plc </w:t>
      </w:r>
    </w:p>
    <w:p w:rsidR="005722BF" w:rsidRDefault="005722BF" w:rsidP="005722BF">
      <w:pPr>
        <w:autoSpaceDE w:val="0"/>
        <w:autoSpaceDN w:val="0"/>
        <w:adjustRightInd w:val="0"/>
        <w:rPr>
          <w:rFonts w:ascii="Arial" w:hAnsi="Arial" w:cs="Arial"/>
          <w:lang w:val="en-IE"/>
        </w:rPr>
      </w:pPr>
    </w:p>
    <w:p w:rsidR="005722BF" w:rsidRPr="00051C56" w:rsidRDefault="005722BF" w:rsidP="005722BF">
      <w:pPr>
        <w:autoSpaceDE w:val="0"/>
        <w:autoSpaceDN w:val="0"/>
        <w:adjustRightInd w:val="0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FBD is one of Ireland’s largest property and casualty insurers looking after the insurance needs of farmers, private individuals and business owners.</w:t>
      </w:r>
    </w:p>
    <w:p w:rsidR="005722BF" w:rsidRPr="00051C56" w:rsidRDefault="005722BF" w:rsidP="005722BF">
      <w:pPr>
        <w:autoSpaceDE w:val="0"/>
        <w:autoSpaceDN w:val="0"/>
        <w:adjustRightInd w:val="0"/>
        <w:rPr>
          <w:rFonts w:ascii="Arial" w:hAnsi="Arial" w:cs="Arial"/>
          <w:lang w:val="en-IE"/>
        </w:rPr>
      </w:pPr>
    </w:p>
    <w:p w:rsidR="005722BF" w:rsidRPr="00051C56" w:rsidRDefault="005722BF" w:rsidP="005722BF">
      <w:pPr>
        <w:autoSpaceDE w:val="0"/>
        <w:autoSpaceDN w:val="0"/>
        <w:adjustRightInd w:val="0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The following details relate to FBD’s ordinary shares of €0.60 each which are publicly traded:</w:t>
      </w:r>
    </w:p>
    <w:p w:rsidR="005722BF" w:rsidRPr="00051C56" w:rsidRDefault="005722BF" w:rsidP="005722BF">
      <w:pPr>
        <w:autoSpaceDE w:val="0"/>
        <w:autoSpaceDN w:val="0"/>
        <w:adjustRightInd w:val="0"/>
        <w:rPr>
          <w:rFonts w:ascii="Arial" w:hAnsi="Arial" w:cs="Arial"/>
          <w:lang w:val="en-I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48"/>
        <w:gridCol w:w="2520"/>
        <w:gridCol w:w="2700"/>
      </w:tblGrid>
      <w:tr w:rsidR="005722BF" w:rsidRPr="00051C56" w:rsidTr="00A77D39">
        <w:tc>
          <w:tcPr>
            <w:tcW w:w="2448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Listing</w:t>
            </w:r>
          </w:p>
        </w:tc>
        <w:tc>
          <w:tcPr>
            <w:tcW w:w="252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Euronext Dublin </w:t>
            </w:r>
          </w:p>
        </w:tc>
        <w:tc>
          <w:tcPr>
            <w:tcW w:w="270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UK Listing Authority</w:t>
            </w:r>
          </w:p>
        </w:tc>
      </w:tr>
      <w:tr w:rsidR="005722BF" w:rsidRPr="00051C56" w:rsidTr="00A77D39">
        <w:tc>
          <w:tcPr>
            <w:tcW w:w="2448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Listing Category</w:t>
            </w:r>
          </w:p>
        </w:tc>
        <w:tc>
          <w:tcPr>
            <w:tcW w:w="252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P</w:t>
            </w:r>
            <w:r>
              <w:rPr>
                <w:rFonts w:ascii="Arial" w:hAnsi="Arial" w:cs="Arial"/>
                <w:lang w:val="en-IE"/>
              </w:rPr>
              <w:t>rimary</w:t>
            </w:r>
          </w:p>
        </w:tc>
        <w:tc>
          <w:tcPr>
            <w:tcW w:w="270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Premium (Equity)</w:t>
            </w:r>
          </w:p>
        </w:tc>
      </w:tr>
      <w:tr w:rsidR="005722BF" w:rsidRPr="00051C56" w:rsidTr="00A77D39">
        <w:tc>
          <w:tcPr>
            <w:tcW w:w="2448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Trading Venue</w:t>
            </w:r>
          </w:p>
        </w:tc>
        <w:tc>
          <w:tcPr>
            <w:tcW w:w="252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Euronext Dublin</w:t>
            </w:r>
          </w:p>
        </w:tc>
        <w:tc>
          <w:tcPr>
            <w:tcW w:w="270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London Stock Exchange</w:t>
            </w:r>
          </w:p>
        </w:tc>
      </w:tr>
      <w:tr w:rsidR="005722BF" w:rsidRPr="00051C56" w:rsidTr="00A77D39">
        <w:tc>
          <w:tcPr>
            <w:tcW w:w="2448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Market</w:t>
            </w:r>
          </w:p>
        </w:tc>
        <w:tc>
          <w:tcPr>
            <w:tcW w:w="252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Main Securities Market</w:t>
            </w:r>
          </w:p>
        </w:tc>
        <w:tc>
          <w:tcPr>
            <w:tcW w:w="270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Main Market</w:t>
            </w:r>
          </w:p>
        </w:tc>
      </w:tr>
      <w:tr w:rsidR="005722BF" w:rsidRPr="00051C56" w:rsidTr="00A77D39">
        <w:tc>
          <w:tcPr>
            <w:tcW w:w="2448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ISIN</w:t>
            </w:r>
          </w:p>
        </w:tc>
        <w:tc>
          <w:tcPr>
            <w:tcW w:w="252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IE0003290289</w:t>
            </w:r>
          </w:p>
        </w:tc>
        <w:tc>
          <w:tcPr>
            <w:tcW w:w="270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IE0003290289</w:t>
            </w:r>
          </w:p>
        </w:tc>
      </w:tr>
      <w:tr w:rsidR="005722BF" w:rsidRPr="00051C56" w:rsidTr="00A77D39">
        <w:tc>
          <w:tcPr>
            <w:tcW w:w="2448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Ticker</w:t>
            </w:r>
          </w:p>
        </w:tc>
        <w:tc>
          <w:tcPr>
            <w:tcW w:w="252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 xml:space="preserve">FBD.I </w:t>
            </w:r>
            <w:r w:rsidRPr="00051C56">
              <w:rPr>
                <w:rFonts w:ascii="Arial" w:hAnsi="Arial" w:cs="Arial"/>
                <w:b/>
                <w:lang w:val="en-IE"/>
              </w:rPr>
              <w:t>or</w:t>
            </w:r>
            <w:r w:rsidRPr="00051C56">
              <w:rPr>
                <w:rFonts w:ascii="Arial" w:hAnsi="Arial" w:cs="Arial"/>
                <w:lang w:val="en-IE"/>
              </w:rPr>
              <w:t xml:space="preserve"> EG7.IR</w:t>
            </w:r>
          </w:p>
        </w:tc>
        <w:tc>
          <w:tcPr>
            <w:tcW w:w="2700" w:type="dxa"/>
          </w:tcPr>
          <w:p w:rsidR="005722BF" w:rsidRPr="00051C56" w:rsidRDefault="005722BF" w:rsidP="00A77D39">
            <w:pPr>
              <w:autoSpaceDE w:val="0"/>
              <w:autoSpaceDN w:val="0"/>
              <w:adjustRightInd w:val="0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FBH.L</w:t>
            </w:r>
          </w:p>
        </w:tc>
      </w:tr>
    </w:tbl>
    <w:p w:rsidR="005722BF" w:rsidRPr="00051C56" w:rsidRDefault="005722BF" w:rsidP="005722BF">
      <w:pPr>
        <w:jc w:val="both"/>
        <w:rPr>
          <w:rFonts w:ascii="Arial" w:hAnsi="Arial" w:cs="Arial"/>
          <w:lang w:val="en-IE"/>
        </w:rPr>
      </w:pPr>
    </w:p>
    <w:p w:rsidR="005722BF" w:rsidRPr="00051C56" w:rsidRDefault="005722BF" w:rsidP="005722BF">
      <w:pPr>
        <w:jc w:val="both"/>
        <w:rPr>
          <w:rFonts w:ascii="Arial" w:hAnsi="Arial" w:cs="Arial"/>
          <w:lang w:val="en-IE"/>
        </w:rPr>
      </w:pPr>
    </w:p>
    <w:p w:rsidR="005722BF" w:rsidRPr="00051C56" w:rsidRDefault="005722BF" w:rsidP="005722BF">
      <w:pPr>
        <w:jc w:val="center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FBD Holdings plc</w:t>
      </w:r>
      <w:r>
        <w:rPr>
          <w:rFonts w:ascii="Arial" w:hAnsi="Arial" w:cs="Arial"/>
          <w:lang w:val="en-IE"/>
        </w:rPr>
        <w:t xml:space="preserve">, </w:t>
      </w:r>
      <w:r w:rsidRPr="00051C56">
        <w:rPr>
          <w:rFonts w:ascii="Arial" w:hAnsi="Arial" w:cs="Arial"/>
          <w:lang w:val="en-IE"/>
        </w:rPr>
        <w:t>FBD House, Bluebell, Dublin 12</w:t>
      </w:r>
    </w:p>
    <w:p w:rsidR="005722BF" w:rsidRPr="00051C56" w:rsidRDefault="005722BF" w:rsidP="005722BF">
      <w:pPr>
        <w:jc w:val="center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Registered in Dublin, Ireland Registered Number 135882</w:t>
      </w:r>
    </w:p>
    <w:p w:rsidR="005722BF" w:rsidRPr="00051C56" w:rsidRDefault="005722BF" w:rsidP="005722BF">
      <w:pPr>
        <w:rPr>
          <w:rFonts w:ascii="Arial" w:hAnsi="Arial" w:cs="Arial"/>
          <w:lang w:val="en-IE"/>
        </w:rPr>
      </w:pPr>
    </w:p>
    <w:p w:rsidR="005722BF" w:rsidRPr="00EE0B5B" w:rsidRDefault="005722BF" w:rsidP="003355E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722BF" w:rsidRPr="00EE0B5B" w:rsidSect="00DE2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559" w:bottom="144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1C" w:rsidRDefault="00194F1C">
      <w:r>
        <w:separator/>
      </w:r>
    </w:p>
  </w:endnote>
  <w:endnote w:type="continuationSeparator" w:id="0">
    <w:p w:rsidR="00194F1C" w:rsidRDefault="0019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1C" w:rsidRDefault="00194F1C">
      <w:r>
        <w:separator/>
      </w:r>
    </w:p>
  </w:footnote>
  <w:footnote w:type="continuationSeparator" w:id="0">
    <w:p w:rsidR="00194F1C" w:rsidRDefault="0019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E5"/>
    <w:rsid w:val="0002744F"/>
    <w:rsid w:val="000515B2"/>
    <w:rsid w:val="000D044B"/>
    <w:rsid w:val="001436CC"/>
    <w:rsid w:val="001815B5"/>
    <w:rsid w:val="00194F1C"/>
    <w:rsid w:val="001D6007"/>
    <w:rsid w:val="002471D4"/>
    <w:rsid w:val="002C508F"/>
    <w:rsid w:val="003355E5"/>
    <w:rsid w:val="004F2BB9"/>
    <w:rsid w:val="00561C1F"/>
    <w:rsid w:val="005676A7"/>
    <w:rsid w:val="005722BF"/>
    <w:rsid w:val="0059086C"/>
    <w:rsid w:val="005A3040"/>
    <w:rsid w:val="00600E08"/>
    <w:rsid w:val="00683988"/>
    <w:rsid w:val="006B24E9"/>
    <w:rsid w:val="00741801"/>
    <w:rsid w:val="007B4CA5"/>
    <w:rsid w:val="007E08BC"/>
    <w:rsid w:val="007F5296"/>
    <w:rsid w:val="00A94146"/>
    <w:rsid w:val="00AD0325"/>
    <w:rsid w:val="00AD21CA"/>
    <w:rsid w:val="00B208C9"/>
    <w:rsid w:val="00BC7C60"/>
    <w:rsid w:val="00D345C7"/>
    <w:rsid w:val="00D87B62"/>
    <w:rsid w:val="00DD7C47"/>
    <w:rsid w:val="00DE2418"/>
    <w:rsid w:val="00DF4C14"/>
    <w:rsid w:val="00E25B44"/>
    <w:rsid w:val="00E4062F"/>
    <w:rsid w:val="00EE6F93"/>
    <w:rsid w:val="00EF18D6"/>
    <w:rsid w:val="00EF33FF"/>
    <w:rsid w:val="00F277C8"/>
    <w:rsid w:val="00F86714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7EBD"/>
  <w15:docId w15:val="{AF820D1B-D8E4-49F4-A294-8C0743CD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5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5E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5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5E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1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94F1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8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fbdgroup.com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2022-05-12T15:18:16+00:00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64AC87C-BE77-4E2F-A56C-BA150F8D0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E345A-451B-49E8-8FC1-6D4ABF9A714A}"/>
</file>

<file path=customXml/itemProps3.xml><?xml version="1.0" encoding="utf-8"?>
<ds:datastoreItem xmlns:ds="http://schemas.openxmlformats.org/officeDocument/2006/customXml" ds:itemID="{C74070FE-50C3-4E4A-9776-041AC60F17D1}"/>
</file>

<file path=customXml/itemProps4.xml><?xml version="1.0" encoding="utf-8"?>
<ds:datastoreItem xmlns:ds="http://schemas.openxmlformats.org/officeDocument/2006/customXml" ds:itemID="{3F59702B-3AFB-46C4-8B1B-3059573B5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Higgins</dc:creator>
  <cp:lastModifiedBy>Jane Higgins</cp:lastModifiedBy>
  <cp:revision>14</cp:revision>
  <cp:lastPrinted>2021-05-12T12:34:00Z</cp:lastPrinted>
  <dcterms:created xsi:type="dcterms:W3CDTF">2020-07-31T16:09:00Z</dcterms:created>
  <dcterms:modified xsi:type="dcterms:W3CDTF">2022-05-11T17:25:00Z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181366900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