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CACD4" w14:textId="1B65C5AB" w:rsidR="00D307FA" w:rsidRPr="00D307FA" w:rsidRDefault="00662747" w:rsidP="00D307FA">
      <w:pPr>
        <w:spacing w:after="0" w:line="240" w:lineRule="auto"/>
        <w:jc w:val="both"/>
        <w:rPr>
          <w:rFonts w:cs="Arial"/>
          <w:sz w:val="24"/>
          <w:szCs w:val="24"/>
          <w:lang w:val="en-US"/>
        </w:rPr>
      </w:pPr>
      <w:r>
        <w:rPr>
          <w:rFonts w:cs="Arial"/>
          <w:b/>
          <w:bCs/>
          <w:color w:val="000000"/>
          <w:sz w:val="24"/>
          <w:szCs w:val="24"/>
          <w:lang w:val="en-US"/>
        </w:rPr>
        <w:t>F</w:t>
      </w:r>
      <w:r w:rsidR="00D307FA" w:rsidRPr="00341B52">
        <w:rPr>
          <w:rFonts w:cs="Arial"/>
          <w:b/>
          <w:bCs/>
          <w:color w:val="000000"/>
          <w:sz w:val="24"/>
          <w:szCs w:val="24"/>
          <w:lang w:val="en-US"/>
        </w:rPr>
        <w:t>BD Holdings plc</w:t>
      </w:r>
    </w:p>
    <w:p w14:paraId="26AF1084" w14:textId="77777777" w:rsidR="00D307FA" w:rsidRPr="00C00D45" w:rsidRDefault="002315A6" w:rsidP="00D307FA">
      <w:pPr>
        <w:spacing w:after="0" w:line="240" w:lineRule="auto"/>
        <w:jc w:val="both"/>
        <w:rPr>
          <w:rFonts w:cs="Arial"/>
          <w:sz w:val="24"/>
          <w:szCs w:val="24"/>
          <w:lang w:val="en-US"/>
        </w:rPr>
      </w:pPr>
      <w:r>
        <w:rPr>
          <w:rStyle w:val="aq"/>
          <w:rFonts w:cs="Arial"/>
          <w:b/>
          <w:bCs/>
          <w:color w:val="000000"/>
          <w:sz w:val="24"/>
          <w:szCs w:val="24"/>
        </w:rPr>
        <w:t>Market Update</w:t>
      </w:r>
    </w:p>
    <w:p w14:paraId="25196714" w14:textId="3F784A44" w:rsidR="00D307FA" w:rsidRPr="00D307FA" w:rsidRDefault="00F01717" w:rsidP="00D307FA">
      <w:pPr>
        <w:spacing w:after="0" w:line="240" w:lineRule="auto"/>
        <w:jc w:val="both"/>
        <w:rPr>
          <w:rFonts w:cs="Arial"/>
          <w:sz w:val="24"/>
          <w:szCs w:val="24"/>
          <w:lang w:val="en-US"/>
        </w:rPr>
      </w:pPr>
      <w:r>
        <w:rPr>
          <w:rFonts w:cs="Arial"/>
          <w:b/>
          <w:bCs/>
          <w:color w:val="000000"/>
          <w:sz w:val="24"/>
          <w:szCs w:val="24"/>
          <w:lang w:val="en-US"/>
        </w:rPr>
        <w:t xml:space="preserve">28th </w:t>
      </w:r>
      <w:r w:rsidR="00325278">
        <w:rPr>
          <w:rFonts w:cs="Arial"/>
          <w:b/>
          <w:bCs/>
          <w:color w:val="000000"/>
          <w:sz w:val="24"/>
          <w:szCs w:val="24"/>
          <w:lang w:val="en-US"/>
        </w:rPr>
        <w:t>October</w:t>
      </w:r>
      <w:r w:rsidR="00D307FA" w:rsidRPr="00341B52">
        <w:rPr>
          <w:rFonts w:cs="Arial"/>
          <w:b/>
          <w:bCs/>
          <w:color w:val="000000"/>
          <w:sz w:val="24"/>
          <w:szCs w:val="24"/>
          <w:lang w:val="en-US"/>
        </w:rPr>
        <w:t xml:space="preserve"> </w:t>
      </w:r>
      <w:r w:rsidR="00B74710">
        <w:rPr>
          <w:rFonts w:cs="Arial"/>
          <w:b/>
          <w:bCs/>
          <w:color w:val="000000"/>
          <w:sz w:val="24"/>
          <w:szCs w:val="24"/>
          <w:lang w:val="en-US"/>
        </w:rPr>
        <w:t>202</w:t>
      </w:r>
      <w:r w:rsidR="00A710CF">
        <w:rPr>
          <w:rFonts w:cs="Arial"/>
          <w:b/>
          <w:bCs/>
          <w:color w:val="000000"/>
          <w:sz w:val="24"/>
          <w:szCs w:val="24"/>
          <w:lang w:val="en-US"/>
        </w:rPr>
        <w:t>2</w:t>
      </w:r>
    </w:p>
    <w:p w14:paraId="5A943CE9" w14:textId="77777777" w:rsidR="00D307FA" w:rsidRPr="00D307FA" w:rsidRDefault="00D307FA" w:rsidP="00D307FA">
      <w:pPr>
        <w:spacing w:after="0" w:line="240" w:lineRule="auto"/>
        <w:jc w:val="both"/>
        <w:rPr>
          <w:rFonts w:cs="Arial"/>
          <w:sz w:val="24"/>
          <w:szCs w:val="24"/>
          <w:lang w:val="en-US"/>
        </w:rPr>
      </w:pPr>
    </w:p>
    <w:p w14:paraId="060FEC4A" w14:textId="2BFBEAA6" w:rsidR="00325278" w:rsidRDefault="00794082" w:rsidP="00325278">
      <w:pPr>
        <w:pStyle w:val="NoSpacing"/>
        <w:jc w:val="both"/>
        <w:rPr>
          <w:rStyle w:val="an"/>
          <w:rFonts w:cs="Arial"/>
          <w:color w:val="000000"/>
          <w:sz w:val="24"/>
          <w:szCs w:val="24"/>
        </w:rPr>
      </w:pPr>
      <w:r>
        <w:rPr>
          <w:rStyle w:val="an"/>
          <w:rFonts w:cs="Arial"/>
          <w:color w:val="000000"/>
          <w:sz w:val="24"/>
          <w:szCs w:val="24"/>
        </w:rPr>
        <w:t xml:space="preserve">FBD </w:t>
      </w:r>
      <w:r w:rsidR="00F70064">
        <w:rPr>
          <w:rStyle w:val="an"/>
          <w:rFonts w:cs="Arial"/>
          <w:color w:val="000000"/>
          <w:sz w:val="24"/>
          <w:szCs w:val="24"/>
        </w:rPr>
        <w:t xml:space="preserve">is pleased to </w:t>
      </w:r>
      <w:r w:rsidR="00325278">
        <w:rPr>
          <w:rStyle w:val="an"/>
          <w:rFonts w:cs="Arial"/>
          <w:color w:val="000000"/>
          <w:sz w:val="24"/>
          <w:szCs w:val="24"/>
        </w:rPr>
        <w:t xml:space="preserve">announce that, following a </w:t>
      </w:r>
      <w:r w:rsidR="00CE5E2B">
        <w:rPr>
          <w:rStyle w:val="an"/>
          <w:rFonts w:cs="Arial"/>
          <w:color w:val="000000"/>
          <w:sz w:val="24"/>
          <w:szCs w:val="24"/>
        </w:rPr>
        <w:t>market</w:t>
      </w:r>
      <w:r w:rsidR="00325278">
        <w:rPr>
          <w:rStyle w:val="an"/>
          <w:rFonts w:cs="Arial"/>
          <w:color w:val="000000"/>
          <w:sz w:val="24"/>
          <w:szCs w:val="24"/>
        </w:rPr>
        <w:t xml:space="preserve"> tender process, it has decided to appoint Davy Stockbrokers as its primary corporate broker</w:t>
      </w:r>
      <w:r w:rsidR="00CE5E2B">
        <w:rPr>
          <w:rStyle w:val="an"/>
          <w:rFonts w:cs="Arial"/>
          <w:color w:val="000000"/>
          <w:sz w:val="24"/>
          <w:szCs w:val="24"/>
        </w:rPr>
        <w:t xml:space="preserve"> and corporate sponsor </w:t>
      </w:r>
      <w:r w:rsidR="008F3E8F">
        <w:rPr>
          <w:rStyle w:val="an"/>
          <w:rFonts w:cs="Arial"/>
          <w:color w:val="000000"/>
          <w:sz w:val="24"/>
          <w:szCs w:val="24"/>
        </w:rPr>
        <w:t>for</w:t>
      </w:r>
      <w:r w:rsidR="00CE5E2B">
        <w:rPr>
          <w:rStyle w:val="an"/>
          <w:rFonts w:cs="Arial"/>
          <w:color w:val="000000"/>
          <w:sz w:val="24"/>
          <w:szCs w:val="24"/>
        </w:rPr>
        <w:t xml:space="preserve"> Euronext and the London Stock Exchange</w:t>
      </w:r>
      <w:r w:rsidR="00325278">
        <w:rPr>
          <w:rStyle w:val="an"/>
          <w:rFonts w:cs="Arial"/>
          <w:color w:val="000000"/>
          <w:sz w:val="24"/>
          <w:szCs w:val="24"/>
        </w:rPr>
        <w:t>.</w:t>
      </w:r>
      <w:r w:rsidR="00F70064">
        <w:rPr>
          <w:rStyle w:val="an"/>
          <w:rFonts w:cs="Arial"/>
          <w:color w:val="000000"/>
          <w:sz w:val="24"/>
          <w:szCs w:val="24"/>
        </w:rPr>
        <w:t xml:space="preserve"> This appointment will take effect from 4</w:t>
      </w:r>
      <w:r w:rsidR="00F70064" w:rsidRPr="00F70064">
        <w:rPr>
          <w:rStyle w:val="an"/>
          <w:rFonts w:cs="Arial"/>
          <w:color w:val="000000"/>
          <w:sz w:val="24"/>
          <w:szCs w:val="24"/>
          <w:vertAlign w:val="superscript"/>
        </w:rPr>
        <w:t>th</w:t>
      </w:r>
      <w:r w:rsidR="00F70064">
        <w:rPr>
          <w:rStyle w:val="an"/>
          <w:rFonts w:cs="Arial"/>
          <w:color w:val="000000"/>
          <w:sz w:val="24"/>
          <w:szCs w:val="24"/>
        </w:rPr>
        <w:t xml:space="preserve"> November 2022.</w:t>
      </w:r>
    </w:p>
    <w:p w14:paraId="110D1964" w14:textId="77777777" w:rsidR="00325278" w:rsidRDefault="00325278" w:rsidP="00325278">
      <w:pPr>
        <w:pStyle w:val="NoSpacing"/>
        <w:jc w:val="both"/>
        <w:rPr>
          <w:rStyle w:val="an"/>
          <w:rFonts w:cs="Arial"/>
          <w:color w:val="000000"/>
          <w:sz w:val="24"/>
          <w:szCs w:val="24"/>
        </w:rPr>
      </w:pPr>
    </w:p>
    <w:p w14:paraId="1D647DCD" w14:textId="77777777" w:rsidR="00A137EB" w:rsidRDefault="00A137EB" w:rsidP="00355334">
      <w:pPr>
        <w:pStyle w:val="NoSpacing"/>
        <w:jc w:val="both"/>
        <w:rPr>
          <w:rFonts w:eastAsia="Times New Roman" w:cs="Arial"/>
          <w:color w:val="000000"/>
          <w:sz w:val="24"/>
          <w:szCs w:val="24"/>
        </w:rPr>
      </w:pPr>
      <w:bookmarkStart w:id="0" w:name="_GoBack"/>
      <w:bookmarkEnd w:id="0"/>
    </w:p>
    <w:tbl>
      <w:tblPr>
        <w:tblW w:w="9645" w:type="dxa"/>
        <w:tblInd w:w="-34" w:type="dxa"/>
        <w:tblCellMar>
          <w:left w:w="0" w:type="dxa"/>
          <w:right w:w="0" w:type="dxa"/>
        </w:tblCellMar>
        <w:tblLook w:val="04A0" w:firstRow="1" w:lastRow="0" w:firstColumn="1" w:lastColumn="0" w:noHBand="0" w:noVBand="1"/>
      </w:tblPr>
      <w:tblGrid>
        <w:gridCol w:w="6238"/>
        <w:gridCol w:w="3407"/>
      </w:tblGrid>
      <w:tr w:rsidR="00D307FA" w:rsidRPr="00D307FA" w14:paraId="0AAB7249" w14:textId="77777777" w:rsidTr="00341B52">
        <w:tc>
          <w:tcPr>
            <w:tcW w:w="6238" w:type="dxa"/>
            <w:tcMar>
              <w:top w:w="0" w:type="dxa"/>
              <w:left w:w="108" w:type="dxa"/>
              <w:bottom w:w="0" w:type="dxa"/>
              <w:right w:w="108" w:type="dxa"/>
            </w:tcMar>
            <w:hideMark/>
          </w:tcPr>
          <w:p w14:paraId="333ADC11" w14:textId="77777777" w:rsidR="00D307FA" w:rsidRPr="00D307FA" w:rsidRDefault="00D307FA" w:rsidP="001F56D4">
            <w:pPr>
              <w:spacing w:after="0" w:line="240" w:lineRule="auto"/>
              <w:ind w:left="142" w:hanging="108"/>
              <w:rPr>
                <w:rFonts w:cs="Arial"/>
                <w:b/>
                <w:sz w:val="24"/>
                <w:szCs w:val="24"/>
                <w:lang w:val="en-US"/>
              </w:rPr>
            </w:pPr>
            <w:r w:rsidRPr="00D307FA">
              <w:rPr>
                <w:rFonts w:cs="Arial"/>
                <w:b/>
                <w:sz w:val="24"/>
                <w:szCs w:val="24"/>
                <w:lang w:val="en-US"/>
              </w:rPr>
              <w:t>Enquiries</w:t>
            </w:r>
          </w:p>
        </w:tc>
        <w:tc>
          <w:tcPr>
            <w:tcW w:w="3407" w:type="dxa"/>
            <w:tcMar>
              <w:top w:w="0" w:type="dxa"/>
              <w:left w:w="108" w:type="dxa"/>
              <w:bottom w:w="0" w:type="dxa"/>
              <w:right w:w="108" w:type="dxa"/>
            </w:tcMar>
            <w:hideMark/>
          </w:tcPr>
          <w:p w14:paraId="741953A9" w14:textId="77777777" w:rsidR="00D307FA" w:rsidRPr="00D307FA" w:rsidRDefault="00D307FA" w:rsidP="00D307FA">
            <w:pPr>
              <w:spacing w:after="0" w:line="240" w:lineRule="auto"/>
              <w:ind w:left="142"/>
              <w:rPr>
                <w:rFonts w:cs="Arial"/>
                <w:b/>
                <w:sz w:val="24"/>
                <w:szCs w:val="24"/>
                <w:lang w:val="en-US"/>
              </w:rPr>
            </w:pPr>
            <w:r w:rsidRPr="00D307FA">
              <w:rPr>
                <w:rFonts w:cs="Arial"/>
                <w:b/>
                <w:sz w:val="24"/>
                <w:szCs w:val="24"/>
                <w:lang w:val="en-US"/>
              </w:rPr>
              <w:t>Telephone</w:t>
            </w:r>
          </w:p>
        </w:tc>
      </w:tr>
      <w:tr w:rsidR="00D307FA" w:rsidRPr="00D307FA" w14:paraId="4D52623B" w14:textId="77777777" w:rsidTr="00341B52">
        <w:tc>
          <w:tcPr>
            <w:tcW w:w="6238" w:type="dxa"/>
            <w:tcMar>
              <w:top w:w="0" w:type="dxa"/>
              <w:left w:w="108" w:type="dxa"/>
              <w:bottom w:w="0" w:type="dxa"/>
              <w:right w:w="108" w:type="dxa"/>
            </w:tcMar>
            <w:hideMark/>
          </w:tcPr>
          <w:p w14:paraId="6E4BFF9B" w14:textId="77777777" w:rsidR="00D307FA" w:rsidRPr="00D307FA" w:rsidRDefault="00D307FA" w:rsidP="00D307FA">
            <w:pPr>
              <w:spacing w:after="0" w:line="240" w:lineRule="auto"/>
              <w:ind w:left="142"/>
              <w:rPr>
                <w:rFonts w:cs="Arial"/>
                <w:sz w:val="24"/>
                <w:szCs w:val="24"/>
                <w:lang w:val="en-US"/>
              </w:rPr>
            </w:pPr>
          </w:p>
        </w:tc>
        <w:tc>
          <w:tcPr>
            <w:tcW w:w="3407" w:type="dxa"/>
            <w:tcMar>
              <w:top w:w="0" w:type="dxa"/>
              <w:left w:w="108" w:type="dxa"/>
              <w:bottom w:w="0" w:type="dxa"/>
              <w:right w:w="108" w:type="dxa"/>
            </w:tcMar>
            <w:hideMark/>
          </w:tcPr>
          <w:p w14:paraId="7499DA23" w14:textId="77777777" w:rsidR="00D307FA" w:rsidRPr="00D307FA" w:rsidRDefault="00D307FA" w:rsidP="00D307FA">
            <w:pPr>
              <w:spacing w:after="0" w:line="240" w:lineRule="auto"/>
              <w:ind w:left="142"/>
              <w:rPr>
                <w:rFonts w:cs="Arial"/>
                <w:sz w:val="24"/>
                <w:szCs w:val="24"/>
                <w:lang w:val="en-US"/>
              </w:rPr>
            </w:pPr>
          </w:p>
        </w:tc>
      </w:tr>
      <w:tr w:rsidR="00D307FA" w:rsidRPr="00D307FA" w14:paraId="771E372C" w14:textId="77777777" w:rsidTr="00341B52">
        <w:tc>
          <w:tcPr>
            <w:tcW w:w="6238" w:type="dxa"/>
            <w:tcMar>
              <w:top w:w="0" w:type="dxa"/>
              <w:left w:w="108" w:type="dxa"/>
              <w:bottom w:w="0" w:type="dxa"/>
              <w:right w:w="108" w:type="dxa"/>
            </w:tcMar>
            <w:hideMark/>
          </w:tcPr>
          <w:p w14:paraId="6C8F5277" w14:textId="77777777" w:rsidR="00D307FA" w:rsidRPr="00D307FA" w:rsidRDefault="00D307FA" w:rsidP="001F56D4">
            <w:pPr>
              <w:spacing w:after="0" w:line="240" w:lineRule="auto"/>
              <w:ind w:left="142" w:hanging="142"/>
              <w:rPr>
                <w:rFonts w:cs="Arial"/>
                <w:b/>
                <w:sz w:val="24"/>
                <w:szCs w:val="24"/>
                <w:lang w:val="en-US"/>
              </w:rPr>
            </w:pPr>
          </w:p>
          <w:p w14:paraId="515B81AF" w14:textId="77777777" w:rsidR="00D307FA" w:rsidRPr="00D307FA" w:rsidRDefault="00D307FA" w:rsidP="001F56D4">
            <w:pPr>
              <w:spacing w:after="0" w:line="240" w:lineRule="auto"/>
              <w:ind w:left="142" w:hanging="142"/>
              <w:rPr>
                <w:rFonts w:cs="Arial"/>
                <w:b/>
                <w:sz w:val="24"/>
                <w:szCs w:val="24"/>
                <w:lang w:val="en-US"/>
              </w:rPr>
            </w:pPr>
            <w:r w:rsidRPr="00D307FA">
              <w:rPr>
                <w:rFonts w:cs="Arial"/>
                <w:b/>
                <w:sz w:val="24"/>
                <w:szCs w:val="24"/>
                <w:lang w:val="en-US"/>
              </w:rPr>
              <w:t>FBD Holdings plc</w:t>
            </w:r>
          </w:p>
        </w:tc>
        <w:tc>
          <w:tcPr>
            <w:tcW w:w="3407" w:type="dxa"/>
            <w:tcMar>
              <w:top w:w="0" w:type="dxa"/>
              <w:left w:w="108" w:type="dxa"/>
              <w:bottom w:w="0" w:type="dxa"/>
              <w:right w:w="108" w:type="dxa"/>
            </w:tcMar>
            <w:hideMark/>
          </w:tcPr>
          <w:p w14:paraId="3E8B0A7D" w14:textId="77777777" w:rsidR="00D307FA" w:rsidRPr="00D307FA" w:rsidRDefault="00D307FA" w:rsidP="001F56D4">
            <w:pPr>
              <w:spacing w:after="0" w:line="240" w:lineRule="auto"/>
              <w:ind w:left="142" w:hanging="142"/>
              <w:rPr>
                <w:rFonts w:cs="Arial"/>
                <w:sz w:val="24"/>
                <w:szCs w:val="24"/>
                <w:lang w:val="en-US"/>
              </w:rPr>
            </w:pPr>
          </w:p>
        </w:tc>
      </w:tr>
      <w:tr w:rsidR="00D307FA" w:rsidRPr="00D307FA" w14:paraId="4B64DF85" w14:textId="77777777" w:rsidTr="00341B52">
        <w:tc>
          <w:tcPr>
            <w:tcW w:w="6238" w:type="dxa"/>
            <w:tcMar>
              <w:top w:w="0" w:type="dxa"/>
              <w:left w:w="108" w:type="dxa"/>
              <w:bottom w:w="0" w:type="dxa"/>
              <w:right w:w="108" w:type="dxa"/>
            </w:tcMar>
            <w:hideMark/>
          </w:tcPr>
          <w:p w14:paraId="5D37840D" w14:textId="77777777" w:rsidR="00D307FA" w:rsidRPr="00D307FA" w:rsidRDefault="004B052D" w:rsidP="004B052D">
            <w:pPr>
              <w:spacing w:after="0" w:line="240" w:lineRule="auto"/>
              <w:ind w:left="142" w:hanging="142"/>
              <w:rPr>
                <w:rFonts w:cs="Arial"/>
                <w:sz w:val="24"/>
                <w:szCs w:val="24"/>
                <w:lang w:val="en-US"/>
              </w:rPr>
            </w:pPr>
            <w:r>
              <w:rPr>
                <w:rFonts w:cs="Arial"/>
                <w:sz w:val="24"/>
                <w:szCs w:val="24"/>
                <w:lang w:val="en-US"/>
              </w:rPr>
              <w:t>Michael Sharpe</w:t>
            </w:r>
            <w:r w:rsidR="00D307FA" w:rsidRPr="00D307FA">
              <w:rPr>
                <w:rFonts w:cs="Arial"/>
                <w:sz w:val="24"/>
                <w:szCs w:val="24"/>
                <w:lang w:val="en-US"/>
              </w:rPr>
              <w:t xml:space="preserve">, </w:t>
            </w:r>
            <w:r>
              <w:rPr>
                <w:rFonts w:cs="Arial"/>
                <w:sz w:val="24"/>
                <w:szCs w:val="24"/>
                <w:lang w:val="en-US"/>
              </w:rPr>
              <w:t>Investor Relations</w:t>
            </w:r>
          </w:p>
        </w:tc>
        <w:tc>
          <w:tcPr>
            <w:tcW w:w="3407" w:type="dxa"/>
            <w:tcMar>
              <w:top w:w="0" w:type="dxa"/>
              <w:left w:w="108" w:type="dxa"/>
              <w:bottom w:w="0" w:type="dxa"/>
              <w:right w:w="108" w:type="dxa"/>
            </w:tcMar>
            <w:hideMark/>
          </w:tcPr>
          <w:p w14:paraId="35D1C44F" w14:textId="77777777" w:rsidR="00D307FA" w:rsidRPr="00D307FA" w:rsidRDefault="001750E2" w:rsidP="001750E2">
            <w:pPr>
              <w:spacing w:after="0" w:line="240" w:lineRule="auto"/>
              <w:ind w:left="142" w:hanging="142"/>
              <w:rPr>
                <w:rFonts w:cs="Arial"/>
                <w:sz w:val="24"/>
                <w:szCs w:val="24"/>
                <w:lang w:val="en-US"/>
              </w:rPr>
            </w:pPr>
            <w:r>
              <w:rPr>
                <w:rFonts w:cs="Arial"/>
                <w:sz w:val="24"/>
                <w:szCs w:val="24"/>
                <w:lang w:val="en-US"/>
              </w:rPr>
              <w:t>+353 87 915 2914</w:t>
            </w:r>
          </w:p>
        </w:tc>
      </w:tr>
      <w:tr w:rsidR="002B4D85" w:rsidRPr="00D307FA" w14:paraId="4FD3CB61" w14:textId="77777777" w:rsidTr="00341B52">
        <w:tc>
          <w:tcPr>
            <w:tcW w:w="6238" w:type="dxa"/>
            <w:tcMar>
              <w:top w:w="0" w:type="dxa"/>
              <w:left w:w="108" w:type="dxa"/>
              <w:bottom w:w="0" w:type="dxa"/>
              <w:right w:w="108" w:type="dxa"/>
            </w:tcMar>
            <w:hideMark/>
          </w:tcPr>
          <w:p w14:paraId="77DFBC77" w14:textId="77777777" w:rsidR="002B4D85" w:rsidRPr="002B4D85" w:rsidRDefault="002B4D85" w:rsidP="002B4D85">
            <w:pPr>
              <w:jc w:val="both"/>
              <w:rPr>
                <w:rFonts w:cstheme="minorHAnsi"/>
                <w:b/>
                <w:bCs/>
                <w:color w:val="000000"/>
                <w:sz w:val="24"/>
                <w:szCs w:val="24"/>
                <w:lang w:eastAsia="en-GB"/>
              </w:rPr>
            </w:pPr>
          </w:p>
          <w:p w14:paraId="5D4E288D" w14:textId="77777777" w:rsidR="002B4D85" w:rsidRPr="002B4D85" w:rsidRDefault="002B4D85" w:rsidP="002B4D85">
            <w:pPr>
              <w:jc w:val="both"/>
              <w:rPr>
                <w:rFonts w:cstheme="minorHAnsi"/>
                <w:color w:val="000000"/>
                <w:sz w:val="24"/>
                <w:szCs w:val="24"/>
                <w:lang w:eastAsia="en-GB"/>
              </w:rPr>
            </w:pPr>
            <w:r w:rsidRPr="002B4D85">
              <w:rPr>
                <w:rFonts w:cstheme="minorHAnsi"/>
                <w:b/>
                <w:bCs/>
                <w:color w:val="000000"/>
                <w:sz w:val="24"/>
                <w:szCs w:val="24"/>
                <w:lang w:eastAsia="en-GB"/>
              </w:rPr>
              <w:t>Drury Communications</w:t>
            </w:r>
          </w:p>
        </w:tc>
        <w:tc>
          <w:tcPr>
            <w:tcW w:w="3407" w:type="dxa"/>
            <w:tcMar>
              <w:top w:w="0" w:type="dxa"/>
              <w:left w:w="108" w:type="dxa"/>
              <w:bottom w:w="0" w:type="dxa"/>
              <w:right w:w="108" w:type="dxa"/>
            </w:tcMar>
            <w:hideMark/>
          </w:tcPr>
          <w:p w14:paraId="1A7684DD" w14:textId="77777777" w:rsidR="002B4D85" w:rsidRPr="002B4D85" w:rsidRDefault="002B4D85" w:rsidP="002B4D85">
            <w:pPr>
              <w:jc w:val="both"/>
              <w:rPr>
                <w:rFonts w:cstheme="minorHAnsi"/>
                <w:sz w:val="24"/>
                <w:szCs w:val="24"/>
              </w:rPr>
            </w:pPr>
          </w:p>
        </w:tc>
      </w:tr>
      <w:tr w:rsidR="002B4D85" w:rsidRPr="00D307FA" w14:paraId="6D24D8AA" w14:textId="77777777" w:rsidTr="00341B52">
        <w:tc>
          <w:tcPr>
            <w:tcW w:w="6238" w:type="dxa"/>
            <w:tcMar>
              <w:top w:w="0" w:type="dxa"/>
              <w:left w:w="108" w:type="dxa"/>
              <w:bottom w:w="0" w:type="dxa"/>
              <w:right w:w="108" w:type="dxa"/>
            </w:tcMar>
            <w:hideMark/>
          </w:tcPr>
          <w:p w14:paraId="0B2E31D1" w14:textId="77777777" w:rsidR="002B4D85" w:rsidRPr="002B4D85" w:rsidRDefault="00F01717" w:rsidP="002B4D85">
            <w:pPr>
              <w:jc w:val="both"/>
              <w:rPr>
                <w:rFonts w:cstheme="minorHAnsi"/>
                <w:color w:val="000000"/>
                <w:sz w:val="24"/>
                <w:szCs w:val="24"/>
                <w:lang w:eastAsia="en-GB"/>
              </w:rPr>
            </w:pPr>
            <w:r>
              <w:rPr>
                <w:rFonts w:cstheme="minorHAnsi"/>
                <w:color w:val="000000"/>
                <w:sz w:val="24"/>
                <w:szCs w:val="24"/>
                <w:lang w:eastAsia="en-GB"/>
              </w:rPr>
              <w:t>Paddy Hughes</w:t>
            </w:r>
          </w:p>
          <w:p w14:paraId="0639CFC8" w14:textId="77777777" w:rsidR="002B4D85" w:rsidRPr="002B4D85" w:rsidRDefault="002B4D85" w:rsidP="002B4D85">
            <w:pPr>
              <w:jc w:val="both"/>
              <w:rPr>
                <w:rFonts w:cstheme="minorHAnsi"/>
                <w:b/>
                <w:bCs/>
                <w:color w:val="000000"/>
                <w:sz w:val="24"/>
                <w:szCs w:val="24"/>
                <w:lang w:eastAsia="en-GB"/>
              </w:rPr>
            </w:pPr>
          </w:p>
        </w:tc>
        <w:tc>
          <w:tcPr>
            <w:tcW w:w="3407" w:type="dxa"/>
            <w:tcMar>
              <w:top w:w="0" w:type="dxa"/>
              <w:left w:w="108" w:type="dxa"/>
              <w:bottom w:w="0" w:type="dxa"/>
              <w:right w:w="108" w:type="dxa"/>
            </w:tcMar>
            <w:hideMark/>
          </w:tcPr>
          <w:p w14:paraId="72E4EF9D" w14:textId="77777777" w:rsidR="002B4D85" w:rsidRPr="002B4D85" w:rsidRDefault="002B4D85" w:rsidP="002B4D85">
            <w:pPr>
              <w:jc w:val="both"/>
              <w:rPr>
                <w:rFonts w:cstheme="minorHAnsi"/>
                <w:color w:val="000000"/>
                <w:sz w:val="24"/>
                <w:szCs w:val="24"/>
                <w:lang w:eastAsia="en-GB"/>
              </w:rPr>
            </w:pPr>
            <w:r w:rsidRPr="002B4D85">
              <w:rPr>
                <w:rFonts w:cstheme="minorHAnsi"/>
                <w:color w:val="000000"/>
                <w:sz w:val="24"/>
                <w:szCs w:val="24"/>
                <w:lang w:eastAsia="en-GB"/>
              </w:rPr>
              <w:t xml:space="preserve">+353 </w:t>
            </w:r>
            <w:r w:rsidR="00F01717">
              <w:rPr>
                <w:rFonts w:cstheme="minorHAnsi"/>
                <w:color w:val="000000"/>
                <w:sz w:val="24"/>
                <w:szCs w:val="24"/>
                <w:lang w:eastAsia="en-GB"/>
              </w:rPr>
              <w:t>87 616 7811</w:t>
            </w:r>
          </w:p>
          <w:p w14:paraId="53C95092" w14:textId="77777777" w:rsidR="002B4D85" w:rsidRPr="002B4D85" w:rsidRDefault="002B4D85" w:rsidP="002B4D85">
            <w:pPr>
              <w:jc w:val="both"/>
              <w:rPr>
                <w:rFonts w:cstheme="minorHAnsi"/>
                <w:color w:val="000000"/>
                <w:sz w:val="24"/>
                <w:szCs w:val="24"/>
                <w:lang w:eastAsia="en-GB"/>
              </w:rPr>
            </w:pPr>
          </w:p>
        </w:tc>
      </w:tr>
    </w:tbl>
    <w:p w14:paraId="3998D39D" w14:textId="77777777" w:rsidR="00D307FA" w:rsidRPr="00341B52" w:rsidRDefault="00D307FA" w:rsidP="00D307FA">
      <w:pPr>
        <w:spacing w:after="0" w:line="240" w:lineRule="auto"/>
        <w:jc w:val="both"/>
        <w:rPr>
          <w:rFonts w:cs="Arial"/>
          <w:b/>
          <w:bCs/>
          <w:color w:val="000000"/>
          <w:sz w:val="24"/>
          <w:szCs w:val="24"/>
          <w:lang w:val="en-US"/>
        </w:rPr>
      </w:pPr>
      <w:r w:rsidRPr="00341B52">
        <w:rPr>
          <w:rFonts w:cs="Arial"/>
          <w:b/>
          <w:bCs/>
          <w:color w:val="000000"/>
          <w:sz w:val="24"/>
          <w:szCs w:val="24"/>
          <w:lang w:val="en-US"/>
        </w:rPr>
        <w:t xml:space="preserve">About FBD Holdings plc </w:t>
      </w:r>
    </w:p>
    <w:p w14:paraId="36FB1091" w14:textId="77777777" w:rsidR="00D307FA" w:rsidRDefault="004B052D" w:rsidP="00D307FA">
      <w:pPr>
        <w:spacing w:after="0" w:line="240" w:lineRule="auto"/>
        <w:jc w:val="both"/>
        <w:rPr>
          <w:rFonts w:cs="Arial"/>
          <w:color w:val="000000"/>
          <w:sz w:val="24"/>
          <w:szCs w:val="24"/>
          <w:lang w:val="en-US"/>
        </w:rPr>
      </w:pPr>
      <w:r>
        <w:rPr>
          <w:rFonts w:cs="Arial"/>
          <w:color w:val="000000"/>
          <w:sz w:val="24"/>
          <w:szCs w:val="24"/>
          <w:lang w:val="en-US"/>
        </w:rPr>
        <w:t>FBD is one of Ireland’s largest property and casualty insurers, looking after the insurance needs of farmers, consumers and business owners. E</w:t>
      </w:r>
      <w:r w:rsidR="00D307FA" w:rsidRPr="00341B52">
        <w:rPr>
          <w:rFonts w:cs="Arial"/>
          <w:color w:val="000000"/>
          <w:sz w:val="24"/>
          <w:szCs w:val="24"/>
          <w:lang w:val="en-US"/>
        </w:rPr>
        <w:t xml:space="preserve">stablished in the 1960s </w:t>
      </w:r>
      <w:r>
        <w:rPr>
          <w:rFonts w:cs="Arial"/>
          <w:color w:val="000000"/>
          <w:sz w:val="24"/>
          <w:szCs w:val="24"/>
          <w:lang w:val="en-US"/>
        </w:rPr>
        <w:t>by farmers for farmers, FBD has built on those roots in agriculture to become a leading general insurer serving the needs of its direct agricultural, small business and consumer customers throughout Ireland. It has a network of 34 branches nationwide</w:t>
      </w:r>
      <w:r w:rsidR="00D307FA" w:rsidRPr="00341B52">
        <w:rPr>
          <w:rFonts w:cs="Arial"/>
          <w:color w:val="000000"/>
          <w:sz w:val="24"/>
          <w:szCs w:val="24"/>
          <w:lang w:val="en-US"/>
        </w:rPr>
        <w:t xml:space="preserve">. </w:t>
      </w:r>
    </w:p>
    <w:p w14:paraId="58B75F0B" w14:textId="77777777" w:rsidR="00341B52" w:rsidRPr="00341B52" w:rsidRDefault="00341B52" w:rsidP="00D307FA">
      <w:pPr>
        <w:spacing w:after="0" w:line="240" w:lineRule="auto"/>
        <w:jc w:val="both"/>
        <w:rPr>
          <w:rFonts w:cs="Arial"/>
          <w:color w:val="000000"/>
          <w:sz w:val="24"/>
          <w:szCs w:val="24"/>
          <w:lang w:val="en-US"/>
        </w:rPr>
      </w:pPr>
    </w:p>
    <w:p w14:paraId="0DC61712" w14:textId="77777777" w:rsidR="00D307FA" w:rsidRPr="00341B52" w:rsidRDefault="00D307FA" w:rsidP="00D307FA">
      <w:pPr>
        <w:spacing w:after="0" w:line="240" w:lineRule="auto"/>
        <w:jc w:val="both"/>
        <w:rPr>
          <w:rFonts w:cs="Arial"/>
          <w:b/>
          <w:bCs/>
          <w:color w:val="000000"/>
          <w:sz w:val="24"/>
          <w:szCs w:val="24"/>
          <w:lang w:val="en-US"/>
        </w:rPr>
      </w:pPr>
      <w:r w:rsidRPr="00341B52">
        <w:rPr>
          <w:rFonts w:cs="Arial"/>
          <w:b/>
          <w:bCs/>
          <w:color w:val="000000"/>
          <w:sz w:val="24"/>
          <w:szCs w:val="24"/>
          <w:lang w:val="en-US"/>
        </w:rPr>
        <w:t>Forward Looking Statements</w:t>
      </w:r>
    </w:p>
    <w:p w14:paraId="036FBA80" w14:textId="77777777" w:rsidR="00D307FA" w:rsidRPr="00341B52" w:rsidRDefault="00D307FA" w:rsidP="00D307FA">
      <w:pPr>
        <w:spacing w:after="0" w:line="240" w:lineRule="auto"/>
        <w:jc w:val="both"/>
        <w:rPr>
          <w:rFonts w:cs="Arial"/>
          <w:color w:val="000000"/>
          <w:sz w:val="24"/>
          <w:szCs w:val="24"/>
          <w:lang w:val="en-US"/>
        </w:rPr>
      </w:pPr>
      <w:r w:rsidRPr="00D307FA">
        <w:rPr>
          <w:rFonts w:cs="Arial"/>
          <w:sz w:val="24"/>
          <w:szCs w:val="24"/>
          <w:lang w:val="en-US"/>
        </w:rPr>
        <w:t xml:space="preserve">Some statements in this announcement are forward-looking.  They represent expectations for the Group's business, and involve risks and uncertainties.  These forward-looking statements are based on current expectations and projections about future events.  The Group believes that current expectations and assumptions with respect to these forward-looking statements are reasonable.  However, because they involve known and unknown risks, uncertainties and other factors, which are in some cases beyond the Group's control, actual results or performance may differ materially from </w:t>
      </w:r>
      <w:r w:rsidRPr="00341B52">
        <w:rPr>
          <w:rFonts w:cs="Arial"/>
          <w:color w:val="000000"/>
          <w:sz w:val="24"/>
          <w:szCs w:val="24"/>
          <w:lang w:val="en-US"/>
        </w:rPr>
        <w:t xml:space="preserve">those expressed or implied by such forward-looking statements. </w:t>
      </w:r>
    </w:p>
    <w:p w14:paraId="70527360" w14:textId="77777777" w:rsidR="00D307FA" w:rsidRPr="00341B52" w:rsidRDefault="00D307FA" w:rsidP="00D307FA">
      <w:pPr>
        <w:spacing w:after="0" w:line="240" w:lineRule="auto"/>
        <w:jc w:val="both"/>
        <w:rPr>
          <w:rFonts w:cs="Arial"/>
          <w:color w:val="000000"/>
          <w:sz w:val="24"/>
          <w:szCs w:val="24"/>
          <w:lang w:val="en-US"/>
        </w:rPr>
      </w:pPr>
    </w:p>
    <w:p w14:paraId="26211087" w14:textId="77777777" w:rsidR="00D307FA" w:rsidRPr="00341B52" w:rsidRDefault="00D307FA" w:rsidP="00D307FA">
      <w:pPr>
        <w:spacing w:after="0" w:line="240" w:lineRule="auto"/>
        <w:jc w:val="both"/>
        <w:rPr>
          <w:rFonts w:cs="Arial"/>
          <w:color w:val="000000"/>
          <w:sz w:val="24"/>
          <w:szCs w:val="24"/>
          <w:lang w:val="en-US"/>
        </w:rPr>
      </w:pPr>
      <w:r w:rsidRPr="00341B52">
        <w:rPr>
          <w:rFonts w:cs="Arial"/>
          <w:color w:val="000000"/>
          <w:sz w:val="24"/>
          <w:szCs w:val="24"/>
          <w:lang w:val="en-US"/>
        </w:rPr>
        <w:t>The following details relate to FBD's ordinary shares of €0.60 each which are publicly traded:</w:t>
      </w:r>
    </w:p>
    <w:tbl>
      <w:tblPr>
        <w:tblW w:w="9645" w:type="dxa"/>
        <w:tblInd w:w="-34" w:type="dxa"/>
        <w:tblCellMar>
          <w:left w:w="0" w:type="dxa"/>
          <w:right w:w="0" w:type="dxa"/>
        </w:tblCellMar>
        <w:tblLook w:val="04A0" w:firstRow="1" w:lastRow="0" w:firstColumn="1" w:lastColumn="0" w:noHBand="0" w:noVBand="1"/>
      </w:tblPr>
      <w:tblGrid>
        <w:gridCol w:w="3046"/>
        <w:gridCol w:w="3165"/>
        <w:gridCol w:w="3434"/>
      </w:tblGrid>
      <w:tr w:rsidR="00D307FA" w:rsidRPr="00D307FA" w14:paraId="4F992929" w14:textId="77777777" w:rsidTr="00341B52">
        <w:tc>
          <w:tcPr>
            <w:tcW w:w="3046" w:type="dxa"/>
            <w:tcMar>
              <w:top w:w="0" w:type="dxa"/>
              <w:left w:w="108" w:type="dxa"/>
              <w:bottom w:w="0" w:type="dxa"/>
              <w:right w:w="108" w:type="dxa"/>
            </w:tcMar>
            <w:hideMark/>
          </w:tcPr>
          <w:p w14:paraId="27160D9B"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Listing</w:t>
            </w:r>
          </w:p>
        </w:tc>
        <w:tc>
          <w:tcPr>
            <w:tcW w:w="3165" w:type="dxa"/>
            <w:tcMar>
              <w:top w:w="0" w:type="dxa"/>
              <w:left w:w="108" w:type="dxa"/>
              <w:bottom w:w="0" w:type="dxa"/>
              <w:right w:w="108" w:type="dxa"/>
            </w:tcMar>
            <w:hideMark/>
          </w:tcPr>
          <w:p w14:paraId="1414ACA2" w14:textId="77777777" w:rsidR="00D307FA" w:rsidRPr="00D307FA" w:rsidRDefault="004B052D" w:rsidP="004B052D">
            <w:pPr>
              <w:spacing w:after="0" w:line="240" w:lineRule="auto"/>
              <w:ind w:left="142"/>
              <w:rPr>
                <w:rFonts w:cs="Arial"/>
                <w:sz w:val="24"/>
                <w:szCs w:val="24"/>
                <w:lang w:val="en-US"/>
              </w:rPr>
            </w:pPr>
            <w:r>
              <w:rPr>
                <w:rFonts w:cs="Arial"/>
                <w:sz w:val="24"/>
                <w:szCs w:val="24"/>
                <w:lang w:val="en-US"/>
              </w:rPr>
              <w:t>Euronext Dublin</w:t>
            </w:r>
          </w:p>
        </w:tc>
        <w:tc>
          <w:tcPr>
            <w:tcW w:w="3434" w:type="dxa"/>
            <w:tcMar>
              <w:top w:w="0" w:type="dxa"/>
              <w:left w:w="108" w:type="dxa"/>
              <w:bottom w:w="0" w:type="dxa"/>
              <w:right w:w="108" w:type="dxa"/>
            </w:tcMar>
            <w:hideMark/>
          </w:tcPr>
          <w:p w14:paraId="782F749A"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UK Listing Authority</w:t>
            </w:r>
          </w:p>
        </w:tc>
      </w:tr>
      <w:tr w:rsidR="00D307FA" w:rsidRPr="00D307FA" w14:paraId="3F667E33" w14:textId="77777777" w:rsidTr="00341B52">
        <w:tc>
          <w:tcPr>
            <w:tcW w:w="3046" w:type="dxa"/>
            <w:tcMar>
              <w:top w:w="0" w:type="dxa"/>
              <w:left w:w="108" w:type="dxa"/>
              <w:bottom w:w="0" w:type="dxa"/>
              <w:right w:w="108" w:type="dxa"/>
            </w:tcMar>
            <w:hideMark/>
          </w:tcPr>
          <w:p w14:paraId="41CCF56B"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Listing Category</w:t>
            </w:r>
          </w:p>
        </w:tc>
        <w:tc>
          <w:tcPr>
            <w:tcW w:w="3165" w:type="dxa"/>
            <w:tcMar>
              <w:top w:w="0" w:type="dxa"/>
              <w:left w:w="108" w:type="dxa"/>
              <w:bottom w:w="0" w:type="dxa"/>
              <w:right w:w="108" w:type="dxa"/>
            </w:tcMar>
            <w:hideMark/>
          </w:tcPr>
          <w:p w14:paraId="6EEFD672"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Premium</w:t>
            </w:r>
          </w:p>
        </w:tc>
        <w:tc>
          <w:tcPr>
            <w:tcW w:w="3434" w:type="dxa"/>
            <w:tcMar>
              <w:top w:w="0" w:type="dxa"/>
              <w:left w:w="108" w:type="dxa"/>
              <w:bottom w:w="0" w:type="dxa"/>
              <w:right w:w="108" w:type="dxa"/>
            </w:tcMar>
            <w:hideMark/>
          </w:tcPr>
          <w:p w14:paraId="0202C5AF"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Premium (Equity)</w:t>
            </w:r>
          </w:p>
        </w:tc>
      </w:tr>
      <w:tr w:rsidR="00D307FA" w:rsidRPr="00D307FA" w14:paraId="6B8B1D8E" w14:textId="77777777" w:rsidTr="00341B52">
        <w:tc>
          <w:tcPr>
            <w:tcW w:w="3046" w:type="dxa"/>
            <w:tcMar>
              <w:top w:w="0" w:type="dxa"/>
              <w:left w:w="108" w:type="dxa"/>
              <w:bottom w:w="0" w:type="dxa"/>
              <w:right w:w="108" w:type="dxa"/>
            </w:tcMar>
            <w:hideMark/>
          </w:tcPr>
          <w:p w14:paraId="5A044A23"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Trading Venue</w:t>
            </w:r>
          </w:p>
        </w:tc>
        <w:tc>
          <w:tcPr>
            <w:tcW w:w="3165" w:type="dxa"/>
            <w:tcMar>
              <w:top w:w="0" w:type="dxa"/>
              <w:left w:w="108" w:type="dxa"/>
              <w:bottom w:w="0" w:type="dxa"/>
              <w:right w:w="108" w:type="dxa"/>
            </w:tcMar>
            <w:hideMark/>
          </w:tcPr>
          <w:p w14:paraId="719D08DD" w14:textId="77777777" w:rsidR="00D307FA" w:rsidRPr="00D307FA" w:rsidRDefault="004B052D" w:rsidP="004B052D">
            <w:pPr>
              <w:spacing w:after="0" w:line="240" w:lineRule="auto"/>
              <w:ind w:left="142"/>
              <w:rPr>
                <w:rFonts w:cs="Arial"/>
                <w:sz w:val="24"/>
                <w:szCs w:val="24"/>
                <w:lang w:val="en-US"/>
              </w:rPr>
            </w:pPr>
            <w:r>
              <w:rPr>
                <w:rFonts w:cs="Arial"/>
                <w:sz w:val="24"/>
                <w:szCs w:val="24"/>
                <w:lang w:val="en-US"/>
              </w:rPr>
              <w:t>Euronext Dublin</w:t>
            </w:r>
          </w:p>
        </w:tc>
        <w:tc>
          <w:tcPr>
            <w:tcW w:w="3434" w:type="dxa"/>
            <w:tcMar>
              <w:top w:w="0" w:type="dxa"/>
              <w:left w:w="108" w:type="dxa"/>
              <w:bottom w:w="0" w:type="dxa"/>
              <w:right w:w="108" w:type="dxa"/>
            </w:tcMar>
            <w:hideMark/>
          </w:tcPr>
          <w:p w14:paraId="3069F28F"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London Stock Exchange</w:t>
            </w:r>
          </w:p>
        </w:tc>
      </w:tr>
      <w:tr w:rsidR="00D307FA" w:rsidRPr="00D307FA" w14:paraId="7E9D14FB" w14:textId="77777777" w:rsidTr="00341B52">
        <w:tc>
          <w:tcPr>
            <w:tcW w:w="3046" w:type="dxa"/>
            <w:tcMar>
              <w:top w:w="0" w:type="dxa"/>
              <w:left w:w="108" w:type="dxa"/>
              <w:bottom w:w="0" w:type="dxa"/>
              <w:right w:w="108" w:type="dxa"/>
            </w:tcMar>
            <w:hideMark/>
          </w:tcPr>
          <w:p w14:paraId="52F9C6F9"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Market</w:t>
            </w:r>
          </w:p>
        </w:tc>
        <w:tc>
          <w:tcPr>
            <w:tcW w:w="3165" w:type="dxa"/>
            <w:tcMar>
              <w:top w:w="0" w:type="dxa"/>
              <w:left w:w="108" w:type="dxa"/>
              <w:bottom w:w="0" w:type="dxa"/>
              <w:right w:w="108" w:type="dxa"/>
            </w:tcMar>
            <w:hideMark/>
          </w:tcPr>
          <w:p w14:paraId="535317FF"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Main Securities Market</w:t>
            </w:r>
          </w:p>
        </w:tc>
        <w:tc>
          <w:tcPr>
            <w:tcW w:w="3434" w:type="dxa"/>
            <w:tcMar>
              <w:top w:w="0" w:type="dxa"/>
              <w:left w:w="108" w:type="dxa"/>
              <w:bottom w:w="0" w:type="dxa"/>
              <w:right w:w="108" w:type="dxa"/>
            </w:tcMar>
            <w:hideMark/>
          </w:tcPr>
          <w:p w14:paraId="35CC6DCD"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Main Market</w:t>
            </w:r>
          </w:p>
        </w:tc>
      </w:tr>
      <w:tr w:rsidR="00D307FA" w:rsidRPr="00D307FA" w14:paraId="15DA06EC" w14:textId="77777777" w:rsidTr="00341B52">
        <w:tc>
          <w:tcPr>
            <w:tcW w:w="3046" w:type="dxa"/>
            <w:tcMar>
              <w:top w:w="0" w:type="dxa"/>
              <w:left w:w="108" w:type="dxa"/>
              <w:bottom w:w="0" w:type="dxa"/>
              <w:right w:w="108" w:type="dxa"/>
            </w:tcMar>
            <w:hideMark/>
          </w:tcPr>
          <w:p w14:paraId="6B3AD445"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ISIN</w:t>
            </w:r>
          </w:p>
        </w:tc>
        <w:tc>
          <w:tcPr>
            <w:tcW w:w="3165" w:type="dxa"/>
            <w:tcMar>
              <w:top w:w="0" w:type="dxa"/>
              <w:left w:w="108" w:type="dxa"/>
              <w:bottom w:w="0" w:type="dxa"/>
              <w:right w:w="108" w:type="dxa"/>
            </w:tcMar>
            <w:hideMark/>
          </w:tcPr>
          <w:p w14:paraId="4AEE5B45"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IE0003290289</w:t>
            </w:r>
          </w:p>
        </w:tc>
        <w:tc>
          <w:tcPr>
            <w:tcW w:w="3434" w:type="dxa"/>
            <w:tcMar>
              <w:top w:w="0" w:type="dxa"/>
              <w:left w:w="108" w:type="dxa"/>
              <w:bottom w:w="0" w:type="dxa"/>
              <w:right w:w="108" w:type="dxa"/>
            </w:tcMar>
            <w:hideMark/>
          </w:tcPr>
          <w:p w14:paraId="353037D0"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IE0003290289</w:t>
            </w:r>
          </w:p>
        </w:tc>
      </w:tr>
      <w:tr w:rsidR="00D307FA" w:rsidRPr="00D307FA" w14:paraId="568144E4" w14:textId="77777777" w:rsidTr="00341B52">
        <w:tc>
          <w:tcPr>
            <w:tcW w:w="3046" w:type="dxa"/>
            <w:tcMar>
              <w:top w:w="0" w:type="dxa"/>
              <w:left w:w="108" w:type="dxa"/>
              <w:bottom w:w="0" w:type="dxa"/>
              <w:right w:w="108" w:type="dxa"/>
            </w:tcMar>
            <w:hideMark/>
          </w:tcPr>
          <w:p w14:paraId="684855D6"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Ticker</w:t>
            </w:r>
          </w:p>
        </w:tc>
        <w:tc>
          <w:tcPr>
            <w:tcW w:w="3165" w:type="dxa"/>
            <w:tcMar>
              <w:top w:w="0" w:type="dxa"/>
              <w:left w:w="108" w:type="dxa"/>
              <w:bottom w:w="0" w:type="dxa"/>
              <w:right w:w="108" w:type="dxa"/>
            </w:tcMar>
            <w:hideMark/>
          </w:tcPr>
          <w:p w14:paraId="3A11E53C"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FBD.I or EG7.IR</w:t>
            </w:r>
          </w:p>
        </w:tc>
        <w:tc>
          <w:tcPr>
            <w:tcW w:w="3434" w:type="dxa"/>
            <w:tcMar>
              <w:top w:w="0" w:type="dxa"/>
              <w:left w:w="108" w:type="dxa"/>
              <w:bottom w:w="0" w:type="dxa"/>
              <w:right w:w="108" w:type="dxa"/>
            </w:tcMar>
            <w:hideMark/>
          </w:tcPr>
          <w:p w14:paraId="5B93F740" w14:textId="77777777"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FBH.L</w:t>
            </w:r>
          </w:p>
        </w:tc>
      </w:tr>
    </w:tbl>
    <w:p w14:paraId="00DD059E" w14:textId="77777777" w:rsidR="00D307FA" w:rsidRPr="00D307FA" w:rsidRDefault="00D307FA" w:rsidP="00D307FA">
      <w:pPr>
        <w:spacing w:after="0" w:line="240" w:lineRule="auto"/>
        <w:jc w:val="center"/>
        <w:rPr>
          <w:rFonts w:cs="Arial"/>
          <w:sz w:val="24"/>
          <w:szCs w:val="24"/>
          <w:lang w:val="en-US"/>
        </w:rPr>
      </w:pPr>
      <w:r w:rsidRPr="00D307FA">
        <w:rPr>
          <w:rFonts w:cs="Arial"/>
          <w:sz w:val="24"/>
          <w:szCs w:val="24"/>
          <w:lang w:val="en-US"/>
        </w:rPr>
        <w:br/>
        <w:t>FBD Holdings plc, FBD House, Bluebell, Dublin 12</w:t>
      </w:r>
      <w:r w:rsidRPr="00D307FA">
        <w:rPr>
          <w:rFonts w:cs="Arial"/>
          <w:sz w:val="24"/>
          <w:szCs w:val="24"/>
          <w:lang w:val="en-US"/>
        </w:rPr>
        <w:br/>
        <w:t>Registered in Dublin, Ireland Registered Number 135882</w:t>
      </w:r>
    </w:p>
    <w:p w14:paraId="3A2D2C55" w14:textId="77777777" w:rsidR="00140146" w:rsidRPr="00341B52" w:rsidRDefault="00140146">
      <w:pPr>
        <w:rPr>
          <w:sz w:val="24"/>
          <w:szCs w:val="24"/>
        </w:rPr>
      </w:pPr>
    </w:p>
    <w:sectPr w:rsidR="00140146" w:rsidRPr="00341B52" w:rsidSect="00341B52">
      <w:headerReference w:type="even" r:id="rId7"/>
      <w:headerReference w:type="default" r:id="rId8"/>
      <w:headerReference w:type="first" r:id="rId9"/>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8346C" w14:textId="77777777" w:rsidR="00297BF7" w:rsidRDefault="00297BF7">
      <w:pPr>
        <w:spacing w:after="0" w:line="240" w:lineRule="auto"/>
      </w:pPr>
      <w:r>
        <w:separator/>
      </w:r>
    </w:p>
  </w:endnote>
  <w:endnote w:type="continuationSeparator" w:id="0">
    <w:p w14:paraId="5352F9AD" w14:textId="77777777" w:rsidR="00297BF7" w:rsidRDefault="00297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7E5A3" w14:textId="77777777" w:rsidR="00297BF7" w:rsidRDefault="00297BF7">
      <w:pPr>
        <w:spacing w:after="0" w:line="240" w:lineRule="auto"/>
      </w:pPr>
      <w:r>
        <w:separator/>
      </w:r>
    </w:p>
  </w:footnote>
  <w:footnote w:type="continuationSeparator" w:id="0">
    <w:p w14:paraId="4926E105" w14:textId="77777777" w:rsidR="00297BF7" w:rsidRDefault="00297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E6AA2" w14:textId="342CA375" w:rsidR="00B875DB" w:rsidRDefault="00B875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2E877" w14:textId="2F878C28" w:rsidR="00B26F9E" w:rsidRDefault="00B26F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1FDF9" w14:textId="365D4BAB" w:rsidR="00B875DB" w:rsidRDefault="00B875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F36374B"/>
    <w:multiLevelType w:val="hybridMultilevel"/>
    <w:tmpl w:val="1CBA93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7FA"/>
    <w:rsid w:val="00000010"/>
    <w:rsid w:val="00025EC2"/>
    <w:rsid w:val="00037E64"/>
    <w:rsid w:val="00042EFC"/>
    <w:rsid w:val="0005642F"/>
    <w:rsid w:val="000903C0"/>
    <w:rsid w:val="000A4961"/>
    <w:rsid w:val="000D227A"/>
    <w:rsid w:val="000F2FAF"/>
    <w:rsid w:val="000F6704"/>
    <w:rsid w:val="00122B42"/>
    <w:rsid w:val="00125FA0"/>
    <w:rsid w:val="00133B72"/>
    <w:rsid w:val="00140146"/>
    <w:rsid w:val="001403BF"/>
    <w:rsid w:val="00164F06"/>
    <w:rsid w:val="00172E96"/>
    <w:rsid w:val="00173237"/>
    <w:rsid w:val="001750E2"/>
    <w:rsid w:val="00196004"/>
    <w:rsid w:val="0019743B"/>
    <w:rsid w:val="001B02CF"/>
    <w:rsid w:val="001C24BB"/>
    <w:rsid w:val="001C7185"/>
    <w:rsid w:val="001E2E80"/>
    <w:rsid w:val="001F56D4"/>
    <w:rsid w:val="001F7A31"/>
    <w:rsid w:val="002315A6"/>
    <w:rsid w:val="00247066"/>
    <w:rsid w:val="002570ED"/>
    <w:rsid w:val="00266A2C"/>
    <w:rsid w:val="0027298D"/>
    <w:rsid w:val="0029509A"/>
    <w:rsid w:val="00297BF7"/>
    <w:rsid w:val="002A0028"/>
    <w:rsid w:val="002B4D85"/>
    <w:rsid w:val="002E4BAD"/>
    <w:rsid w:val="002E6658"/>
    <w:rsid w:val="002F5A81"/>
    <w:rsid w:val="00302B49"/>
    <w:rsid w:val="00320906"/>
    <w:rsid w:val="00325278"/>
    <w:rsid w:val="00341B52"/>
    <w:rsid w:val="00350991"/>
    <w:rsid w:val="00355334"/>
    <w:rsid w:val="00373B39"/>
    <w:rsid w:val="00381180"/>
    <w:rsid w:val="0038500C"/>
    <w:rsid w:val="003A56BC"/>
    <w:rsid w:val="003F3D58"/>
    <w:rsid w:val="004014C4"/>
    <w:rsid w:val="004070CB"/>
    <w:rsid w:val="00433890"/>
    <w:rsid w:val="0043452C"/>
    <w:rsid w:val="00440B66"/>
    <w:rsid w:val="00455292"/>
    <w:rsid w:val="0048117A"/>
    <w:rsid w:val="00497E53"/>
    <w:rsid w:val="004B052D"/>
    <w:rsid w:val="004D7EDB"/>
    <w:rsid w:val="004F0E28"/>
    <w:rsid w:val="00500710"/>
    <w:rsid w:val="005307E1"/>
    <w:rsid w:val="00542533"/>
    <w:rsid w:val="00542FE5"/>
    <w:rsid w:val="005515B4"/>
    <w:rsid w:val="00552A07"/>
    <w:rsid w:val="00564EA4"/>
    <w:rsid w:val="0056530D"/>
    <w:rsid w:val="005A40A4"/>
    <w:rsid w:val="005A57F7"/>
    <w:rsid w:val="005C372B"/>
    <w:rsid w:val="0061248C"/>
    <w:rsid w:val="006221D4"/>
    <w:rsid w:val="00623E5A"/>
    <w:rsid w:val="00633D01"/>
    <w:rsid w:val="00636DA3"/>
    <w:rsid w:val="0063722E"/>
    <w:rsid w:val="00662747"/>
    <w:rsid w:val="00665BBB"/>
    <w:rsid w:val="006772D5"/>
    <w:rsid w:val="0068483B"/>
    <w:rsid w:val="006E3B07"/>
    <w:rsid w:val="006E513F"/>
    <w:rsid w:val="00722A20"/>
    <w:rsid w:val="0073101D"/>
    <w:rsid w:val="00741804"/>
    <w:rsid w:val="00750E8C"/>
    <w:rsid w:val="00755560"/>
    <w:rsid w:val="00764935"/>
    <w:rsid w:val="00766A85"/>
    <w:rsid w:val="00777DB6"/>
    <w:rsid w:val="00786820"/>
    <w:rsid w:val="00786E99"/>
    <w:rsid w:val="00792E5F"/>
    <w:rsid w:val="00794082"/>
    <w:rsid w:val="00796F41"/>
    <w:rsid w:val="007C7482"/>
    <w:rsid w:val="007D7600"/>
    <w:rsid w:val="007E065D"/>
    <w:rsid w:val="007E6F36"/>
    <w:rsid w:val="007E7E50"/>
    <w:rsid w:val="008013F6"/>
    <w:rsid w:val="00801F11"/>
    <w:rsid w:val="00823CA4"/>
    <w:rsid w:val="00832ADC"/>
    <w:rsid w:val="0084268E"/>
    <w:rsid w:val="008462E5"/>
    <w:rsid w:val="00855D5B"/>
    <w:rsid w:val="00867D0A"/>
    <w:rsid w:val="00891DD7"/>
    <w:rsid w:val="008B398C"/>
    <w:rsid w:val="008D3C2A"/>
    <w:rsid w:val="008F3E8F"/>
    <w:rsid w:val="009436EC"/>
    <w:rsid w:val="00961B8B"/>
    <w:rsid w:val="00973FFF"/>
    <w:rsid w:val="009A23E6"/>
    <w:rsid w:val="009C0D1C"/>
    <w:rsid w:val="009E2999"/>
    <w:rsid w:val="009F3085"/>
    <w:rsid w:val="00A00086"/>
    <w:rsid w:val="00A06D86"/>
    <w:rsid w:val="00A137EB"/>
    <w:rsid w:val="00A53D68"/>
    <w:rsid w:val="00A60272"/>
    <w:rsid w:val="00A61C6F"/>
    <w:rsid w:val="00A62E6D"/>
    <w:rsid w:val="00A667AA"/>
    <w:rsid w:val="00A710CF"/>
    <w:rsid w:val="00A80BF7"/>
    <w:rsid w:val="00AC3A60"/>
    <w:rsid w:val="00AC4CE5"/>
    <w:rsid w:val="00AE15B4"/>
    <w:rsid w:val="00AE1790"/>
    <w:rsid w:val="00AE322B"/>
    <w:rsid w:val="00AF698A"/>
    <w:rsid w:val="00B104A0"/>
    <w:rsid w:val="00B1639D"/>
    <w:rsid w:val="00B2586E"/>
    <w:rsid w:val="00B26F9E"/>
    <w:rsid w:val="00B37C83"/>
    <w:rsid w:val="00B74710"/>
    <w:rsid w:val="00B875DB"/>
    <w:rsid w:val="00BA6B16"/>
    <w:rsid w:val="00BB6620"/>
    <w:rsid w:val="00BD448C"/>
    <w:rsid w:val="00BD67BC"/>
    <w:rsid w:val="00BE5A0B"/>
    <w:rsid w:val="00C00D45"/>
    <w:rsid w:val="00C234F9"/>
    <w:rsid w:val="00C32EB3"/>
    <w:rsid w:val="00C8220C"/>
    <w:rsid w:val="00C945DD"/>
    <w:rsid w:val="00CE356B"/>
    <w:rsid w:val="00CE5E26"/>
    <w:rsid w:val="00CE5E2B"/>
    <w:rsid w:val="00CE78E5"/>
    <w:rsid w:val="00CF6FA9"/>
    <w:rsid w:val="00D11492"/>
    <w:rsid w:val="00D227E5"/>
    <w:rsid w:val="00D307FA"/>
    <w:rsid w:val="00D3744C"/>
    <w:rsid w:val="00D54039"/>
    <w:rsid w:val="00D609E9"/>
    <w:rsid w:val="00D9579E"/>
    <w:rsid w:val="00DA79C4"/>
    <w:rsid w:val="00E5340B"/>
    <w:rsid w:val="00E61229"/>
    <w:rsid w:val="00E67F59"/>
    <w:rsid w:val="00E7470B"/>
    <w:rsid w:val="00EB60D1"/>
    <w:rsid w:val="00EC0812"/>
    <w:rsid w:val="00ED14FA"/>
    <w:rsid w:val="00EF4686"/>
    <w:rsid w:val="00F01717"/>
    <w:rsid w:val="00F103B4"/>
    <w:rsid w:val="00F37F24"/>
    <w:rsid w:val="00F51C36"/>
    <w:rsid w:val="00F555D2"/>
    <w:rsid w:val="00F70064"/>
    <w:rsid w:val="00F83EC6"/>
    <w:rsid w:val="00F9213D"/>
    <w:rsid w:val="00FA5B85"/>
    <w:rsid w:val="00FC3021"/>
    <w:rsid w:val="00FD2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05F6A4"/>
  <w15:docId w15:val="{1FC8A46F-D6A6-446D-821E-D0AA6760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7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7FA"/>
  </w:style>
  <w:style w:type="paragraph" w:styleId="BalloonText">
    <w:name w:val="Balloon Text"/>
    <w:basedOn w:val="Normal"/>
    <w:link w:val="BalloonTextChar"/>
    <w:uiPriority w:val="99"/>
    <w:semiHidden/>
    <w:unhideWhenUsed/>
    <w:rsid w:val="00AE1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790"/>
    <w:rPr>
      <w:rFonts w:ascii="Tahoma" w:hAnsi="Tahoma" w:cs="Tahoma"/>
      <w:sz w:val="16"/>
      <w:szCs w:val="16"/>
    </w:rPr>
  </w:style>
  <w:style w:type="paragraph" w:styleId="NoSpacing">
    <w:name w:val="No Spacing"/>
    <w:uiPriority w:val="1"/>
    <w:qFormat/>
    <w:rsid w:val="00C32EB3"/>
    <w:pPr>
      <w:spacing w:after="0" w:line="240" w:lineRule="auto"/>
    </w:pPr>
    <w:rPr>
      <w:lang w:val="en-US"/>
    </w:rPr>
  </w:style>
  <w:style w:type="character" w:customStyle="1" w:styleId="aq">
    <w:name w:val="aq"/>
    <w:basedOn w:val="DefaultParagraphFont"/>
    <w:rsid w:val="00C00D45"/>
  </w:style>
  <w:style w:type="character" w:customStyle="1" w:styleId="an">
    <w:name w:val="an"/>
    <w:basedOn w:val="DefaultParagraphFont"/>
    <w:rsid w:val="00C00D45"/>
  </w:style>
  <w:style w:type="paragraph" w:styleId="Footer">
    <w:name w:val="footer"/>
    <w:basedOn w:val="Normal"/>
    <w:link w:val="FooterChar"/>
    <w:uiPriority w:val="99"/>
    <w:unhideWhenUsed/>
    <w:rsid w:val="00B875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75DB"/>
  </w:style>
  <w:style w:type="paragraph" w:customStyle="1" w:styleId="Default">
    <w:name w:val="Default"/>
    <w:rsid w:val="002315A6"/>
    <w:pPr>
      <w:autoSpaceDE w:val="0"/>
      <w:autoSpaceDN w:val="0"/>
      <w:adjustRightInd w:val="0"/>
      <w:spacing w:after="0" w:line="240" w:lineRule="auto"/>
    </w:pPr>
    <w:rPr>
      <w:rFonts w:ascii="Calibri" w:hAnsi="Calibri" w:cs="Calibri"/>
      <w:color w:val="000000"/>
      <w:sz w:val="24"/>
      <w:szCs w:val="24"/>
      <w:lang w:val="en-IE"/>
    </w:rPr>
  </w:style>
  <w:style w:type="paragraph" w:styleId="Revision">
    <w:name w:val="Revision"/>
    <w:hidden/>
    <w:uiPriority w:val="99"/>
    <w:semiHidden/>
    <w:rsid w:val="002470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578060">
      <w:bodyDiv w:val="1"/>
      <w:marLeft w:val="0"/>
      <w:marRight w:val="0"/>
      <w:marTop w:val="0"/>
      <w:marBottom w:val="0"/>
      <w:divBdr>
        <w:top w:val="none" w:sz="0" w:space="0" w:color="auto"/>
        <w:left w:val="none" w:sz="0" w:space="0" w:color="auto"/>
        <w:bottom w:val="none" w:sz="0" w:space="0" w:color="auto"/>
        <w:right w:val="none" w:sz="0" w:space="0" w:color="auto"/>
      </w:divBdr>
    </w:div>
    <w:div w:id="846866939">
      <w:bodyDiv w:val="1"/>
      <w:marLeft w:val="0"/>
      <w:marRight w:val="0"/>
      <w:marTop w:val="0"/>
      <w:marBottom w:val="0"/>
      <w:divBdr>
        <w:top w:val="none" w:sz="0" w:space="0" w:color="auto"/>
        <w:left w:val="none" w:sz="0" w:space="0" w:color="auto"/>
        <w:bottom w:val="none" w:sz="0" w:space="0" w:color="auto"/>
        <w:right w:val="none" w:sz="0" w:space="0" w:color="auto"/>
      </w:divBdr>
    </w:div>
    <w:div w:id="1585723840">
      <w:bodyDiv w:val="1"/>
      <w:marLeft w:val="0"/>
      <w:marRight w:val="0"/>
      <w:marTop w:val="0"/>
      <w:marBottom w:val="0"/>
      <w:divBdr>
        <w:top w:val="none" w:sz="0" w:space="0" w:color="auto"/>
        <w:left w:val="none" w:sz="0" w:space="0" w:color="auto"/>
        <w:bottom w:val="none" w:sz="0" w:space="0" w:color="auto"/>
        <w:right w:val="none" w:sz="0" w:space="0" w:color="auto"/>
      </w:divBdr>
    </w:div>
    <w:div w:id="213124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2022-10-28T15:28:48+00:00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6A421E1A-2E9A-4CF5-BE29-59ED0374F0CD}"/>
</file>

<file path=customXml/itemProps2.xml><?xml version="1.0" encoding="utf-8"?>
<ds:datastoreItem xmlns:ds="http://schemas.openxmlformats.org/officeDocument/2006/customXml" ds:itemID="{29C190E3-6244-422D-AB05-B377EC5263B9}"/>
</file>

<file path=customXml/itemProps3.xml><?xml version="1.0" encoding="utf-8"?>
<ds:datastoreItem xmlns:ds="http://schemas.openxmlformats.org/officeDocument/2006/customXml" ds:itemID="{27E5C99E-B141-4F58-AC67-D992D522128F}"/>
</file>

<file path=docProps/app.xml><?xml version="1.0" encoding="utf-8"?>
<Properties xmlns="http://schemas.openxmlformats.org/officeDocument/2006/extended-properties" xmlns:vt="http://schemas.openxmlformats.org/officeDocument/2006/docPropsVTypes">
  <Template>Normal</Template>
  <TotalTime>175</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Higgins</dc:creator>
  <cp:lastModifiedBy>Nadine Conlon</cp:lastModifiedBy>
  <cp:revision>16</cp:revision>
  <cp:lastPrinted>2022-01-28T10:42:00Z</cp:lastPrinted>
  <dcterms:created xsi:type="dcterms:W3CDTF">2022-10-28T09:50:00Z</dcterms:created>
  <dcterms:modified xsi:type="dcterms:W3CDTF">2022-10-28T14:48:00Z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184893800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y fmtid="{D5CDD505-2E9C-101B-9397-08002B2CF9AE}" pid="13" name="MediaServiceImageTags">
    <vt:lpwstr/>
  </property>
</Properties>
</file>