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3035" w:rsidRPr="001356C4" w:rsidRDefault="00B23035" w:rsidP="00B23035">
      <w:pPr>
        <w:rPr>
          <w:rFonts w:asciiTheme="minorHAnsi" w:hAnsiTheme="minorHAnsi" w:cstheme="minorHAnsi"/>
          <w:b/>
          <w:kern w:val="0"/>
          <w:lang w:val="en-IE"/>
        </w:rPr>
      </w:pPr>
      <w:r w:rsidRPr="001356C4">
        <w:rPr>
          <w:rFonts w:asciiTheme="minorHAnsi" w:hAnsiTheme="minorHAnsi" w:cstheme="minorHAnsi"/>
          <w:b/>
          <w:kern w:val="0"/>
          <w:lang w:val="en-IE"/>
        </w:rPr>
        <w:t>FBD Holdings plc</w:t>
      </w:r>
    </w:p>
    <w:p w:rsidR="00B23035" w:rsidRDefault="00FC1240" w:rsidP="00B23035">
      <w:pPr>
        <w:rPr>
          <w:rFonts w:asciiTheme="minorHAnsi" w:hAnsiTheme="minorHAnsi" w:cstheme="minorHAnsi"/>
          <w:b/>
          <w:kern w:val="0"/>
          <w:lang w:val="en-IE"/>
        </w:rPr>
      </w:pPr>
      <w:r>
        <w:rPr>
          <w:rFonts w:asciiTheme="minorHAnsi" w:hAnsiTheme="minorHAnsi" w:cstheme="minorHAnsi"/>
          <w:b/>
          <w:kern w:val="0"/>
          <w:lang w:val="en-IE"/>
        </w:rPr>
        <w:t>9 December 2022</w:t>
      </w:r>
    </w:p>
    <w:p w:rsidR="00FC1240" w:rsidRPr="001356C4" w:rsidRDefault="00FC1240" w:rsidP="00B23035">
      <w:pPr>
        <w:rPr>
          <w:rFonts w:asciiTheme="minorHAnsi" w:hAnsiTheme="minorHAnsi" w:cstheme="minorHAnsi"/>
          <w:b/>
          <w:lang w:val="en-IE"/>
        </w:rPr>
      </w:pPr>
    </w:p>
    <w:p w:rsidR="00B23035" w:rsidRDefault="00B23035" w:rsidP="00B23035">
      <w:pPr>
        <w:rPr>
          <w:rFonts w:asciiTheme="minorHAnsi" w:hAnsiTheme="minorHAnsi" w:cstheme="minorHAnsi"/>
          <w:b/>
          <w:lang w:val="en-IE"/>
        </w:rPr>
      </w:pPr>
      <w:r w:rsidRPr="001356C4">
        <w:rPr>
          <w:rFonts w:asciiTheme="minorHAnsi" w:hAnsiTheme="minorHAnsi" w:cstheme="minorHAnsi"/>
          <w:b/>
          <w:lang w:val="en-IE"/>
        </w:rPr>
        <w:t xml:space="preserve">Update in Director </w:t>
      </w:r>
      <w:r w:rsidR="00C54CD1" w:rsidRPr="001356C4">
        <w:rPr>
          <w:rFonts w:asciiTheme="minorHAnsi" w:hAnsiTheme="minorHAnsi" w:cstheme="minorHAnsi"/>
          <w:b/>
          <w:lang w:val="en-IE"/>
        </w:rPr>
        <w:t>Role</w:t>
      </w:r>
      <w:r w:rsidR="00F446DF" w:rsidRPr="001356C4">
        <w:rPr>
          <w:rFonts w:asciiTheme="minorHAnsi" w:hAnsiTheme="minorHAnsi" w:cstheme="minorHAnsi"/>
          <w:b/>
          <w:lang w:val="en-IE"/>
        </w:rPr>
        <w:t>s</w:t>
      </w:r>
      <w:r w:rsidR="00C54CD1" w:rsidRPr="001356C4">
        <w:rPr>
          <w:rFonts w:asciiTheme="minorHAnsi" w:hAnsiTheme="minorHAnsi" w:cstheme="minorHAnsi"/>
          <w:b/>
          <w:lang w:val="en-IE"/>
        </w:rPr>
        <w:t xml:space="preserve"> and </w:t>
      </w:r>
      <w:r w:rsidRPr="001356C4">
        <w:rPr>
          <w:rFonts w:asciiTheme="minorHAnsi" w:hAnsiTheme="minorHAnsi" w:cstheme="minorHAnsi"/>
          <w:b/>
          <w:lang w:val="en-IE"/>
        </w:rPr>
        <w:t xml:space="preserve">Responsibilities </w:t>
      </w:r>
      <w:r w:rsidR="00C84B54" w:rsidRPr="001356C4">
        <w:rPr>
          <w:rFonts w:asciiTheme="minorHAnsi" w:hAnsiTheme="minorHAnsi" w:cstheme="minorHAnsi"/>
          <w:b/>
          <w:lang w:val="en-IE"/>
        </w:rPr>
        <w:t xml:space="preserve">in FBD Holdings plc </w:t>
      </w:r>
    </w:p>
    <w:p w:rsidR="00DC30E3" w:rsidRPr="001356C4" w:rsidRDefault="00DC30E3" w:rsidP="00B23035">
      <w:pPr>
        <w:rPr>
          <w:rFonts w:asciiTheme="minorHAnsi" w:hAnsiTheme="minorHAnsi" w:cstheme="minorHAnsi"/>
        </w:rPr>
      </w:pPr>
    </w:p>
    <w:p w:rsidR="00B23035" w:rsidRPr="001356C4" w:rsidRDefault="001356C4" w:rsidP="00B23035">
      <w:pPr>
        <w:jc w:val="both"/>
        <w:rPr>
          <w:rFonts w:asciiTheme="minorHAnsi" w:hAnsiTheme="minorHAnsi" w:cstheme="minorHAnsi"/>
        </w:rPr>
      </w:pPr>
      <w:r w:rsidRPr="001356C4">
        <w:rPr>
          <w:rFonts w:asciiTheme="minorHAnsi" w:hAnsiTheme="minorHAnsi" w:cstheme="minorHAnsi"/>
        </w:rPr>
        <w:t>Effective from 9 December 2022, the composition of FBD Holdings plc Board Committee</w:t>
      </w:r>
      <w:r w:rsidR="00F533E7">
        <w:rPr>
          <w:rFonts w:asciiTheme="minorHAnsi" w:hAnsiTheme="minorHAnsi" w:cstheme="minorHAnsi"/>
        </w:rPr>
        <w:t>s</w:t>
      </w:r>
      <w:r w:rsidRPr="001356C4">
        <w:rPr>
          <w:rFonts w:asciiTheme="minorHAnsi" w:hAnsiTheme="minorHAnsi" w:cstheme="minorHAnsi"/>
        </w:rPr>
        <w:t xml:space="preserve"> will be as follows:</w:t>
      </w:r>
    </w:p>
    <w:p w:rsidR="00C54CD1" w:rsidRPr="001356C4" w:rsidRDefault="00C54CD1" w:rsidP="00B23035">
      <w:pPr>
        <w:jc w:val="both"/>
        <w:rPr>
          <w:rFonts w:asciiTheme="minorHAnsi" w:hAnsiTheme="minorHAnsi" w:cstheme="minorHAnsi"/>
          <w:b/>
        </w:rPr>
      </w:pPr>
    </w:p>
    <w:p w:rsidR="00B23035" w:rsidRPr="001356C4" w:rsidRDefault="00B23035" w:rsidP="00FC1240">
      <w:pPr>
        <w:jc w:val="both"/>
        <w:rPr>
          <w:rFonts w:asciiTheme="minorHAnsi" w:hAnsiTheme="minorHAnsi" w:cstheme="minorHAnsi"/>
        </w:rPr>
      </w:pPr>
      <w:r w:rsidRPr="001356C4">
        <w:rPr>
          <w:rFonts w:asciiTheme="minorHAnsi" w:hAnsiTheme="minorHAnsi" w:cstheme="minorHAnsi"/>
          <w:b/>
        </w:rPr>
        <w:t xml:space="preserve">Risk Committee </w:t>
      </w:r>
      <w:r w:rsidR="001356C4" w:rsidRPr="001356C4">
        <w:rPr>
          <w:rFonts w:asciiTheme="minorHAnsi" w:hAnsiTheme="minorHAnsi" w:cstheme="minorHAnsi"/>
          <w:b/>
        </w:rPr>
        <w:t xml:space="preserve">- </w:t>
      </w:r>
      <w:r w:rsidRPr="001356C4">
        <w:rPr>
          <w:rFonts w:asciiTheme="minorHAnsi" w:hAnsiTheme="minorHAnsi" w:cstheme="minorHAnsi"/>
        </w:rPr>
        <w:t>Mary Brennan</w:t>
      </w:r>
      <w:r w:rsidR="001356C4" w:rsidRPr="001356C4">
        <w:rPr>
          <w:rFonts w:asciiTheme="minorHAnsi" w:hAnsiTheme="minorHAnsi" w:cstheme="minorHAnsi"/>
        </w:rPr>
        <w:t xml:space="preserve"> (Chair), </w:t>
      </w:r>
      <w:r w:rsidR="00FC1240">
        <w:rPr>
          <w:rFonts w:asciiTheme="minorHAnsi" w:hAnsiTheme="minorHAnsi" w:cstheme="minorHAnsi"/>
        </w:rPr>
        <w:t xml:space="preserve">Richard Pike, Sylvia Cronin, and Liam Herlihy </w:t>
      </w:r>
    </w:p>
    <w:p w:rsidR="00B23035" w:rsidRPr="001356C4" w:rsidRDefault="00B23035" w:rsidP="00B23035">
      <w:pPr>
        <w:jc w:val="both"/>
        <w:rPr>
          <w:rFonts w:asciiTheme="minorHAnsi" w:hAnsiTheme="minorHAnsi" w:cstheme="minorHAnsi"/>
        </w:rPr>
      </w:pPr>
    </w:p>
    <w:p w:rsidR="00C54CD1" w:rsidRPr="001356C4" w:rsidRDefault="00B23035" w:rsidP="00FC1240">
      <w:pPr>
        <w:jc w:val="both"/>
        <w:rPr>
          <w:rFonts w:asciiTheme="minorHAnsi" w:hAnsiTheme="minorHAnsi" w:cstheme="minorHAnsi"/>
        </w:rPr>
      </w:pPr>
      <w:r w:rsidRPr="001356C4">
        <w:rPr>
          <w:rFonts w:asciiTheme="minorHAnsi" w:hAnsiTheme="minorHAnsi" w:cstheme="minorHAnsi"/>
          <w:b/>
        </w:rPr>
        <w:t>Audit Committee</w:t>
      </w:r>
      <w:r w:rsidR="00FC1240">
        <w:rPr>
          <w:rFonts w:asciiTheme="minorHAnsi" w:hAnsiTheme="minorHAnsi" w:cstheme="minorHAnsi"/>
          <w:b/>
        </w:rPr>
        <w:t xml:space="preserve"> – </w:t>
      </w:r>
      <w:r w:rsidR="00FC1240" w:rsidRPr="00FC1240">
        <w:rPr>
          <w:rFonts w:asciiTheme="minorHAnsi" w:hAnsiTheme="minorHAnsi" w:cstheme="minorHAnsi"/>
        </w:rPr>
        <w:t>Jean Sharp (Chair)</w:t>
      </w:r>
      <w:r w:rsidR="00FC1240">
        <w:rPr>
          <w:rFonts w:asciiTheme="minorHAnsi" w:hAnsiTheme="minorHAnsi" w:cstheme="minorHAnsi"/>
        </w:rPr>
        <w:t>, Mary Brennan, and John O’Dwyer</w:t>
      </w:r>
    </w:p>
    <w:p w:rsidR="00B84A88" w:rsidRPr="001356C4" w:rsidRDefault="00B84A88" w:rsidP="00B23035">
      <w:pPr>
        <w:jc w:val="both"/>
        <w:rPr>
          <w:rFonts w:asciiTheme="minorHAnsi" w:hAnsiTheme="minorHAnsi" w:cstheme="minorHAnsi"/>
        </w:rPr>
      </w:pPr>
    </w:p>
    <w:p w:rsidR="00C54CD1" w:rsidRDefault="00C54CD1" w:rsidP="00B23035">
      <w:pPr>
        <w:jc w:val="both"/>
        <w:rPr>
          <w:rFonts w:asciiTheme="minorHAnsi" w:hAnsiTheme="minorHAnsi" w:cstheme="minorHAnsi"/>
        </w:rPr>
      </w:pPr>
      <w:r w:rsidRPr="001356C4">
        <w:rPr>
          <w:rFonts w:asciiTheme="minorHAnsi" w:hAnsiTheme="minorHAnsi" w:cstheme="minorHAnsi"/>
          <w:b/>
        </w:rPr>
        <w:t xml:space="preserve">Remuneration Committee </w:t>
      </w:r>
      <w:r w:rsidR="00FC1240">
        <w:rPr>
          <w:rFonts w:asciiTheme="minorHAnsi" w:hAnsiTheme="minorHAnsi" w:cstheme="minorHAnsi"/>
          <w:b/>
        </w:rPr>
        <w:t xml:space="preserve">– </w:t>
      </w:r>
      <w:r w:rsidR="00FC1240" w:rsidRPr="00FC1240">
        <w:rPr>
          <w:rFonts w:asciiTheme="minorHAnsi" w:hAnsiTheme="minorHAnsi" w:cstheme="minorHAnsi"/>
        </w:rPr>
        <w:t>David O’</w:t>
      </w:r>
      <w:r w:rsidR="00FC1240">
        <w:rPr>
          <w:rFonts w:asciiTheme="minorHAnsi" w:hAnsiTheme="minorHAnsi" w:cstheme="minorHAnsi"/>
        </w:rPr>
        <w:t>Connor (Chair), Liam Herlihy, Sylvia Cronin, and John O’Dwyer</w:t>
      </w:r>
    </w:p>
    <w:p w:rsidR="008A5B55" w:rsidRPr="001356C4" w:rsidRDefault="008A5B55" w:rsidP="00A814AA">
      <w:pPr>
        <w:jc w:val="both"/>
        <w:rPr>
          <w:rFonts w:asciiTheme="minorHAnsi" w:hAnsiTheme="minorHAnsi" w:cstheme="minorHAnsi"/>
          <w:b/>
        </w:rPr>
      </w:pPr>
    </w:p>
    <w:p w:rsidR="00A814AA" w:rsidRPr="001356C4" w:rsidRDefault="00A814AA" w:rsidP="00A814AA">
      <w:pPr>
        <w:jc w:val="both"/>
        <w:rPr>
          <w:rFonts w:asciiTheme="minorHAnsi" w:hAnsiTheme="minorHAnsi" w:cstheme="minorHAnsi"/>
          <w:b/>
        </w:rPr>
      </w:pPr>
      <w:r w:rsidRPr="001356C4">
        <w:rPr>
          <w:rFonts w:asciiTheme="minorHAnsi" w:hAnsiTheme="minorHAnsi" w:cstheme="minorHAnsi"/>
          <w:b/>
        </w:rPr>
        <w:t xml:space="preserve">Nomination and Governance Committee </w:t>
      </w:r>
      <w:r w:rsidR="00FC1240">
        <w:rPr>
          <w:rFonts w:asciiTheme="minorHAnsi" w:hAnsiTheme="minorHAnsi" w:cstheme="minorHAnsi"/>
          <w:b/>
        </w:rPr>
        <w:t xml:space="preserve">– </w:t>
      </w:r>
      <w:r w:rsidR="00FC1240" w:rsidRPr="00FC1240">
        <w:rPr>
          <w:rFonts w:asciiTheme="minorHAnsi" w:hAnsiTheme="minorHAnsi" w:cstheme="minorHAnsi"/>
        </w:rPr>
        <w:t>Liam Herlihy</w:t>
      </w:r>
      <w:r w:rsidR="00FC1240">
        <w:rPr>
          <w:rFonts w:asciiTheme="minorHAnsi" w:hAnsiTheme="minorHAnsi" w:cstheme="minorHAnsi"/>
        </w:rPr>
        <w:t xml:space="preserve"> (Chair), David O’Connor, Sylvia Cronin, and Jean Sharp</w:t>
      </w:r>
    </w:p>
    <w:p w:rsidR="00DC30E3" w:rsidRDefault="00DC30E3" w:rsidP="00B23035">
      <w:pPr>
        <w:rPr>
          <w:rFonts w:asciiTheme="minorHAnsi" w:hAnsiTheme="minorHAnsi" w:cstheme="minorHAnsi"/>
        </w:rPr>
      </w:pPr>
    </w:p>
    <w:p w:rsidR="006F2EF2" w:rsidRDefault="006F2EF2" w:rsidP="00B23035">
      <w:pPr>
        <w:rPr>
          <w:rFonts w:asciiTheme="minorHAnsi" w:hAnsiTheme="minorHAnsi" w:cstheme="minorHAnsi"/>
        </w:rPr>
      </w:pPr>
      <w:r w:rsidRPr="006F2EF2">
        <w:rPr>
          <w:rFonts w:asciiTheme="minorHAnsi" w:hAnsiTheme="minorHAnsi" w:cstheme="minorHAnsi"/>
        </w:rPr>
        <w:t xml:space="preserve">The announcement is </w:t>
      </w:r>
      <w:r w:rsidR="00C93519">
        <w:rPr>
          <w:rFonts w:asciiTheme="minorHAnsi" w:hAnsiTheme="minorHAnsi" w:cstheme="minorHAnsi"/>
        </w:rPr>
        <w:t>made in accordance with Rule 6.1.64</w:t>
      </w:r>
      <w:bookmarkStart w:id="0" w:name="_GoBack"/>
      <w:bookmarkEnd w:id="0"/>
      <w:r w:rsidRPr="006F2EF2">
        <w:rPr>
          <w:rFonts w:asciiTheme="minorHAnsi" w:hAnsiTheme="minorHAnsi" w:cstheme="minorHAnsi"/>
        </w:rPr>
        <w:t xml:space="preserve"> of Euronext Dublin’s Listing Rules and Rule 9.6.11 of the London Stock Exchange’s Listing Rules</w:t>
      </w:r>
      <w:r>
        <w:rPr>
          <w:rFonts w:asciiTheme="minorHAnsi" w:hAnsiTheme="minorHAnsi" w:cstheme="minorHAnsi"/>
        </w:rPr>
        <w:t>.</w:t>
      </w:r>
    </w:p>
    <w:p w:rsidR="00DC30E3" w:rsidRPr="001356C4" w:rsidRDefault="00DC30E3" w:rsidP="00B23035">
      <w:pPr>
        <w:rPr>
          <w:rFonts w:asciiTheme="minorHAnsi" w:hAnsiTheme="minorHAnsi" w:cstheme="minorHAnsi"/>
        </w:rPr>
      </w:pPr>
    </w:p>
    <w:p w:rsidR="00B23035" w:rsidRPr="00693FF7" w:rsidRDefault="00B23035" w:rsidP="00B23035">
      <w:pPr>
        <w:rPr>
          <w:rFonts w:asciiTheme="minorHAnsi" w:eastAsiaTheme="minorHAnsi" w:hAnsiTheme="minorHAnsi" w:cstheme="minorHAnsi"/>
          <w:b/>
          <w:kern w:val="0"/>
          <w:sz w:val="24"/>
          <w:szCs w:val="24"/>
        </w:rPr>
      </w:pPr>
      <w:r w:rsidRPr="00693FF7">
        <w:rPr>
          <w:rFonts w:asciiTheme="minorHAnsi" w:eastAsiaTheme="minorHAnsi" w:hAnsiTheme="minorHAnsi" w:cstheme="minorHAnsi"/>
          <w:b/>
          <w:kern w:val="0"/>
          <w:sz w:val="24"/>
          <w:szCs w:val="24"/>
        </w:rPr>
        <w:t>Ends</w:t>
      </w:r>
    </w:p>
    <w:p w:rsidR="00B23035" w:rsidRPr="00693FF7" w:rsidRDefault="00B23035" w:rsidP="00B23035">
      <w:pPr>
        <w:tabs>
          <w:tab w:val="left" w:pos="1530"/>
        </w:tabs>
        <w:rPr>
          <w:rFonts w:asciiTheme="minorHAnsi" w:eastAsiaTheme="minorHAnsi" w:hAnsiTheme="minorHAnsi" w:cstheme="minorHAnsi"/>
          <w:kern w:val="0"/>
          <w:sz w:val="24"/>
          <w:szCs w:val="24"/>
        </w:rPr>
      </w:pPr>
    </w:p>
    <w:tbl>
      <w:tblPr>
        <w:tblW w:w="10173" w:type="dxa"/>
        <w:tblLook w:val="01E0" w:firstRow="1" w:lastRow="1" w:firstColumn="1" w:lastColumn="1" w:noHBand="0" w:noVBand="0"/>
      </w:tblPr>
      <w:tblGrid>
        <w:gridCol w:w="4278"/>
        <w:gridCol w:w="5895"/>
      </w:tblGrid>
      <w:tr w:rsidR="00B23035" w:rsidRPr="00693FF7" w:rsidTr="009A3565">
        <w:tc>
          <w:tcPr>
            <w:tcW w:w="4278" w:type="dxa"/>
          </w:tcPr>
          <w:p w:rsidR="00B23035" w:rsidRPr="00693FF7" w:rsidRDefault="00B23035" w:rsidP="009A3565">
            <w:pPr>
              <w:rPr>
                <w:rFonts w:asciiTheme="minorHAnsi" w:eastAsiaTheme="minorHAnsi" w:hAnsiTheme="minorHAnsi" w:cstheme="minorHAnsi"/>
                <w:b/>
                <w:kern w:val="0"/>
                <w:sz w:val="24"/>
                <w:szCs w:val="24"/>
                <w:lang w:val="en-IE"/>
              </w:rPr>
            </w:pPr>
            <w:r w:rsidRPr="00693FF7">
              <w:rPr>
                <w:rFonts w:asciiTheme="minorHAnsi" w:eastAsiaTheme="minorHAnsi" w:hAnsiTheme="minorHAnsi" w:cstheme="minorHAnsi"/>
                <w:b/>
                <w:kern w:val="0"/>
                <w:sz w:val="24"/>
                <w:szCs w:val="24"/>
                <w:lang w:val="en-IE"/>
              </w:rPr>
              <w:t>For Reference</w:t>
            </w:r>
          </w:p>
        </w:tc>
        <w:tc>
          <w:tcPr>
            <w:tcW w:w="5895" w:type="dxa"/>
          </w:tcPr>
          <w:p w:rsidR="00B23035" w:rsidRPr="00693FF7" w:rsidRDefault="00B23035" w:rsidP="009A3565">
            <w:pPr>
              <w:rPr>
                <w:rFonts w:asciiTheme="minorHAnsi" w:eastAsiaTheme="minorHAnsi" w:hAnsiTheme="minorHAnsi" w:cstheme="minorHAnsi"/>
                <w:b/>
                <w:kern w:val="0"/>
                <w:sz w:val="24"/>
                <w:szCs w:val="24"/>
                <w:lang w:val="en-IE"/>
              </w:rPr>
            </w:pPr>
            <w:r w:rsidRPr="00693FF7">
              <w:rPr>
                <w:rFonts w:asciiTheme="minorHAnsi" w:eastAsiaTheme="minorHAnsi" w:hAnsiTheme="minorHAnsi" w:cstheme="minorHAnsi"/>
                <w:b/>
                <w:kern w:val="0"/>
                <w:sz w:val="24"/>
                <w:szCs w:val="24"/>
                <w:lang w:val="en-IE"/>
              </w:rPr>
              <w:t>Telephone</w:t>
            </w:r>
          </w:p>
        </w:tc>
      </w:tr>
      <w:tr w:rsidR="00B23035" w:rsidRPr="00693FF7" w:rsidTr="009A3565">
        <w:tc>
          <w:tcPr>
            <w:tcW w:w="4278" w:type="dxa"/>
          </w:tcPr>
          <w:p w:rsidR="00B23035" w:rsidRPr="00693FF7" w:rsidRDefault="00B23035" w:rsidP="009A3565">
            <w:pPr>
              <w:rPr>
                <w:rFonts w:asciiTheme="minorHAnsi" w:eastAsiaTheme="minorHAnsi" w:hAnsiTheme="minorHAnsi" w:cstheme="minorHAnsi"/>
                <w:b/>
                <w:kern w:val="0"/>
                <w:sz w:val="24"/>
                <w:szCs w:val="24"/>
                <w:lang w:val="en-IE"/>
              </w:rPr>
            </w:pPr>
          </w:p>
          <w:p w:rsidR="00B23035" w:rsidRPr="00693FF7" w:rsidRDefault="00B23035" w:rsidP="009A3565">
            <w:pPr>
              <w:rPr>
                <w:rFonts w:asciiTheme="minorHAnsi" w:eastAsiaTheme="minorHAnsi" w:hAnsiTheme="minorHAnsi" w:cstheme="minorHAnsi"/>
                <w:b/>
                <w:kern w:val="0"/>
                <w:sz w:val="24"/>
                <w:szCs w:val="24"/>
                <w:lang w:val="en-IE"/>
              </w:rPr>
            </w:pPr>
            <w:r w:rsidRPr="00693FF7">
              <w:rPr>
                <w:rFonts w:asciiTheme="minorHAnsi" w:eastAsiaTheme="minorHAnsi" w:hAnsiTheme="minorHAnsi" w:cstheme="minorHAnsi"/>
                <w:b/>
                <w:kern w:val="0"/>
                <w:sz w:val="24"/>
                <w:szCs w:val="24"/>
                <w:lang w:val="en-IE"/>
              </w:rPr>
              <w:t>FBD Holdings plc</w:t>
            </w:r>
          </w:p>
        </w:tc>
        <w:tc>
          <w:tcPr>
            <w:tcW w:w="5895" w:type="dxa"/>
          </w:tcPr>
          <w:p w:rsidR="00B23035" w:rsidRPr="00693FF7" w:rsidRDefault="00B23035" w:rsidP="009A3565">
            <w:pPr>
              <w:rPr>
                <w:rFonts w:asciiTheme="minorHAnsi" w:eastAsiaTheme="minorHAnsi" w:hAnsiTheme="minorHAnsi" w:cstheme="minorHAnsi"/>
                <w:kern w:val="0"/>
                <w:sz w:val="24"/>
                <w:szCs w:val="24"/>
                <w:lang w:val="en-IE"/>
              </w:rPr>
            </w:pPr>
          </w:p>
        </w:tc>
      </w:tr>
      <w:tr w:rsidR="00B23035" w:rsidRPr="00693FF7" w:rsidTr="009A3565">
        <w:tc>
          <w:tcPr>
            <w:tcW w:w="4278" w:type="dxa"/>
          </w:tcPr>
          <w:p w:rsidR="00B23035" w:rsidRPr="00693FF7" w:rsidRDefault="00C84B54" w:rsidP="009A3565">
            <w:pPr>
              <w:rPr>
                <w:rFonts w:asciiTheme="minorHAnsi" w:eastAsiaTheme="minorHAnsi" w:hAnsiTheme="minorHAnsi" w:cstheme="minorHAnsi"/>
                <w:kern w:val="0"/>
                <w:sz w:val="24"/>
                <w:szCs w:val="24"/>
                <w:lang w:val="en-IE"/>
              </w:rPr>
            </w:pPr>
            <w:r w:rsidRPr="00693FF7">
              <w:rPr>
                <w:rFonts w:asciiTheme="minorHAnsi" w:eastAsiaTheme="minorHAnsi" w:hAnsiTheme="minorHAnsi" w:cstheme="minorHAnsi"/>
                <w:kern w:val="0"/>
                <w:sz w:val="24"/>
                <w:szCs w:val="24"/>
                <w:lang w:val="en-IE"/>
              </w:rPr>
              <w:t>Nadine Conlon</w:t>
            </w:r>
            <w:r w:rsidR="00B23035" w:rsidRPr="00693FF7">
              <w:rPr>
                <w:rFonts w:asciiTheme="minorHAnsi" w:eastAsiaTheme="minorHAnsi" w:hAnsiTheme="minorHAnsi" w:cstheme="minorHAnsi"/>
                <w:kern w:val="0"/>
                <w:sz w:val="24"/>
                <w:szCs w:val="24"/>
                <w:lang w:val="en-IE"/>
              </w:rPr>
              <w:t>, Company Secretary</w:t>
            </w:r>
          </w:p>
        </w:tc>
        <w:tc>
          <w:tcPr>
            <w:tcW w:w="5895" w:type="dxa"/>
          </w:tcPr>
          <w:p w:rsidR="00B23035" w:rsidRPr="00693FF7" w:rsidRDefault="00CE0733" w:rsidP="00C84B54">
            <w:pPr>
              <w:rPr>
                <w:rFonts w:asciiTheme="minorHAnsi" w:eastAsiaTheme="minorHAnsi" w:hAnsiTheme="minorHAnsi" w:cstheme="minorHAnsi"/>
                <w:kern w:val="0"/>
                <w:sz w:val="24"/>
                <w:szCs w:val="24"/>
                <w:lang w:val="en-IE"/>
              </w:rPr>
            </w:pPr>
            <w:r w:rsidRPr="00693FF7">
              <w:rPr>
                <w:rFonts w:asciiTheme="minorHAnsi" w:eastAsiaTheme="minorHAnsi" w:hAnsiTheme="minorHAnsi" w:cstheme="minorHAnsi"/>
                <w:kern w:val="0"/>
                <w:sz w:val="24"/>
                <w:szCs w:val="24"/>
                <w:lang w:val="en-IE"/>
              </w:rPr>
              <w:t>+353 (0) 87 3844435</w:t>
            </w:r>
          </w:p>
        </w:tc>
      </w:tr>
      <w:tr w:rsidR="00B23035" w:rsidRPr="00693FF7" w:rsidTr="009A3565">
        <w:tc>
          <w:tcPr>
            <w:tcW w:w="10173" w:type="dxa"/>
            <w:gridSpan w:val="2"/>
          </w:tcPr>
          <w:p w:rsidR="00B23035" w:rsidRPr="00693FF7" w:rsidRDefault="00B23035" w:rsidP="009A3565">
            <w:pPr>
              <w:jc w:val="center"/>
              <w:rPr>
                <w:rFonts w:asciiTheme="minorHAnsi" w:eastAsiaTheme="minorHAnsi" w:hAnsiTheme="minorHAnsi" w:cstheme="minorHAnsi"/>
                <w:kern w:val="0"/>
                <w:sz w:val="24"/>
                <w:szCs w:val="24"/>
                <w:lang w:val="en-IE"/>
              </w:rPr>
            </w:pPr>
          </w:p>
          <w:p w:rsidR="00B23035" w:rsidRPr="00693FF7" w:rsidRDefault="00B23035" w:rsidP="009A3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theme="minorHAnsi"/>
                <w:kern w:val="0"/>
                <w:sz w:val="24"/>
                <w:szCs w:val="24"/>
                <w:lang w:val="en-GB" w:eastAsia="en-GB"/>
              </w:rPr>
            </w:pPr>
          </w:p>
          <w:p w:rsidR="00C84B54" w:rsidRPr="00693FF7" w:rsidRDefault="00C84B54" w:rsidP="00C84B54">
            <w:pPr>
              <w:jc w:val="both"/>
              <w:rPr>
                <w:rFonts w:asciiTheme="minorHAnsi" w:hAnsiTheme="minorHAnsi" w:cstheme="minorHAnsi"/>
                <w:b/>
                <w:bCs/>
                <w:color w:val="000000"/>
                <w:sz w:val="24"/>
                <w:szCs w:val="24"/>
              </w:rPr>
            </w:pPr>
            <w:r w:rsidRPr="00693FF7">
              <w:rPr>
                <w:rFonts w:asciiTheme="minorHAnsi" w:hAnsiTheme="minorHAnsi" w:cstheme="minorHAnsi"/>
                <w:b/>
                <w:bCs/>
                <w:color w:val="000000"/>
                <w:sz w:val="24"/>
                <w:szCs w:val="24"/>
              </w:rPr>
              <w:t xml:space="preserve">About FBD Holdings plc </w:t>
            </w:r>
          </w:p>
          <w:p w:rsidR="00C84B54" w:rsidRPr="00693FF7" w:rsidRDefault="00C84B54" w:rsidP="00C84B54">
            <w:pPr>
              <w:jc w:val="both"/>
              <w:rPr>
                <w:rFonts w:asciiTheme="minorHAnsi" w:hAnsiTheme="minorHAnsi" w:cstheme="minorHAnsi"/>
                <w:color w:val="000000"/>
                <w:sz w:val="24"/>
                <w:szCs w:val="24"/>
              </w:rPr>
            </w:pPr>
            <w:r w:rsidRPr="00693FF7">
              <w:rPr>
                <w:rFonts w:asciiTheme="minorHAnsi" w:hAnsiTheme="minorHAnsi" w:cstheme="minorHAnsi"/>
                <w:color w:val="000000"/>
                <w:sz w:val="24"/>
                <w:szCs w:val="24"/>
              </w:rPr>
              <w:t xml:space="preserve">FBD is one of Ireland’s largest property and casualty insurers, looking after the insurance needs of farmers, consumers and business owners. Established in the 1960s by farmers for farmers, FBD has built on those roots in agriculture to become a leading general insurer serving the needs of its direct agricultural, small business and consumer customers throughout Ireland. It has a network of 34 branches nationwide. </w:t>
            </w:r>
          </w:p>
          <w:p w:rsidR="00C84B54" w:rsidRPr="00693FF7" w:rsidRDefault="00C84B54" w:rsidP="00C84B54">
            <w:pPr>
              <w:jc w:val="both"/>
              <w:rPr>
                <w:rFonts w:asciiTheme="minorHAnsi" w:hAnsiTheme="minorHAnsi" w:cstheme="minorHAnsi"/>
                <w:color w:val="000000"/>
                <w:sz w:val="24"/>
                <w:szCs w:val="24"/>
              </w:rPr>
            </w:pPr>
          </w:p>
          <w:p w:rsidR="00C84B54" w:rsidRPr="00693FF7" w:rsidRDefault="00C84B54" w:rsidP="00C84B54">
            <w:pPr>
              <w:jc w:val="both"/>
              <w:rPr>
                <w:rFonts w:asciiTheme="minorHAnsi" w:hAnsiTheme="minorHAnsi" w:cstheme="minorHAnsi"/>
                <w:color w:val="000000"/>
                <w:sz w:val="24"/>
                <w:szCs w:val="24"/>
              </w:rPr>
            </w:pPr>
            <w:r w:rsidRPr="00693FF7">
              <w:rPr>
                <w:rFonts w:asciiTheme="minorHAnsi" w:hAnsiTheme="minorHAnsi" w:cstheme="minorHAnsi"/>
                <w:color w:val="000000"/>
                <w:sz w:val="24"/>
                <w:szCs w:val="24"/>
              </w:rPr>
              <w:t>The following details relate to FBD's ordinary shares of €0.60 each which are publicly traded:</w:t>
            </w:r>
          </w:p>
          <w:p w:rsidR="00C84B54" w:rsidRPr="00693FF7" w:rsidRDefault="00C84B54" w:rsidP="00C84B54">
            <w:pPr>
              <w:jc w:val="both"/>
              <w:rPr>
                <w:rFonts w:asciiTheme="minorHAnsi" w:hAnsiTheme="minorHAnsi" w:cstheme="minorHAnsi"/>
                <w:color w:val="000000"/>
                <w:sz w:val="24"/>
                <w:szCs w:val="24"/>
              </w:rPr>
            </w:pPr>
          </w:p>
          <w:tbl>
            <w:tblPr>
              <w:tblW w:w="9813" w:type="dxa"/>
              <w:tblCellMar>
                <w:left w:w="0" w:type="dxa"/>
                <w:right w:w="0" w:type="dxa"/>
              </w:tblCellMar>
              <w:tblLook w:val="04A0" w:firstRow="1" w:lastRow="0" w:firstColumn="1" w:lastColumn="0" w:noHBand="0" w:noVBand="1"/>
            </w:tblPr>
            <w:tblGrid>
              <w:gridCol w:w="3046"/>
              <w:gridCol w:w="3223"/>
              <w:gridCol w:w="3544"/>
            </w:tblGrid>
            <w:tr w:rsidR="00C84B54" w:rsidRPr="00693FF7" w:rsidTr="00C84B54">
              <w:tc>
                <w:tcPr>
                  <w:tcW w:w="3046" w:type="dxa"/>
                  <w:tcMar>
                    <w:top w:w="0" w:type="dxa"/>
                    <w:left w:w="108" w:type="dxa"/>
                    <w:bottom w:w="0" w:type="dxa"/>
                    <w:right w:w="108" w:type="dxa"/>
                  </w:tcMar>
                  <w:hideMark/>
                </w:tcPr>
                <w:p w:rsidR="00C84B54" w:rsidRPr="00693FF7" w:rsidRDefault="00C84B54" w:rsidP="00C84B54">
                  <w:pPr>
                    <w:ind w:left="142"/>
                    <w:rPr>
                      <w:rFonts w:asciiTheme="minorHAnsi" w:hAnsiTheme="minorHAnsi" w:cstheme="minorHAnsi"/>
                      <w:sz w:val="24"/>
                      <w:szCs w:val="24"/>
                    </w:rPr>
                  </w:pPr>
                  <w:r w:rsidRPr="00693FF7">
                    <w:rPr>
                      <w:rFonts w:asciiTheme="minorHAnsi" w:hAnsiTheme="minorHAnsi" w:cstheme="minorHAnsi"/>
                      <w:sz w:val="24"/>
                      <w:szCs w:val="24"/>
                    </w:rPr>
                    <w:t>Listing</w:t>
                  </w:r>
                </w:p>
              </w:tc>
              <w:tc>
                <w:tcPr>
                  <w:tcW w:w="3223" w:type="dxa"/>
                  <w:tcMar>
                    <w:top w:w="0" w:type="dxa"/>
                    <w:left w:w="108" w:type="dxa"/>
                    <w:bottom w:w="0" w:type="dxa"/>
                    <w:right w:w="108" w:type="dxa"/>
                  </w:tcMar>
                  <w:hideMark/>
                </w:tcPr>
                <w:p w:rsidR="00C84B54" w:rsidRPr="00693FF7" w:rsidRDefault="00C84B54" w:rsidP="00C84B54">
                  <w:pPr>
                    <w:ind w:left="142"/>
                    <w:rPr>
                      <w:rFonts w:asciiTheme="minorHAnsi" w:hAnsiTheme="minorHAnsi" w:cstheme="minorHAnsi"/>
                      <w:sz w:val="24"/>
                      <w:szCs w:val="24"/>
                    </w:rPr>
                  </w:pPr>
                  <w:r w:rsidRPr="00693FF7">
                    <w:rPr>
                      <w:rFonts w:asciiTheme="minorHAnsi" w:hAnsiTheme="minorHAnsi" w:cstheme="minorHAnsi"/>
                      <w:sz w:val="24"/>
                      <w:szCs w:val="24"/>
                    </w:rPr>
                    <w:t>Euronext Dublin</w:t>
                  </w:r>
                </w:p>
              </w:tc>
              <w:tc>
                <w:tcPr>
                  <w:tcW w:w="3544" w:type="dxa"/>
                  <w:tcMar>
                    <w:top w:w="0" w:type="dxa"/>
                    <w:left w:w="108" w:type="dxa"/>
                    <w:bottom w:w="0" w:type="dxa"/>
                    <w:right w:w="108" w:type="dxa"/>
                  </w:tcMar>
                  <w:hideMark/>
                </w:tcPr>
                <w:p w:rsidR="00C84B54" w:rsidRPr="00693FF7" w:rsidRDefault="00C84B54" w:rsidP="00C84B54">
                  <w:pPr>
                    <w:ind w:left="142"/>
                    <w:rPr>
                      <w:rFonts w:asciiTheme="minorHAnsi" w:hAnsiTheme="minorHAnsi" w:cstheme="minorHAnsi"/>
                      <w:sz w:val="24"/>
                      <w:szCs w:val="24"/>
                    </w:rPr>
                  </w:pPr>
                  <w:r w:rsidRPr="00693FF7">
                    <w:rPr>
                      <w:rFonts w:asciiTheme="minorHAnsi" w:hAnsiTheme="minorHAnsi" w:cstheme="minorHAnsi"/>
                      <w:sz w:val="24"/>
                      <w:szCs w:val="24"/>
                    </w:rPr>
                    <w:t>UK Listing Authority</w:t>
                  </w:r>
                </w:p>
              </w:tc>
            </w:tr>
            <w:tr w:rsidR="00C84B54" w:rsidRPr="00693FF7" w:rsidTr="00C84B54">
              <w:tc>
                <w:tcPr>
                  <w:tcW w:w="3046" w:type="dxa"/>
                  <w:tcMar>
                    <w:top w:w="0" w:type="dxa"/>
                    <w:left w:w="108" w:type="dxa"/>
                    <w:bottom w:w="0" w:type="dxa"/>
                    <w:right w:w="108" w:type="dxa"/>
                  </w:tcMar>
                  <w:hideMark/>
                </w:tcPr>
                <w:p w:rsidR="00C84B54" w:rsidRPr="00693FF7" w:rsidRDefault="00C84B54" w:rsidP="00C84B54">
                  <w:pPr>
                    <w:ind w:left="142"/>
                    <w:rPr>
                      <w:rFonts w:asciiTheme="minorHAnsi" w:hAnsiTheme="minorHAnsi" w:cstheme="minorHAnsi"/>
                      <w:sz w:val="24"/>
                      <w:szCs w:val="24"/>
                    </w:rPr>
                  </w:pPr>
                  <w:r w:rsidRPr="00693FF7">
                    <w:rPr>
                      <w:rFonts w:asciiTheme="minorHAnsi" w:hAnsiTheme="minorHAnsi" w:cstheme="minorHAnsi"/>
                      <w:sz w:val="24"/>
                      <w:szCs w:val="24"/>
                    </w:rPr>
                    <w:t>Listing Category</w:t>
                  </w:r>
                </w:p>
              </w:tc>
              <w:tc>
                <w:tcPr>
                  <w:tcW w:w="3223" w:type="dxa"/>
                  <w:tcMar>
                    <w:top w:w="0" w:type="dxa"/>
                    <w:left w:w="108" w:type="dxa"/>
                    <w:bottom w:w="0" w:type="dxa"/>
                    <w:right w:w="108" w:type="dxa"/>
                  </w:tcMar>
                  <w:hideMark/>
                </w:tcPr>
                <w:p w:rsidR="00C84B54" w:rsidRPr="00693FF7" w:rsidRDefault="00C84B54" w:rsidP="00C84B54">
                  <w:pPr>
                    <w:ind w:left="142"/>
                    <w:rPr>
                      <w:rFonts w:asciiTheme="minorHAnsi" w:hAnsiTheme="minorHAnsi" w:cstheme="minorHAnsi"/>
                      <w:sz w:val="24"/>
                      <w:szCs w:val="24"/>
                    </w:rPr>
                  </w:pPr>
                  <w:r w:rsidRPr="00693FF7">
                    <w:rPr>
                      <w:rFonts w:asciiTheme="minorHAnsi" w:hAnsiTheme="minorHAnsi" w:cstheme="minorHAnsi"/>
                      <w:sz w:val="24"/>
                      <w:szCs w:val="24"/>
                    </w:rPr>
                    <w:t>Premium</w:t>
                  </w:r>
                </w:p>
              </w:tc>
              <w:tc>
                <w:tcPr>
                  <w:tcW w:w="3544" w:type="dxa"/>
                  <w:tcMar>
                    <w:top w:w="0" w:type="dxa"/>
                    <w:left w:w="108" w:type="dxa"/>
                    <w:bottom w:w="0" w:type="dxa"/>
                    <w:right w:w="108" w:type="dxa"/>
                  </w:tcMar>
                  <w:hideMark/>
                </w:tcPr>
                <w:p w:rsidR="00C84B54" w:rsidRPr="00693FF7" w:rsidRDefault="00C84B54" w:rsidP="00C84B54">
                  <w:pPr>
                    <w:ind w:left="142"/>
                    <w:rPr>
                      <w:rFonts w:asciiTheme="minorHAnsi" w:hAnsiTheme="minorHAnsi" w:cstheme="minorHAnsi"/>
                      <w:sz w:val="24"/>
                      <w:szCs w:val="24"/>
                    </w:rPr>
                  </w:pPr>
                  <w:r w:rsidRPr="00693FF7">
                    <w:rPr>
                      <w:rFonts w:asciiTheme="minorHAnsi" w:hAnsiTheme="minorHAnsi" w:cstheme="minorHAnsi"/>
                      <w:sz w:val="24"/>
                      <w:szCs w:val="24"/>
                    </w:rPr>
                    <w:t>Premium (Equity)</w:t>
                  </w:r>
                </w:p>
              </w:tc>
            </w:tr>
            <w:tr w:rsidR="00C84B54" w:rsidRPr="00693FF7" w:rsidTr="00C84B54">
              <w:tc>
                <w:tcPr>
                  <w:tcW w:w="3046" w:type="dxa"/>
                  <w:tcMar>
                    <w:top w:w="0" w:type="dxa"/>
                    <w:left w:w="108" w:type="dxa"/>
                    <w:bottom w:w="0" w:type="dxa"/>
                    <w:right w:w="108" w:type="dxa"/>
                  </w:tcMar>
                  <w:hideMark/>
                </w:tcPr>
                <w:p w:rsidR="00C84B54" w:rsidRPr="00693FF7" w:rsidRDefault="00C84B54" w:rsidP="00C84B54">
                  <w:pPr>
                    <w:ind w:left="142"/>
                    <w:rPr>
                      <w:rFonts w:asciiTheme="minorHAnsi" w:hAnsiTheme="minorHAnsi" w:cstheme="minorHAnsi"/>
                      <w:sz w:val="24"/>
                      <w:szCs w:val="24"/>
                    </w:rPr>
                  </w:pPr>
                  <w:r w:rsidRPr="00693FF7">
                    <w:rPr>
                      <w:rFonts w:asciiTheme="minorHAnsi" w:hAnsiTheme="minorHAnsi" w:cstheme="minorHAnsi"/>
                      <w:sz w:val="24"/>
                      <w:szCs w:val="24"/>
                    </w:rPr>
                    <w:t>Trading Venue</w:t>
                  </w:r>
                </w:p>
              </w:tc>
              <w:tc>
                <w:tcPr>
                  <w:tcW w:w="3223" w:type="dxa"/>
                  <w:tcMar>
                    <w:top w:w="0" w:type="dxa"/>
                    <w:left w:w="108" w:type="dxa"/>
                    <w:bottom w:w="0" w:type="dxa"/>
                    <w:right w:w="108" w:type="dxa"/>
                  </w:tcMar>
                  <w:hideMark/>
                </w:tcPr>
                <w:p w:rsidR="00C84B54" w:rsidRPr="00693FF7" w:rsidRDefault="00C84B54" w:rsidP="00C84B54">
                  <w:pPr>
                    <w:ind w:left="142"/>
                    <w:rPr>
                      <w:rFonts w:asciiTheme="minorHAnsi" w:hAnsiTheme="minorHAnsi" w:cstheme="minorHAnsi"/>
                      <w:sz w:val="24"/>
                      <w:szCs w:val="24"/>
                    </w:rPr>
                  </w:pPr>
                  <w:r w:rsidRPr="00693FF7">
                    <w:rPr>
                      <w:rFonts w:asciiTheme="minorHAnsi" w:hAnsiTheme="minorHAnsi" w:cstheme="minorHAnsi"/>
                      <w:sz w:val="24"/>
                      <w:szCs w:val="24"/>
                    </w:rPr>
                    <w:t>Euronext Dublin</w:t>
                  </w:r>
                </w:p>
              </w:tc>
              <w:tc>
                <w:tcPr>
                  <w:tcW w:w="3544" w:type="dxa"/>
                  <w:tcMar>
                    <w:top w:w="0" w:type="dxa"/>
                    <w:left w:w="108" w:type="dxa"/>
                    <w:bottom w:w="0" w:type="dxa"/>
                    <w:right w:w="108" w:type="dxa"/>
                  </w:tcMar>
                  <w:hideMark/>
                </w:tcPr>
                <w:p w:rsidR="00C84B54" w:rsidRPr="00693FF7" w:rsidRDefault="00C84B54" w:rsidP="00C84B54">
                  <w:pPr>
                    <w:ind w:left="142"/>
                    <w:rPr>
                      <w:rFonts w:asciiTheme="minorHAnsi" w:hAnsiTheme="minorHAnsi" w:cstheme="minorHAnsi"/>
                      <w:sz w:val="24"/>
                      <w:szCs w:val="24"/>
                    </w:rPr>
                  </w:pPr>
                  <w:r w:rsidRPr="00693FF7">
                    <w:rPr>
                      <w:rFonts w:asciiTheme="minorHAnsi" w:hAnsiTheme="minorHAnsi" w:cstheme="minorHAnsi"/>
                      <w:sz w:val="24"/>
                      <w:szCs w:val="24"/>
                    </w:rPr>
                    <w:t>London Stock Exchange</w:t>
                  </w:r>
                </w:p>
              </w:tc>
            </w:tr>
            <w:tr w:rsidR="00C84B54" w:rsidRPr="00693FF7" w:rsidTr="00C84B54">
              <w:tc>
                <w:tcPr>
                  <w:tcW w:w="3046" w:type="dxa"/>
                  <w:tcMar>
                    <w:top w:w="0" w:type="dxa"/>
                    <w:left w:w="108" w:type="dxa"/>
                    <w:bottom w:w="0" w:type="dxa"/>
                    <w:right w:w="108" w:type="dxa"/>
                  </w:tcMar>
                  <w:hideMark/>
                </w:tcPr>
                <w:p w:rsidR="00C84B54" w:rsidRPr="00693FF7" w:rsidRDefault="00C84B54" w:rsidP="00C84B54">
                  <w:pPr>
                    <w:ind w:left="142"/>
                    <w:rPr>
                      <w:rFonts w:asciiTheme="minorHAnsi" w:hAnsiTheme="minorHAnsi" w:cstheme="minorHAnsi"/>
                      <w:sz w:val="24"/>
                      <w:szCs w:val="24"/>
                    </w:rPr>
                  </w:pPr>
                  <w:r w:rsidRPr="00693FF7">
                    <w:rPr>
                      <w:rFonts w:asciiTheme="minorHAnsi" w:hAnsiTheme="minorHAnsi" w:cstheme="minorHAnsi"/>
                      <w:sz w:val="24"/>
                      <w:szCs w:val="24"/>
                    </w:rPr>
                    <w:t>Market</w:t>
                  </w:r>
                </w:p>
              </w:tc>
              <w:tc>
                <w:tcPr>
                  <w:tcW w:w="3223" w:type="dxa"/>
                  <w:tcMar>
                    <w:top w:w="0" w:type="dxa"/>
                    <w:left w:w="108" w:type="dxa"/>
                    <w:bottom w:w="0" w:type="dxa"/>
                    <w:right w:w="108" w:type="dxa"/>
                  </w:tcMar>
                  <w:hideMark/>
                </w:tcPr>
                <w:p w:rsidR="00C84B54" w:rsidRPr="00693FF7" w:rsidRDefault="00C84B54" w:rsidP="00C84B54">
                  <w:pPr>
                    <w:ind w:left="142"/>
                    <w:rPr>
                      <w:rFonts w:asciiTheme="minorHAnsi" w:hAnsiTheme="minorHAnsi" w:cstheme="minorHAnsi"/>
                      <w:sz w:val="24"/>
                      <w:szCs w:val="24"/>
                    </w:rPr>
                  </w:pPr>
                  <w:r w:rsidRPr="00693FF7">
                    <w:rPr>
                      <w:rFonts w:asciiTheme="minorHAnsi" w:hAnsiTheme="minorHAnsi" w:cstheme="minorHAnsi"/>
                      <w:sz w:val="24"/>
                      <w:szCs w:val="24"/>
                    </w:rPr>
                    <w:t>Main Securities Market</w:t>
                  </w:r>
                </w:p>
              </w:tc>
              <w:tc>
                <w:tcPr>
                  <w:tcW w:w="3544" w:type="dxa"/>
                  <w:tcMar>
                    <w:top w:w="0" w:type="dxa"/>
                    <w:left w:w="108" w:type="dxa"/>
                    <w:bottom w:w="0" w:type="dxa"/>
                    <w:right w:w="108" w:type="dxa"/>
                  </w:tcMar>
                  <w:hideMark/>
                </w:tcPr>
                <w:p w:rsidR="00C84B54" w:rsidRPr="00693FF7" w:rsidRDefault="00C84B54" w:rsidP="00C84B54">
                  <w:pPr>
                    <w:ind w:left="142"/>
                    <w:rPr>
                      <w:rFonts w:asciiTheme="minorHAnsi" w:hAnsiTheme="minorHAnsi" w:cstheme="minorHAnsi"/>
                      <w:sz w:val="24"/>
                      <w:szCs w:val="24"/>
                    </w:rPr>
                  </w:pPr>
                  <w:r w:rsidRPr="00693FF7">
                    <w:rPr>
                      <w:rFonts w:asciiTheme="minorHAnsi" w:hAnsiTheme="minorHAnsi" w:cstheme="minorHAnsi"/>
                      <w:sz w:val="24"/>
                      <w:szCs w:val="24"/>
                    </w:rPr>
                    <w:t>Main Market</w:t>
                  </w:r>
                </w:p>
              </w:tc>
            </w:tr>
            <w:tr w:rsidR="00C84B54" w:rsidRPr="00693FF7" w:rsidTr="00C84B54">
              <w:tc>
                <w:tcPr>
                  <w:tcW w:w="3046" w:type="dxa"/>
                  <w:tcMar>
                    <w:top w:w="0" w:type="dxa"/>
                    <w:left w:w="108" w:type="dxa"/>
                    <w:bottom w:w="0" w:type="dxa"/>
                    <w:right w:w="108" w:type="dxa"/>
                  </w:tcMar>
                  <w:hideMark/>
                </w:tcPr>
                <w:p w:rsidR="00C84B54" w:rsidRPr="00693FF7" w:rsidRDefault="00C84B54" w:rsidP="00C84B54">
                  <w:pPr>
                    <w:ind w:left="142"/>
                    <w:rPr>
                      <w:rFonts w:asciiTheme="minorHAnsi" w:hAnsiTheme="minorHAnsi" w:cstheme="minorHAnsi"/>
                      <w:sz w:val="24"/>
                      <w:szCs w:val="24"/>
                    </w:rPr>
                  </w:pPr>
                  <w:r w:rsidRPr="00693FF7">
                    <w:rPr>
                      <w:rFonts w:asciiTheme="minorHAnsi" w:hAnsiTheme="minorHAnsi" w:cstheme="minorHAnsi"/>
                      <w:sz w:val="24"/>
                      <w:szCs w:val="24"/>
                    </w:rPr>
                    <w:t>ISIN</w:t>
                  </w:r>
                </w:p>
              </w:tc>
              <w:tc>
                <w:tcPr>
                  <w:tcW w:w="3223" w:type="dxa"/>
                  <w:tcMar>
                    <w:top w:w="0" w:type="dxa"/>
                    <w:left w:w="108" w:type="dxa"/>
                    <w:bottom w:w="0" w:type="dxa"/>
                    <w:right w:w="108" w:type="dxa"/>
                  </w:tcMar>
                  <w:hideMark/>
                </w:tcPr>
                <w:p w:rsidR="00C84B54" w:rsidRPr="00693FF7" w:rsidRDefault="00C84B54" w:rsidP="00C84B54">
                  <w:pPr>
                    <w:ind w:left="142"/>
                    <w:rPr>
                      <w:rFonts w:asciiTheme="minorHAnsi" w:hAnsiTheme="minorHAnsi" w:cstheme="minorHAnsi"/>
                      <w:sz w:val="24"/>
                      <w:szCs w:val="24"/>
                    </w:rPr>
                  </w:pPr>
                  <w:r w:rsidRPr="00693FF7">
                    <w:rPr>
                      <w:rFonts w:asciiTheme="minorHAnsi" w:hAnsiTheme="minorHAnsi" w:cstheme="minorHAnsi"/>
                      <w:sz w:val="24"/>
                      <w:szCs w:val="24"/>
                    </w:rPr>
                    <w:t>IE0003290289</w:t>
                  </w:r>
                </w:p>
              </w:tc>
              <w:tc>
                <w:tcPr>
                  <w:tcW w:w="3544" w:type="dxa"/>
                  <w:tcMar>
                    <w:top w:w="0" w:type="dxa"/>
                    <w:left w:w="108" w:type="dxa"/>
                    <w:bottom w:w="0" w:type="dxa"/>
                    <w:right w:w="108" w:type="dxa"/>
                  </w:tcMar>
                  <w:hideMark/>
                </w:tcPr>
                <w:p w:rsidR="00C84B54" w:rsidRPr="00693FF7" w:rsidRDefault="00C84B54" w:rsidP="00C84B54">
                  <w:pPr>
                    <w:ind w:left="142"/>
                    <w:rPr>
                      <w:rFonts w:asciiTheme="minorHAnsi" w:hAnsiTheme="minorHAnsi" w:cstheme="minorHAnsi"/>
                      <w:sz w:val="24"/>
                      <w:szCs w:val="24"/>
                    </w:rPr>
                  </w:pPr>
                  <w:r w:rsidRPr="00693FF7">
                    <w:rPr>
                      <w:rFonts w:asciiTheme="minorHAnsi" w:hAnsiTheme="minorHAnsi" w:cstheme="minorHAnsi"/>
                      <w:sz w:val="24"/>
                      <w:szCs w:val="24"/>
                    </w:rPr>
                    <w:t>IE0003290289</w:t>
                  </w:r>
                </w:p>
              </w:tc>
            </w:tr>
            <w:tr w:rsidR="00C84B54" w:rsidRPr="00693FF7" w:rsidTr="00C84B54">
              <w:tc>
                <w:tcPr>
                  <w:tcW w:w="3046" w:type="dxa"/>
                  <w:tcMar>
                    <w:top w:w="0" w:type="dxa"/>
                    <w:left w:w="108" w:type="dxa"/>
                    <w:bottom w:w="0" w:type="dxa"/>
                    <w:right w:w="108" w:type="dxa"/>
                  </w:tcMar>
                  <w:hideMark/>
                </w:tcPr>
                <w:p w:rsidR="00C84B54" w:rsidRPr="00693FF7" w:rsidRDefault="00C84B54" w:rsidP="00C84B54">
                  <w:pPr>
                    <w:ind w:left="142"/>
                    <w:rPr>
                      <w:rFonts w:asciiTheme="minorHAnsi" w:hAnsiTheme="minorHAnsi" w:cstheme="minorHAnsi"/>
                      <w:sz w:val="24"/>
                      <w:szCs w:val="24"/>
                    </w:rPr>
                  </w:pPr>
                  <w:r w:rsidRPr="00693FF7">
                    <w:rPr>
                      <w:rFonts w:asciiTheme="minorHAnsi" w:hAnsiTheme="minorHAnsi" w:cstheme="minorHAnsi"/>
                      <w:sz w:val="24"/>
                      <w:szCs w:val="24"/>
                    </w:rPr>
                    <w:t>Ticker</w:t>
                  </w:r>
                </w:p>
              </w:tc>
              <w:tc>
                <w:tcPr>
                  <w:tcW w:w="3223" w:type="dxa"/>
                  <w:tcMar>
                    <w:top w:w="0" w:type="dxa"/>
                    <w:left w:w="108" w:type="dxa"/>
                    <w:bottom w:w="0" w:type="dxa"/>
                    <w:right w:w="108" w:type="dxa"/>
                  </w:tcMar>
                  <w:hideMark/>
                </w:tcPr>
                <w:p w:rsidR="00C84B54" w:rsidRPr="00693FF7" w:rsidRDefault="00C84B54" w:rsidP="00C84B54">
                  <w:pPr>
                    <w:ind w:left="142"/>
                    <w:rPr>
                      <w:rFonts w:asciiTheme="minorHAnsi" w:hAnsiTheme="minorHAnsi" w:cstheme="minorHAnsi"/>
                      <w:sz w:val="24"/>
                      <w:szCs w:val="24"/>
                    </w:rPr>
                  </w:pPr>
                  <w:r w:rsidRPr="00693FF7">
                    <w:rPr>
                      <w:rFonts w:asciiTheme="minorHAnsi" w:hAnsiTheme="minorHAnsi" w:cstheme="minorHAnsi"/>
                      <w:sz w:val="24"/>
                      <w:szCs w:val="24"/>
                    </w:rPr>
                    <w:t>FBD.I or EG7.IR</w:t>
                  </w:r>
                </w:p>
              </w:tc>
              <w:tc>
                <w:tcPr>
                  <w:tcW w:w="3544" w:type="dxa"/>
                  <w:tcMar>
                    <w:top w:w="0" w:type="dxa"/>
                    <w:left w:w="108" w:type="dxa"/>
                    <w:bottom w:w="0" w:type="dxa"/>
                    <w:right w:w="108" w:type="dxa"/>
                  </w:tcMar>
                  <w:hideMark/>
                </w:tcPr>
                <w:p w:rsidR="00C84B54" w:rsidRPr="00693FF7" w:rsidRDefault="00C84B54" w:rsidP="00C84B54">
                  <w:pPr>
                    <w:ind w:left="142"/>
                    <w:rPr>
                      <w:rFonts w:asciiTheme="minorHAnsi" w:hAnsiTheme="minorHAnsi" w:cstheme="minorHAnsi"/>
                      <w:sz w:val="24"/>
                      <w:szCs w:val="24"/>
                    </w:rPr>
                  </w:pPr>
                  <w:r w:rsidRPr="00693FF7">
                    <w:rPr>
                      <w:rFonts w:asciiTheme="minorHAnsi" w:hAnsiTheme="minorHAnsi" w:cstheme="minorHAnsi"/>
                      <w:sz w:val="24"/>
                      <w:szCs w:val="24"/>
                    </w:rPr>
                    <w:t>FBH.L</w:t>
                  </w:r>
                </w:p>
              </w:tc>
            </w:tr>
            <w:tr w:rsidR="00C84B54" w:rsidRPr="00693FF7" w:rsidTr="00C84B54">
              <w:tc>
                <w:tcPr>
                  <w:tcW w:w="6269" w:type="dxa"/>
                  <w:gridSpan w:val="2"/>
                  <w:tcMar>
                    <w:top w:w="0" w:type="dxa"/>
                    <w:left w:w="108" w:type="dxa"/>
                    <w:bottom w:w="0" w:type="dxa"/>
                    <w:right w:w="108" w:type="dxa"/>
                  </w:tcMar>
                  <w:hideMark/>
                </w:tcPr>
                <w:p w:rsidR="00C84B54" w:rsidRPr="00693FF7" w:rsidRDefault="00C84B54" w:rsidP="00C84B54">
                  <w:pPr>
                    <w:ind w:left="142"/>
                    <w:rPr>
                      <w:rFonts w:asciiTheme="minorHAnsi" w:hAnsiTheme="minorHAnsi" w:cstheme="minorHAnsi"/>
                      <w:sz w:val="24"/>
                      <w:szCs w:val="24"/>
                    </w:rPr>
                  </w:pPr>
                </w:p>
              </w:tc>
              <w:tc>
                <w:tcPr>
                  <w:tcW w:w="3544" w:type="dxa"/>
                  <w:tcMar>
                    <w:top w:w="0" w:type="dxa"/>
                    <w:left w:w="108" w:type="dxa"/>
                    <w:bottom w:w="0" w:type="dxa"/>
                    <w:right w:w="108" w:type="dxa"/>
                  </w:tcMar>
                  <w:hideMark/>
                </w:tcPr>
                <w:p w:rsidR="00C84B54" w:rsidRPr="00693FF7" w:rsidRDefault="00C84B54" w:rsidP="00C84B54">
                  <w:pPr>
                    <w:ind w:left="142"/>
                    <w:rPr>
                      <w:rFonts w:asciiTheme="minorHAnsi" w:hAnsiTheme="minorHAnsi" w:cstheme="minorHAnsi"/>
                      <w:sz w:val="24"/>
                      <w:szCs w:val="24"/>
                    </w:rPr>
                  </w:pPr>
                </w:p>
              </w:tc>
            </w:tr>
          </w:tbl>
          <w:p w:rsidR="00C84B54" w:rsidRPr="00693FF7" w:rsidRDefault="00C84B54" w:rsidP="00C84B54">
            <w:pPr>
              <w:jc w:val="center"/>
              <w:rPr>
                <w:rFonts w:asciiTheme="minorHAnsi" w:hAnsiTheme="minorHAnsi" w:cstheme="minorHAnsi"/>
                <w:sz w:val="24"/>
                <w:szCs w:val="24"/>
              </w:rPr>
            </w:pPr>
            <w:r w:rsidRPr="00693FF7">
              <w:rPr>
                <w:rFonts w:asciiTheme="minorHAnsi" w:hAnsiTheme="minorHAnsi" w:cstheme="minorHAnsi"/>
                <w:sz w:val="24"/>
                <w:szCs w:val="24"/>
              </w:rPr>
              <w:br/>
              <w:t>FBD Holdings plc, FBD House, Bluebell, Dublin 12</w:t>
            </w:r>
            <w:r w:rsidRPr="00693FF7">
              <w:rPr>
                <w:rFonts w:asciiTheme="minorHAnsi" w:hAnsiTheme="minorHAnsi" w:cstheme="minorHAnsi"/>
                <w:sz w:val="24"/>
                <w:szCs w:val="24"/>
              </w:rPr>
              <w:br/>
              <w:t>Registered in Dublin, Ireland Registered Number 135882</w:t>
            </w:r>
          </w:p>
          <w:p w:rsidR="00B23035" w:rsidRPr="00693FF7" w:rsidRDefault="00B23035" w:rsidP="00C84B54">
            <w:pPr>
              <w:pBdr>
                <w:top w:val="single" w:sz="4" w:space="1" w:color="auto"/>
              </w:pBdr>
              <w:shd w:val="clear" w:color="auto" w:fill="FFFFFF"/>
              <w:ind w:right="5"/>
              <w:jc w:val="both"/>
              <w:rPr>
                <w:rFonts w:asciiTheme="minorHAnsi" w:eastAsiaTheme="minorHAnsi" w:hAnsiTheme="minorHAnsi" w:cstheme="minorHAnsi"/>
                <w:kern w:val="0"/>
                <w:sz w:val="24"/>
                <w:szCs w:val="24"/>
                <w:lang w:val="en-IE"/>
              </w:rPr>
            </w:pPr>
          </w:p>
        </w:tc>
      </w:tr>
    </w:tbl>
    <w:p w:rsidR="00B23035" w:rsidRPr="00693FF7" w:rsidRDefault="00B23035" w:rsidP="00B23035">
      <w:pPr>
        <w:rPr>
          <w:rFonts w:asciiTheme="minorHAnsi" w:hAnsiTheme="minorHAnsi" w:cstheme="minorHAnsi"/>
          <w:sz w:val="24"/>
          <w:szCs w:val="24"/>
        </w:rPr>
      </w:pPr>
    </w:p>
    <w:p w:rsidR="0072724F" w:rsidRDefault="00C93519"/>
    <w:sectPr w:rsidR="0072724F" w:rsidSect="00634A5D">
      <w:pgSz w:w="11907" w:h="16840" w:code="9"/>
      <w:pgMar w:top="1258" w:right="708"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5958" w:rsidRDefault="00F446DF">
      <w:r>
        <w:separator/>
      </w:r>
    </w:p>
  </w:endnote>
  <w:endnote w:type="continuationSeparator" w:id="0">
    <w:p w:rsidR="00895958" w:rsidRDefault="00F44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5958" w:rsidRDefault="00F446DF">
      <w:r>
        <w:separator/>
      </w:r>
    </w:p>
  </w:footnote>
  <w:footnote w:type="continuationSeparator" w:id="0">
    <w:p w:rsidR="00895958" w:rsidRDefault="00F446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035"/>
    <w:rsid w:val="001356C4"/>
    <w:rsid w:val="00310F4E"/>
    <w:rsid w:val="00370846"/>
    <w:rsid w:val="00430CFE"/>
    <w:rsid w:val="00526526"/>
    <w:rsid w:val="00693FF7"/>
    <w:rsid w:val="006B1277"/>
    <w:rsid w:val="006D75B5"/>
    <w:rsid w:val="006F2EF2"/>
    <w:rsid w:val="00760076"/>
    <w:rsid w:val="00837779"/>
    <w:rsid w:val="00885C41"/>
    <w:rsid w:val="00895958"/>
    <w:rsid w:val="008A5B55"/>
    <w:rsid w:val="00A0131F"/>
    <w:rsid w:val="00A814AA"/>
    <w:rsid w:val="00B23035"/>
    <w:rsid w:val="00B84A88"/>
    <w:rsid w:val="00C54CD1"/>
    <w:rsid w:val="00C84B54"/>
    <w:rsid w:val="00C93519"/>
    <w:rsid w:val="00CE0733"/>
    <w:rsid w:val="00DC0C3B"/>
    <w:rsid w:val="00DC30E3"/>
    <w:rsid w:val="00F446DF"/>
    <w:rsid w:val="00F533E7"/>
    <w:rsid w:val="00FC124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4E6D0"/>
  <w15:chartTrackingRefBased/>
  <w15:docId w15:val="{C9E5D707-59A3-46F8-B93D-BC82058A7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035"/>
    <w:pPr>
      <w:spacing w:after="0" w:line="240" w:lineRule="auto"/>
    </w:pPr>
    <w:rPr>
      <w:rFonts w:ascii="Arial" w:eastAsia="Times New Roman" w:hAnsi="Arial" w:cs="Arial"/>
      <w:kern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23035"/>
    <w:pPr>
      <w:tabs>
        <w:tab w:val="center" w:pos="4680"/>
        <w:tab w:val="right" w:pos="9360"/>
      </w:tabs>
    </w:pPr>
  </w:style>
  <w:style w:type="character" w:customStyle="1" w:styleId="HeaderChar">
    <w:name w:val="Header Char"/>
    <w:basedOn w:val="DefaultParagraphFont"/>
    <w:link w:val="Header"/>
    <w:uiPriority w:val="99"/>
    <w:semiHidden/>
    <w:rsid w:val="00B23035"/>
    <w:rPr>
      <w:rFonts w:ascii="Arial" w:eastAsia="Times New Roman" w:hAnsi="Arial" w:cs="Arial"/>
      <w:kern w:val="20"/>
      <w:lang w:val="en-US"/>
    </w:rPr>
  </w:style>
  <w:style w:type="paragraph" w:styleId="Footer">
    <w:name w:val="footer"/>
    <w:basedOn w:val="Normal"/>
    <w:link w:val="FooterChar"/>
    <w:uiPriority w:val="99"/>
    <w:semiHidden/>
    <w:rsid w:val="00B23035"/>
    <w:pPr>
      <w:tabs>
        <w:tab w:val="center" w:pos="4680"/>
        <w:tab w:val="right" w:pos="9360"/>
      </w:tabs>
    </w:pPr>
  </w:style>
  <w:style w:type="character" w:customStyle="1" w:styleId="FooterChar">
    <w:name w:val="Footer Char"/>
    <w:basedOn w:val="DefaultParagraphFont"/>
    <w:link w:val="Footer"/>
    <w:uiPriority w:val="99"/>
    <w:semiHidden/>
    <w:rsid w:val="00B23035"/>
    <w:rPr>
      <w:rFonts w:ascii="Arial" w:eastAsia="Times New Roman" w:hAnsi="Arial" w:cs="Arial"/>
      <w:kern w:val="20"/>
      <w:lang w:val="en-US"/>
    </w:rPr>
  </w:style>
  <w:style w:type="table" w:styleId="TableGrid">
    <w:name w:val="Table Grid"/>
    <w:basedOn w:val="TableNormal"/>
    <w:rsid w:val="00B2303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2022-12-09T14:41:47+00:00</DateReceived>
    <TaxCatchAll xmlns="801a3cf6-255d-4ff5-98fe-b4415afa84b5" xsi:nil="true"/>
  </documentManagement>
</p:properties>
</file>

<file path=customXml/itemProps1.xml><?xml version="1.0" encoding="utf-8"?>
<ds:datastoreItem xmlns:ds="http://schemas.openxmlformats.org/officeDocument/2006/customXml" ds:itemID="{F5EE4D78-31DF-4110-A2C7-E583AC484940}"/>
</file>

<file path=customXml/itemProps2.xml><?xml version="1.0" encoding="utf-8"?>
<ds:datastoreItem xmlns:ds="http://schemas.openxmlformats.org/officeDocument/2006/customXml" ds:itemID="{33C3C001-8137-4D4C-A087-C26C624D1190}"/>
</file>

<file path=customXml/itemProps3.xml><?xml version="1.0" encoding="utf-8"?>
<ds:datastoreItem xmlns:ds="http://schemas.openxmlformats.org/officeDocument/2006/customXml" ds:itemID="{071214EF-7EEA-4EA1-AFE1-149AFADFEAB4}"/>
</file>

<file path=docProps/app.xml><?xml version="1.0" encoding="utf-8"?>
<Properties xmlns="http://schemas.openxmlformats.org/officeDocument/2006/extended-properties" xmlns:vt="http://schemas.openxmlformats.org/officeDocument/2006/docPropsVTypes">
  <Template>Normal</Template>
  <TotalTime>3</TotalTime>
  <Pages>1</Pages>
  <Words>257</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FBD Insurance PLC</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Higgins</dc:creator>
  <cp:keywords/>
  <dc:description/>
  <cp:lastModifiedBy>Nadine Conlon</cp:lastModifiedBy>
  <cp:revision>3</cp:revision>
  <dcterms:created xsi:type="dcterms:W3CDTF">2022-12-07T19:11:00Z</dcterms:created>
  <dcterms:modified xsi:type="dcterms:W3CDTF">2022-12-09T14:00:00Z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