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FA" w:rsidRPr="00D307FA" w:rsidRDefault="00662747" w:rsidP="00D307FA">
      <w:pPr>
        <w:spacing w:after="0" w:line="240" w:lineRule="auto"/>
        <w:jc w:val="both"/>
        <w:rPr>
          <w:rFonts w:cs="Arial"/>
          <w:sz w:val="24"/>
          <w:szCs w:val="24"/>
          <w:lang w:val="en-US"/>
        </w:rPr>
      </w:pPr>
      <w:bookmarkStart w:id="0" w:name="_GoBack"/>
      <w:bookmarkEnd w:id="0"/>
      <w:r>
        <w:rPr>
          <w:rFonts w:cs="Arial"/>
          <w:b/>
          <w:bCs/>
          <w:color w:val="000000"/>
          <w:sz w:val="24"/>
          <w:szCs w:val="24"/>
          <w:lang w:val="en-US"/>
        </w:rPr>
        <w:t>F</w:t>
      </w:r>
      <w:r w:rsidR="00D307FA" w:rsidRPr="00341B52">
        <w:rPr>
          <w:rFonts w:cs="Arial"/>
          <w:b/>
          <w:bCs/>
          <w:color w:val="000000"/>
          <w:sz w:val="24"/>
          <w:szCs w:val="24"/>
          <w:lang w:val="en-US"/>
        </w:rPr>
        <w:t>BD Holdings plc</w:t>
      </w:r>
    </w:p>
    <w:p w:rsidR="00D307FA" w:rsidRPr="00C00D45" w:rsidRDefault="00867D0A" w:rsidP="00D307FA">
      <w:pPr>
        <w:spacing w:after="0" w:line="240" w:lineRule="auto"/>
        <w:jc w:val="both"/>
        <w:rPr>
          <w:rFonts w:cs="Arial"/>
          <w:sz w:val="24"/>
          <w:szCs w:val="24"/>
          <w:lang w:val="en-US"/>
        </w:rPr>
      </w:pPr>
      <w:r>
        <w:rPr>
          <w:rStyle w:val="aq"/>
          <w:rFonts w:cs="Arial"/>
          <w:b/>
          <w:bCs/>
          <w:color w:val="000000"/>
          <w:sz w:val="24"/>
          <w:szCs w:val="24"/>
        </w:rPr>
        <w:t>Chief Executive Officer’s</w:t>
      </w:r>
      <w:r w:rsidR="00C00D45" w:rsidRPr="00C00D45">
        <w:rPr>
          <w:rStyle w:val="aq"/>
          <w:rFonts w:cs="Arial"/>
          <w:b/>
          <w:bCs/>
          <w:color w:val="000000"/>
          <w:sz w:val="24"/>
          <w:szCs w:val="24"/>
        </w:rPr>
        <w:t xml:space="preserve"> Address to the Annual General Meeting</w:t>
      </w:r>
    </w:p>
    <w:p w:rsidR="00D307FA" w:rsidRPr="00D307FA" w:rsidRDefault="00363F64" w:rsidP="00D307FA">
      <w:pPr>
        <w:spacing w:after="0" w:line="240" w:lineRule="auto"/>
        <w:jc w:val="both"/>
        <w:rPr>
          <w:rFonts w:cs="Arial"/>
          <w:sz w:val="24"/>
          <w:szCs w:val="24"/>
          <w:lang w:val="en-US"/>
        </w:rPr>
      </w:pPr>
      <w:r>
        <w:rPr>
          <w:rFonts w:cs="Arial"/>
          <w:b/>
          <w:bCs/>
          <w:color w:val="000000"/>
          <w:sz w:val="24"/>
          <w:szCs w:val="24"/>
          <w:lang w:val="en-US"/>
        </w:rPr>
        <w:t>11</w:t>
      </w:r>
      <w:r w:rsidRPr="00363F64">
        <w:rPr>
          <w:rFonts w:cs="Arial"/>
          <w:b/>
          <w:bCs/>
          <w:color w:val="000000"/>
          <w:sz w:val="24"/>
          <w:szCs w:val="24"/>
          <w:vertAlign w:val="superscript"/>
          <w:lang w:val="en-US"/>
        </w:rPr>
        <w:t>th</w:t>
      </w:r>
      <w:r>
        <w:rPr>
          <w:rFonts w:cs="Arial"/>
          <w:b/>
          <w:bCs/>
          <w:color w:val="000000"/>
          <w:sz w:val="24"/>
          <w:szCs w:val="24"/>
          <w:lang w:val="en-US"/>
        </w:rPr>
        <w:t xml:space="preserve"> May 2023</w:t>
      </w:r>
    </w:p>
    <w:p w:rsidR="00D307FA" w:rsidRPr="00D307FA" w:rsidRDefault="00D307FA" w:rsidP="00D307FA">
      <w:pPr>
        <w:spacing w:after="0" w:line="240" w:lineRule="auto"/>
        <w:jc w:val="both"/>
        <w:rPr>
          <w:rFonts w:cs="Arial"/>
          <w:sz w:val="24"/>
          <w:szCs w:val="24"/>
          <w:lang w:val="en-US"/>
        </w:rPr>
      </w:pPr>
    </w:p>
    <w:p w:rsidR="00C00D45" w:rsidRPr="00C00D45" w:rsidRDefault="00C00D45" w:rsidP="00C32EB3">
      <w:pPr>
        <w:pStyle w:val="NoSpacing"/>
        <w:jc w:val="both"/>
        <w:rPr>
          <w:rStyle w:val="an"/>
          <w:rFonts w:cs="Arial"/>
          <w:color w:val="000000"/>
          <w:sz w:val="24"/>
          <w:szCs w:val="24"/>
        </w:rPr>
      </w:pPr>
      <w:r w:rsidRPr="00C00D45">
        <w:rPr>
          <w:rStyle w:val="an"/>
          <w:rFonts w:cs="Arial"/>
          <w:color w:val="000000"/>
          <w:sz w:val="24"/>
          <w:szCs w:val="24"/>
        </w:rPr>
        <w:t xml:space="preserve">In the course of his address to shareholders at the Annual General Meeting today, the </w:t>
      </w:r>
      <w:r w:rsidR="00867D0A">
        <w:rPr>
          <w:rStyle w:val="an"/>
          <w:rFonts w:cs="Arial"/>
          <w:color w:val="000000"/>
          <w:sz w:val="24"/>
          <w:szCs w:val="24"/>
        </w:rPr>
        <w:t>Chief Executive Officer</w:t>
      </w:r>
      <w:r w:rsidRPr="00C00D45">
        <w:rPr>
          <w:rStyle w:val="an"/>
          <w:rFonts w:cs="Arial"/>
          <w:color w:val="000000"/>
          <w:sz w:val="24"/>
          <w:szCs w:val="24"/>
        </w:rPr>
        <w:t xml:space="preserve">, Mr. </w:t>
      </w:r>
      <w:r w:rsidR="00867D0A">
        <w:rPr>
          <w:rStyle w:val="an"/>
          <w:rFonts w:cs="Arial"/>
          <w:color w:val="000000"/>
          <w:sz w:val="24"/>
          <w:szCs w:val="24"/>
        </w:rPr>
        <w:t xml:space="preserve">Tomás </w:t>
      </w:r>
      <w:r w:rsidR="0025218C">
        <w:rPr>
          <w:rStyle w:val="an"/>
          <w:rFonts w:cs="Arial"/>
          <w:color w:val="000000"/>
          <w:sz w:val="24"/>
          <w:szCs w:val="24"/>
        </w:rPr>
        <w:t xml:space="preserve">Ó </w:t>
      </w:r>
      <w:r w:rsidR="00867D0A">
        <w:rPr>
          <w:rStyle w:val="an"/>
          <w:rFonts w:cs="Arial"/>
          <w:color w:val="000000"/>
          <w:sz w:val="24"/>
          <w:szCs w:val="24"/>
        </w:rPr>
        <w:t>Midheach</w:t>
      </w:r>
      <w:r w:rsidRPr="00C00D45">
        <w:rPr>
          <w:rStyle w:val="an"/>
          <w:rFonts w:cs="Arial"/>
          <w:color w:val="000000"/>
          <w:sz w:val="24"/>
          <w:szCs w:val="24"/>
        </w:rPr>
        <w:t>, will make the following statement on current trading:</w:t>
      </w:r>
    </w:p>
    <w:p w:rsidR="00C00D45" w:rsidRDefault="00C00D45" w:rsidP="00C32EB3">
      <w:pPr>
        <w:pStyle w:val="NoSpacing"/>
        <w:jc w:val="both"/>
        <w:rPr>
          <w:rStyle w:val="an"/>
          <w:rFonts w:ascii="Arial" w:hAnsi="Arial" w:cs="Arial"/>
          <w:color w:val="000000"/>
          <w:sz w:val="20"/>
          <w:szCs w:val="20"/>
        </w:rPr>
      </w:pPr>
    </w:p>
    <w:p w:rsidR="00623E5A" w:rsidRDefault="00C00D45" w:rsidP="00B74710">
      <w:pPr>
        <w:pStyle w:val="NoSpacing"/>
        <w:jc w:val="both"/>
        <w:rPr>
          <w:rFonts w:eastAsia="Times New Roman" w:cs="Arial"/>
          <w:color w:val="000000"/>
          <w:sz w:val="24"/>
          <w:szCs w:val="24"/>
        </w:rPr>
      </w:pPr>
      <w:r>
        <w:rPr>
          <w:rFonts w:eastAsia="Times New Roman" w:cs="Arial"/>
          <w:color w:val="000000"/>
          <w:sz w:val="24"/>
          <w:szCs w:val="24"/>
        </w:rPr>
        <w:t>“</w:t>
      </w:r>
      <w:r w:rsidR="00623E5A">
        <w:rPr>
          <w:rFonts w:eastAsia="Times New Roman" w:cs="Arial"/>
          <w:color w:val="000000"/>
          <w:sz w:val="24"/>
          <w:szCs w:val="24"/>
        </w:rPr>
        <w:t xml:space="preserve">The </w:t>
      </w:r>
      <w:r w:rsidR="00500710">
        <w:rPr>
          <w:rFonts w:eastAsia="Times New Roman" w:cs="Arial"/>
          <w:color w:val="000000"/>
          <w:sz w:val="24"/>
          <w:szCs w:val="24"/>
        </w:rPr>
        <w:t>underwriting performance</w:t>
      </w:r>
      <w:r w:rsidR="00623E5A">
        <w:rPr>
          <w:rFonts w:eastAsia="Times New Roman" w:cs="Arial"/>
          <w:color w:val="000000"/>
          <w:sz w:val="24"/>
          <w:szCs w:val="24"/>
        </w:rPr>
        <w:t xml:space="preserve"> of our business for 202</w:t>
      </w:r>
      <w:r w:rsidR="00363F64">
        <w:rPr>
          <w:rFonts w:eastAsia="Times New Roman" w:cs="Arial"/>
          <w:color w:val="000000"/>
          <w:sz w:val="24"/>
          <w:szCs w:val="24"/>
        </w:rPr>
        <w:t>3</w:t>
      </w:r>
      <w:r w:rsidR="00623E5A">
        <w:rPr>
          <w:rFonts w:eastAsia="Times New Roman" w:cs="Arial"/>
          <w:color w:val="000000"/>
          <w:sz w:val="24"/>
          <w:szCs w:val="24"/>
        </w:rPr>
        <w:t xml:space="preserve"> to date has been in line with expectations.</w:t>
      </w:r>
      <w:r w:rsidR="00623E5A" w:rsidRPr="00623E5A">
        <w:rPr>
          <w:rFonts w:ascii="Calibri" w:hAnsi="Calibri"/>
          <w:sz w:val="24"/>
          <w:szCs w:val="24"/>
          <w:lang w:val="en-IE"/>
        </w:rPr>
        <w:t xml:space="preserve"> </w:t>
      </w:r>
      <w:r w:rsidR="00623E5A">
        <w:rPr>
          <w:rFonts w:ascii="Calibri" w:hAnsi="Calibri"/>
          <w:sz w:val="24"/>
          <w:szCs w:val="24"/>
          <w:lang w:val="en-IE"/>
        </w:rPr>
        <w:t xml:space="preserve">While </w:t>
      </w:r>
      <w:r w:rsidR="007F228E">
        <w:rPr>
          <w:rFonts w:ascii="Calibri" w:hAnsi="Calibri"/>
          <w:sz w:val="24"/>
          <w:szCs w:val="24"/>
          <w:lang w:val="en-IE"/>
        </w:rPr>
        <w:t>inflation continues to be experienced in property and motor damage claims, injury claims experience has been benign</w:t>
      </w:r>
      <w:r w:rsidR="00623E5A">
        <w:rPr>
          <w:rFonts w:ascii="Calibri" w:hAnsi="Calibri"/>
          <w:sz w:val="24"/>
          <w:szCs w:val="24"/>
          <w:lang w:val="en-IE"/>
        </w:rPr>
        <w:t xml:space="preserve"> and </w:t>
      </w:r>
      <w:r w:rsidR="0025218C">
        <w:rPr>
          <w:rFonts w:ascii="Calibri" w:hAnsi="Calibri"/>
          <w:sz w:val="24"/>
          <w:szCs w:val="24"/>
          <w:lang w:val="en-IE"/>
        </w:rPr>
        <w:t xml:space="preserve">there were </w:t>
      </w:r>
      <w:r w:rsidR="00623E5A">
        <w:rPr>
          <w:rFonts w:ascii="Calibri" w:hAnsi="Calibri"/>
          <w:sz w:val="24"/>
          <w:szCs w:val="24"/>
          <w:lang w:val="en-IE"/>
        </w:rPr>
        <w:t>no significan</w:t>
      </w:r>
      <w:r w:rsidR="007F228E">
        <w:rPr>
          <w:rFonts w:ascii="Calibri" w:hAnsi="Calibri"/>
          <w:sz w:val="24"/>
          <w:szCs w:val="24"/>
          <w:lang w:val="en-IE"/>
        </w:rPr>
        <w:t>t weather events.</w:t>
      </w:r>
    </w:p>
    <w:p w:rsidR="00623E5A" w:rsidRDefault="00623E5A" w:rsidP="00B74710">
      <w:pPr>
        <w:pStyle w:val="NoSpacing"/>
        <w:jc w:val="both"/>
        <w:rPr>
          <w:rFonts w:eastAsia="Times New Roman" w:cs="Arial"/>
          <w:color w:val="000000"/>
          <w:sz w:val="24"/>
          <w:szCs w:val="24"/>
        </w:rPr>
      </w:pPr>
    </w:p>
    <w:p w:rsidR="003F5193" w:rsidRDefault="00363F64" w:rsidP="00B74710">
      <w:pPr>
        <w:pStyle w:val="NoSpacing"/>
        <w:jc w:val="both"/>
        <w:rPr>
          <w:rFonts w:ascii="Calibri" w:hAnsi="Calibri"/>
          <w:sz w:val="24"/>
          <w:szCs w:val="24"/>
          <w:lang w:val="en-IE"/>
        </w:rPr>
      </w:pPr>
      <w:r>
        <w:rPr>
          <w:rFonts w:ascii="Calibri" w:hAnsi="Calibri"/>
          <w:sz w:val="24"/>
          <w:szCs w:val="24"/>
          <w:lang w:val="en-IE"/>
        </w:rPr>
        <w:t xml:space="preserve">We continue to see growth in </w:t>
      </w:r>
      <w:r w:rsidR="003F5193">
        <w:rPr>
          <w:rFonts w:ascii="Calibri" w:hAnsi="Calibri"/>
          <w:sz w:val="24"/>
          <w:szCs w:val="24"/>
          <w:lang w:val="en-IE"/>
        </w:rPr>
        <w:t xml:space="preserve">Gross Written Premium (GWP) </w:t>
      </w:r>
      <w:r w:rsidR="00632AB1">
        <w:rPr>
          <w:rFonts w:ascii="Calibri" w:hAnsi="Calibri"/>
          <w:sz w:val="24"/>
          <w:szCs w:val="24"/>
          <w:lang w:val="en-IE"/>
        </w:rPr>
        <w:t xml:space="preserve">which </w:t>
      </w:r>
      <w:r w:rsidR="003F5193">
        <w:rPr>
          <w:rFonts w:ascii="Calibri" w:hAnsi="Calibri"/>
          <w:sz w:val="24"/>
          <w:szCs w:val="24"/>
          <w:lang w:val="en-IE"/>
        </w:rPr>
        <w:t xml:space="preserve">has increased by approximately </w:t>
      </w:r>
      <w:r w:rsidR="00797DD4">
        <w:rPr>
          <w:rFonts w:ascii="Calibri" w:hAnsi="Calibri"/>
          <w:sz w:val="24"/>
          <w:szCs w:val="24"/>
          <w:lang w:val="en-IE"/>
        </w:rPr>
        <w:t>8</w:t>
      </w:r>
      <w:r w:rsidR="003F5193">
        <w:rPr>
          <w:rFonts w:ascii="Calibri" w:hAnsi="Calibri"/>
          <w:sz w:val="24"/>
          <w:szCs w:val="24"/>
          <w:lang w:val="en-IE"/>
        </w:rPr>
        <w:t xml:space="preserve">% compared to the same period </w:t>
      </w:r>
      <w:r w:rsidR="0025218C">
        <w:rPr>
          <w:rFonts w:ascii="Calibri" w:hAnsi="Calibri"/>
          <w:sz w:val="24"/>
          <w:szCs w:val="24"/>
          <w:lang w:val="en-IE"/>
        </w:rPr>
        <w:t>in</w:t>
      </w:r>
      <w:r w:rsidR="003F5193">
        <w:rPr>
          <w:rFonts w:ascii="Calibri" w:hAnsi="Calibri"/>
          <w:sz w:val="24"/>
          <w:szCs w:val="24"/>
          <w:lang w:val="en-IE"/>
        </w:rPr>
        <w:t xml:space="preserve"> 202</w:t>
      </w:r>
      <w:r>
        <w:rPr>
          <w:rFonts w:ascii="Calibri" w:hAnsi="Calibri"/>
          <w:sz w:val="24"/>
          <w:szCs w:val="24"/>
          <w:lang w:val="en-IE"/>
        </w:rPr>
        <w:t>2</w:t>
      </w:r>
      <w:r w:rsidR="003F5193">
        <w:rPr>
          <w:rFonts w:ascii="Calibri" w:hAnsi="Calibri"/>
          <w:sz w:val="24"/>
          <w:szCs w:val="24"/>
          <w:lang w:val="en-IE"/>
        </w:rPr>
        <w:t xml:space="preserve">. </w:t>
      </w:r>
      <w:r w:rsidR="003A1678">
        <w:rPr>
          <w:rFonts w:ascii="Calibri" w:hAnsi="Calibri"/>
          <w:sz w:val="24"/>
          <w:szCs w:val="24"/>
          <w:lang w:val="en-IE"/>
        </w:rPr>
        <w:t>This growth has come from increased policies written as well as higher average premium</w:t>
      </w:r>
      <w:r w:rsidR="003F5193">
        <w:rPr>
          <w:rFonts w:ascii="Calibri" w:hAnsi="Calibri"/>
          <w:sz w:val="24"/>
          <w:szCs w:val="24"/>
          <w:lang w:val="en-IE"/>
        </w:rPr>
        <w:t xml:space="preserve">. We </w:t>
      </w:r>
      <w:r w:rsidR="00797DD4">
        <w:rPr>
          <w:rFonts w:ascii="Calibri" w:hAnsi="Calibri"/>
          <w:sz w:val="24"/>
          <w:szCs w:val="24"/>
          <w:lang w:val="en-IE"/>
        </w:rPr>
        <w:t>are experiencing</w:t>
      </w:r>
      <w:r w:rsidR="003F5193">
        <w:rPr>
          <w:rFonts w:ascii="Calibri" w:hAnsi="Calibri"/>
          <w:sz w:val="24"/>
          <w:szCs w:val="24"/>
          <w:lang w:val="en-IE"/>
        </w:rPr>
        <w:t xml:space="preserve"> strong retention of existing customers.</w:t>
      </w:r>
    </w:p>
    <w:p w:rsidR="003F5193" w:rsidRDefault="003F5193" w:rsidP="00B74710">
      <w:pPr>
        <w:pStyle w:val="NoSpacing"/>
        <w:jc w:val="both"/>
        <w:rPr>
          <w:rFonts w:ascii="Calibri" w:hAnsi="Calibri"/>
          <w:sz w:val="24"/>
          <w:szCs w:val="24"/>
          <w:lang w:val="en-IE"/>
        </w:rPr>
      </w:pPr>
    </w:p>
    <w:p w:rsidR="003F5193" w:rsidRDefault="003F5193" w:rsidP="00B74710">
      <w:pPr>
        <w:pStyle w:val="NoSpacing"/>
        <w:jc w:val="both"/>
        <w:rPr>
          <w:rFonts w:ascii="Calibri" w:hAnsi="Calibri"/>
          <w:sz w:val="24"/>
          <w:szCs w:val="24"/>
          <w:lang w:val="en-IE"/>
        </w:rPr>
      </w:pPr>
      <w:r>
        <w:rPr>
          <w:rFonts w:ascii="Calibri" w:hAnsi="Calibri"/>
          <w:sz w:val="24"/>
          <w:szCs w:val="24"/>
          <w:lang w:val="en-IE"/>
        </w:rPr>
        <w:t xml:space="preserve">Investment </w:t>
      </w:r>
      <w:r w:rsidR="00363F64">
        <w:rPr>
          <w:rFonts w:ascii="Calibri" w:hAnsi="Calibri"/>
          <w:sz w:val="24"/>
          <w:szCs w:val="24"/>
          <w:lang w:val="en-IE"/>
        </w:rPr>
        <w:t>returns have been positive in 2023 to date, through both the Income Statement and Other Comprehensive Income, with mark to market gains in our risk asset and bond portfolios and higher income being achieved on reinvestments</w:t>
      </w:r>
      <w:r>
        <w:rPr>
          <w:rFonts w:ascii="Calibri" w:hAnsi="Calibri"/>
          <w:sz w:val="24"/>
          <w:szCs w:val="24"/>
          <w:lang w:val="en-IE"/>
        </w:rPr>
        <w:t xml:space="preserve">. </w:t>
      </w:r>
      <w:r w:rsidR="00363F64">
        <w:rPr>
          <w:rFonts w:ascii="Calibri" w:hAnsi="Calibri"/>
          <w:sz w:val="24"/>
          <w:szCs w:val="24"/>
          <w:lang w:val="en-IE"/>
        </w:rPr>
        <w:t xml:space="preserve">We continue to be capital accretive and </w:t>
      </w:r>
      <w:r w:rsidR="00F929FC">
        <w:rPr>
          <w:rFonts w:ascii="Calibri" w:hAnsi="Calibri"/>
          <w:sz w:val="24"/>
          <w:szCs w:val="24"/>
          <w:lang w:val="en-IE"/>
        </w:rPr>
        <w:t xml:space="preserve">remain </w:t>
      </w:r>
      <w:r w:rsidR="00363F64">
        <w:rPr>
          <w:rFonts w:ascii="Calibri" w:hAnsi="Calibri"/>
          <w:sz w:val="24"/>
          <w:szCs w:val="24"/>
          <w:lang w:val="en-IE"/>
        </w:rPr>
        <w:t>engag</w:t>
      </w:r>
      <w:r w:rsidR="00F929FC">
        <w:rPr>
          <w:rFonts w:ascii="Calibri" w:hAnsi="Calibri"/>
          <w:sz w:val="24"/>
          <w:szCs w:val="24"/>
          <w:lang w:val="en-IE"/>
        </w:rPr>
        <w:t xml:space="preserve">ed </w:t>
      </w:r>
      <w:r w:rsidR="00363F64">
        <w:rPr>
          <w:rFonts w:ascii="Calibri" w:hAnsi="Calibri"/>
          <w:sz w:val="24"/>
          <w:szCs w:val="24"/>
          <w:lang w:val="en-IE"/>
        </w:rPr>
        <w:t>with stakeholders on the return o</w:t>
      </w:r>
      <w:r w:rsidR="00632AB1">
        <w:rPr>
          <w:rFonts w:ascii="Calibri" w:hAnsi="Calibri"/>
          <w:sz w:val="24"/>
          <w:szCs w:val="24"/>
          <w:lang w:val="en-IE"/>
        </w:rPr>
        <w:t>f</w:t>
      </w:r>
      <w:r w:rsidR="00363F64">
        <w:rPr>
          <w:rFonts w:ascii="Calibri" w:hAnsi="Calibri"/>
          <w:sz w:val="24"/>
          <w:szCs w:val="24"/>
          <w:lang w:val="en-IE"/>
        </w:rPr>
        <w:t xml:space="preserve"> excess capital in the short/medium term</w:t>
      </w:r>
      <w:r>
        <w:rPr>
          <w:rFonts w:ascii="Calibri" w:hAnsi="Calibri"/>
          <w:sz w:val="24"/>
          <w:szCs w:val="24"/>
          <w:lang w:val="en-IE"/>
        </w:rPr>
        <w:t>.</w:t>
      </w:r>
    </w:p>
    <w:p w:rsidR="003F5193" w:rsidRDefault="003F5193" w:rsidP="00B74710">
      <w:pPr>
        <w:pStyle w:val="NoSpacing"/>
        <w:jc w:val="both"/>
        <w:rPr>
          <w:rFonts w:ascii="Calibri" w:hAnsi="Calibri"/>
          <w:sz w:val="24"/>
          <w:szCs w:val="24"/>
          <w:lang w:val="en-IE"/>
        </w:rPr>
      </w:pPr>
    </w:p>
    <w:p w:rsidR="00623E5A" w:rsidRDefault="00623E5A" w:rsidP="00B74710">
      <w:pPr>
        <w:pStyle w:val="NoSpacing"/>
        <w:jc w:val="both"/>
        <w:rPr>
          <w:rFonts w:eastAsia="Times New Roman" w:cs="Arial"/>
          <w:color w:val="000000"/>
          <w:sz w:val="24"/>
          <w:szCs w:val="24"/>
        </w:rPr>
      </w:pPr>
      <w:r>
        <w:rPr>
          <w:rFonts w:ascii="Calibri" w:hAnsi="Calibri"/>
          <w:sz w:val="24"/>
          <w:szCs w:val="24"/>
          <w:lang w:val="en-IE"/>
        </w:rPr>
        <w:t>The provision we hold for Covid</w:t>
      </w:r>
      <w:r w:rsidR="00F929FC">
        <w:rPr>
          <w:rFonts w:ascii="Calibri" w:hAnsi="Calibri"/>
          <w:sz w:val="24"/>
          <w:szCs w:val="24"/>
          <w:lang w:val="en-IE"/>
        </w:rPr>
        <w:t>-</w:t>
      </w:r>
      <w:r>
        <w:rPr>
          <w:rFonts w:ascii="Calibri" w:hAnsi="Calibri"/>
          <w:sz w:val="24"/>
          <w:szCs w:val="24"/>
          <w:lang w:val="en-IE"/>
        </w:rPr>
        <w:t>19 business interruption claims relating to our pub policies remains at €</w:t>
      </w:r>
      <w:r w:rsidR="003F5193">
        <w:rPr>
          <w:rFonts w:ascii="Calibri" w:hAnsi="Calibri"/>
          <w:sz w:val="24"/>
          <w:szCs w:val="24"/>
          <w:lang w:val="en-IE"/>
        </w:rPr>
        <w:t>4</w:t>
      </w:r>
      <w:r w:rsidR="00632AB1">
        <w:rPr>
          <w:rFonts w:ascii="Calibri" w:hAnsi="Calibri"/>
          <w:sz w:val="24"/>
          <w:szCs w:val="24"/>
          <w:lang w:val="en-IE"/>
        </w:rPr>
        <w:t>2</w:t>
      </w:r>
      <w:r w:rsidR="00F929FC">
        <w:rPr>
          <w:rFonts w:ascii="Calibri" w:hAnsi="Calibri"/>
          <w:sz w:val="24"/>
          <w:szCs w:val="24"/>
          <w:lang w:val="en-IE"/>
        </w:rPr>
        <w:t xml:space="preserve"> million</w:t>
      </w:r>
      <w:r>
        <w:rPr>
          <w:rFonts w:ascii="Calibri" w:hAnsi="Calibri"/>
          <w:sz w:val="24"/>
          <w:szCs w:val="24"/>
          <w:lang w:val="en-IE"/>
        </w:rPr>
        <w:t xml:space="preserve"> net of reinsurance. </w:t>
      </w:r>
      <w:r w:rsidR="00632AB1">
        <w:rPr>
          <w:rFonts w:ascii="Calibri" w:hAnsi="Calibri"/>
          <w:sz w:val="24"/>
          <w:szCs w:val="24"/>
          <w:lang w:val="en-IE"/>
        </w:rPr>
        <w:t xml:space="preserve">We </w:t>
      </w:r>
      <w:r w:rsidR="00797DD4">
        <w:rPr>
          <w:rFonts w:ascii="Calibri" w:hAnsi="Calibri"/>
          <w:sz w:val="24"/>
          <w:szCs w:val="24"/>
          <w:lang w:val="en-IE"/>
        </w:rPr>
        <w:t>now expect the written</w:t>
      </w:r>
      <w:r w:rsidR="00632AB1">
        <w:rPr>
          <w:rFonts w:ascii="Calibri" w:hAnsi="Calibri"/>
          <w:sz w:val="24"/>
          <w:szCs w:val="24"/>
          <w:lang w:val="en-IE"/>
        </w:rPr>
        <w:t xml:space="preserve"> reasoned ruling from the Judge in the test case</w:t>
      </w:r>
      <w:r w:rsidR="00797DD4">
        <w:rPr>
          <w:rFonts w:ascii="Calibri" w:hAnsi="Calibri"/>
          <w:sz w:val="24"/>
          <w:szCs w:val="24"/>
          <w:lang w:val="en-IE"/>
        </w:rPr>
        <w:t xml:space="preserve"> in </w:t>
      </w:r>
      <w:r w:rsidR="00F929FC">
        <w:rPr>
          <w:rFonts w:ascii="Calibri" w:hAnsi="Calibri"/>
          <w:sz w:val="24"/>
          <w:szCs w:val="24"/>
          <w:lang w:val="en-IE"/>
        </w:rPr>
        <w:t>mid-June</w:t>
      </w:r>
      <w:r w:rsidR="00632AB1">
        <w:rPr>
          <w:rFonts w:ascii="Calibri" w:hAnsi="Calibri"/>
          <w:sz w:val="24"/>
          <w:szCs w:val="24"/>
          <w:lang w:val="en-IE"/>
        </w:rPr>
        <w:t>. This ruling is anticipated to provide certainty in respect of outstanding issues and enable us to pay the balance of claims to publicans</w:t>
      </w:r>
      <w:r w:rsidR="003F5193">
        <w:rPr>
          <w:rFonts w:ascii="Calibri" w:hAnsi="Calibri"/>
          <w:sz w:val="24"/>
          <w:szCs w:val="24"/>
          <w:lang w:val="en-IE"/>
        </w:rPr>
        <w:t>.</w:t>
      </w:r>
    </w:p>
    <w:p w:rsidR="00623E5A" w:rsidRDefault="00623E5A" w:rsidP="00B74710">
      <w:pPr>
        <w:pStyle w:val="NoSpacing"/>
        <w:jc w:val="both"/>
        <w:rPr>
          <w:rFonts w:eastAsia="Times New Roman" w:cs="Arial"/>
          <w:color w:val="000000"/>
          <w:sz w:val="24"/>
          <w:szCs w:val="24"/>
        </w:rPr>
      </w:pPr>
    </w:p>
    <w:p w:rsidR="00B74710" w:rsidRDefault="003F5193" w:rsidP="00B74710">
      <w:pPr>
        <w:pStyle w:val="NoSpacing"/>
        <w:jc w:val="both"/>
        <w:rPr>
          <w:rFonts w:ascii="Calibri" w:hAnsi="Calibri"/>
          <w:sz w:val="24"/>
          <w:szCs w:val="24"/>
          <w:lang w:val="en-IE"/>
        </w:rPr>
      </w:pPr>
      <w:r>
        <w:rPr>
          <w:rFonts w:ascii="Calibri" w:hAnsi="Calibri"/>
          <w:sz w:val="24"/>
          <w:szCs w:val="24"/>
          <w:lang w:val="en-IE"/>
        </w:rPr>
        <w:t xml:space="preserve">We </w:t>
      </w:r>
      <w:r w:rsidR="00E85875">
        <w:rPr>
          <w:rFonts w:ascii="Calibri" w:hAnsi="Calibri"/>
          <w:sz w:val="24"/>
          <w:szCs w:val="24"/>
          <w:lang w:val="en-IE"/>
        </w:rPr>
        <w:t xml:space="preserve">are </w:t>
      </w:r>
      <w:r>
        <w:rPr>
          <w:rFonts w:ascii="Calibri" w:hAnsi="Calibri"/>
          <w:sz w:val="24"/>
          <w:szCs w:val="24"/>
          <w:lang w:val="en-IE"/>
        </w:rPr>
        <w:t>monitor</w:t>
      </w:r>
      <w:r w:rsidR="00E85875">
        <w:rPr>
          <w:rFonts w:ascii="Calibri" w:hAnsi="Calibri"/>
          <w:sz w:val="24"/>
          <w:szCs w:val="24"/>
          <w:lang w:val="en-IE"/>
        </w:rPr>
        <w:t>ing</w:t>
      </w:r>
      <w:r>
        <w:rPr>
          <w:rFonts w:ascii="Calibri" w:hAnsi="Calibri"/>
          <w:sz w:val="24"/>
          <w:szCs w:val="24"/>
          <w:lang w:val="en-IE"/>
        </w:rPr>
        <w:t xml:space="preserve"> the implementation of the Personal Injuries Guidelines</w:t>
      </w:r>
      <w:r w:rsidR="00632AB1">
        <w:rPr>
          <w:rFonts w:ascii="Calibri" w:hAnsi="Calibri"/>
          <w:sz w:val="24"/>
          <w:szCs w:val="24"/>
          <w:lang w:val="en-IE"/>
        </w:rPr>
        <w:t xml:space="preserve"> </w:t>
      </w:r>
      <w:r w:rsidR="00E85875">
        <w:rPr>
          <w:rFonts w:ascii="Calibri" w:hAnsi="Calibri"/>
          <w:sz w:val="24"/>
          <w:szCs w:val="24"/>
          <w:lang w:val="en-IE"/>
        </w:rPr>
        <w:t xml:space="preserve">on an ongoing basis </w:t>
      </w:r>
      <w:r w:rsidR="00632AB1">
        <w:rPr>
          <w:rFonts w:ascii="Calibri" w:hAnsi="Calibri"/>
          <w:sz w:val="24"/>
          <w:szCs w:val="24"/>
          <w:lang w:val="en-IE"/>
        </w:rPr>
        <w:t>and continue to</w:t>
      </w:r>
      <w:r w:rsidR="001750E2">
        <w:rPr>
          <w:rFonts w:ascii="Calibri" w:hAnsi="Calibri"/>
          <w:sz w:val="24"/>
          <w:szCs w:val="24"/>
          <w:lang w:val="en-IE"/>
        </w:rPr>
        <w:t xml:space="preserve"> </w:t>
      </w:r>
      <w:r>
        <w:rPr>
          <w:rFonts w:ascii="Calibri" w:hAnsi="Calibri"/>
          <w:sz w:val="24"/>
          <w:szCs w:val="24"/>
          <w:lang w:val="en-IE"/>
        </w:rPr>
        <w:t xml:space="preserve">reflect the impact seen to date </w:t>
      </w:r>
      <w:r w:rsidR="001750E2">
        <w:rPr>
          <w:rFonts w:ascii="Calibri" w:hAnsi="Calibri"/>
          <w:sz w:val="24"/>
          <w:szCs w:val="24"/>
          <w:lang w:val="en-IE"/>
        </w:rPr>
        <w:t>in the prices charge</w:t>
      </w:r>
      <w:r w:rsidR="005515B4">
        <w:rPr>
          <w:rFonts w:ascii="Calibri" w:hAnsi="Calibri"/>
          <w:sz w:val="24"/>
          <w:szCs w:val="24"/>
          <w:lang w:val="en-IE"/>
        </w:rPr>
        <w:t>d to customers</w:t>
      </w:r>
      <w:r w:rsidR="001750E2">
        <w:rPr>
          <w:rFonts w:ascii="Calibri" w:hAnsi="Calibri"/>
          <w:sz w:val="24"/>
          <w:szCs w:val="24"/>
          <w:lang w:val="en-IE"/>
        </w:rPr>
        <w:t>.</w:t>
      </w:r>
    </w:p>
    <w:p w:rsidR="00B74710" w:rsidRDefault="00B74710" w:rsidP="00B74710">
      <w:pPr>
        <w:pStyle w:val="NoSpacing"/>
        <w:jc w:val="both"/>
        <w:rPr>
          <w:rFonts w:ascii="Calibri" w:hAnsi="Calibri"/>
          <w:sz w:val="24"/>
          <w:szCs w:val="24"/>
          <w:lang w:val="en-IE"/>
        </w:rPr>
      </w:pPr>
    </w:p>
    <w:p w:rsidR="00355334" w:rsidRPr="00B74710" w:rsidRDefault="00B74710" w:rsidP="00355334">
      <w:pPr>
        <w:pStyle w:val="NoSpacing"/>
        <w:jc w:val="both"/>
        <w:rPr>
          <w:rFonts w:ascii="Calibri" w:hAnsi="Calibri"/>
          <w:sz w:val="24"/>
          <w:szCs w:val="24"/>
          <w:lang w:val="en-IE"/>
        </w:rPr>
      </w:pPr>
      <w:r>
        <w:rPr>
          <w:rFonts w:ascii="Calibri" w:hAnsi="Calibri"/>
          <w:sz w:val="24"/>
          <w:szCs w:val="24"/>
          <w:lang w:val="en-IE"/>
        </w:rPr>
        <w:t xml:space="preserve">Overall, </w:t>
      </w:r>
      <w:r w:rsidR="007E6F36">
        <w:rPr>
          <w:rFonts w:ascii="Calibri" w:hAnsi="Calibri"/>
          <w:sz w:val="24"/>
          <w:szCs w:val="24"/>
          <w:lang w:val="en-IE"/>
        </w:rPr>
        <w:t>w</w:t>
      </w:r>
      <w:r>
        <w:rPr>
          <w:rFonts w:ascii="Calibri" w:hAnsi="Calibri"/>
          <w:sz w:val="24"/>
          <w:szCs w:val="24"/>
          <w:lang w:val="en-IE"/>
        </w:rPr>
        <w:t>e remain confident in the underlying profitability, future growth prospects, capital strength of the business and in our ability to continue to provide excellent service to our customers.</w:t>
      </w:r>
      <w:r w:rsidR="00355334" w:rsidRPr="001403BF">
        <w:rPr>
          <w:rFonts w:eastAsia="Times New Roman" w:cs="Arial"/>
          <w:color w:val="000000"/>
          <w:sz w:val="24"/>
          <w:szCs w:val="24"/>
        </w:rPr>
        <w:t>”</w:t>
      </w:r>
    </w:p>
    <w:p w:rsidR="00A137EB" w:rsidRDefault="00A137EB" w:rsidP="00355334">
      <w:pPr>
        <w:pStyle w:val="NoSpacing"/>
        <w:jc w:val="both"/>
        <w:rPr>
          <w:rFonts w:eastAsia="Times New Roman" w:cs="Arial"/>
          <w:color w:val="000000"/>
          <w:sz w:val="24"/>
          <w:szCs w:val="24"/>
        </w:rPr>
      </w:pPr>
    </w:p>
    <w:tbl>
      <w:tblPr>
        <w:tblW w:w="9645" w:type="dxa"/>
        <w:tblInd w:w="-34" w:type="dxa"/>
        <w:tblCellMar>
          <w:left w:w="0" w:type="dxa"/>
          <w:right w:w="0" w:type="dxa"/>
        </w:tblCellMar>
        <w:tblLook w:val="04A0" w:firstRow="1" w:lastRow="0" w:firstColumn="1" w:lastColumn="0" w:noHBand="0" w:noVBand="1"/>
      </w:tblPr>
      <w:tblGrid>
        <w:gridCol w:w="6238"/>
        <w:gridCol w:w="3407"/>
      </w:tblGrid>
      <w:tr w:rsidR="00D307FA" w:rsidRPr="00D307FA" w:rsidTr="00341B52">
        <w:tc>
          <w:tcPr>
            <w:tcW w:w="6238" w:type="dxa"/>
            <w:tcMar>
              <w:top w:w="0" w:type="dxa"/>
              <w:left w:w="108" w:type="dxa"/>
              <w:bottom w:w="0" w:type="dxa"/>
              <w:right w:w="108" w:type="dxa"/>
            </w:tcMar>
            <w:hideMark/>
          </w:tcPr>
          <w:p w:rsidR="00D307FA" w:rsidRPr="00D307FA" w:rsidRDefault="00D307FA" w:rsidP="001F56D4">
            <w:pPr>
              <w:spacing w:after="0" w:line="240" w:lineRule="auto"/>
              <w:ind w:left="142" w:hanging="108"/>
              <w:rPr>
                <w:rFonts w:cs="Arial"/>
                <w:b/>
                <w:sz w:val="24"/>
                <w:szCs w:val="24"/>
                <w:lang w:val="en-US"/>
              </w:rPr>
            </w:pPr>
            <w:r w:rsidRPr="00D307FA">
              <w:rPr>
                <w:rFonts w:cs="Arial"/>
                <w:b/>
                <w:sz w:val="24"/>
                <w:szCs w:val="24"/>
                <w:lang w:val="en-US"/>
              </w:rPr>
              <w:t>Enquiries</w:t>
            </w:r>
          </w:p>
        </w:tc>
        <w:tc>
          <w:tcPr>
            <w:tcW w:w="3407" w:type="dxa"/>
            <w:tcMar>
              <w:top w:w="0" w:type="dxa"/>
              <w:left w:w="108" w:type="dxa"/>
              <w:bottom w:w="0" w:type="dxa"/>
              <w:right w:w="108" w:type="dxa"/>
            </w:tcMar>
            <w:hideMark/>
          </w:tcPr>
          <w:p w:rsidR="00D307FA" w:rsidRPr="00D307FA" w:rsidRDefault="00D307FA" w:rsidP="00D307FA">
            <w:pPr>
              <w:spacing w:after="0" w:line="240" w:lineRule="auto"/>
              <w:ind w:left="142"/>
              <w:rPr>
                <w:rFonts w:cs="Arial"/>
                <w:b/>
                <w:sz w:val="24"/>
                <w:szCs w:val="24"/>
                <w:lang w:val="en-US"/>
              </w:rPr>
            </w:pPr>
            <w:r w:rsidRPr="00D307FA">
              <w:rPr>
                <w:rFonts w:cs="Arial"/>
                <w:b/>
                <w:sz w:val="24"/>
                <w:szCs w:val="24"/>
                <w:lang w:val="en-US"/>
              </w:rPr>
              <w:t>Telephone</w:t>
            </w:r>
          </w:p>
        </w:tc>
      </w:tr>
      <w:tr w:rsidR="00D307FA" w:rsidRPr="00D307FA" w:rsidTr="00341B52">
        <w:tc>
          <w:tcPr>
            <w:tcW w:w="6238"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r>
      <w:tr w:rsidR="00D307FA" w:rsidRPr="00D307FA" w:rsidTr="00341B52">
        <w:tc>
          <w:tcPr>
            <w:tcW w:w="6238"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b/>
                <w:sz w:val="24"/>
                <w:szCs w:val="24"/>
                <w:lang w:val="en-US"/>
              </w:rPr>
            </w:pPr>
          </w:p>
          <w:p w:rsidR="00D307FA" w:rsidRPr="00D307FA" w:rsidRDefault="00D307FA" w:rsidP="001F56D4">
            <w:pPr>
              <w:spacing w:after="0" w:line="240" w:lineRule="auto"/>
              <w:ind w:left="142" w:hanging="142"/>
              <w:rPr>
                <w:rFonts w:cs="Arial"/>
                <w:b/>
                <w:sz w:val="24"/>
                <w:szCs w:val="24"/>
                <w:lang w:val="en-US"/>
              </w:rPr>
            </w:pPr>
            <w:r w:rsidRPr="00D307FA">
              <w:rPr>
                <w:rFonts w:cs="Arial"/>
                <w:b/>
                <w:sz w:val="24"/>
                <w:szCs w:val="24"/>
                <w:lang w:val="en-US"/>
              </w:rPr>
              <w:t>FBD Holdings plc</w:t>
            </w:r>
          </w:p>
        </w:tc>
        <w:tc>
          <w:tcPr>
            <w:tcW w:w="3407"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sz w:val="24"/>
                <w:szCs w:val="24"/>
                <w:lang w:val="en-US"/>
              </w:rPr>
            </w:pPr>
          </w:p>
        </w:tc>
      </w:tr>
      <w:tr w:rsidR="00D307FA" w:rsidRPr="00D307FA" w:rsidTr="00341B52">
        <w:tc>
          <w:tcPr>
            <w:tcW w:w="6238" w:type="dxa"/>
            <w:tcMar>
              <w:top w:w="0" w:type="dxa"/>
              <w:left w:w="108" w:type="dxa"/>
              <w:bottom w:w="0" w:type="dxa"/>
              <w:right w:w="108" w:type="dxa"/>
            </w:tcMar>
            <w:hideMark/>
          </w:tcPr>
          <w:p w:rsidR="00D307FA" w:rsidRPr="00D307FA" w:rsidRDefault="004B052D" w:rsidP="004B052D">
            <w:pPr>
              <w:spacing w:after="0" w:line="240" w:lineRule="auto"/>
              <w:ind w:left="142" w:hanging="142"/>
              <w:rPr>
                <w:rFonts w:cs="Arial"/>
                <w:sz w:val="24"/>
                <w:szCs w:val="24"/>
                <w:lang w:val="en-US"/>
              </w:rPr>
            </w:pPr>
            <w:r>
              <w:rPr>
                <w:rFonts w:cs="Arial"/>
                <w:sz w:val="24"/>
                <w:szCs w:val="24"/>
                <w:lang w:val="en-US"/>
              </w:rPr>
              <w:t>Michael Sharpe</w:t>
            </w:r>
            <w:r w:rsidR="00D307FA" w:rsidRPr="00D307FA">
              <w:rPr>
                <w:rFonts w:cs="Arial"/>
                <w:sz w:val="24"/>
                <w:szCs w:val="24"/>
                <w:lang w:val="en-US"/>
              </w:rPr>
              <w:t xml:space="preserve">, </w:t>
            </w:r>
            <w:r>
              <w:rPr>
                <w:rFonts w:cs="Arial"/>
                <w:sz w:val="24"/>
                <w:szCs w:val="24"/>
                <w:lang w:val="en-US"/>
              </w:rPr>
              <w:t>Investor Relations</w:t>
            </w:r>
          </w:p>
        </w:tc>
        <w:tc>
          <w:tcPr>
            <w:tcW w:w="3407" w:type="dxa"/>
            <w:tcMar>
              <w:top w:w="0" w:type="dxa"/>
              <w:left w:w="108" w:type="dxa"/>
              <w:bottom w:w="0" w:type="dxa"/>
              <w:right w:w="108" w:type="dxa"/>
            </w:tcMar>
            <w:hideMark/>
          </w:tcPr>
          <w:p w:rsidR="00D307FA" w:rsidRPr="00D307FA" w:rsidRDefault="001750E2" w:rsidP="001750E2">
            <w:pPr>
              <w:spacing w:after="0" w:line="240" w:lineRule="auto"/>
              <w:ind w:left="142" w:hanging="142"/>
              <w:rPr>
                <w:rFonts w:cs="Arial"/>
                <w:sz w:val="24"/>
                <w:szCs w:val="24"/>
                <w:lang w:val="en-US"/>
              </w:rPr>
            </w:pPr>
            <w:r>
              <w:rPr>
                <w:rFonts w:cs="Arial"/>
                <w:sz w:val="24"/>
                <w:szCs w:val="24"/>
                <w:lang w:val="en-US"/>
              </w:rPr>
              <w:t>+353 87 915 2914</w:t>
            </w:r>
          </w:p>
        </w:tc>
      </w:tr>
      <w:tr w:rsidR="00D307FA" w:rsidRPr="00D307FA" w:rsidTr="00341B52">
        <w:tc>
          <w:tcPr>
            <w:tcW w:w="6238"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b/>
                <w:sz w:val="24"/>
                <w:szCs w:val="24"/>
                <w:lang w:val="en-US"/>
              </w:rPr>
            </w:pPr>
          </w:p>
          <w:p w:rsidR="00D307FA" w:rsidRPr="00D307FA" w:rsidRDefault="00033C6D" w:rsidP="00033C6D">
            <w:pPr>
              <w:spacing w:after="0" w:line="240" w:lineRule="auto"/>
              <w:ind w:left="142" w:hanging="142"/>
              <w:rPr>
                <w:rFonts w:cs="Arial"/>
                <w:b/>
                <w:sz w:val="24"/>
                <w:szCs w:val="24"/>
                <w:lang w:val="en-US"/>
              </w:rPr>
            </w:pPr>
            <w:r>
              <w:rPr>
                <w:rFonts w:cs="Arial"/>
                <w:b/>
                <w:sz w:val="24"/>
                <w:szCs w:val="24"/>
                <w:lang w:val="en-US"/>
              </w:rPr>
              <w:t>Drury Communications</w:t>
            </w:r>
          </w:p>
        </w:tc>
        <w:tc>
          <w:tcPr>
            <w:tcW w:w="3407"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sz w:val="24"/>
                <w:szCs w:val="24"/>
                <w:lang w:val="en-US"/>
              </w:rPr>
            </w:pPr>
          </w:p>
        </w:tc>
      </w:tr>
      <w:tr w:rsidR="00D307FA" w:rsidRPr="00D307FA" w:rsidTr="00341B52">
        <w:tc>
          <w:tcPr>
            <w:tcW w:w="6238" w:type="dxa"/>
            <w:tcMar>
              <w:top w:w="0" w:type="dxa"/>
              <w:left w:w="108" w:type="dxa"/>
              <w:bottom w:w="0" w:type="dxa"/>
              <w:right w:w="108" w:type="dxa"/>
            </w:tcMar>
            <w:hideMark/>
          </w:tcPr>
          <w:p w:rsidR="00D307FA" w:rsidRPr="00D307FA" w:rsidRDefault="00033C6D" w:rsidP="00033C6D">
            <w:pPr>
              <w:spacing w:after="0" w:line="240" w:lineRule="auto"/>
              <w:ind w:left="142" w:hanging="142"/>
              <w:rPr>
                <w:rFonts w:cs="Arial"/>
                <w:sz w:val="24"/>
                <w:szCs w:val="24"/>
                <w:lang w:val="en-US"/>
              </w:rPr>
            </w:pPr>
            <w:r>
              <w:rPr>
                <w:rFonts w:cs="Arial"/>
                <w:sz w:val="24"/>
                <w:szCs w:val="24"/>
                <w:lang w:val="en-US"/>
              </w:rPr>
              <w:t>Paddy Hughes</w:t>
            </w:r>
          </w:p>
        </w:tc>
        <w:tc>
          <w:tcPr>
            <w:tcW w:w="3407" w:type="dxa"/>
            <w:tcMar>
              <w:top w:w="0" w:type="dxa"/>
              <w:left w:w="108" w:type="dxa"/>
              <w:bottom w:w="0" w:type="dxa"/>
              <w:right w:w="108" w:type="dxa"/>
            </w:tcMar>
            <w:hideMark/>
          </w:tcPr>
          <w:tbl>
            <w:tblPr>
              <w:tblW w:w="0" w:type="auto"/>
              <w:tblLook w:val="01E0" w:firstRow="1" w:lastRow="1" w:firstColumn="1" w:lastColumn="1" w:noHBand="0" w:noVBand="0"/>
            </w:tblPr>
            <w:tblGrid>
              <w:gridCol w:w="2502"/>
            </w:tblGrid>
            <w:tr w:rsidR="00D307FA" w:rsidRPr="00D307FA" w:rsidTr="00341B52">
              <w:tc>
                <w:tcPr>
                  <w:tcW w:w="2502" w:type="dxa"/>
                </w:tcPr>
                <w:p w:rsidR="00D307FA" w:rsidRPr="00033C6D" w:rsidRDefault="00033C6D" w:rsidP="00033C6D">
                  <w:pPr>
                    <w:autoSpaceDE w:val="0"/>
                    <w:autoSpaceDN w:val="0"/>
                    <w:adjustRightInd w:val="0"/>
                    <w:spacing w:after="0" w:line="240" w:lineRule="auto"/>
                    <w:ind w:hanging="142"/>
                    <w:rPr>
                      <w:rFonts w:cstheme="minorHAnsi"/>
                      <w:sz w:val="24"/>
                      <w:szCs w:val="24"/>
                      <w:lang w:val="en-IE"/>
                    </w:rPr>
                  </w:pPr>
                  <w:r w:rsidRPr="00033C6D">
                    <w:rPr>
                      <w:rFonts w:cstheme="minorHAnsi"/>
                      <w:color w:val="000000"/>
                      <w:sz w:val="24"/>
                      <w:szCs w:val="24"/>
                      <w:lang w:eastAsia="en-GB"/>
                    </w:rPr>
                    <w:t>+353 87 616 7811</w:t>
                  </w:r>
                </w:p>
              </w:tc>
            </w:tr>
          </w:tbl>
          <w:p w:rsidR="00D307FA" w:rsidRPr="00D307FA" w:rsidRDefault="00D307FA" w:rsidP="001F56D4">
            <w:pPr>
              <w:spacing w:after="0" w:line="240" w:lineRule="auto"/>
              <w:ind w:left="142" w:hanging="142"/>
              <w:rPr>
                <w:rFonts w:cs="Arial"/>
                <w:sz w:val="24"/>
                <w:szCs w:val="24"/>
                <w:lang w:val="en-US"/>
              </w:rPr>
            </w:pPr>
          </w:p>
        </w:tc>
      </w:tr>
    </w:tbl>
    <w:p w:rsidR="00D307FA" w:rsidRPr="00D307FA" w:rsidRDefault="00D307FA" w:rsidP="001F56D4">
      <w:pPr>
        <w:spacing w:after="0" w:line="240" w:lineRule="auto"/>
        <w:ind w:hanging="142"/>
        <w:jc w:val="both"/>
        <w:rPr>
          <w:rFonts w:cs="Arial"/>
          <w:sz w:val="24"/>
          <w:szCs w:val="24"/>
          <w:lang w:val="en-US"/>
        </w:rPr>
      </w:pPr>
    </w:p>
    <w:p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t xml:space="preserve">About FBD Holdings plc </w:t>
      </w:r>
    </w:p>
    <w:p w:rsidR="00D307FA" w:rsidRDefault="004B052D" w:rsidP="00D307FA">
      <w:pPr>
        <w:spacing w:after="0" w:line="240" w:lineRule="auto"/>
        <w:jc w:val="both"/>
        <w:rPr>
          <w:rFonts w:cs="Arial"/>
          <w:color w:val="000000"/>
          <w:sz w:val="24"/>
          <w:szCs w:val="24"/>
          <w:lang w:val="en-US"/>
        </w:rPr>
      </w:pPr>
      <w:r>
        <w:rPr>
          <w:rFonts w:cs="Arial"/>
          <w:color w:val="000000"/>
          <w:sz w:val="24"/>
          <w:szCs w:val="24"/>
          <w:lang w:val="en-US"/>
        </w:rPr>
        <w:t>FBD is one of Ireland’s largest property and casualty insurers, looking after the insurance needs of farmers, consumers and business owners. E</w:t>
      </w:r>
      <w:r w:rsidR="00D307FA" w:rsidRPr="00341B52">
        <w:rPr>
          <w:rFonts w:cs="Arial"/>
          <w:color w:val="000000"/>
          <w:sz w:val="24"/>
          <w:szCs w:val="24"/>
          <w:lang w:val="en-US"/>
        </w:rPr>
        <w:t xml:space="preserve">stablished in the 1960s </w:t>
      </w:r>
      <w:r>
        <w:rPr>
          <w:rFonts w:cs="Arial"/>
          <w:color w:val="000000"/>
          <w:sz w:val="24"/>
          <w:szCs w:val="24"/>
          <w:lang w:val="en-US"/>
        </w:rPr>
        <w:t xml:space="preserve">by farmers for farmers, FBD has built on those roots in agriculture to become a leading general insurer </w:t>
      </w:r>
      <w:r>
        <w:rPr>
          <w:rFonts w:cs="Arial"/>
          <w:color w:val="000000"/>
          <w:sz w:val="24"/>
          <w:szCs w:val="24"/>
          <w:lang w:val="en-US"/>
        </w:rPr>
        <w:lastRenderedPageBreak/>
        <w:t>serving the needs of its direct agricultural, small business and consumer customers throughout Ireland. It has a network of 34 branches nationwide</w:t>
      </w:r>
      <w:r w:rsidR="00D307FA" w:rsidRPr="00341B52">
        <w:rPr>
          <w:rFonts w:cs="Arial"/>
          <w:color w:val="000000"/>
          <w:sz w:val="24"/>
          <w:szCs w:val="24"/>
          <w:lang w:val="en-US"/>
        </w:rPr>
        <w:t xml:space="preserve">. </w:t>
      </w:r>
    </w:p>
    <w:p w:rsidR="00341B52" w:rsidRPr="00341B52" w:rsidRDefault="00341B52" w:rsidP="00D307FA">
      <w:pPr>
        <w:spacing w:after="0" w:line="240" w:lineRule="auto"/>
        <w:jc w:val="both"/>
        <w:rPr>
          <w:rFonts w:cs="Arial"/>
          <w:color w:val="000000"/>
          <w:sz w:val="24"/>
          <w:szCs w:val="24"/>
          <w:lang w:val="en-US"/>
        </w:rPr>
      </w:pPr>
    </w:p>
    <w:p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t>Forward Looking Statements</w:t>
      </w:r>
    </w:p>
    <w:p w:rsidR="00D307FA" w:rsidRPr="00341B52" w:rsidRDefault="00D307FA" w:rsidP="00D307FA">
      <w:pPr>
        <w:spacing w:after="0" w:line="240" w:lineRule="auto"/>
        <w:jc w:val="both"/>
        <w:rPr>
          <w:rFonts w:cs="Arial"/>
          <w:color w:val="000000"/>
          <w:sz w:val="24"/>
          <w:szCs w:val="24"/>
          <w:lang w:val="en-US"/>
        </w:rPr>
      </w:pPr>
      <w:r w:rsidRPr="00D307FA">
        <w:rPr>
          <w:rFonts w:cs="Arial"/>
          <w:sz w:val="24"/>
          <w:szCs w:val="24"/>
          <w:lang w:val="en-US"/>
        </w:rPr>
        <w:t xml:space="preserve">Some statements in this announcement are forward-looking.  They represent expectations for the Group's business, and involve risks and uncertainties.  These forward-looking statements are based on current expectations and projections about future events.  The Group believes that current expectations and assumptions with respect to these forward-looking statements are reasonable.  However, because they involve known and unknown risks, uncertainties and other factors, which are in some cases beyond the Group's control, actual results or performance may differ materially from </w:t>
      </w:r>
      <w:r w:rsidRPr="00341B52">
        <w:rPr>
          <w:rFonts w:cs="Arial"/>
          <w:color w:val="000000"/>
          <w:sz w:val="24"/>
          <w:szCs w:val="24"/>
          <w:lang w:val="en-US"/>
        </w:rPr>
        <w:t xml:space="preserve">those expressed or implied by such forward-looking statements. </w:t>
      </w:r>
    </w:p>
    <w:p w:rsidR="00D307FA" w:rsidRPr="00341B52" w:rsidRDefault="00D307FA" w:rsidP="00D307FA">
      <w:pPr>
        <w:spacing w:after="0" w:line="240" w:lineRule="auto"/>
        <w:jc w:val="both"/>
        <w:rPr>
          <w:rFonts w:cs="Arial"/>
          <w:color w:val="000000"/>
          <w:sz w:val="24"/>
          <w:szCs w:val="24"/>
          <w:lang w:val="en-US"/>
        </w:rPr>
      </w:pPr>
    </w:p>
    <w:p w:rsidR="00D307FA" w:rsidRPr="00341B52" w:rsidRDefault="00D307FA" w:rsidP="00D307FA">
      <w:pPr>
        <w:spacing w:after="0" w:line="240" w:lineRule="auto"/>
        <w:jc w:val="both"/>
        <w:rPr>
          <w:rFonts w:cs="Arial"/>
          <w:color w:val="000000"/>
          <w:sz w:val="24"/>
          <w:szCs w:val="24"/>
          <w:lang w:val="en-US"/>
        </w:rPr>
      </w:pPr>
      <w:r w:rsidRPr="00341B52">
        <w:rPr>
          <w:rFonts w:cs="Arial"/>
          <w:color w:val="000000"/>
          <w:sz w:val="24"/>
          <w:szCs w:val="24"/>
          <w:lang w:val="en-US"/>
        </w:rPr>
        <w:t>The following details relate to FBD's ordinary shares of €0.60 each which are publicly traded:</w:t>
      </w:r>
    </w:p>
    <w:p w:rsidR="00D307FA" w:rsidRPr="00341B52" w:rsidRDefault="00D307FA" w:rsidP="00D307FA">
      <w:pPr>
        <w:spacing w:after="0" w:line="240" w:lineRule="auto"/>
        <w:jc w:val="both"/>
        <w:rPr>
          <w:rFonts w:cs="Arial"/>
          <w:color w:val="000000"/>
          <w:sz w:val="24"/>
          <w:szCs w:val="24"/>
          <w:lang w:val="en-US"/>
        </w:rPr>
      </w:pPr>
    </w:p>
    <w:tbl>
      <w:tblPr>
        <w:tblW w:w="9645" w:type="dxa"/>
        <w:tblInd w:w="-34" w:type="dxa"/>
        <w:tblCellMar>
          <w:left w:w="0" w:type="dxa"/>
          <w:right w:w="0" w:type="dxa"/>
        </w:tblCellMar>
        <w:tblLook w:val="04A0" w:firstRow="1" w:lastRow="0" w:firstColumn="1" w:lastColumn="0" w:noHBand="0" w:noVBand="1"/>
      </w:tblPr>
      <w:tblGrid>
        <w:gridCol w:w="3046"/>
        <w:gridCol w:w="3165"/>
        <w:gridCol w:w="27"/>
        <w:gridCol w:w="3407"/>
      </w:tblGrid>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w:t>
            </w:r>
          </w:p>
        </w:tc>
        <w:tc>
          <w:tcPr>
            <w:tcW w:w="3165" w:type="dxa"/>
            <w:tcMar>
              <w:top w:w="0" w:type="dxa"/>
              <w:left w:w="108" w:type="dxa"/>
              <w:bottom w:w="0" w:type="dxa"/>
              <w:right w:w="108" w:type="dxa"/>
            </w:tcMar>
            <w:hideMark/>
          </w:tcPr>
          <w:p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gridSpan w:val="2"/>
            <w:tcMar>
              <w:top w:w="0" w:type="dxa"/>
              <w:left w:w="108" w:type="dxa"/>
              <w:bottom w:w="0" w:type="dxa"/>
              <w:right w:w="108" w:type="dxa"/>
            </w:tcMar>
            <w:hideMark/>
          </w:tcPr>
          <w:p w:rsidR="00D307FA" w:rsidRPr="00D307FA" w:rsidRDefault="00F929FC" w:rsidP="00D307FA">
            <w:pPr>
              <w:spacing w:after="0" w:line="240" w:lineRule="auto"/>
              <w:ind w:left="142"/>
              <w:rPr>
                <w:rFonts w:cs="Arial"/>
                <w:sz w:val="24"/>
                <w:szCs w:val="24"/>
                <w:lang w:val="en-US"/>
              </w:rPr>
            </w:pPr>
            <w:r>
              <w:rPr>
                <w:rFonts w:cs="Arial"/>
                <w:sz w:val="24"/>
                <w:szCs w:val="24"/>
                <w:lang w:val="en-US"/>
              </w:rPr>
              <w:t>Financial Conduct Authority</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 Category</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 (Equity)</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Trading Venue</w:t>
            </w:r>
          </w:p>
        </w:tc>
        <w:tc>
          <w:tcPr>
            <w:tcW w:w="3165" w:type="dxa"/>
            <w:tcMar>
              <w:top w:w="0" w:type="dxa"/>
              <w:left w:w="108" w:type="dxa"/>
              <w:bottom w:w="0" w:type="dxa"/>
              <w:right w:w="108" w:type="dxa"/>
            </w:tcMar>
            <w:hideMark/>
          </w:tcPr>
          <w:p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London Stock Exchange</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Market</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Securities Market</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Market</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ISIN</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Ticker</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FBD.I or EG7.IR</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FBH.L</w:t>
            </w:r>
          </w:p>
        </w:tc>
      </w:tr>
      <w:tr w:rsidR="00D307FA" w:rsidRPr="00D307FA" w:rsidTr="00341B52">
        <w:tc>
          <w:tcPr>
            <w:tcW w:w="6238" w:type="dxa"/>
            <w:gridSpan w:val="3"/>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r>
    </w:tbl>
    <w:p w:rsidR="00D307FA" w:rsidRPr="00D307FA" w:rsidRDefault="00D307FA" w:rsidP="00D307FA">
      <w:pPr>
        <w:spacing w:after="0" w:line="240" w:lineRule="auto"/>
        <w:jc w:val="center"/>
        <w:rPr>
          <w:rFonts w:cs="Arial"/>
          <w:sz w:val="24"/>
          <w:szCs w:val="24"/>
          <w:lang w:val="en-US"/>
        </w:rPr>
      </w:pPr>
      <w:r w:rsidRPr="00D307FA">
        <w:rPr>
          <w:rFonts w:cs="Arial"/>
          <w:sz w:val="24"/>
          <w:szCs w:val="24"/>
          <w:lang w:val="en-US"/>
        </w:rPr>
        <w:br/>
        <w:t>FBD Holdings plc, FBD House, Bluebell, Dublin 12</w:t>
      </w:r>
      <w:r w:rsidRPr="00D307FA">
        <w:rPr>
          <w:rFonts w:cs="Arial"/>
          <w:sz w:val="24"/>
          <w:szCs w:val="24"/>
          <w:lang w:val="en-US"/>
        </w:rPr>
        <w:br/>
        <w:t>Registered in Dublin, Ireland Registered Number 135882</w:t>
      </w:r>
    </w:p>
    <w:p w:rsidR="00140146" w:rsidRPr="00341B52" w:rsidRDefault="00140146">
      <w:pPr>
        <w:rPr>
          <w:sz w:val="24"/>
          <w:szCs w:val="24"/>
        </w:rPr>
      </w:pPr>
    </w:p>
    <w:sectPr w:rsidR="00140146" w:rsidRPr="00341B52" w:rsidSect="00341B52">
      <w:headerReference w:type="even" r:id="rId7"/>
      <w:headerReference w:type="default" r:id="rId8"/>
      <w:headerReference w:type="firs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4B9" w:rsidRDefault="00E764B9">
      <w:pPr>
        <w:spacing w:after="0" w:line="240" w:lineRule="auto"/>
      </w:pPr>
      <w:r>
        <w:separator/>
      </w:r>
    </w:p>
  </w:endnote>
  <w:endnote w:type="continuationSeparator" w:id="0">
    <w:p w:rsidR="00E764B9" w:rsidRDefault="00E7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4B9" w:rsidRDefault="00E764B9">
      <w:pPr>
        <w:spacing w:after="0" w:line="240" w:lineRule="auto"/>
      </w:pPr>
      <w:r>
        <w:separator/>
      </w:r>
    </w:p>
  </w:footnote>
  <w:footnote w:type="continuationSeparator" w:id="0">
    <w:p w:rsidR="00E764B9" w:rsidRDefault="00E76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B" w:rsidRDefault="00B87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F9E" w:rsidRDefault="00B26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B" w:rsidRDefault="00B87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FA"/>
    <w:rsid w:val="00025EC2"/>
    <w:rsid w:val="00033C6D"/>
    <w:rsid w:val="00037E64"/>
    <w:rsid w:val="0005642F"/>
    <w:rsid w:val="000903C0"/>
    <w:rsid w:val="000D227A"/>
    <w:rsid w:val="000F2FAF"/>
    <w:rsid w:val="000F6704"/>
    <w:rsid w:val="00122B42"/>
    <w:rsid w:val="00140146"/>
    <w:rsid w:val="001403BF"/>
    <w:rsid w:val="00172E96"/>
    <w:rsid w:val="00173237"/>
    <w:rsid w:val="001750E2"/>
    <w:rsid w:val="0019743B"/>
    <w:rsid w:val="001C7185"/>
    <w:rsid w:val="001E2E80"/>
    <w:rsid w:val="001F56D4"/>
    <w:rsid w:val="001F7873"/>
    <w:rsid w:val="001F7A31"/>
    <w:rsid w:val="0025218C"/>
    <w:rsid w:val="00266A2C"/>
    <w:rsid w:val="0027298D"/>
    <w:rsid w:val="0029509A"/>
    <w:rsid w:val="002A0028"/>
    <w:rsid w:val="002E4BAD"/>
    <w:rsid w:val="003234C7"/>
    <w:rsid w:val="00334F10"/>
    <w:rsid w:val="00341B52"/>
    <w:rsid w:val="00355334"/>
    <w:rsid w:val="00363F64"/>
    <w:rsid w:val="0038500C"/>
    <w:rsid w:val="003A1678"/>
    <w:rsid w:val="003E6343"/>
    <w:rsid w:val="003F5193"/>
    <w:rsid w:val="004014C4"/>
    <w:rsid w:val="004070CB"/>
    <w:rsid w:val="0043452C"/>
    <w:rsid w:val="00440B66"/>
    <w:rsid w:val="0048117A"/>
    <w:rsid w:val="004B052D"/>
    <w:rsid w:val="004D7EDB"/>
    <w:rsid w:val="004F0E28"/>
    <w:rsid w:val="00500710"/>
    <w:rsid w:val="00542FE5"/>
    <w:rsid w:val="005515B4"/>
    <w:rsid w:val="00564EA4"/>
    <w:rsid w:val="0056530D"/>
    <w:rsid w:val="005A40A4"/>
    <w:rsid w:val="005C372B"/>
    <w:rsid w:val="0060118E"/>
    <w:rsid w:val="006221D4"/>
    <w:rsid w:val="00623E5A"/>
    <w:rsid w:val="00632AB1"/>
    <w:rsid w:val="00636DA3"/>
    <w:rsid w:val="00656895"/>
    <w:rsid w:val="00662747"/>
    <w:rsid w:val="006772D5"/>
    <w:rsid w:val="0073101D"/>
    <w:rsid w:val="00741804"/>
    <w:rsid w:val="00750E8C"/>
    <w:rsid w:val="00764935"/>
    <w:rsid w:val="00766A85"/>
    <w:rsid w:val="00786820"/>
    <w:rsid w:val="00786E99"/>
    <w:rsid w:val="00797DD4"/>
    <w:rsid w:val="007C001C"/>
    <w:rsid w:val="007C7482"/>
    <w:rsid w:val="007D7600"/>
    <w:rsid w:val="007E065D"/>
    <w:rsid w:val="007E6F36"/>
    <w:rsid w:val="007F228E"/>
    <w:rsid w:val="008013F6"/>
    <w:rsid w:val="00801F11"/>
    <w:rsid w:val="00823CA4"/>
    <w:rsid w:val="00832ADC"/>
    <w:rsid w:val="0084268E"/>
    <w:rsid w:val="00867D0A"/>
    <w:rsid w:val="008B398C"/>
    <w:rsid w:val="009438F6"/>
    <w:rsid w:val="00961B8B"/>
    <w:rsid w:val="009A23E6"/>
    <w:rsid w:val="009E2999"/>
    <w:rsid w:val="009F3085"/>
    <w:rsid w:val="00A00086"/>
    <w:rsid w:val="00A137EB"/>
    <w:rsid w:val="00A53D68"/>
    <w:rsid w:val="00A60272"/>
    <w:rsid w:val="00A62E6D"/>
    <w:rsid w:val="00A80BF7"/>
    <w:rsid w:val="00AC3A60"/>
    <w:rsid w:val="00AC4CE5"/>
    <w:rsid w:val="00AE1790"/>
    <w:rsid w:val="00B2586E"/>
    <w:rsid w:val="00B26F9E"/>
    <w:rsid w:val="00B74710"/>
    <w:rsid w:val="00B875DB"/>
    <w:rsid w:val="00BB7046"/>
    <w:rsid w:val="00BD67BC"/>
    <w:rsid w:val="00BD6CC8"/>
    <w:rsid w:val="00C00D45"/>
    <w:rsid w:val="00C234F9"/>
    <w:rsid w:val="00C3072F"/>
    <w:rsid w:val="00C32EB3"/>
    <w:rsid w:val="00C945DD"/>
    <w:rsid w:val="00CE3328"/>
    <w:rsid w:val="00CE5E26"/>
    <w:rsid w:val="00CF6FA9"/>
    <w:rsid w:val="00D307FA"/>
    <w:rsid w:val="00D3744C"/>
    <w:rsid w:val="00D609E9"/>
    <w:rsid w:val="00DA79C4"/>
    <w:rsid w:val="00E5340B"/>
    <w:rsid w:val="00E67F59"/>
    <w:rsid w:val="00E764B9"/>
    <w:rsid w:val="00E85875"/>
    <w:rsid w:val="00EB60D1"/>
    <w:rsid w:val="00EB6A19"/>
    <w:rsid w:val="00EC0812"/>
    <w:rsid w:val="00EF29F6"/>
    <w:rsid w:val="00EF4686"/>
    <w:rsid w:val="00F555D2"/>
    <w:rsid w:val="00F83EC6"/>
    <w:rsid w:val="00F9213D"/>
    <w:rsid w:val="00F929FC"/>
    <w:rsid w:val="00FA5B85"/>
    <w:rsid w:val="00FC3021"/>
    <w:rsid w:val="00FD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FC8A46F-D6A6-446D-821E-D0AA6760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FA"/>
  </w:style>
  <w:style w:type="paragraph" w:styleId="BalloonText">
    <w:name w:val="Balloon Text"/>
    <w:basedOn w:val="Normal"/>
    <w:link w:val="BalloonTextChar"/>
    <w:uiPriority w:val="99"/>
    <w:semiHidden/>
    <w:unhideWhenUsed/>
    <w:rsid w:val="00AE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90"/>
    <w:rPr>
      <w:rFonts w:ascii="Tahoma" w:hAnsi="Tahoma" w:cs="Tahoma"/>
      <w:sz w:val="16"/>
      <w:szCs w:val="16"/>
    </w:rPr>
  </w:style>
  <w:style w:type="paragraph" w:styleId="NoSpacing">
    <w:name w:val="No Spacing"/>
    <w:uiPriority w:val="1"/>
    <w:qFormat/>
    <w:rsid w:val="00C32EB3"/>
    <w:pPr>
      <w:spacing w:after="0" w:line="240" w:lineRule="auto"/>
    </w:pPr>
    <w:rPr>
      <w:lang w:val="en-US"/>
    </w:rPr>
  </w:style>
  <w:style w:type="character" w:customStyle="1" w:styleId="aq">
    <w:name w:val="aq"/>
    <w:basedOn w:val="DefaultParagraphFont"/>
    <w:rsid w:val="00C00D45"/>
  </w:style>
  <w:style w:type="character" w:customStyle="1" w:styleId="an">
    <w:name w:val="an"/>
    <w:basedOn w:val="DefaultParagraphFont"/>
    <w:rsid w:val="00C00D45"/>
  </w:style>
  <w:style w:type="paragraph" w:styleId="Footer">
    <w:name w:val="footer"/>
    <w:basedOn w:val="Normal"/>
    <w:link w:val="FooterChar"/>
    <w:uiPriority w:val="99"/>
    <w:unhideWhenUsed/>
    <w:rsid w:val="00B8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5DB"/>
  </w:style>
  <w:style w:type="character" w:styleId="CommentReference">
    <w:name w:val="annotation reference"/>
    <w:basedOn w:val="DefaultParagraphFont"/>
    <w:uiPriority w:val="99"/>
    <w:semiHidden/>
    <w:unhideWhenUsed/>
    <w:rsid w:val="00F929FC"/>
    <w:rPr>
      <w:sz w:val="16"/>
      <w:szCs w:val="16"/>
    </w:rPr>
  </w:style>
  <w:style w:type="paragraph" w:styleId="CommentText">
    <w:name w:val="annotation text"/>
    <w:basedOn w:val="Normal"/>
    <w:link w:val="CommentTextChar"/>
    <w:uiPriority w:val="99"/>
    <w:semiHidden/>
    <w:unhideWhenUsed/>
    <w:rsid w:val="00F929FC"/>
    <w:pPr>
      <w:spacing w:line="240" w:lineRule="auto"/>
    </w:pPr>
    <w:rPr>
      <w:sz w:val="20"/>
      <w:szCs w:val="20"/>
    </w:rPr>
  </w:style>
  <w:style w:type="character" w:customStyle="1" w:styleId="CommentTextChar">
    <w:name w:val="Comment Text Char"/>
    <w:basedOn w:val="DefaultParagraphFont"/>
    <w:link w:val="CommentText"/>
    <w:uiPriority w:val="99"/>
    <w:semiHidden/>
    <w:rsid w:val="00F929FC"/>
    <w:rPr>
      <w:sz w:val="20"/>
      <w:szCs w:val="20"/>
    </w:rPr>
  </w:style>
  <w:style w:type="paragraph" w:styleId="CommentSubject">
    <w:name w:val="annotation subject"/>
    <w:basedOn w:val="CommentText"/>
    <w:next w:val="CommentText"/>
    <w:link w:val="CommentSubjectChar"/>
    <w:uiPriority w:val="99"/>
    <w:semiHidden/>
    <w:unhideWhenUsed/>
    <w:rsid w:val="00F929FC"/>
    <w:rPr>
      <w:b/>
      <w:bCs/>
    </w:rPr>
  </w:style>
  <w:style w:type="character" w:customStyle="1" w:styleId="CommentSubjectChar">
    <w:name w:val="Comment Subject Char"/>
    <w:basedOn w:val="CommentTextChar"/>
    <w:link w:val="CommentSubject"/>
    <w:uiPriority w:val="99"/>
    <w:semiHidden/>
    <w:rsid w:val="00F929FC"/>
    <w:rPr>
      <w:b/>
      <w:bCs/>
      <w:sz w:val="20"/>
      <w:szCs w:val="20"/>
    </w:rPr>
  </w:style>
  <w:style w:type="paragraph" w:styleId="Revision">
    <w:name w:val="Revision"/>
    <w:hidden/>
    <w:uiPriority w:val="99"/>
    <w:semiHidden/>
    <w:rsid w:val="00F92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8060">
      <w:bodyDiv w:val="1"/>
      <w:marLeft w:val="0"/>
      <w:marRight w:val="0"/>
      <w:marTop w:val="0"/>
      <w:marBottom w:val="0"/>
      <w:divBdr>
        <w:top w:val="none" w:sz="0" w:space="0" w:color="auto"/>
        <w:left w:val="none" w:sz="0" w:space="0" w:color="auto"/>
        <w:bottom w:val="none" w:sz="0" w:space="0" w:color="auto"/>
        <w:right w:val="none" w:sz="0" w:space="0" w:color="auto"/>
      </w:divBdr>
    </w:div>
    <w:div w:id="846866939">
      <w:bodyDiv w:val="1"/>
      <w:marLeft w:val="0"/>
      <w:marRight w:val="0"/>
      <w:marTop w:val="0"/>
      <w:marBottom w:val="0"/>
      <w:divBdr>
        <w:top w:val="none" w:sz="0" w:space="0" w:color="auto"/>
        <w:left w:val="none" w:sz="0" w:space="0" w:color="auto"/>
        <w:bottom w:val="none" w:sz="0" w:space="0" w:color="auto"/>
        <w:right w:val="none" w:sz="0" w:space="0" w:color="auto"/>
      </w:divBdr>
    </w:div>
    <w:div w:id="15857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2023-05-11T06:05:54+00:00</DateReceived>
    <TaxCatchAll xmlns="801a3cf6-255d-4ff5-98fe-b4415afa84b5" xsi:nil="true"/>
  </documentManagement>
</p:properties>
</file>

<file path=customXml/itemProps1.xml><?xml version="1.0" encoding="utf-8"?>
<ds:datastoreItem xmlns:ds="http://schemas.openxmlformats.org/officeDocument/2006/customXml" ds:itemID="{8D198814-D183-4BB5-A32D-3F3852E402D0}">
  <ds:schemaRefs>
    <ds:schemaRef ds:uri="http://schemas.openxmlformats.org/officeDocument/2006/bibliography"/>
  </ds:schemaRefs>
</ds:datastoreItem>
</file>

<file path=customXml/itemProps2.xml><?xml version="1.0" encoding="utf-8"?>
<ds:datastoreItem xmlns:ds="http://schemas.openxmlformats.org/officeDocument/2006/customXml" ds:itemID="{B2D93A7A-F039-41DE-802B-A770E62E0E4B}"/>
</file>

<file path=customXml/itemProps3.xml><?xml version="1.0" encoding="utf-8"?>
<ds:datastoreItem xmlns:ds="http://schemas.openxmlformats.org/officeDocument/2006/customXml" ds:itemID="{53969AB7-798B-4E1D-A2E1-631512D79904}"/>
</file>

<file path=customXml/itemProps4.xml><?xml version="1.0" encoding="utf-8"?>
<ds:datastoreItem xmlns:ds="http://schemas.openxmlformats.org/officeDocument/2006/customXml" ds:itemID="{A92759FC-E7F3-4DD2-9123-6355C14BED51}"/>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Higgins</dc:creator>
  <cp:lastModifiedBy>Jane Higgins</cp:lastModifiedBy>
  <cp:revision>8</cp:revision>
  <cp:lastPrinted>2018-05-03T12:49:00Z</cp:lastPrinted>
  <dcterms:created xsi:type="dcterms:W3CDTF">2023-05-02T16:53:00Z</dcterms:created>
  <dcterms:modified xsi:type="dcterms:W3CDTF">2023-05-10T21:27:00Z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