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651FA" w14:textId="2809F3B2" w:rsidR="003F4E9E" w:rsidRPr="001D5AED" w:rsidRDefault="003F4E9E" w:rsidP="003F4E9E">
      <w:pPr>
        <w:pStyle w:val="NoSpacing"/>
        <w:rPr>
          <w:rFonts w:cstheme="minorHAnsi"/>
          <w:b/>
          <w:sz w:val="20"/>
          <w:szCs w:val="20"/>
          <w:lang w:val="en-IE"/>
        </w:rPr>
      </w:pPr>
      <w:r w:rsidRPr="001D5AED">
        <w:rPr>
          <w:rFonts w:cstheme="minorHAnsi"/>
          <w:b/>
          <w:sz w:val="20"/>
          <w:szCs w:val="20"/>
          <w:lang w:val="en-IE"/>
        </w:rPr>
        <w:t>FBD HOLDINGS PLC</w:t>
      </w:r>
    </w:p>
    <w:p w14:paraId="44F3C8D3" w14:textId="18648DAF" w:rsidR="0044410A" w:rsidRPr="001D5AED" w:rsidRDefault="00CD4AFC" w:rsidP="003F4E9E">
      <w:pPr>
        <w:pStyle w:val="NoSpacing"/>
        <w:rPr>
          <w:rFonts w:cstheme="minorHAnsi"/>
          <w:b/>
          <w:sz w:val="20"/>
          <w:szCs w:val="20"/>
          <w:lang w:val="en-IE"/>
        </w:rPr>
      </w:pPr>
      <w:r>
        <w:rPr>
          <w:rFonts w:cstheme="minorHAnsi"/>
          <w:b/>
          <w:sz w:val="20"/>
          <w:szCs w:val="20"/>
          <w:lang w:val="en-IE"/>
        </w:rPr>
        <w:t>8</w:t>
      </w:r>
      <w:r w:rsidR="00E56C26" w:rsidRPr="001D5AED">
        <w:rPr>
          <w:rFonts w:cstheme="minorHAnsi"/>
          <w:b/>
          <w:sz w:val="20"/>
          <w:szCs w:val="20"/>
          <w:lang w:val="en-IE"/>
        </w:rPr>
        <w:t xml:space="preserve"> March </w:t>
      </w:r>
      <w:r w:rsidR="00627A08" w:rsidRPr="001D5AED">
        <w:rPr>
          <w:rFonts w:cstheme="minorHAnsi"/>
          <w:b/>
          <w:sz w:val="20"/>
          <w:szCs w:val="20"/>
          <w:lang w:val="en-IE"/>
        </w:rPr>
        <w:t>202</w:t>
      </w:r>
      <w:r>
        <w:rPr>
          <w:rFonts w:cstheme="minorHAnsi"/>
          <w:b/>
          <w:sz w:val="20"/>
          <w:szCs w:val="20"/>
          <w:lang w:val="en-IE"/>
        </w:rPr>
        <w:t>4</w:t>
      </w:r>
      <w:r w:rsidR="0044410A" w:rsidRPr="001D5AED">
        <w:rPr>
          <w:rFonts w:cstheme="minorHAnsi"/>
          <w:b/>
          <w:sz w:val="20"/>
          <w:szCs w:val="20"/>
          <w:lang w:val="en-IE"/>
        </w:rPr>
        <w:tab/>
      </w:r>
    </w:p>
    <w:p w14:paraId="576C1ACC" w14:textId="77777777" w:rsidR="003F4E9E" w:rsidRPr="001D5AED" w:rsidRDefault="0044410A" w:rsidP="0044410A">
      <w:pPr>
        <w:pStyle w:val="NoSpacing"/>
        <w:ind w:left="7200" w:firstLine="720"/>
        <w:rPr>
          <w:rFonts w:cstheme="minorHAnsi"/>
          <w:b/>
          <w:sz w:val="20"/>
          <w:szCs w:val="20"/>
          <w:lang w:val="en-IE"/>
        </w:rPr>
      </w:pPr>
      <w:r w:rsidRPr="001D5AED">
        <w:rPr>
          <w:rFonts w:cstheme="minorHAnsi"/>
          <w:noProof/>
          <w:sz w:val="20"/>
          <w:szCs w:val="20"/>
          <w:lang w:val="en-IE" w:eastAsia="en-IE"/>
        </w:rPr>
        <w:drawing>
          <wp:inline distT="0" distB="0" distL="0" distR="0" wp14:anchorId="2EA2A0E4" wp14:editId="30032498">
            <wp:extent cx="647700" cy="685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D_GR~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700" cy="685800"/>
                    </a:xfrm>
                    <a:prstGeom prst="rect">
                      <a:avLst/>
                    </a:prstGeom>
                  </pic:spPr>
                </pic:pic>
              </a:graphicData>
            </a:graphic>
          </wp:inline>
        </w:drawing>
      </w:r>
    </w:p>
    <w:p w14:paraId="694CDD46" w14:textId="77777777" w:rsidR="003F4E9E" w:rsidRPr="001D5AED" w:rsidRDefault="003F4E9E" w:rsidP="003F4E9E">
      <w:pPr>
        <w:pStyle w:val="NoSpacing"/>
        <w:jc w:val="center"/>
        <w:rPr>
          <w:rFonts w:cstheme="minorHAnsi"/>
          <w:b/>
          <w:sz w:val="20"/>
          <w:szCs w:val="20"/>
          <w:lang w:val="en-IE"/>
        </w:rPr>
      </w:pPr>
      <w:r w:rsidRPr="001D5AED">
        <w:rPr>
          <w:rFonts w:cstheme="minorHAnsi"/>
          <w:b/>
          <w:sz w:val="20"/>
          <w:szCs w:val="20"/>
          <w:lang w:val="en-IE"/>
        </w:rPr>
        <w:t>FBD HOLDINGS PLC</w:t>
      </w:r>
    </w:p>
    <w:p w14:paraId="44D1A61D" w14:textId="77777777" w:rsidR="003F4E9E" w:rsidRPr="001D5AED" w:rsidRDefault="003F4E9E" w:rsidP="003F4E9E">
      <w:pPr>
        <w:pStyle w:val="NoSpacing"/>
        <w:jc w:val="center"/>
        <w:rPr>
          <w:rFonts w:cstheme="minorHAnsi"/>
          <w:b/>
          <w:sz w:val="20"/>
          <w:szCs w:val="20"/>
          <w:lang w:val="en-IE"/>
        </w:rPr>
      </w:pPr>
      <w:r w:rsidRPr="001D5AED">
        <w:rPr>
          <w:rFonts w:cstheme="minorHAnsi"/>
          <w:b/>
          <w:sz w:val="20"/>
          <w:szCs w:val="20"/>
          <w:lang w:val="en-IE"/>
        </w:rPr>
        <w:t>PRELIMINARY ANNOUNCEMENT</w:t>
      </w:r>
    </w:p>
    <w:p w14:paraId="39DE7EA7" w14:textId="2B8C9BE0" w:rsidR="003F4E9E" w:rsidRPr="001D5AED" w:rsidRDefault="003F4E9E" w:rsidP="003F4E9E">
      <w:pPr>
        <w:pStyle w:val="NoSpacing"/>
        <w:jc w:val="center"/>
        <w:rPr>
          <w:rFonts w:cstheme="minorHAnsi"/>
          <w:b/>
          <w:sz w:val="20"/>
          <w:szCs w:val="20"/>
          <w:lang w:val="en-IE"/>
        </w:rPr>
      </w:pPr>
      <w:r w:rsidRPr="001D5AED">
        <w:rPr>
          <w:rFonts w:cstheme="minorHAnsi"/>
          <w:b/>
          <w:sz w:val="20"/>
          <w:szCs w:val="20"/>
          <w:lang w:val="en-IE"/>
        </w:rPr>
        <w:t>For the year ended 31 December</w:t>
      </w:r>
      <w:r w:rsidR="00A77CA9" w:rsidRPr="001D5AED">
        <w:rPr>
          <w:rFonts w:cstheme="minorHAnsi"/>
          <w:b/>
          <w:sz w:val="20"/>
          <w:szCs w:val="20"/>
          <w:lang w:val="en-IE"/>
        </w:rPr>
        <w:t xml:space="preserve"> 202</w:t>
      </w:r>
      <w:r w:rsidR="00CD4AFC">
        <w:rPr>
          <w:rFonts w:cstheme="minorHAnsi"/>
          <w:b/>
          <w:sz w:val="20"/>
          <w:szCs w:val="20"/>
          <w:lang w:val="en-IE"/>
        </w:rPr>
        <w:t>3</w:t>
      </w:r>
    </w:p>
    <w:p w14:paraId="27AD9786" w14:textId="77777777" w:rsidR="003F4E9E" w:rsidRPr="001D5AED" w:rsidRDefault="003F4E9E" w:rsidP="003F4E9E">
      <w:pPr>
        <w:pStyle w:val="NoSpacing"/>
        <w:jc w:val="center"/>
        <w:rPr>
          <w:rFonts w:cstheme="minorHAnsi"/>
          <w:b/>
          <w:lang w:val="en-IE"/>
        </w:rPr>
      </w:pPr>
    </w:p>
    <w:p w14:paraId="499AB4C3" w14:textId="77777777" w:rsidR="003F4E9E" w:rsidRPr="001D5AED" w:rsidRDefault="003F4E9E" w:rsidP="00557B6B">
      <w:pPr>
        <w:pStyle w:val="NoSpacing"/>
        <w:jc w:val="both"/>
        <w:rPr>
          <w:rFonts w:cstheme="minorHAnsi"/>
          <w:b/>
          <w:sz w:val="20"/>
          <w:szCs w:val="20"/>
          <w:lang w:val="en-IE"/>
        </w:rPr>
      </w:pPr>
      <w:r w:rsidRPr="001D5AED">
        <w:rPr>
          <w:rFonts w:cstheme="minorHAnsi"/>
          <w:b/>
          <w:sz w:val="20"/>
          <w:szCs w:val="20"/>
          <w:lang w:val="en-IE"/>
        </w:rPr>
        <w:t>KEY HIGHLIGHTS</w:t>
      </w:r>
    </w:p>
    <w:p w14:paraId="7281C70D" w14:textId="4F092577" w:rsidR="00A95A0D" w:rsidRPr="00144DF8" w:rsidRDefault="009C5A99" w:rsidP="00557B6B">
      <w:pPr>
        <w:pStyle w:val="NoSpacing"/>
        <w:numPr>
          <w:ilvl w:val="0"/>
          <w:numId w:val="1"/>
        </w:numPr>
        <w:ind w:left="714" w:hanging="357"/>
        <w:jc w:val="both"/>
        <w:rPr>
          <w:rFonts w:cstheme="minorHAnsi"/>
          <w:sz w:val="20"/>
          <w:szCs w:val="20"/>
          <w:lang w:val="en-IE"/>
        </w:rPr>
      </w:pPr>
      <w:r w:rsidRPr="00144DF8">
        <w:rPr>
          <w:rFonts w:cstheme="minorHAnsi"/>
          <w:sz w:val="20"/>
          <w:szCs w:val="20"/>
          <w:lang w:val="en-IE"/>
        </w:rPr>
        <w:t>Profit Before Tax of €</w:t>
      </w:r>
      <w:r w:rsidR="00D21168" w:rsidRPr="00144DF8">
        <w:rPr>
          <w:rFonts w:cstheme="minorHAnsi"/>
          <w:sz w:val="20"/>
          <w:szCs w:val="20"/>
          <w:lang w:val="en-IE"/>
        </w:rPr>
        <w:t>81</w:t>
      </w:r>
      <w:r w:rsidRPr="00144DF8">
        <w:rPr>
          <w:rFonts w:cstheme="minorHAnsi"/>
          <w:sz w:val="20"/>
          <w:szCs w:val="20"/>
          <w:lang w:val="en-IE"/>
        </w:rPr>
        <w:t>m</w:t>
      </w:r>
      <w:r w:rsidR="001D5143">
        <w:rPr>
          <w:rFonts w:cstheme="minorHAnsi"/>
          <w:sz w:val="20"/>
          <w:szCs w:val="20"/>
          <w:lang w:val="en-IE"/>
        </w:rPr>
        <w:t>.</w:t>
      </w:r>
      <w:r w:rsidRPr="00144DF8">
        <w:rPr>
          <w:rFonts w:cstheme="minorHAnsi"/>
          <w:sz w:val="20"/>
          <w:szCs w:val="20"/>
          <w:lang w:val="en-IE"/>
        </w:rPr>
        <w:t xml:space="preserve"> </w:t>
      </w:r>
    </w:p>
    <w:p w14:paraId="5095B7B6" w14:textId="77777777" w:rsidR="001D5143" w:rsidRPr="00E201B7" w:rsidRDefault="001D5143" w:rsidP="001D5143">
      <w:pPr>
        <w:pStyle w:val="NoSpacing"/>
        <w:numPr>
          <w:ilvl w:val="0"/>
          <w:numId w:val="1"/>
        </w:numPr>
        <w:ind w:left="714" w:hanging="357"/>
        <w:jc w:val="both"/>
        <w:rPr>
          <w:rFonts w:cstheme="minorHAnsi"/>
          <w:sz w:val="20"/>
          <w:szCs w:val="20"/>
          <w:lang w:val="en-IE"/>
        </w:rPr>
      </w:pPr>
      <w:r w:rsidRPr="00667302">
        <w:rPr>
          <w:rFonts w:cstheme="minorHAnsi"/>
          <w:sz w:val="20"/>
          <w:szCs w:val="20"/>
          <w:lang w:val="en-IE"/>
        </w:rPr>
        <w:t xml:space="preserve">Proposed dividend </w:t>
      </w:r>
      <w:r w:rsidRPr="00E201B7">
        <w:rPr>
          <w:rFonts w:cstheme="minorHAnsi"/>
          <w:sz w:val="20"/>
          <w:szCs w:val="20"/>
          <w:lang w:val="en-IE"/>
        </w:rPr>
        <w:t xml:space="preserve">of 100c per share.  </w:t>
      </w:r>
    </w:p>
    <w:p w14:paraId="43E11C5B" w14:textId="19CAC153" w:rsidR="001D5143" w:rsidRPr="00046733" w:rsidRDefault="00046733" w:rsidP="00046733">
      <w:pPr>
        <w:pStyle w:val="NoSpacing"/>
        <w:numPr>
          <w:ilvl w:val="0"/>
          <w:numId w:val="1"/>
        </w:numPr>
        <w:ind w:left="714" w:hanging="357"/>
        <w:jc w:val="both"/>
        <w:rPr>
          <w:rFonts w:cstheme="minorHAnsi"/>
          <w:sz w:val="20"/>
          <w:szCs w:val="20"/>
          <w:lang w:val="en-IE"/>
        </w:rPr>
      </w:pPr>
      <w:bookmarkStart w:id="0" w:name="_Hlk159404791"/>
      <w:r w:rsidRPr="00E201B7">
        <w:rPr>
          <w:rFonts w:cstheme="minorHAnsi"/>
          <w:sz w:val="20"/>
          <w:szCs w:val="20"/>
          <w:lang w:val="en-IE"/>
        </w:rPr>
        <w:t xml:space="preserve">Return on Equity </w:t>
      </w:r>
      <w:r w:rsidR="00CD7DE2">
        <w:rPr>
          <w:rFonts w:cstheme="minorHAnsi"/>
          <w:sz w:val="20"/>
          <w:szCs w:val="20"/>
          <w:lang w:val="en-IE"/>
        </w:rPr>
        <w:t xml:space="preserve">(ROE) </w:t>
      </w:r>
      <w:r w:rsidRPr="00E201B7">
        <w:rPr>
          <w:rFonts w:cstheme="minorHAnsi"/>
          <w:sz w:val="20"/>
          <w:szCs w:val="20"/>
          <w:lang w:val="en-IE"/>
        </w:rPr>
        <w:t>of 15%,</w:t>
      </w:r>
      <w:r w:rsidRPr="00046733">
        <w:rPr>
          <w:rFonts w:cstheme="minorHAnsi"/>
          <w:sz w:val="20"/>
          <w:szCs w:val="20"/>
          <w:lang w:val="en-IE"/>
        </w:rPr>
        <w:t xml:space="preserve"> </w:t>
      </w:r>
      <w:r w:rsidR="00814B50">
        <w:rPr>
          <w:rFonts w:cstheme="minorHAnsi"/>
          <w:sz w:val="20"/>
          <w:szCs w:val="20"/>
          <w:lang w:val="en-IE"/>
        </w:rPr>
        <w:t>giving a</w:t>
      </w:r>
      <w:r w:rsidR="00AE5C32">
        <w:rPr>
          <w:rFonts w:cstheme="minorHAnsi"/>
          <w:sz w:val="20"/>
          <w:szCs w:val="20"/>
          <w:lang w:val="en-IE"/>
        </w:rPr>
        <w:t xml:space="preserve"> three-year</w:t>
      </w:r>
      <w:r w:rsidR="00814B50">
        <w:rPr>
          <w:rFonts w:cstheme="minorHAnsi"/>
          <w:sz w:val="20"/>
          <w:szCs w:val="20"/>
          <w:lang w:val="en-IE"/>
        </w:rPr>
        <w:t xml:space="preserve"> average ROE</w:t>
      </w:r>
      <w:r w:rsidRPr="00046733">
        <w:rPr>
          <w:rFonts w:cstheme="minorHAnsi"/>
          <w:sz w:val="20"/>
          <w:szCs w:val="20"/>
          <w:lang w:val="en-IE"/>
        </w:rPr>
        <w:t xml:space="preserve"> </w:t>
      </w:r>
      <w:r w:rsidR="00814B50" w:rsidRPr="00AE5C32">
        <w:rPr>
          <w:rFonts w:cstheme="minorHAnsi"/>
          <w:sz w:val="20"/>
          <w:szCs w:val="20"/>
          <w:lang w:val="en-IE"/>
        </w:rPr>
        <w:t>over 15%</w:t>
      </w:r>
      <w:r w:rsidRPr="00AE5C32">
        <w:rPr>
          <w:rFonts w:cstheme="minorHAnsi"/>
          <w:sz w:val="20"/>
          <w:szCs w:val="20"/>
          <w:lang w:val="en-IE"/>
        </w:rPr>
        <w:t>.</w:t>
      </w:r>
    </w:p>
    <w:bookmarkEnd w:id="0"/>
    <w:p w14:paraId="59AE5E0F" w14:textId="1DA63927" w:rsidR="0040272B" w:rsidRPr="00667302" w:rsidRDefault="0040272B" w:rsidP="0040272B">
      <w:pPr>
        <w:pStyle w:val="NoSpacing"/>
        <w:numPr>
          <w:ilvl w:val="0"/>
          <w:numId w:val="1"/>
        </w:numPr>
        <w:ind w:left="714" w:hanging="357"/>
        <w:jc w:val="both"/>
        <w:rPr>
          <w:rFonts w:cstheme="minorHAnsi"/>
          <w:sz w:val="20"/>
          <w:szCs w:val="20"/>
          <w:lang w:val="en-IE"/>
        </w:rPr>
      </w:pPr>
      <w:r w:rsidRPr="00667302">
        <w:rPr>
          <w:rFonts w:cstheme="minorHAnsi"/>
          <w:sz w:val="20"/>
          <w:szCs w:val="20"/>
          <w:lang w:val="en-IE"/>
        </w:rPr>
        <w:t>Combined Operating Ratio (COR)</w:t>
      </w:r>
      <w:r w:rsidR="00E020B8">
        <w:rPr>
          <w:rFonts w:cstheme="minorHAnsi"/>
          <w:sz w:val="20"/>
          <w:szCs w:val="20"/>
          <w:lang w:val="en-IE"/>
        </w:rPr>
        <w:t xml:space="preserve"> </w:t>
      </w:r>
      <w:r w:rsidRPr="00667302">
        <w:rPr>
          <w:rFonts w:cstheme="minorHAnsi"/>
          <w:sz w:val="20"/>
          <w:szCs w:val="20"/>
          <w:lang w:val="en-IE"/>
        </w:rPr>
        <w:t xml:space="preserve">of </w:t>
      </w:r>
      <w:r w:rsidR="00B22383">
        <w:rPr>
          <w:rFonts w:cstheme="minorHAnsi"/>
          <w:sz w:val="20"/>
          <w:szCs w:val="20"/>
          <w:lang w:val="en-IE"/>
        </w:rPr>
        <w:t>81</w:t>
      </w:r>
      <w:r w:rsidRPr="00B22383">
        <w:rPr>
          <w:rFonts w:cstheme="minorHAnsi"/>
          <w:sz w:val="20"/>
          <w:szCs w:val="20"/>
          <w:lang w:val="en-IE"/>
        </w:rPr>
        <w:t>%</w:t>
      </w:r>
      <w:r w:rsidR="00E020B8">
        <w:rPr>
          <w:rFonts w:cstheme="minorHAnsi"/>
          <w:sz w:val="20"/>
          <w:szCs w:val="20"/>
          <w:lang w:val="en-IE"/>
        </w:rPr>
        <w:t>,</w:t>
      </w:r>
      <w:r w:rsidRPr="00B22383">
        <w:rPr>
          <w:rFonts w:cstheme="minorHAnsi"/>
          <w:sz w:val="20"/>
          <w:szCs w:val="20"/>
          <w:lang w:val="en-IE"/>
        </w:rPr>
        <w:t xml:space="preserve"> </w:t>
      </w:r>
      <w:r w:rsidR="00E020B8">
        <w:rPr>
          <w:rFonts w:cstheme="minorHAnsi"/>
          <w:sz w:val="20"/>
          <w:szCs w:val="20"/>
          <w:lang w:val="en-IE"/>
        </w:rPr>
        <w:t>includ</w:t>
      </w:r>
      <w:r w:rsidR="005B7E84">
        <w:rPr>
          <w:rFonts w:cstheme="minorHAnsi"/>
          <w:sz w:val="20"/>
          <w:szCs w:val="20"/>
          <w:lang w:val="en-IE"/>
        </w:rPr>
        <w:t xml:space="preserve">es </w:t>
      </w:r>
      <w:r w:rsidR="00E020B8">
        <w:rPr>
          <w:rFonts w:cstheme="minorHAnsi"/>
          <w:sz w:val="20"/>
          <w:szCs w:val="20"/>
          <w:lang w:val="en-IE"/>
        </w:rPr>
        <w:t>discounting,</w:t>
      </w:r>
      <w:r w:rsidR="00E020B8" w:rsidRPr="00667302">
        <w:rPr>
          <w:rFonts w:cstheme="minorHAnsi"/>
          <w:sz w:val="20"/>
          <w:szCs w:val="20"/>
          <w:lang w:val="en-IE"/>
        </w:rPr>
        <w:t xml:space="preserve"> </w:t>
      </w:r>
      <w:r w:rsidRPr="00B22383">
        <w:rPr>
          <w:rFonts w:cstheme="minorHAnsi"/>
          <w:sz w:val="20"/>
          <w:szCs w:val="20"/>
          <w:lang w:val="en-IE"/>
        </w:rPr>
        <w:t>r</w:t>
      </w:r>
      <w:r w:rsidRPr="00667302">
        <w:rPr>
          <w:rFonts w:cstheme="minorHAnsi"/>
          <w:sz w:val="20"/>
          <w:szCs w:val="20"/>
          <w:lang w:val="en-IE"/>
        </w:rPr>
        <w:t xml:space="preserve">eflecting </w:t>
      </w:r>
      <w:r w:rsidR="00B22383">
        <w:rPr>
          <w:rFonts w:cstheme="minorHAnsi"/>
          <w:sz w:val="20"/>
          <w:szCs w:val="20"/>
          <w:lang w:val="en-IE"/>
        </w:rPr>
        <w:t xml:space="preserve">continued </w:t>
      </w:r>
      <w:r w:rsidRPr="00667302">
        <w:rPr>
          <w:rFonts w:cstheme="minorHAnsi"/>
          <w:sz w:val="20"/>
          <w:szCs w:val="20"/>
          <w:lang w:val="en-IE"/>
        </w:rPr>
        <w:t xml:space="preserve">underwriting </w:t>
      </w:r>
      <w:r w:rsidR="00046733">
        <w:rPr>
          <w:rFonts w:cstheme="minorHAnsi"/>
          <w:sz w:val="20"/>
          <w:szCs w:val="20"/>
          <w:lang w:val="en-IE"/>
        </w:rPr>
        <w:t>discipline</w:t>
      </w:r>
      <w:r w:rsidRPr="00667302">
        <w:rPr>
          <w:rFonts w:cstheme="minorHAnsi"/>
          <w:sz w:val="20"/>
          <w:szCs w:val="20"/>
          <w:lang w:val="en-IE"/>
        </w:rPr>
        <w:t xml:space="preserve"> and </w:t>
      </w:r>
      <w:r w:rsidR="00046733">
        <w:rPr>
          <w:rFonts w:cstheme="minorHAnsi"/>
          <w:sz w:val="20"/>
          <w:szCs w:val="20"/>
          <w:lang w:val="en-IE"/>
        </w:rPr>
        <w:t xml:space="preserve">benefitting from favourable </w:t>
      </w:r>
      <w:r w:rsidR="001D5143">
        <w:rPr>
          <w:rFonts w:cstheme="minorHAnsi"/>
          <w:sz w:val="20"/>
          <w:szCs w:val="20"/>
          <w:lang w:val="en-IE"/>
        </w:rPr>
        <w:t xml:space="preserve">prior year reserve </w:t>
      </w:r>
      <w:r w:rsidRPr="00667302">
        <w:rPr>
          <w:rFonts w:cstheme="minorHAnsi"/>
          <w:sz w:val="20"/>
          <w:szCs w:val="20"/>
          <w:lang w:val="en-IE"/>
        </w:rPr>
        <w:t>development</w:t>
      </w:r>
      <w:r w:rsidR="00046733">
        <w:rPr>
          <w:rFonts w:cstheme="minorHAnsi"/>
          <w:sz w:val="20"/>
          <w:szCs w:val="20"/>
          <w:lang w:val="en-IE"/>
        </w:rPr>
        <w:t xml:space="preserve"> including that related to Business Interruption</w:t>
      </w:r>
      <w:r w:rsidRPr="00667302">
        <w:rPr>
          <w:rFonts w:cstheme="minorHAnsi"/>
          <w:sz w:val="20"/>
          <w:szCs w:val="20"/>
          <w:lang w:val="en-IE"/>
        </w:rPr>
        <w:t xml:space="preserve">. </w:t>
      </w:r>
    </w:p>
    <w:p w14:paraId="06098D70" w14:textId="6D6A89E9" w:rsidR="00960D53" w:rsidRPr="00144DF8" w:rsidRDefault="00C42E44" w:rsidP="00557B6B">
      <w:pPr>
        <w:pStyle w:val="NoSpacing"/>
        <w:numPr>
          <w:ilvl w:val="0"/>
          <w:numId w:val="1"/>
        </w:numPr>
        <w:ind w:left="714" w:hanging="357"/>
        <w:jc w:val="both"/>
        <w:rPr>
          <w:rFonts w:cstheme="minorHAnsi"/>
          <w:sz w:val="20"/>
          <w:szCs w:val="20"/>
          <w:lang w:val="en-IE"/>
        </w:rPr>
      </w:pPr>
      <w:r>
        <w:rPr>
          <w:rFonts w:cstheme="minorHAnsi"/>
          <w:sz w:val="20"/>
          <w:szCs w:val="20"/>
          <w:lang w:val="en-IE"/>
        </w:rPr>
        <w:t xml:space="preserve">Gross </w:t>
      </w:r>
      <w:r w:rsidR="00571344">
        <w:rPr>
          <w:rFonts w:cstheme="minorHAnsi"/>
          <w:sz w:val="20"/>
          <w:szCs w:val="20"/>
          <w:lang w:val="en-IE"/>
        </w:rPr>
        <w:t>w</w:t>
      </w:r>
      <w:r>
        <w:rPr>
          <w:rFonts w:cstheme="minorHAnsi"/>
          <w:sz w:val="20"/>
          <w:szCs w:val="20"/>
          <w:lang w:val="en-IE"/>
        </w:rPr>
        <w:t>ritten premium</w:t>
      </w:r>
      <w:r w:rsidR="00FA6091">
        <w:rPr>
          <w:rFonts w:cstheme="minorHAnsi"/>
          <w:sz w:val="20"/>
          <w:szCs w:val="20"/>
          <w:lang w:val="en-IE"/>
        </w:rPr>
        <w:t xml:space="preserve"> (GWP)</w:t>
      </w:r>
      <w:r>
        <w:rPr>
          <w:rFonts w:cstheme="minorHAnsi"/>
          <w:sz w:val="20"/>
          <w:szCs w:val="20"/>
          <w:lang w:val="en-IE"/>
        </w:rPr>
        <w:t xml:space="preserve"> increase of 8% to €414m.</w:t>
      </w:r>
      <w:r w:rsidRPr="00144DF8">
        <w:rPr>
          <w:rFonts w:cstheme="minorHAnsi"/>
          <w:sz w:val="20"/>
          <w:szCs w:val="20"/>
          <w:lang w:val="en-IE"/>
        </w:rPr>
        <w:t xml:space="preserve"> </w:t>
      </w:r>
      <w:r w:rsidR="00B22383" w:rsidRPr="00144DF8">
        <w:rPr>
          <w:rFonts w:cstheme="minorHAnsi"/>
          <w:sz w:val="20"/>
          <w:szCs w:val="20"/>
          <w:lang w:val="en-IE"/>
        </w:rPr>
        <w:t xml:space="preserve">Insurance revenue </w:t>
      </w:r>
      <w:r>
        <w:rPr>
          <w:rFonts w:cstheme="minorHAnsi"/>
          <w:sz w:val="20"/>
          <w:szCs w:val="20"/>
          <w:lang w:val="en-IE"/>
        </w:rPr>
        <w:t xml:space="preserve">increase </w:t>
      </w:r>
      <w:r w:rsidR="0064795A" w:rsidRPr="00144DF8">
        <w:rPr>
          <w:rFonts w:cstheme="minorHAnsi"/>
          <w:sz w:val="20"/>
          <w:szCs w:val="20"/>
          <w:lang w:val="en-IE"/>
        </w:rPr>
        <w:t xml:space="preserve">of </w:t>
      </w:r>
      <w:r>
        <w:rPr>
          <w:rFonts w:cstheme="minorHAnsi"/>
          <w:sz w:val="20"/>
          <w:szCs w:val="20"/>
          <w:lang w:val="en-IE"/>
        </w:rPr>
        <w:t xml:space="preserve">6% to </w:t>
      </w:r>
      <w:r w:rsidR="0064795A" w:rsidRPr="00144DF8">
        <w:rPr>
          <w:rFonts w:cstheme="minorHAnsi"/>
          <w:sz w:val="20"/>
          <w:szCs w:val="20"/>
          <w:lang w:val="en-IE"/>
        </w:rPr>
        <w:t>€</w:t>
      </w:r>
      <w:r w:rsidR="00052227" w:rsidRPr="00144DF8">
        <w:rPr>
          <w:rFonts w:cstheme="minorHAnsi"/>
          <w:sz w:val="20"/>
          <w:szCs w:val="20"/>
          <w:lang w:val="en-IE"/>
        </w:rPr>
        <w:t>4</w:t>
      </w:r>
      <w:r w:rsidR="00B22383" w:rsidRPr="00144DF8">
        <w:rPr>
          <w:rFonts w:cstheme="minorHAnsi"/>
          <w:sz w:val="20"/>
          <w:szCs w:val="20"/>
          <w:lang w:val="en-IE"/>
        </w:rPr>
        <w:t>01</w:t>
      </w:r>
      <w:r w:rsidR="00403073" w:rsidRPr="00144DF8">
        <w:rPr>
          <w:rFonts w:cstheme="minorHAnsi"/>
          <w:sz w:val="20"/>
          <w:szCs w:val="20"/>
          <w:lang w:val="en-IE"/>
        </w:rPr>
        <w:t>m</w:t>
      </w:r>
      <w:r>
        <w:rPr>
          <w:rFonts w:cstheme="minorHAnsi"/>
          <w:sz w:val="20"/>
          <w:szCs w:val="20"/>
          <w:lang w:val="en-IE"/>
        </w:rPr>
        <w:t xml:space="preserve">. </w:t>
      </w:r>
    </w:p>
    <w:p w14:paraId="416564A2" w14:textId="2284C6DD" w:rsidR="00390299" w:rsidRPr="00144DF8" w:rsidRDefault="00426893" w:rsidP="00557B6B">
      <w:pPr>
        <w:pStyle w:val="NoSpacing"/>
        <w:numPr>
          <w:ilvl w:val="0"/>
          <w:numId w:val="1"/>
        </w:numPr>
        <w:ind w:left="714" w:hanging="357"/>
        <w:jc w:val="both"/>
        <w:rPr>
          <w:rFonts w:cstheme="minorHAnsi"/>
          <w:sz w:val="20"/>
          <w:szCs w:val="20"/>
          <w:lang w:val="en-IE"/>
        </w:rPr>
      </w:pPr>
      <w:r w:rsidRPr="00144DF8">
        <w:rPr>
          <w:rFonts w:cstheme="minorHAnsi"/>
          <w:sz w:val="20"/>
          <w:szCs w:val="20"/>
          <w:lang w:val="en-IE"/>
        </w:rPr>
        <w:t xml:space="preserve">Policy </w:t>
      </w:r>
      <w:proofErr w:type="gramStart"/>
      <w:r w:rsidRPr="00144DF8">
        <w:rPr>
          <w:rFonts w:cstheme="minorHAnsi"/>
          <w:sz w:val="20"/>
          <w:szCs w:val="20"/>
          <w:lang w:val="en-IE"/>
        </w:rPr>
        <w:t>count</w:t>
      </w:r>
      <w:proofErr w:type="gramEnd"/>
      <w:r w:rsidRPr="00144DF8">
        <w:rPr>
          <w:rFonts w:cstheme="minorHAnsi"/>
          <w:sz w:val="20"/>
          <w:szCs w:val="20"/>
          <w:lang w:val="en-IE"/>
        </w:rPr>
        <w:t xml:space="preserve"> growth of 2.</w:t>
      </w:r>
      <w:r w:rsidR="00667302" w:rsidRPr="00144DF8">
        <w:rPr>
          <w:rFonts w:cstheme="minorHAnsi"/>
          <w:sz w:val="20"/>
          <w:szCs w:val="20"/>
          <w:lang w:val="en-IE"/>
        </w:rPr>
        <w:t>6</w:t>
      </w:r>
      <w:r w:rsidRPr="00144DF8">
        <w:rPr>
          <w:rFonts w:cstheme="minorHAnsi"/>
          <w:sz w:val="20"/>
          <w:szCs w:val="20"/>
          <w:lang w:val="en-IE"/>
        </w:rPr>
        <w:t>%</w:t>
      </w:r>
      <w:r w:rsidR="00D42C20">
        <w:rPr>
          <w:rFonts w:cstheme="minorHAnsi"/>
          <w:sz w:val="20"/>
          <w:szCs w:val="20"/>
          <w:lang w:val="en-IE"/>
        </w:rPr>
        <w:t>,</w:t>
      </w:r>
      <w:r w:rsidR="00B6085C">
        <w:rPr>
          <w:rFonts w:cstheme="minorHAnsi"/>
          <w:sz w:val="20"/>
          <w:szCs w:val="20"/>
          <w:lang w:val="en-IE"/>
        </w:rPr>
        <w:t xml:space="preserve"> from </w:t>
      </w:r>
      <w:r w:rsidR="00D42C20">
        <w:rPr>
          <w:rFonts w:cstheme="minorHAnsi"/>
          <w:sz w:val="20"/>
          <w:szCs w:val="20"/>
          <w:lang w:val="en-IE"/>
        </w:rPr>
        <w:t>increas</w:t>
      </w:r>
      <w:r w:rsidR="000E0BCD">
        <w:rPr>
          <w:rFonts w:cstheme="minorHAnsi"/>
          <w:sz w:val="20"/>
          <w:szCs w:val="20"/>
          <w:lang w:val="en-IE"/>
        </w:rPr>
        <w:t>e</w:t>
      </w:r>
      <w:r w:rsidR="00D42C20">
        <w:rPr>
          <w:rFonts w:cstheme="minorHAnsi"/>
          <w:sz w:val="20"/>
          <w:szCs w:val="20"/>
          <w:lang w:val="en-IE"/>
        </w:rPr>
        <w:t xml:space="preserve"> </w:t>
      </w:r>
      <w:r w:rsidR="00B6085C">
        <w:rPr>
          <w:rFonts w:cstheme="minorHAnsi"/>
          <w:sz w:val="20"/>
          <w:szCs w:val="20"/>
          <w:lang w:val="en-IE"/>
        </w:rPr>
        <w:t>in product holdings per customer and</w:t>
      </w:r>
      <w:r w:rsidR="00D42C20">
        <w:rPr>
          <w:rFonts w:cstheme="minorHAnsi"/>
          <w:sz w:val="20"/>
          <w:szCs w:val="20"/>
          <w:lang w:val="en-IE"/>
        </w:rPr>
        <w:t xml:space="preserve"> </w:t>
      </w:r>
      <w:r w:rsidR="00B6085C">
        <w:rPr>
          <w:rFonts w:cstheme="minorHAnsi"/>
          <w:sz w:val="20"/>
          <w:szCs w:val="20"/>
          <w:lang w:val="en-IE"/>
        </w:rPr>
        <w:t>new business</w:t>
      </w:r>
      <w:r w:rsidR="00B22383" w:rsidRPr="00144DF8">
        <w:rPr>
          <w:rFonts w:cstheme="minorHAnsi"/>
          <w:sz w:val="20"/>
          <w:szCs w:val="20"/>
          <w:lang w:val="en-IE"/>
        </w:rPr>
        <w:t>.</w:t>
      </w:r>
    </w:p>
    <w:p w14:paraId="79FF6E0F" w14:textId="3CEB0CFF" w:rsidR="00524D98" w:rsidRPr="00144DF8" w:rsidRDefault="00DA6447" w:rsidP="00557B6B">
      <w:pPr>
        <w:pStyle w:val="NoSpacing"/>
        <w:numPr>
          <w:ilvl w:val="0"/>
          <w:numId w:val="1"/>
        </w:numPr>
        <w:autoSpaceDE w:val="0"/>
        <w:autoSpaceDN w:val="0"/>
        <w:adjustRightInd w:val="0"/>
        <w:jc w:val="both"/>
        <w:rPr>
          <w:rFonts w:cstheme="minorHAnsi"/>
          <w:color w:val="000000"/>
          <w:sz w:val="20"/>
          <w:szCs w:val="20"/>
          <w:lang w:val="en-IE"/>
        </w:rPr>
      </w:pPr>
      <w:bookmarkStart w:id="1" w:name="_Hlk159593734"/>
      <w:r>
        <w:rPr>
          <w:rFonts w:cstheme="minorHAnsi"/>
          <w:sz w:val="20"/>
          <w:szCs w:val="20"/>
          <w:lang w:val="en-IE"/>
        </w:rPr>
        <w:t>Increased level of</w:t>
      </w:r>
      <w:r w:rsidR="0088538A">
        <w:rPr>
          <w:rFonts w:cstheme="minorHAnsi"/>
          <w:sz w:val="20"/>
          <w:szCs w:val="20"/>
          <w:lang w:val="en-IE"/>
        </w:rPr>
        <w:t xml:space="preserve"> insurance</w:t>
      </w:r>
      <w:r>
        <w:rPr>
          <w:rFonts w:cstheme="minorHAnsi"/>
          <w:sz w:val="20"/>
          <w:szCs w:val="20"/>
          <w:lang w:val="en-IE"/>
        </w:rPr>
        <w:t xml:space="preserve"> coverage account</w:t>
      </w:r>
      <w:r w:rsidR="0088538A">
        <w:rPr>
          <w:rFonts w:cstheme="minorHAnsi"/>
          <w:sz w:val="20"/>
          <w:szCs w:val="20"/>
          <w:lang w:val="en-IE"/>
        </w:rPr>
        <w:t>s</w:t>
      </w:r>
      <w:r>
        <w:rPr>
          <w:rFonts w:cstheme="minorHAnsi"/>
          <w:sz w:val="20"/>
          <w:szCs w:val="20"/>
          <w:lang w:val="en-IE"/>
        </w:rPr>
        <w:t xml:space="preserve"> for 4.5</w:t>
      </w:r>
      <w:r w:rsidR="00216DBB">
        <w:rPr>
          <w:rFonts w:cstheme="minorHAnsi"/>
          <w:sz w:val="20"/>
          <w:szCs w:val="20"/>
          <w:lang w:val="en-IE"/>
        </w:rPr>
        <w:t xml:space="preserve"> percentage points </w:t>
      </w:r>
      <w:r>
        <w:rPr>
          <w:rFonts w:cstheme="minorHAnsi"/>
          <w:sz w:val="20"/>
          <w:szCs w:val="20"/>
          <w:lang w:val="en-IE"/>
        </w:rPr>
        <w:t>of the 5</w:t>
      </w:r>
      <w:r w:rsidR="00F91078">
        <w:rPr>
          <w:rFonts w:cstheme="minorHAnsi"/>
          <w:sz w:val="20"/>
          <w:szCs w:val="20"/>
          <w:lang w:val="en-IE"/>
        </w:rPr>
        <w:t>.</w:t>
      </w:r>
      <w:r>
        <w:rPr>
          <w:rFonts w:cstheme="minorHAnsi"/>
          <w:sz w:val="20"/>
          <w:szCs w:val="20"/>
          <w:lang w:val="en-IE"/>
        </w:rPr>
        <w:t>4% increase in a</w:t>
      </w:r>
      <w:r w:rsidR="00A50442" w:rsidRPr="00144DF8">
        <w:rPr>
          <w:rFonts w:cstheme="minorHAnsi"/>
          <w:sz w:val="20"/>
          <w:szCs w:val="20"/>
          <w:lang w:val="en-IE"/>
        </w:rPr>
        <w:t>verage premium</w:t>
      </w:r>
      <w:bookmarkEnd w:id="1"/>
      <w:r>
        <w:rPr>
          <w:rFonts w:cstheme="minorHAnsi"/>
          <w:sz w:val="20"/>
          <w:szCs w:val="20"/>
          <w:lang w:val="en-IE"/>
        </w:rPr>
        <w:t>.</w:t>
      </w:r>
    </w:p>
    <w:p w14:paraId="421B5E50" w14:textId="2ADF0A93" w:rsidR="00144DF8" w:rsidRPr="00144DF8" w:rsidRDefault="00144DF8" w:rsidP="00144DF8">
      <w:pPr>
        <w:pStyle w:val="NoSpacing"/>
        <w:numPr>
          <w:ilvl w:val="0"/>
          <w:numId w:val="1"/>
        </w:numPr>
        <w:autoSpaceDE w:val="0"/>
        <w:autoSpaceDN w:val="0"/>
        <w:adjustRightInd w:val="0"/>
        <w:jc w:val="both"/>
        <w:rPr>
          <w:rFonts w:cstheme="minorHAnsi"/>
          <w:sz w:val="20"/>
          <w:szCs w:val="20"/>
          <w:lang w:val="en-IE"/>
        </w:rPr>
      </w:pPr>
      <w:r w:rsidRPr="00144DF8">
        <w:rPr>
          <w:rFonts w:cstheme="minorHAnsi"/>
          <w:sz w:val="20"/>
          <w:szCs w:val="20"/>
          <w:lang w:val="en-IE"/>
        </w:rPr>
        <w:t xml:space="preserve">Positive investment portfolio </w:t>
      </w:r>
      <w:proofErr w:type="gramStart"/>
      <w:r w:rsidRPr="00144DF8">
        <w:rPr>
          <w:rFonts w:cstheme="minorHAnsi"/>
          <w:sz w:val="20"/>
          <w:szCs w:val="20"/>
          <w:lang w:val="en-IE"/>
        </w:rPr>
        <w:t>return</w:t>
      </w:r>
      <w:proofErr w:type="gramEnd"/>
      <w:r w:rsidRPr="00144DF8">
        <w:rPr>
          <w:rFonts w:cstheme="minorHAnsi"/>
          <w:sz w:val="20"/>
          <w:szCs w:val="20"/>
          <w:lang w:val="en-IE"/>
        </w:rPr>
        <w:t xml:space="preserve"> of 5.3%</w:t>
      </w:r>
      <w:r w:rsidR="00E020B8">
        <w:rPr>
          <w:rFonts w:cstheme="minorHAnsi"/>
          <w:sz w:val="20"/>
          <w:szCs w:val="20"/>
          <w:lang w:val="en-IE"/>
        </w:rPr>
        <w:t xml:space="preserve"> (€60m)</w:t>
      </w:r>
      <w:r w:rsidRPr="00144DF8">
        <w:rPr>
          <w:rFonts w:cstheme="minorHAnsi"/>
          <w:sz w:val="20"/>
          <w:szCs w:val="20"/>
          <w:lang w:val="en-IE"/>
        </w:rPr>
        <w:t>,</w:t>
      </w:r>
      <w:r w:rsidR="00E020B8">
        <w:rPr>
          <w:rFonts w:cstheme="minorHAnsi"/>
          <w:sz w:val="20"/>
          <w:szCs w:val="20"/>
          <w:lang w:val="en-IE"/>
        </w:rPr>
        <w:t xml:space="preserve"> 1.7% (€19m)</w:t>
      </w:r>
      <w:r w:rsidR="00046733">
        <w:rPr>
          <w:rFonts w:cstheme="minorHAnsi"/>
          <w:sz w:val="20"/>
          <w:szCs w:val="20"/>
          <w:lang w:val="en-IE"/>
        </w:rPr>
        <w:t xml:space="preserve"> through the </w:t>
      </w:r>
      <w:r w:rsidR="00831BC3">
        <w:rPr>
          <w:rFonts w:cstheme="minorHAnsi"/>
          <w:sz w:val="20"/>
          <w:szCs w:val="20"/>
          <w:lang w:val="en-IE"/>
        </w:rPr>
        <w:t xml:space="preserve">Income Statement </w:t>
      </w:r>
      <w:r w:rsidR="00046733">
        <w:rPr>
          <w:rFonts w:cstheme="minorHAnsi"/>
          <w:sz w:val="20"/>
          <w:szCs w:val="20"/>
          <w:lang w:val="en-IE"/>
        </w:rPr>
        <w:t>and 3.6%</w:t>
      </w:r>
      <w:r w:rsidR="00E020B8">
        <w:rPr>
          <w:rFonts w:cstheme="minorHAnsi"/>
          <w:sz w:val="20"/>
          <w:szCs w:val="20"/>
          <w:lang w:val="en-IE"/>
        </w:rPr>
        <w:t xml:space="preserve"> (€41m) </w:t>
      </w:r>
      <w:r w:rsidR="00046733">
        <w:rPr>
          <w:rFonts w:cstheme="minorHAnsi"/>
          <w:sz w:val="20"/>
          <w:szCs w:val="20"/>
          <w:lang w:val="en-IE"/>
        </w:rPr>
        <w:t xml:space="preserve">through </w:t>
      </w:r>
      <w:r w:rsidR="00046733" w:rsidRPr="00915B6D">
        <w:rPr>
          <w:rFonts w:ascii="Calibri" w:hAnsi="Calibri" w:cs="Calibri"/>
          <w:sz w:val="20"/>
          <w:szCs w:val="20"/>
          <w:lang w:val="en-IE"/>
        </w:rPr>
        <w:t>Other Comprehensive Income (OCI)</w:t>
      </w:r>
      <w:r w:rsidRPr="00144DF8">
        <w:rPr>
          <w:rFonts w:cstheme="minorHAnsi"/>
          <w:sz w:val="20"/>
          <w:szCs w:val="20"/>
          <w:lang w:val="en-IE"/>
        </w:rPr>
        <w:t>.</w:t>
      </w:r>
      <w:r w:rsidR="00E020B8">
        <w:rPr>
          <w:rFonts w:cstheme="minorHAnsi"/>
          <w:sz w:val="20"/>
          <w:szCs w:val="20"/>
          <w:lang w:val="en-IE"/>
        </w:rPr>
        <w:t xml:space="preserve"> </w:t>
      </w:r>
    </w:p>
    <w:p w14:paraId="332BB3FE" w14:textId="4D8A1950" w:rsidR="009B2253" w:rsidRPr="0079657D" w:rsidRDefault="0079657D" w:rsidP="009B2253">
      <w:pPr>
        <w:pStyle w:val="ListParagraph"/>
        <w:numPr>
          <w:ilvl w:val="0"/>
          <w:numId w:val="1"/>
        </w:numPr>
        <w:spacing w:before="100" w:beforeAutospacing="1" w:after="100" w:afterAutospacing="1"/>
        <w:rPr>
          <w:rFonts w:ascii="Calibri" w:hAnsi="Calibri" w:cs="Calibri"/>
          <w:sz w:val="20"/>
          <w:szCs w:val="20"/>
          <w:lang w:val="en-IE"/>
        </w:rPr>
      </w:pPr>
      <w:r>
        <w:rPr>
          <w:rFonts w:ascii="Calibri" w:hAnsi="Calibri" w:cs="Calibri"/>
          <w:sz w:val="20"/>
          <w:szCs w:val="20"/>
          <w:lang w:val="en-IE"/>
        </w:rPr>
        <w:t xml:space="preserve">Allocated capital of </w:t>
      </w:r>
      <w:r w:rsidR="009B2253" w:rsidRPr="0079657D">
        <w:rPr>
          <w:rFonts w:ascii="Calibri" w:hAnsi="Calibri" w:cs="Calibri"/>
          <w:sz w:val="20"/>
          <w:szCs w:val="20"/>
          <w:lang w:val="en-IE"/>
        </w:rPr>
        <w:t>€4m for</w:t>
      </w:r>
      <w:r w:rsidR="00CD7DE2">
        <w:rPr>
          <w:rFonts w:ascii="Calibri" w:hAnsi="Calibri" w:cs="Calibri"/>
          <w:sz w:val="20"/>
          <w:szCs w:val="20"/>
          <w:lang w:val="en-IE"/>
        </w:rPr>
        <w:t xml:space="preserve"> possible</w:t>
      </w:r>
      <w:r w:rsidR="009B2253" w:rsidRPr="0079657D">
        <w:rPr>
          <w:rFonts w:ascii="Calibri" w:hAnsi="Calibri" w:cs="Calibri"/>
          <w:sz w:val="20"/>
          <w:szCs w:val="20"/>
          <w:lang w:val="en-IE"/>
        </w:rPr>
        <w:t xml:space="preserve"> share</w:t>
      </w:r>
      <w:r w:rsidR="00CD7DE2">
        <w:rPr>
          <w:rFonts w:ascii="Calibri" w:hAnsi="Calibri" w:cs="Calibri"/>
          <w:sz w:val="20"/>
          <w:szCs w:val="20"/>
          <w:lang w:val="en-IE"/>
        </w:rPr>
        <w:t xml:space="preserve"> repurchase</w:t>
      </w:r>
      <w:r>
        <w:rPr>
          <w:rFonts w:ascii="Calibri" w:hAnsi="Calibri" w:cs="Calibri"/>
          <w:sz w:val="20"/>
          <w:szCs w:val="20"/>
          <w:lang w:val="en-IE"/>
        </w:rPr>
        <w:t>.</w:t>
      </w:r>
    </w:p>
    <w:p w14:paraId="52055E77" w14:textId="7CE1633D" w:rsidR="00046733" w:rsidRPr="00326EA3" w:rsidRDefault="0014290F" w:rsidP="004C6E1E">
      <w:pPr>
        <w:pStyle w:val="NoSpacing"/>
        <w:numPr>
          <w:ilvl w:val="0"/>
          <w:numId w:val="1"/>
        </w:numPr>
        <w:autoSpaceDE w:val="0"/>
        <w:autoSpaceDN w:val="0"/>
        <w:adjustRightInd w:val="0"/>
        <w:jc w:val="both"/>
        <w:rPr>
          <w:rFonts w:cstheme="minorHAnsi"/>
          <w:sz w:val="20"/>
          <w:szCs w:val="20"/>
          <w:lang w:val="en-IE"/>
        </w:rPr>
      </w:pPr>
      <w:r w:rsidRPr="004C6E1E">
        <w:rPr>
          <w:rFonts w:cstheme="minorHAnsi"/>
          <w:sz w:val="20"/>
          <w:szCs w:val="20"/>
          <w:lang w:val="en-IE"/>
        </w:rPr>
        <w:t>Our capital position remains strong with a Solvency Capital Ratio</w:t>
      </w:r>
      <w:r w:rsidR="00CD392B" w:rsidRPr="004C6E1E">
        <w:rPr>
          <w:rFonts w:cstheme="minorHAnsi"/>
          <w:sz w:val="20"/>
          <w:szCs w:val="20"/>
          <w:lang w:val="en-IE"/>
        </w:rPr>
        <w:t xml:space="preserve"> (SCR</w:t>
      </w:r>
      <w:r w:rsidR="00CD392B" w:rsidRPr="00606019">
        <w:rPr>
          <w:rFonts w:cstheme="minorHAnsi"/>
          <w:sz w:val="20"/>
          <w:szCs w:val="20"/>
          <w:lang w:val="en-IE"/>
        </w:rPr>
        <w:t>)</w:t>
      </w:r>
      <w:r w:rsidR="00C42E44" w:rsidRPr="00606019">
        <w:rPr>
          <w:rFonts w:cstheme="minorHAnsi"/>
          <w:sz w:val="20"/>
          <w:szCs w:val="20"/>
          <w:lang w:val="en-IE"/>
        </w:rPr>
        <w:t xml:space="preserve"> </w:t>
      </w:r>
      <w:r w:rsidRPr="00606019">
        <w:rPr>
          <w:rFonts w:cstheme="minorHAnsi"/>
          <w:sz w:val="20"/>
          <w:szCs w:val="20"/>
          <w:lang w:val="en-IE"/>
        </w:rPr>
        <w:t xml:space="preserve">of </w:t>
      </w:r>
      <w:r w:rsidR="006973FE" w:rsidRPr="00606019">
        <w:rPr>
          <w:rFonts w:cstheme="minorHAnsi"/>
          <w:sz w:val="20"/>
          <w:szCs w:val="20"/>
          <w:lang w:val="en-IE"/>
        </w:rPr>
        <w:t>2</w:t>
      </w:r>
      <w:r w:rsidR="00606019" w:rsidRPr="00606019">
        <w:rPr>
          <w:rFonts w:cstheme="minorHAnsi"/>
          <w:sz w:val="20"/>
          <w:szCs w:val="20"/>
          <w:lang w:val="en-IE"/>
        </w:rPr>
        <w:t>13</w:t>
      </w:r>
      <w:r w:rsidRPr="00D42C20">
        <w:rPr>
          <w:rFonts w:cstheme="minorHAnsi"/>
          <w:sz w:val="20"/>
          <w:szCs w:val="20"/>
          <w:lang w:val="en-IE"/>
        </w:rPr>
        <w:t>%</w:t>
      </w:r>
      <w:r w:rsidR="000A1966">
        <w:rPr>
          <w:rFonts w:cstheme="minorHAnsi"/>
          <w:sz w:val="20"/>
          <w:szCs w:val="20"/>
          <w:lang w:val="en-IE"/>
        </w:rPr>
        <w:t xml:space="preserve"> (unaudited)</w:t>
      </w:r>
      <w:r w:rsidR="00994C26">
        <w:rPr>
          <w:rFonts w:cstheme="minorHAnsi"/>
          <w:sz w:val="20"/>
          <w:szCs w:val="20"/>
          <w:lang w:val="en-IE"/>
        </w:rPr>
        <w:t xml:space="preserve"> </w:t>
      </w:r>
      <w:r w:rsidR="000A1966">
        <w:rPr>
          <w:rFonts w:cstheme="minorHAnsi"/>
          <w:sz w:val="20"/>
          <w:szCs w:val="20"/>
          <w:lang w:val="en-IE"/>
        </w:rPr>
        <w:t xml:space="preserve">after ordinary dividend and </w:t>
      </w:r>
      <w:r w:rsidR="00BF51FB">
        <w:rPr>
          <w:rFonts w:cstheme="minorHAnsi"/>
          <w:sz w:val="20"/>
          <w:szCs w:val="20"/>
          <w:lang w:val="en-IE"/>
        </w:rPr>
        <w:t xml:space="preserve">share repurchase </w:t>
      </w:r>
      <w:r w:rsidR="00D30CEC" w:rsidRPr="00465E1A">
        <w:rPr>
          <w:rFonts w:ascii="Calibri" w:hAnsi="Calibri" w:cs="Calibri"/>
          <w:sz w:val="20"/>
          <w:szCs w:val="20"/>
          <w:lang w:val="en-IE"/>
        </w:rPr>
        <w:t xml:space="preserve">compared </w:t>
      </w:r>
      <w:r w:rsidR="00D30CEC" w:rsidRPr="00326EA3">
        <w:rPr>
          <w:rFonts w:cstheme="minorHAnsi"/>
          <w:sz w:val="20"/>
          <w:szCs w:val="20"/>
          <w:lang w:val="en-IE"/>
        </w:rPr>
        <w:t>to 226%</w:t>
      </w:r>
      <w:r w:rsidR="00994C26">
        <w:rPr>
          <w:rFonts w:cstheme="minorHAnsi"/>
          <w:sz w:val="20"/>
          <w:szCs w:val="20"/>
          <w:lang w:val="en-IE"/>
        </w:rPr>
        <w:t xml:space="preserve"> </w:t>
      </w:r>
      <w:proofErr w:type="gramStart"/>
      <w:r w:rsidR="00D30CEC" w:rsidRPr="00326EA3">
        <w:rPr>
          <w:rFonts w:cstheme="minorHAnsi"/>
          <w:sz w:val="20"/>
          <w:szCs w:val="20"/>
          <w:lang w:val="en-IE"/>
        </w:rPr>
        <w:t>at</w:t>
      </w:r>
      <w:proofErr w:type="gramEnd"/>
      <w:r w:rsidR="00D30CEC" w:rsidRPr="00326EA3">
        <w:rPr>
          <w:rFonts w:cstheme="minorHAnsi"/>
          <w:sz w:val="20"/>
          <w:szCs w:val="20"/>
          <w:lang w:val="en-IE"/>
        </w:rPr>
        <w:t xml:space="preserve"> 31 December 2022</w:t>
      </w:r>
      <w:r w:rsidR="00456E81" w:rsidRPr="00326EA3">
        <w:rPr>
          <w:rFonts w:cstheme="minorHAnsi"/>
          <w:sz w:val="20"/>
          <w:szCs w:val="20"/>
          <w:lang w:val="en-IE"/>
        </w:rPr>
        <w:t>.</w:t>
      </w:r>
    </w:p>
    <w:p w14:paraId="5EE83FEF" w14:textId="220417B8" w:rsidR="00E201B7" w:rsidRDefault="00E201B7" w:rsidP="004C6E1E">
      <w:pPr>
        <w:pStyle w:val="NoSpacing"/>
        <w:numPr>
          <w:ilvl w:val="0"/>
          <w:numId w:val="1"/>
        </w:numPr>
        <w:autoSpaceDE w:val="0"/>
        <w:autoSpaceDN w:val="0"/>
        <w:adjustRightInd w:val="0"/>
        <w:jc w:val="both"/>
        <w:rPr>
          <w:rFonts w:cstheme="minorHAnsi"/>
          <w:sz w:val="20"/>
          <w:szCs w:val="20"/>
          <w:lang w:val="en-IE"/>
        </w:rPr>
      </w:pPr>
      <w:r w:rsidRPr="002972F1">
        <w:rPr>
          <w:rFonts w:cstheme="minorHAnsi"/>
          <w:sz w:val="20"/>
          <w:szCs w:val="20"/>
          <w:lang w:val="en-IE"/>
        </w:rPr>
        <w:t>Meaningful contribution for ESG initiative</w:t>
      </w:r>
      <w:r w:rsidR="00B6085C">
        <w:rPr>
          <w:rFonts w:cstheme="minorHAnsi"/>
          <w:sz w:val="20"/>
          <w:szCs w:val="20"/>
          <w:lang w:val="en-IE"/>
        </w:rPr>
        <w:t xml:space="preserve"> of</w:t>
      </w:r>
      <w:r w:rsidRPr="002972F1">
        <w:rPr>
          <w:rFonts w:cstheme="minorHAnsi"/>
          <w:sz w:val="20"/>
          <w:szCs w:val="20"/>
          <w:lang w:val="en-IE"/>
        </w:rPr>
        <w:t> €2.5m for</w:t>
      </w:r>
      <w:r w:rsidRPr="002972F1">
        <w:rPr>
          <w:rFonts w:cstheme="minorHAnsi"/>
          <w:lang w:val="en-IE"/>
        </w:rPr>
        <w:t> </w:t>
      </w:r>
      <w:r w:rsidRPr="002972F1">
        <w:rPr>
          <w:rFonts w:cstheme="minorHAnsi"/>
          <w:sz w:val="20"/>
          <w:szCs w:val="20"/>
          <w:lang w:val="en-IE"/>
        </w:rPr>
        <w:t>The Padraig Walshe Centre for Sustainable Animal and Grassland Research to support climate-related research in Irish agriculture.</w:t>
      </w:r>
    </w:p>
    <w:p w14:paraId="6E0DCF80" w14:textId="40A19BD5" w:rsidR="004F692A" w:rsidRPr="008F0739" w:rsidRDefault="004F692A" w:rsidP="008F0739">
      <w:pPr>
        <w:pStyle w:val="NoSpacing"/>
        <w:numPr>
          <w:ilvl w:val="0"/>
          <w:numId w:val="1"/>
        </w:numPr>
        <w:ind w:left="714" w:hanging="357"/>
        <w:jc w:val="both"/>
        <w:rPr>
          <w:rFonts w:ascii="Calibri" w:hAnsi="Calibri" w:cs="Calibri"/>
          <w:sz w:val="20"/>
          <w:szCs w:val="20"/>
          <w:lang w:val="en-IE"/>
        </w:rPr>
      </w:pPr>
      <w:r w:rsidRPr="001D5038">
        <w:rPr>
          <w:rFonts w:ascii="Calibri" w:hAnsi="Calibri" w:cs="Calibri"/>
          <w:sz w:val="20"/>
          <w:szCs w:val="20"/>
          <w:lang w:val="en-IE"/>
        </w:rPr>
        <w:t xml:space="preserve">IFRS 17 is effective for insurance contract reporting since 1 January 2023 and all </w:t>
      </w:r>
      <w:r>
        <w:rPr>
          <w:rFonts w:ascii="Calibri" w:hAnsi="Calibri" w:cs="Calibri"/>
          <w:sz w:val="20"/>
          <w:szCs w:val="20"/>
          <w:lang w:val="en-IE"/>
        </w:rPr>
        <w:t xml:space="preserve">2022 </w:t>
      </w:r>
      <w:r w:rsidRPr="001D5038">
        <w:rPr>
          <w:rFonts w:ascii="Calibri" w:hAnsi="Calibri" w:cs="Calibri"/>
          <w:sz w:val="20"/>
          <w:szCs w:val="20"/>
          <w:lang w:val="en-IE"/>
        </w:rPr>
        <w:t xml:space="preserve">comparatives </w:t>
      </w:r>
      <w:r>
        <w:rPr>
          <w:rFonts w:ascii="Calibri" w:hAnsi="Calibri" w:cs="Calibri"/>
          <w:sz w:val="20"/>
          <w:szCs w:val="20"/>
          <w:lang w:val="en-IE"/>
        </w:rPr>
        <w:t>are</w:t>
      </w:r>
      <w:r w:rsidRPr="001D5038">
        <w:rPr>
          <w:rFonts w:ascii="Calibri" w:hAnsi="Calibri" w:cs="Calibri"/>
          <w:sz w:val="20"/>
          <w:szCs w:val="20"/>
          <w:lang w:val="en-IE"/>
        </w:rPr>
        <w:t xml:space="preserve"> restated, unless otherwise specified. IFRS 9 has also been adopted.</w:t>
      </w:r>
    </w:p>
    <w:p w14:paraId="2EA0F652" w14:textId="77777777" w:rsidR="005E6536" w:rsidRPr="002972F1" w:rsidRDefault="005E6536" w:rsidP="00E32F3C">
      <w:pPr>
        <w:pStyle w:val="NoSpacing"/>
        <w:autoSpaceDE w:val="0"/>
        <w:autoSpaceDN w:val="0"/>
        <w:adjustRightInd w:val="0"/>
        <w:ind w:left="720"/>
        <w:jc w:val="both"/>
        <w:rPr>
          <w:rFonts w:cstheme="minorHAnsi"/>
          <w:sz w:val="20"/>
          <w:szCs w:val="20"/>
          <w:lang w:val="en-IE"/>
        </w:rPr>
      </w:pPr>
    </w:p>
    <w:tbl>
      <w:tblPr>
        <w:tblW w:w="8567" w:type="dxa"/>
        <w:tblInd w:w="540" w:type="dxa"/>
        <w:tblLook w:val="01E0" w:firstRow="1" w:lastRow="1" w:firstColumn="1" w:lastColumn="1" w:noHBand="0" w:noVBand="0"/>
      </w:tblPr>
      <w:tblGrid>
        <w:gridCol w:w="5602"/>
        <w:gridCol w:w="1471"/>
        <w:gridCol w:w="1494"/>
      </w:tblGrid>
      <w:tr w:rsidR="001D5AED" w:rsidRPr="008901A5" w14:paraId="19176E02" w14:textId="77777777" w:rsidTr="00B87E67">
        <w:trPr>
          <w:trHeight w:val="579"/>
        </w:trPr>
        <w:tc>
          <w:tcPr>
            <w:tcW w:w="5602" w:type="dxa"/>
            <w:shd w:val="clear" w:color="auto" w:fill="auto"/>
          </w:tcPr>
          <w:p w14:paraId="167D8EDE" w14:textId="18485045" w:rsidR="001D5AED" w:rsidRPr="00880EF3" w:rsidRDefault="001D5AED" w:rsidP="00B87E67">
            <w:pPr>
              <w:tabs>
                <w:tab w:val="left" w:pos="284"/>
              </w:tabs>
              <w:jc w:val="both"/>
              <w:rPr>
                <w:rFonts w:ascii="Calibri" w:hAnsi="Calibri" w:cs="Calibri"/>
                <w:b/>
                <w:sz w:val="18"/>
                <w:szCs w:val="18"/>
              </w:rPr>
            </w:pPr>
            <w:r>
              <w:rPr>
                <w:rFonts w:ascii="Calibri" w:hAnsi="Calibri" w:cs="Calibri"/>
                <w:b/>
                <w:sz w:val="18"/>
                <w:szCs w:val="18"/>
              </w:rPr>
              <w:t xml:space="preserve">        </w:t>
            </w:r>
            <w:r w:rsidRPr="00880EF3">
              <w:rPr>
                <w:rFonts w:ascii="Calibri" w:hAnsi="Calibri" w:cs="Calibri"/>
                <w:b/>
                <w:sz w:val="18"/>
                <w:szCs w:val="18"/>
              </w:rPr>
              <w:t>FINANCIAL SUMMARY</w:t>
            </w:r>
          </w:p>
        </w:tc>
        <w:tc>
          <w:tcPr>
            <w:tcW w:w="1471" w:type="dxa"/>
            <w:shd w:val="clear" w:color="auto" w:fill="auto"/>
          </w:tcPr>
          <w:p w14:paraId="69DE905F" w14:textId="75FCD1E6" w:rsidR="001D5AED" w:rsidRPr="00880EF3" w:rsidRDefault="001D5AED" w:rsidP="00B87E67">
            <w:pPr>
              <w:tabs>
                <w:tab w:val="left" w:pos="284"/>
              </w:tabs>
              <w:jc w:val="right"/>
              <w:rPr>
                <w:rFonts w:ascii="Calibri" w:hAnsi="Calibri" w:cs="Calibri"/>
                <w:b/>
                <w:sz w:val="18"/>
                <w:szCs w:val="18"/>
              </w:rPr>
            </w:pPr>
            <w:r>
              <w:rPr>
                <w:rFonts w:ascii="Calibri" w:hAnsi="Calibri" w:cs="Calibri"/>
                <w:b/>
                <w:sz w:val="18"/>
                <w:szCs w:val="18"/>
              </w:rPr>
              <w:t>2023</w:t>
            </w:r>
          </w:p>
          <w:p w14:paraId="5AA02CB8" w14:textId="77777777" w:rsidR="001D5AED" w:rsidRPr="00880EF3" w:rsidRDefault="001D5AED" w:rsidP="00B87E67">
            <w:pPr>
              <w:tabs>
                <w:tab w:val="left" w:pos="284"/>
              </w:tabs>
              <w:jc w:val="right"/>
              <w:rPr>
                <w:rFonts w:ascii="Calibri" w:hAnsi="Calibri" w:cs="Calibri"/>
                <w:b/>
                <w:sz w:val="18"/>
                <w:szCs w:val="18"/>
              </w:rPr>
            </w:pPr>
            <w:r w:rsidRPr="00880EF3">
              <w:rPr>
                <w:rFonts w:ascii="Calibri" w:hAnsi="Calibri" w:cs="Calibri"/>
                <w:b/>
                <w:sz w:val="18"/>
                <w:szCs w:val="18"/>
              </w:rPr>
              <w:t>€000s</w:t>
            </w:r>
          </w:p>
        </w:tc>
        <w:tc>
          <w:tcPr>
            <w:tcW w:w="1494" w:type="dxa"/>
          </w:tcPr>
          <w:p w14:paraId="4DE0684F" w14:textId="7F0D5B9D" w:rsidR="001D5AED" w:rsidRDefault="001D5AED" w:rsidP="00B87E67">
            <w:pPr>
              <w:tabs>
                <w:tab w:val="left" w:pos="284"/>
              </w:tabs>
              <w:jc w:val="right"/>
              <w:rPr>
                <w:rFonts w:ascii="Calibri" w:hAnsi="Calibri" w:cs="Calibri"/>
                <w:b/>
                <w:sz w:val="18"/>
                <w:szCs w:val="18"/>
              </w:rPr>
            </w:pPr>
            <w:r w:rsidRPr="00880EF3">
              <w:rPr>
                <w:rFonts w:ascii="Calibri" w:hAnsi="Calibri" w:cs="Calibri"/>
                <w:b/>
                <w:sz w:val="18"/>
                <w:szCs w:val="18"/>
              </w:rPr>
              <w:t>2022</w:t>
            </w:r>
          </w:p>
          <w:p w14:paraId="54EF708E" w14:textId="5E855CDE" w:rsidR="0017262A" w:rsidRDefault="0017262A" w:rsidP="00B87E67">
            <w:pPr>
              <w:tabs>
                <w:tab w:val="left" w:pos="284"/>
              </w:tabs>
              <w:jc w:val="right"/>
              <w:rPr>
                <w:rFonts w:ascii="Calibri" w:hAnsi="Calibri" w:cs="Calibri"/>
                <w:b/>
                <w:sz w:val="18"/>
                <w:szCs w:val="18"/>
              </w:rPr>
            </w:pPr>
            <w:r>
              <w:rPr>
                <w:rFonts w:ascii="Calibri" w:hAnsi="Calibri" w:cs="Calibri"/>
                <w:b/>
                <w:sz w:val="18"/>
                <w:szCs w:val="18"/>
              </w:rPr>
              <w:t>(restated)</w:t>
            </w:r>
          </w:p>
          <w:p w14:paraId="0680DFD4" w14:textId="3E808800" w:rsidR="001D5AED" w:rsidRPr="00880EF3" w:rsidRDefault="001D5AED" w:rsidP="00B87E67">
            <w:pPr>
              <w:tabs>
                <w:tab w:val="left" w:pos="284"/>
              </w:tabs>
              <w:jc w:val="right"/>
              <w:rPr>
                <w:rFonts w:ascii="Calibri" w:hAnsi="Calibri" w:cs="Calibri"/>
                <w:b/>
                <w:sz w:val="18"/>
                <w:szCs w:val="18"/>
              </w:rPr>
            </w:pPr>
            <w:r w:rsidRPr="00880EF3">
              <w:rPr>
                <w:rFonts w:ascii="Calibri" w:hAnsi="Calibri" w:cs="Calibri"/>
                <w:b/>
                <w:sz w:val="18"/>
                <w:szCs w:val="18"/>
              </w:rPr>
              <w:t>€000s</w:t>
            </w:r>
          </w:p>
        </w:tc>
      </w:tr>
      <w:tr w:rsidR="001D5AED" w:rsidRPr="008901A5" w14:paraId="64D86425" w14:textId="77777777" w:rsidTr="00B87E67">
        <w:tc>
          <w:tcPr>
            <w:tcW w:w="5602" w:type="dxa"/>
            <w:shd w:val="clear" w:color="auto" w:fill="auto"/>
          </w:tcPr>
          <w:p w14:paraId="32E3F9BA" w14:textId="77777777" w:rsidR="001D5AED" w:rsidRPr="00880EF3" w:rsidRDefault="001D5AED" w:rsidP="00B87E67">
            <w:pPr>
              <w:tabs>
                <w:tab w:val="left" w:pos="284"/>
              </w:tabs>
              <w:jc w:val="both"/>
              <w:rPr>
                <w:rFonts w:ascii="Calibri" w:hAnsi="Calibri" w:cs="Calibri"/>
                <w:b/>
                <w:sz w:val="18"/>
                <w:szCs w:val="18"/>
              </w:rPr>
            </w:pPr>
          </w:p>
        </w:tc>
        <w:tc>
          <w:tcPr>
            <w:tcW w:w="1471" w:type="dxa"/>
            <w:shd w:val="clear" w:color="auto" w:fill="auto"/>
          </w:tcPr>
          <w:p w14:paraId="6EF0147B" w14:textId="77777777" w:rsidR="001D5AED" w:rsidRPr="00880EF3" w:rsidRDefault="001D5AED" w:rsidP="00B87E67">
            <w:pPr>
              <w:tabs>
                <w:tab w:val="left" w:pos="284"/>
              </w:tabs>
              <w:jc w:val="center"/>
              <w:rPr>
                <w:rFonts w:ascii="Calibri" w:hAnsi="Calibri" w:cs="Calibri"/>
                <w:b/>
                <w:sz w:val="18"/>
                <w:szCs w:val="18"/>
              </w:rPr>
            </w:pPr>
          </w:p>
        </w:tc>
        <w:tc>
          <w:tcPr>
            <w:tcW w:w="1494" w:type="dxa"/>
          </w:tcPr>
          <w:p w14:paraId="0B4EB091" w14:textId="77777777" w:rsidR="001D5AED" w:rsidRPr="00880EF3" w:rsidRDefault="001D5AED" w:rsidP="00B87E67">
            <w:pPr>
              <w:tabs>
                <w:tab w:val="left" w:pos="284"/>
              </w:tabs>
              <w:jc w:val="center"/>
              <w:rPr>
                <w:rFonts w:ascii="Calibri" w:hAnsi="Calibri" w:cs="Calibri"/>
                <w:b/>
                <w:sz w:val="18"/>
                <w:szCs w:val="18"/>
              </w:rPr>
            </w:pPr>
          </w:p>
        </w:tc>
      </w:tr>
      <w:tr w:rsidR="001D5AED" w:rsidRPr="008901A5" w14:paraId="157E2B0F" w14:textId="77777777" w:rsidTr="00B87E67">
        <w:tc>
          <w:tcPr>
            <w:tcW w:w="5602" w:type="dxa"/>
            <w:shd w:val="clear" w:color="auto" w:fill="auto"/>
          </w:tcPr>
          <w:p w14:paraId="5C86C57E" w14:textId="77777777" w:rsidR="001D5AED" w:rsidRPr="00880EF3" w:rsidRDefault="001D5AED" w:rsidP="00B87E67">
            <w:pPr>
              <w:tabs>
                <w:tab w:val="left" w:pos="284"/>
              </w:tabs>
              <w:ind w:left="720"/>
              <w:jc w:val="both"/>
              <w:rPr>
                <w:rFonts w:ascii="Calibri" w:hAnsi="Calibri" w:cs="Calibri"/>
                <w:sz w:val="18"/>
                <w:szCs w:val="18"/>
              </w:rPr>
            </w:pPr>
            <w:r w:rsidRPr="00880EF3">
              <w:rPr>
                <w:rFonts w:ascii="Calibri" w:hAnsi="Calibri" w:cs="Calibri"/>
                <w:sz w:val="18"/>
                <w:szCs w:val="18"/>
                <w:lang w:val="en-IE"/>
              </w:rPr>
              <w:t>Gross written premium</w:t>
            </w:r>
          </w:p>
        </w:tc>
        <w:tc>
          <w:tcPr>
            <w:tcW w:w="1471" w:type="dxa"/>
            <w:shd w:val="clear" w:color="auto" w:fill="auto"/>
          </w:tcPr>
          <w:p w14:paraId="39535BC0" w14:textId="71C8EFEB" w:rsidR="001D5AED" w:rsidRPr="00B5012D" w:rsidRDefault="00CC3E02" w:rsidP="00B87E67">
            <w:pPr>
              <w:tabs>
                <w:tab w:val="left" w:pos="284"/>
              </w:tabs>
              <w:jc w:val="right"/>
              <w:rPr>
                <w:rFonts w:ascii="Calibri" w:hAnsi="Calibri" w:cs="Calibri"/>
                <w:b/>
                <w:sz w:val="18"/>
                <w:szCs w:val="18"/>
              </w:rPr>
            </w:pPr>
            <w:r>
              <w:rPr>
                <w:rFonts w:ascii="Calibri" w:hAnsi="Calibri" w:cs="Calibri"/>
                <w:b/>
                <w:sz w:val="18"/>
                <w:szCs w:val="18"/>
              </w:rPr>
              <w:t>413,593</w:t>
            </w:r>
          </w:p>
        </w:tc>
        <w:tc>
          <w:tcPr>
            <w:tcW w:w="1494" w:type="dxa"/>
          </w:tcPr>
          <w:p w14:paraId="4DF39A95" w14:textId="7566BE00" w:rsidR="001D5AED" w:rsidRPr="00535F94" w:rsidRDefault="001D5AED" w:rsidP="00B87E67">
            <w:pPr>
              <w:tabs>
                <w:tab w:val="left" w:pos="284"/>
              </w:tabs>
              <w:jc w:val="right"/>
              <w:rPr>
                <w:rFonts w:ascii="Calibri" w:hAnsi="Calibri" w:cs="Calibri"/>
                <w:b/>
                <w:sz w:val="18"/>
                <w:szCs w:val="18"/>
              </w:rPr>
            </w:pPr>
            <w:r w:rsidRPr="001D5AED">
              <w:rPr>
                <w:rFonts w:ascii="Calibri" w:hAnsi="Calibri" w:cs="Calibri"/>
                <w:b/>
                <w:sz w:val="18"/>
                <w:szCs w:val="18"/>
              </w:rPr>
              <w:t>382,</w:t>
            </w:r>
            <w:r w:rsidR="009A2B5A">
              <w:rPr>
                <w:rFonts w:ascii="Calibri" w:hAnsi="Calibri" w:cs="Calibri"/>
                <w:b/>
                <w:sz w:val="18"/>
                <w:szCs w:val="18"/>
              </w:rPr>
              <w:t>651</w:t>
            </w:r>
          </w:p>
        </w:tc>
      </w:tr>
      <w:tr w:rsidR="00AE32FB" w:rsidRPr="008901A5" w14:paraId="2C692D5F" w14:textId="77777777" w:rsidTr="00B87E67">
        <w:tc>
          <w:tcPr>
            <w:tcW w:w="5602" w:type="dxa"/>
            <w:shd w:val="clear" w:color="auto" w:fill="auto"/>
          </w:tcPr>
          <w:p w14:paraId="4A35B864" w14:textId="7D97D789" w:rsidR="00AE32FB" w:rsidRPr="00880EF3" w:rsidRDefault="00AE32FB" w:rsidP="00B87E67">
            <w:pPr>
              <w:tabs>
                <w:tab w:val="left" w:pos="284"/>
              </w:tabs>
              <w:ind w:left="720"/>
              <w:jc w:val="both"/>
              <w:rPr>
                <w:rFonts w:ascii="Calibri" w:hAnsi="Calibri" w:cs="Calibri"/>
                <w:sz w:val="18"/>
                <w:szCs w:val="18"/>
                <w:lang w:val="en-IE"/>
              </w:rPr>
            </w:pPr>
            <w:r>
              <w:rPr>
                <w:rFonts w:ascii="Calibri" w:hAnsi="Calibri" w:cs="Calibri"/>
                <w:sz w:val="18"/>
                <w:szCs w:val="18"/>
                <w:lang w:val="en-IE"/>
              </w:rPr>
              <w:t>Underwriting result</w:t>
            </w:r>
          </w:p>
        </w:tc>
        <w:tc>
          <w:tcPr>
            <w:tcW w:w="1471" w:type="dxa"/>
            <w:shd w:val="clear" w:color="auto" w:fill="auto"/>
          </w:tcPr>
          <w:p w14:paraId="09EFB118" w14:textId="6F01EB18" w:rsidR="00AE32FB" w:rsidRDefault="00AE32FB" w:rsidP="00B87E67">
            <w:pPr>
              <w:tabs>
                <w:tab w:val="left" w:pos="284"/>
              </w:tabs>
              <w:jc w:val="right"/>
              <w:rPr>
                <w:rFonts w:ascii="Calibri" w:hAnsi="Calibri" w:cs="Calibri"/>
                <w:b/>
                <w:sz w:val="18"/>
                <w:szCs w:val="18"/>
              </w:rPr>
            </w:pPr>
            <w:r>
              <w:rPr>
                <w:rFonts w:ascii="Calibri" w:hAnsi="Calibri" w:cs="Calibri"/>
                <w:b/>
                <w:sz w:val="18"/>
                <w:szCs w:val="18"/>
              </w:rPr>
              <w:t>7</w:t>
            </w:r>
            <w:r w:rsidR="00142FED">
              <w:rPr>
                <w:rFonts w:ascii="Calibri" w:hAnsi="Calibri" w:cs="Calibri"/>
                <w:b/>
                <w:sz w:val="18"/>
                <w:szCs w:val="18"/>
              </w:rPr>
              <w:t>6</w:t>
            </w:r>
            <w:r>
              <w:rPr>
                <w:rFonts w:ascii="Calibri" w:hAnsi="Calibri" w:cs="Calibri"/>
                <w:b/>
                <w:sz w:val="18"/>
                <w:szCs w:val="18"/>
              </w:rPr>
              <w:t>,</w:t>
            </w:r>
            <w:r w:rsidR="00142FED">
              <w:rPr>
                <w:rFonts w:ascii="Calibri" w:hAnsi="Calibri" w:cs="Calibri"/>
                <w:b/>
                <w:sz w:val="18"/>
                <w:szCs w:val="18"/>
              </w:rPr>
              <w:t>4</w:t>
            </w:r>
            <w:r>
              <w:rPr>
                <w:rFonts w:ascii="Calibri" w:hAnsi="Calibri" w:cs="Calibri"/>
                <w:b/>
                <w:sz w:val="18"/>
                <w:szCs w:val="18"/>
              </w:rPr>
              <w:t>59</w:t>
            </w:r>
          </w:p>
        </w:tc>
        <w:tc>
          <w:tcPr>
            <w:tcW w:w="1494" w:type="dxa"/>
          </w:tcPr>
          <w:p w14:paraId="4B699440" w14:textId="32490C83" w:rsidR="00AE32FB" w:rsidRPr="001D5AED" w:rsidRDefault="00AE32FB" w:rsidP="00B87E67">
            <w:pPr>
              <w:tabs>
                <w:tab w:val="left" w:pos="284"/>
              </w:tabs>
              <w:jc w:val="right"/>
              <w:rPr>
                <w:rFonts w:ascii="Calibri" w:hAnsi="Calibri" w:cs="Calibri"/>
                <w:b/>
                <w:sz w:val="18"/>
                <w:szCs w:val="18"/>
              </w:rPr>
            </w:pPr>
            <w:r>
              <w:rPr>
                <w:rFonts w:ascii="Calibri" w:hAnsi="Calibri" w:cs="Calibri"/>
                <w:b/>
                <w:sz w:val="18"/>
                <w:szCs w:val="18"/>
              </w:rPr>
              <w:t>89,653</w:t>
            </w:r>
          </w:p>
        </w:tc>
      </w:tr>
      <w:tr w:rsidR="001D5AED" w:rsidRPr="008901A5" w14:paraId="7B25B2C6" w14:textId="77777777" w:rsidTr="00B87E67">
        <w:tc>
          <w:tcPr>
            <w:tcW w:w="5602" w:type="dxa"/>
            <w:shd w:val="clear" w:color="auto" w:fill="auto"/>
          </w:tcPr>
          <w:p w14:paraId="2446ABA1" w14:textId="77777777" w:rsidR="001D5AED" w:rsidRDefault="001D5AED" w:rsidP="00B87E67">
            <w:pPr>
              <w:tabs>
                <w:tab w:val="left" w:pos="284"/>
              </w:tabs>
              <w:ind w:left="720"/>
              <w:jc w:val="both"/>
              <w:rPr>
                <w:rFonts w:ascii="Calibri" w:hAnsi="Calibri" w:cs="Calibri"/>
                <w:sz w:val="18"/>
                <w:szCs w:val="18"/>
                <w:lang w:val="en-IE"/>
              </w:rPr>
            </w:pPr>
          </w:p>
        </w:tc>
        <w:tc>
          <w:tcPr>
            <w:tcW w:w="1471" w:type="dxa"/>
            <w:shd w:val="clear" w:color="auto" w:fill="auto"/>
          </w:tcPr>
          <w:p w14:paraId="4632F669" w14:textId="77777777" w:rsidR="001D5AED" w:rsidRPr="00B5012D" w:rsidRDefault="001D5AED" w:rsidP="00B87E67">
            <w:pPr>
              <w:tabs>
                <w:tab w:val="left" w:pos="284"/>
              </w:tabs>
              <w:jc w:val="right"/>
              <w:rPr>
                <w:rFonts w:ascii="Calibri" w:hAnsi="Calibri" w:cs="Calibri"/>
                <w:b/>
                <w:sz w:val="18"/>
                <w:szCs w:val="18"/>
              </w:rPr>
            </w:pPr>
          </w:p>
        </w:tc>
        <w:tc>
          <w:tcPr>
            <w:tcW w:w="1494" w:type="dxa"/>
          </w:tcPr>
          <w:p w14:paraId="2C23F974" w14:textId="77777777" w:rsidR="001D5AED" w:rsidRPr="00535F94" w:rsidRDefault="001D5AED" w:rsidP="00B87E67">
            <w:pPr>
              <w:tabs>
                <w:tab w:val="left" w:pos="284"/>
              </w:tabs>
              <w:jc w:val="right"/>
              <w:rPr>
                <w:rFonts w:ascii="Calibri" w:hAnsi="Calibri" w:cs="Calibri"/>
                <w:b/>
                <w:sz w:val="18"/>
                <w:szCs w:val="18"/>
              </w:rPr>
            </w:pPr>
          </w:p>
        </w:tc>
      </w:tr>
      <w:tr w:rsidR="001D5AED" w:rsidRPr="008901A5" w14:paraId="74D2AD1F" w14:textId="77777777" w:rsidTr="00B87E67">
        <w:tc>
          <w:tcPr>
            <w:tcW w:w="5602" w:type="dxa"/>
            <w:shd w:val="clear" w:color="auto" w:fill="auto"/>
          </w:tcPr>
          <w:p w14:paraId="70485BC0" w14:textId="77777777" w:rsidR="001D5AED" w:rsidRPr="00880EF3" w:rsidRDefault="001D5AED" w:rsidP="00B87E67">
            <w:pPr>
              <w:tabs>
                <w:tab w:val="left" w:pos="284"/>
              </w:tabs>
              <w:ind w:left="720"/>
              <w:jc w:val="both"/>
              <w:rPr>
                <w:rFonts w:ascii="Calibri" w:hAnsi="Calibri" w:cs="Calibri"/>
                <w:sz w:val="18"/>
                <w:szCs w:val="18"/>
                <w:lang w:val="en-IE"/>
              </w:rPr>
            </w:pPr>
            <w:r>
              <w:rPr>
                <w:rFonts w:ascii="Calibri" w:hAnsi="Calibri" w:cs="Calibri"/>
                <w:sz w:val="18"/>
                <w:szCs w:val="18"/>
                <w:lang w:val="en-IE"/>
              </w:rPr>
              <w:t>Insurance revenue</w:t>
            </w:r>
          </w:p>
        </w:tc>
        <w:tc>
          <w:tcPr>
            <w:tcW w:w="1471" w:type="dxa"/>
            <w:shd w:val="clear" w:color="auto" w:fill="auto"/>
          </w:tcPr>
          <w:p w14:paraId="22F4BE7A" w14:textId="13AA8B77" w:rsidR="001D5AED" w:rsidRPr="00B5012D" w:rsidRDefault="00CC3E02" w:rsidP="00B87E67">
            <w:pPr>
              <w:tabs>
                <w:tab w:val="left" w:pos="284"/>
              </w:tabs>
              <w:jc w:val="right"/>
              <w:rPr>
                <w:rFonts w:ascii="Calibri" w:hAnsi="Calibri" w:cs="Calibri"/>
                <w:b/>
                <w:sz w:val="18"/>
                <w:szCs w:val="18"/>
              </w:rPr>
            </w:pPr>
            <w:r>
              <w:rPr>
                <w:rFonts w:ascii="Calibri" w:hAnsi="Calibri" w:cs="Calibri"/>
                <w:b/>
                <w:sz w:val="18"/>
                <w:szCs w:val="18"/>
              </w:rPr>
              <w:t>401,026</w:t>
            </w:r>
          </w:p>
        </w:tc>
        <w:tc>
          <w:tcPr>
            <w:tcW w:w="1494" w:type="dxa"/>
          </w:tcPr>
          <w:p w14:paraId="223C0D30" w14:textId="2C60F092" w:rsidR="001D5AED" w:rsidRPr="00535F94" w:rsidRDefault="00CC3E02" w:rsidP="00B87E67">
            <w:pPr>
              <w:tabs>
                <w:tab w:val="left" w:pos="284"/>
              </w:tabs>
              <w:jc w:val="right"/>
              <w:rPr>
                <w:rFonts w:ascii="Calibri" w:hAnsi="Calibri" w:cs="Calibri"/>
                <w:b/>
                <w:sz w:val="18"/>
                <w:szCs w:val="18"/>
              </w:rPr>
            </w:pPr>
            <w:r>
              <w:rPr>
                <w:rFonts w:ascii="Calibri" w:hAnsi="Calibri" w:cs="Calibri"/>
                <w:b/>
                <w:sz w:val="18"/>
                <w:szCs w:val="18"/>
              </w:rPr>
              <w:t>379,697</w:t>
            </w:r>
          </w:p>
        </w:tc>
      </w:tr>
      <w:tr w:rsidR="001D5AED" w:rsidRPr="00535F94" w14:paraId="0FE19289" w14:textId="77777777" w:rsidTr="00B87E67">
        <w:tc>
          <w:tcPr>
            <w:tcW w:w="5602" w:type="dxa"/>
            <w:shd w:val="clear" w:color="auto" w:fill="auto"/>
          </w:tcPr>
          <w:p w14:paraId="5148716D" w14:textId="77777777" w:rsidR="001D5AED" w:rsidRPr="00535F94" w:rsidRDefault="001D5AED" w:rsidP="00B87E67">
            <w:pPr>
              <w:tabs>
                <w:tab w:val="left" w:pos="284"/>
              </w:tabs>
              <w:ind w:left="720"/>
              <w:jc w:val="both"/>
              <w:rPr>
                <w:rFonts w:ascii="Calibri" w:hAnsi="Calibri" w:cs="Calibri"/>
                <w:sz w:val="18"/>
                <w:szCs w:val="18"/>
                <w:lang w:val="en-IE"/>
              </w:rPr>
            </w:pPr>
            <w:r w:rsidRPr="00535F94">
              <w:rPr>
                <w:rFonts w:ascii="Calibri" w:hAnsi="Calibri" w:cs="Calibri"/>
                <w:sz w:val="18"/>
                <w:szCs w:val="18"/>
                <w:lang w:val="en-IE"/>
              </w:rPr>
              <w:t>Insurance service result</w:t>
            </w:r>
          </w:p>
        </w:tc>
        <w:tc>
          <w:tcPr>
            <w:tcW w:w="1471" w:type="dxa"/>
            <w:shd w:val="clear" w:color="auto" w:fill="auto"/>
          </w:tcPr>
          <w:p w14:paraId="6334437A" w14:textId="031447FA" w:rsidR="001D5AED" w:rsidRPr="00B5012D" w:rsidRDefault="002C4F7E" w:rsidP="00B87E67">
            <w:pPr>
              <w:tabs>
                <w:tab w:val="left" w:pos="284"/>
              </w:tabs>
              <w:jc w:val="right"/>
              <w:rPr>
                <w:rFonts w:ascii="Calibri" w:hAnsi="Calibri" w:cs="Calibri"/>
                <w:b/>
                <w:sz w:val="18"/>
                <w:szCs w:val="18"/>
              </w:rPr>
            </w:pPr>
            <w:r>
              <w:rPr>
                <w:rFonts w:ascii="Calibri" w:hAnsi="Calibri" w:cs="Calibri"/>
                <w:b/>
                <w:sz w:val="18"/>
                <w:szCs w:val="18"/>
              </w:rPr>
              <w:t>126,308</w:t>
            </w:r>
          </w:p>
        </w:tc>
        <w:tc>
          <w:tcPr>
            <w:tcW w:w="1494" w:type="dxa"/>
          </w:tcPr>
          <w:p w14:paraId="670D9A33" w14:textId="454B2410" w:rsidR="001D5AED" w:rsidRPr="00535F94" w:rsidRDefault="00CC3E02" w:rsidP="00B87E67">
            <w:pPr>
              <w:tabs>
                <w:tab w:val="left" w:pos="284"/>
              </w:tabs>
              <w:jc w:val="right"/>
              <w:rPr>
                <w:rFonts w:ascii="Calibri" w:hAnsi="Calibri" w:cs="Calibri"/>
                <w:b/>
                <w:sz w:val="18"/>
                <w:szCs w:val="18"/>
              </w:rPr>
            </w:pPr>
            <w:r>
              <w:rPr>
                <w:rFonts w:ascii="Calibri" w:hAnsi="Calibri" w:cs="Calibri"/>
                <w:b/>
                <w:sz w:val="18"/>
                <w:szCs w:val="18"/>
              </w:rPr>
              <w:t>131,104</w:t>
            </w:r>
          </w:p>
        </w:tc>
      </w:tr>
      <w:tr w:rsidR="001D5AED" w:rsidRPr="00535F94" w14:paraId="24D67DB4" w14:textId="77777777" w:rsidTr="00B87E67">
        <w:tc>
          <w:tcPr>
            <w:tcW w:w="5602" w:type="dxa"/>
            <w:shd w:val="clear" w:color="auto" w:fill="auto"/>
          </w:tcPr>
          <w:p w14:paraId="5BBF5CD9" w14:textId="77777777" w:rsidR="001D5AED" w:rsidRPr="00535F94" w:rsidRDefault="001D5AED" w:rsidP="00B87E67">
            <w:pPr>
              <w:tabs>
                <w:tab w:val="left" w:pos="284"/>
              </w:tabs>
              <w:ind w:left="720"/>
              <w:jc w:val="both"/>
              <w:rPr>
                <w:rFonts w:ascii="Calibri" w:hAnsi="Calibri" w:cs="Calibri"/>
                <w:sz w:val="18"/>
                <w:szCs w:val="18"/>
              </w:rPr>
            </w:pPr>
            <w:r w:rsidRPr="00535F94">
              <w:rPr>
                <w:rFonts w:ascii="Calibri" w:hAnsi="Calibri" w:cs="Calibri"/>
                <w:sz w:val="18"/>
                <w:szCs w:val="18"/>
              </w:rPr>
              <w:t>Profit before taxation</w:t>
            </w:r>
          </w:p>
        </w:tc>
        <w:tc>
          <w:tcPr>
            <w:tcW w:w="1471" w:type="dxa"/>
            <w:shd w:val="clear" w:color="auto" w:fill="auto"/>
          </w:tcPr>
          <w:p w14:paraId="5759CAD2" w14:textId="23CDAC86" w:rsidR="001D5AED" w:rsidRPr="00535F94" w:rsidRDefault="002C4F7E" w:rsidP="00B87E67">
            <w:pPr>
              <w:tabs>
                <w:tab w:val="left" w:pos="284"/>
              </w:tabs>
              <w:jc w:val="right"/>
              <w:rPr>
                <w:rFonts w:ascii="Calibri" w:hAnsi="Calibri" w:cs="Calibri"/>
                <w:b/>
                <w:sz w:val="18"/>
                <w:szCs w:val="18"/>
              </w:rPr>
            </w:pPr>
            <w:r>
              <w:rPr>
                <w:rFonts w:ascii="Calibri" w:hAnsi="Calibri" w:cs="Calibri"/>
                <w:b/>
                <w:sz w:val="18"/>
                <w:szCs w:val="18"/>
              </w:rPr>
              <w:t>81,4</w:t>
            </w:r>
            <w:r w:rsidR="009A2B5A">
              <w:rPr>
                <w:rFonts w:ascii="Calibri" w:hAnsi="Calibri" w:cs="Calibri"/>
                <w:b/>
                <w:sz w:val="18"/>
                <w:szCs w:val="18"/>
              </w:rPr>
              <w:t>10</w:t>
            </w:r>
          </w:p>
        </w:tc>
        <w:tc>
          <w:tcPr>
            <w:tcW w:w="1494" w:type="dxa"/>
          </w:tcPr>
          <w:p w14:paraId="2AC6B9E6" w14:textId="4967C784" w:rsidR="001D5AED" w:rsidRPr="001D5AED" w:rsidRDefault="00CC3E02" w:rsidP="00B87E67">
            <w:pPr>
              <w:tabs>
                <w:tab w:val="left" w:pos="284"/>
              </w:tabs>
              <w:jc w:val="right"/>
              <w:rPr>
                <w:rFonts w:ascii="Calibri" w:hAnsi="Calibri" w:cs="Calibri"/>
                <w:b/>
                <w:sz w:val="18"/>
                <w:szCs w:val="18"/>
              </w:rPr>
            </w:pPr>
            <w:r>
              <w:rPr>
                <w:rFonts w:ascii="Calibri" w:hAnsi="Calibri" w:cs="Calibri"/>
                <w:b/>
                <w:sz w:val="18"/>
                <w:szCs w:val="18"/>
              </w:rPr>
              <w:t>65,840</w:t>
            </w:r>
          </w:p>
        </w:tc>
      </w:tr>
      <w:tr w:rsidR="001D5AED" w:rsidRPr="00535F94" w14:paraId="79C91359" w14:textId="77777777" w:rsidTr="00B87E67">
        <w:tc>
          <w:tcPr>
            <w:tcW w:w="5602" w:type="dxa"/>
            <w:shd w:val="clear" w:color="auto" w:fill="auto"/>
          </w:tcPr>
          <w:p w14:paraId="53A1315D" w14:textId="77777777" w:rsidR="001D5AED" w:rsidRPr="00535F94" w:rsidRDefault="001D5AED" w:rsidP="00B87E67">
            <w:pPr>
              <w:tabs>
                <w:tab w:val="left" w:pos="284"/>
              </w:tabs>
              <w:ind w:left="720"/>
              <w:jc w:val="both"/>
              <w:rPr>
                <w:rFonts w:ascii="Calibri" w:hAnsi="Calibri" w:cs="Calibri"/>
                <w:sz w:val="18"/>
                <w:szCs w:val="18"/>
                <w:lang w:val="en-IE"/>
              </w:rPr>
            </w:pPr>
          </w:p>
        </w:tc>
        <w:tc>
          <w:tcPr>
            <w:tcW w:w="1471" w:type="dxa"/>
            <w:shd w:val="clear" w:color="auto" w:fill="auto"/>
          </w:tcPr>
          <w:p w14:paraId="69EFA7DB" w14:textId="77777777" w:rsidR="001D5AED" w:rsidRPr="00B5012D" w:rsidRDefault="001D5AED" w:rsidP="00B87E67">
            <w:pPr>
              <w:tabs>
                <w:tab w:val="left" w:pos="284"/>
              </w:tabs>
              <w:jc w:val="right"/>
              <w:rPr>
                <w:rFonts w:ascii="Calibri" w:hAnsi="Calibri" w:cs="Calibri"/>
                <w:b/>
                <w:sz w:val="18"/>
                <w:szCs w:val="18"/>
              </w:rPr>
            </w:pPr>
          </w:p>
        </w:tc>
        <w:tc>
          <w:tcPr>
            <w:tcW w:w="1494" w:type="dxa"/>
          </w:tcPr>
          <w:p w14:paraId="2A076C0E" w14:textId="77777777" w:rsidR="001D5AED" w:rsidRPr="00535F94" w:rsidRDefault="001D5AED" w:rsidP="00B87E67">
            <w:pPr>
              <w:tabs>
                <w:tab w:val="left" w:pos="284"/>
              </w:tabs>
              <w:jc w:val="right"/>
              <w:rPr>
                <w:rFonts w:ascii="Calibri" w:hAnsi="Calibri" w:cs="Calibri"/>
                <w:b/>
                <w:sz w:val="18"/>
                <w:szCs w:val="18"/>
              </w:rPr>
            </w:pPr>
          </w:p>
        </w:tc>
      </w:tr>
      <w:tr w:rsidR="001D5AED" w:rsidRPr="00535F94" w14:paraId="60EC352D" w14:textId="77777777" w:rsidTr="00B87E67">
        <w:tc>
          <w:tcPr>
            <w:tcW w:w="5602" w:type="dxa"/>
            <w:shd w:val="clear" w:color="auto" w:fill="auto"/>
          </w:tcPr>
          <w:p w14:paraId="31F83B5D" w14:textId="77777777" w:rsidR="001D5AED" w:rsidRPr="00535F94" w:rsidRDefault="001D5AED" w:rsidP="001D5AED">
            <w:pPr>
              <w:tabs>
                <w:tab w:val="left" w:pos="284"/>
              </w:tabs>
              <w:ind w:left="720"/>
              <w:jc w:val="both"/>
              <w:rPr>
                <w:rFonts w:ascii="Calibri" w:hAnsi="Calibri" w:cs="Calibri"/>
                <w:sz w:val="18"/>
                <w:szCs w:val="18"/>
                <w:lang w:val="en-IE"/>
              </w:rPr>
            </w:pPr>
            <w:r w:rsidRPr="00535F94">
              <w:rPr>
                <w:rFonts w:ascii="Calibri" w:hAnsi="Calibri" w:cs="Calibri"/>
                <w:sz w:val="18"/>
                <w:szCs w:val="18"/>
                <w:lang w:val="en-IE"/>
              </w:rPr>
              <w:t>Loss ratio</w:t>
            </w:r>
          </w:p>
        </w:tc>
        <w:tc>
          <w:tcPr>
            <w:tcW w:w="1471" w:type="dxa"/>
            <w:shd w:val="clear" w:color="auto" w:fill="auto"/>
          </w:tcPr>
          <w:p w14:paraId="1B0A2658" w14:textId="76DDFD4A" w:rsidR="001D5AED" w:rsidRPr="00535F94" w:rsidRDefault="002C4F7E" w:rsidP="001D5AED">
            <w:pPr>
              <w:tabs>
                <w:tab w:val="left" w:pos="284"/>
              </w:tabs>
              <w:jc w:val="right"/>
              <w:rPr>
                <w:rFonts w:ascii="Calibri" w:hAnsi="Calibri" w:cs="Calibri"/>
                <w:b/>
                <w:sz w:val="18"/>
                <w:szCs w:val="18"/>
              </w:rPr>
            </w:pPr>
            <w:r>
              <w:rPr>
                <w:rFonts w:ascii="Calibri" w:hAnsi="Calibri" w:cs="Calibri"/>
                <w:b/>
                <w:sz w:val="18"/>
                <w:szCs w:val="18"/>
              </w:rPr>
              <w:t>53.5%</w:t>
            </w:r>
          </w:p>
        </w:tc>
        <w:tc>
          <w:tcPr>
            <w:tcW w:w="1494" w:type="dxa"/>
          </w:tcPr>
          <w:p w14:paraId="6F6DC35A" w14:textId="6817AF1B" w:rsidR="001D5AED" w:rsidRPr="00B5012D" w:rsidRDefault="001D5AED" w:rsidP="001D5AED">
            <w:pPr>
              <w:tabs>
                <w:tab w:val="left" w:pos="284"/>
              </w:tabs>
              <w:jc w:val="right"/>
              <w:rPr>
                <w:rFonts w:ascii="Calibri" w:hAnsi="Calibri" w:cs="Calibri"/>
                <w:b/>
                <w:sz w:val="18"/>
                <w:szCs w:val="18"/>
              </w:rPr>
            </w:pPr>
            <w:r w:rsidRPr="001D5AED">
              <w:rPr>
                <w:rFonts w:ascii="Calibri" w:hAnsi="Calibri" w:cs="Calibri"/>
                <w:b/>
                <w:sz w:val="18"/>
                <w:szCs w:val="18"/>
              </w:rPr>
              <w:t>49</w:t>
            </w:r>
            <w:r w:rsidR="00CC3E02">
              <w:rPr>
                <w:rFonts w:ascii="Calibri" w:hAnsi="Calibri" w:cs="Calibri"/>
                <w:b/>
                <w:sz w:val="18"/>
                <w:szCs w:val="18"/>
              </w:rPr>
              <w:t>.1</w:t>
            </w:r>
            <w:r w:rsidRPr="001D5AED">
              <w:rPr>
                <w:rFonts w:ascii="Calibri" w:hAnsi="Calibri" w:cs="Calibri"/>
                <w:b/>
                <w:sz w:val="18"/>
                <w:szCs w:val="18"/>
              </w:rPr>
              <w:t>%</w:t>
            </w:r>
          </w:p>
        </w:tc>
      </w:tr>
      <w:tr w:rsidR="001D5AED" w:rsidRPr="00535F94" w14:paraId="3C79BA63" w14:textId="77777777" w:rsidTr="00B87E67">
        <w:tc>
          <w:tcPr>
            <w:tcW w:w="5602" w:type="dxa"/>
            <w:shd w:val="clear" w:color="auto" w:fill="auto"/>
          </w:tcPr>
          <w:p w14:paraId="60C0E553" w14:textId="77777777" w:rsidR="001D5AED" w:rsidRPr="00535F94" w:rsidRDefault="001D5AED" w:rsidP="001D5AED">
            <w:pPr>
              <w:tabs>
                <w:tab w:val="left" w:pos="284"/>
              </w:tabs>
              <w:ind w:left="720"/>
              <w:jc w:val="both"/>
              <w:rPr>
                <w:rFonts w:ascii="Calibri" w:hAnsi="Calibri" w:cs="Calibri"/>
                <w:sz w:val="18"/>
                <w:szCs w:val="18"/>
                <w:lang w:val="en-IE"/>
              </w:rPr>
            </w:pPr>
            <w:r w:rsidRPr="00535F94">
              <w:rPr>
                <w:rFonts w:ascii="Calibri" w:hAnsi="Calibri" w:cs="Calibri"/>
                <w:sz w:val="18"/>
                <w:szCs w:val="18"/>
                <w:lang w:val="en-IE"/>
              </w:rPr>
              <w:t>Expense ratio</w:t>
            </w:r>
          </w:p>
        </w:tc>
        <w:tc>
          <w:tcPr>
            <w:tcW w:w="1471" w:type="dxa"/>
            <w:shd w:val="clear" w:color="auto" w:fill="auto"/>
          </w:tcPr>
          <w:p w14:paraId="632A8328" w14:textId="7BF36758" w:rsidR="001D5AED" w:rsidRPr="00B5012D" w:rsidRDefault="00E62CC5" w:rsidP="001D5AED">
            <w:pPr>
              <w:tabs>
                <w:tab w:val="left" w:pos="284"/>
              </w:tabs>
              <w:jc w:val="right"/>
              <w:rPr>
                <w:rFonts w:ascii="Calibri" w:hAnsi="Calibri" w:cs="Calibri"/>
                <w:b/>
                <w:sz w:val="18"/>
                <w:szCs w:val="18"/>
              </w:rPr>
            </w:pPr>
            <w:r>
              <w:rPr>
                <w:rFonts w:ascii="Calibri" w:hAnsi="Calibri" w:cs="Calibri"/>
                <w:b/>
                <w:sz w:val="18"/>
                <w:szCs w:val="18"/>
              </w:rPr>
              <w:t>27.4%</w:t>
            </w:r>
          </w:p>
        </w:tc>
        <w:tc>
          <w:tcPr>
            <w:tcW w:w="1494" w:type="dxa"/>
          </w:tcPr>
          <w:p w14:paraId="70F685D9" w14:textId="587DFDFB" w:rsidR="001D5AED" w:rsidRPr="00B5012D" w:rsidRDefault="001D5AED" w:rsidP="001D5AED">
            <w:pPr>
              <w:tabs>
                <w:tab w:val="left" w:pos="284"/>
              </w:tabs>
              <w:jc w:val="right"/>
              <w:rPr>
                <w:rFonts w:ascii="Calibri" w:hAnsi="Calibri" w:cs="Calibri"/>
                <w:b/>
                <w:sz w:val="18"/>
                <w:szCs w:val="18"/>
              </w:rPr>
            </w:pPr>
            <w:r w:rsidRPr="001D5AED">
              <w:rPr>
                <w:rFonts w:ascii="Calibri" w:hAnsi="Calibri" w:cs="Calibri"/>
                <w:b/>
                <w:sz w:val="18"/>
                <w:szCs w:val="18"/>
              </w:rPr>
              <w:t>2</w:t>
            </w:r>
            <w:r w:rsidR="00CC3E02">
              <w:rPr>
                <w:rFonts w:ascii="Calibri" w:hAnsi="Calibri" w:cs="Calibri"/>
                <w:b/>
                <w:sz w:val="18"/>
                <w:szCs w:val="18"/>
              </w:rPr>
              <w:t>7.3</w:t>
            </w:r>
            <w:r w:rsidRPr="001D5AED">
              <w:rPr>
                <w:rFonts w:ascii="Calibri" w:hAnsi="Calibri" w:cs="Calibri"/>
                <w:b/>
                <w:sz w:val="18"/>
                <w:szCs w:val="18"/>
              </w:rPr>
              <w:t>%</w:t>
            </w:r>
          </w:p>
        </w:tc>
      </w:tr>
      <w:tr w:rsidR="001D5AED" w:rsidRPr="00535F94" w14:paraId="1B4BDC4B" w14:textId="77777777" w:rsidTr="00B87E67">
        <w:tc>
          <w:tcPr>
            <w:tcW w:w="5602" w:type="dxa"/>
            <w:shd w:val="clear" w:color="auto" w:fill="auto"/>
          </w:tcPr>
          <w:p w14:paraId="24F038D0" w14:textId="77777777" w:rsidR="001D5AED" w:rsidRPr="00535F94" w:rsidRDefault="001D5AED" w:rsidP="001D5AED">
            <w:pPr>
              <w:tabs>
                <w:tab w:val="left" w:pos="284"/>
              </w:tabs>
              <w:ind w:left="720"/>
              <w:jc w:val="both"/>
              <w:rPr>
                <w:rFonts w:ascii="Calibri" w:hAnsi="Calibri" w:cs="Calibri"/>
                <w:sz w:val="18"/>
                <w:szCs w:val="18"/>
                <w:lang w:val="en-IE"/>
              </w:rPr>
            </w:pPr>
            <w:r w:rsidRPr="00535F94">
              <w:rPr>
                <w:rFonts w:ascii="Calibri" w:hAnsi="Calibri" w:cs="Calibri"/>
                <w:sz w:val="18"/>
                <w:szCs w:val="18"/>
                <w:lang w:val="en-IE"/>
              </w:rPr>
              <w:t>Combined operating ratio</w:t>
            </w:r>
          </w:p>
        </w:tc>
        <w:tc>
          <w:tcPr>
            <w:tcW w:w="1471" w:type="dxa"/>
            <w:shd w:val="clear" w:color="auto" w:fill="auto"/>
          </w:tcPr>
          <w:p w14:paraId="2EC05D07" w14:textId="3E2A6032" w:rsidR="001D5AED" w:rsidRPr="00535F94" w:rsidRDefault="002C4F7E" w:rsidP="001D5AED">
            <w:pPr>
              <w:tabs>
                <w:tab w:val="left" w:pos="284"/>
              </w:tabs>
              <w:jc w:val="right"/>
              <w:rPr>
                <w:rFonts w:ascii="Calibri" w:hAnsi="Calibri" w:cs="Calibri"/>
                <w:b/>
                <w:sz w:val="18"/>
                <w:szCs w:val="18"/>
              </w:rPr>
            </w:pPr>
            <w:r>
              <w:rPr>
                <w:rFonts w:ascii="Calibri" w:hAnsi="Calibri" w:cs="Calibri"/>
                <w:b/>
                <w:sz w:val="18"/>
                <w:szCs w:val="18"/>
              </w:rPr>
              <w:t>80.9%</w:t>
            </w:r>
          </w:p>
        </w:tc>
        <w:tc>
          <w:tcPr>
            <w:tcW w:w="1494" w:type="dxa"/>
          </w:tcPr>
          <w:p w14:paraId="24BDAABD" w14:textId="06941C92" w:rsidR="001D5AED" w:rsidRPr="00B5012D" w:rsidRDefault="00CC3E02" w:rsidP="001D5AED">
            <w:pPr>
              <w:tabs>
                <w:tab w:val="left" w:pos="284"/>
              </w:tabs>
              <w:jc w:val="right"/>
              <w:rPr>
                <w:rFonts w:ascii="Calibri" w:hAnsi="Calibri" w:cs="Calibri"/>
                <w:b/>
                <w:sz w:val="18"/>
                <w:szCs w:val="18"/>
              </w:rPr>
            </w:pPr>
            <w:r>
              <w:rPr>
                <w:rFonts w:ascii="Calibri" w:hAnsi="Calibri" w:cs="Calibri"/>
                <w:b/>
                <w:sz w:val="18"/>
                <w:szCs w:val="18"/>
              </w:rPr>
              <w:t>76.4</w:t>
            </w:r>
            <w:r w:rsidR="001D5AED" w:rsidRPr="001D5AED">
              <w:rPr>
                <w:rFonts w:ascii="Calibri" w:hAnsi="Calibri" w:cs="Calibri"/>
                <w:b/>
                <w:sz w:val="18"/>
                <w:szCs w:val="18"/>
              </w:rPr>
              <w:t>%</w:t>
            </w:r>
          </w:p>
        </w:tc>
      </w:tr>
      <w:tr w:rsidR="001D5AED" w:rsidRPr="00535F94" w14:paraId="3B9B1688" w14:textId="77777777" w:rsidTr="00B87E67">
        <w:tc>
          <w:tcPr>
            <w:tcW w:w="5602" w:type="dxa"/>
            <w:shd w:val="clear" w:color="auto" w:fill="auto"/>
          </w:tcPr>
          <w:p w14:paraId="484EF599" w14:textId="77777777" w:rsidR="001D5AED" w:rsidRPr="00535F94" w:rsidRDefault="001D5AED" w:rsidP="001D5AED">
            <w:pPr>
              <w:tabs>
                <w:tab w:val="left" w:pos="284"/>
              </w:tabs>
              <w:ind w:hanging="686"/>
              <w:jc w:val="both"/>
              <w:rPr>
                <w:rFonts w:ascii="Calibri" w:hAnsi="Calibri" w:cs="Calibri"/>
                <w:sz w:val="18"/>
                <w:szCs w:val="18"/>
              </w:rPr>
            </w:pPr>
          </w:p>
        </w:tc>
        <w:tc>
          <w:tcPr>
            <w:tcW w:w="1471" w:type="dxa"/>
            <w:shd w:val="clear" w:color="auto" w:fill="auto"/>
          </w:tcPr>
          <w:p w14:paraId="1830CBF2" w14:textId="77777777" w:rsidR="001D5AED" w:rsidRPr="00535F94" w:rsidRDefault="001D5AED" w:rsidP="001D5AED">
            <w:pPr>
              <w:tabs>
                <w:tab w:val="left" w:pos="284"/>
              </w:tabs>
              <w:jc w:val="right"/>
              <w:rPr>
                <w:rFonts w:ascii="Calibri" w:hAnsi="Calibri" w:cs="Calibri"/>
                <w:b/>
                <w:sz w:val="18"/>
                <w:szCs w:val="18"/>
              </w:rPr>
            </w:pPr>
          </w:p>
        </w:tc>
        <w:tc>
          <w:tcPr>
            <w:tcW w:w="1494" w:type="dxa"/>
          </w:tcPr>
          <w:p w14:paraId="230CC2D4" w14:textId="77777777" w:rsidR="001D5AED" w:rsidRPr="00B5012D" w:rsidRDefault="001D5AED" w:rsidP="001D5AED">
            <w:pPr>
              <w:tabs>
                <w:tab w:val="left" w:pos="284"/>
              </w:tabs>
              <w:jc w:val="right"/>
              <w:rPr>
                <w:rFonts w:ascii="Calibri" w:hAnsi="Calibri" w:cs="Calibri"/>
                <w:b/>
                <w:sz w:val="18"/>
                <w:szCs w:val="18"/>
              </w:rPr>
            </w:pPr>
          </w:p>
        </w:tc>
      </w:tr>
      <w:tr w:rsidR="002C4F7E" w:rsidRPr="00535F94" w14:paraId="7459A20D" w14:textId="77777777" w:rsidTr="00B87E67">
        <w:tc>
          <w:tcPr>
            <w:tcW w:w="5602" w:type="dxa"/>
            <w:shd w:val="clear" w:color="auto" w:fill="auto"/>
          </w:tcPr>
          <w:p w14:paraId="47BC3F3D" w14:textId="77777777" w:rsidR="002C4F7E" w:rsidRPr="00535F94" w:rsidRDefault="002C4F7E" w:rsidP="002C4F7E">
            <w:pPr>
              <w:tabs>
                <w:tab w:val="left" w:pos="284"/>
              </w:tabs>
              <w:ind w:hanging="686"/>
              <w:jc w:val="both"/>
              <w:rPr>
                <w:rFonts w:ascii="Calibri" w:hAnsi="Calibri" w:cs="Calibri"/>
                <w:sz w:val="18"/>
                <w:szCs w:val="18"/>
              </w:rPr>
            </w:pPr>
          </w:p>
        </w:tc>
        <w:tc>
          <w:tcPr>
            <w:tcW w:w="1471" w:type="dxa"/>
            <w:shd w:val="clear" w:color="auto" w:fill="auto"/>
          </w:tcPr>
          <w:p w14:paraId="1BD2ED37" w14:textId="3F45C695" w:rsidR="002C4F7E" w:rsidRPr="00535F94" w:rsidRDefault="002C4F7E" w:rsidP="002C4F7E">
            <w:pPr>
              <w:tabs>
                <w:tab w:val="left" w:pos="284"/>
              </w:tabs>
              <w:jc w:val="right"/>
              <w:rPr>
                <w:rFonts w:ascii="Calibri" w:hAnsi="Calibri" w:cs="Calibri"/>
                <w:b/>
                <w:sz w:val="18"/>
                <w:szCs w:val="18"/>
              </w:rPr>
            </w:pPr>
            <w:r w:rsidRPr="001D5AED">
              <w:rPr>
                <w:rFonts w:ascii="Calibri" w:hAnsi="Calibri" w:cs="Calibri"/>
                <w:b/>
                <w:sz w:val="18"/>
                <w:szCs w:val="18"/>
              </w:rPr>
              <w:t>Cent</w:t>
            </w:r>
          </w:p>
        </w:tc>
        <w:tc>
          <w:tcPr>
            <w:tcW w:w="1494" w:type="dxa"/>
          </w:tcPr>
          <w:p w14:paraId="05E31998" w14:textId="33F5C1B3" w:rsidR="002C4F7E" w:rsidRPr="00535F94" w:rsidRDefault="002C4F7E" w:rsidP="002C4F7E">
            <w:pPr>
              <w:tabs>
                <w:tab w:val="left" w:pos="284"/>
              </w:tabs>
              <w:jc w:val="right"/>
              <w:rPr>
                <w:rFonts w:ascii="Calibri" w:hAnsi="Calibri" w:cs="Calibri"/>
                <w:b/>
                <w:sz w:val="18"/>
                <w:szCs w:val="18"/>
              </w:rPr>
            </w:pPr>
            <w:r w:rsidRPr="001D5AED">
              <w:rPr>
                <w:rFonts w:ascii="Calibri" w:hAnsi="Calibri" w:cs="Calibri"/>
                <w:b/>
                <w:sz w:val="18"/>
                <w:szCs w:val="18"/>
              </w:rPr>
              <w:t>Cent</w:t>
            </w:r>
          </w:p>
        </w:tc>
      </w:tr>
      <w:tr w:rsidR="002C4F7E" w:rsidRPr="00535F94" w14:paraId="6BB7C44F" w14:textId="77777777" w:rsidTr="00B87E67">
        <w:tc>
          <w:tcPr>
            <w:tcW w:w="5602" w:type="dxa"/>
            <w:shd w:val="clear" w:color="auto" w:fill="auto"/>
          </w:tcPr>
          <w:p w14:paraId="2DAAB1A7" w14:textId="77777777" w:rsidR="002C4F7E" w:rsidRPr="00535F94" w:rsidRDefault="002C4F7E" w:rsidP="002C4F7E">
            <w:pPr>
              <w:tabs>
                <w:tab w:val="left" w:pos="284"/>
              </w:tabs>
              <w:ind w:left="720"/>
              <w:jc w:val="both"/>
              <w:rPr>
                <w:rFonts w:ascii="Calibri" w:hAnsi="Calibri" w:cs="Calibri"/>
                <w:sz w:val="18"/>
                <w:szCs w:val="18"/>
                <w:lang w:val="en-IE"/>
              </w:rPr>
            </w:pPr>
            <w:r w:rsidRPr="00535F94">
              <w:rPr>
                <w:rFonts w:ascii="Calibri" w:hAnsi="Calibri" w:cs="Calibri"/>
                <w:sz w:val="18"/>
                <w:szCs w:val="18"/>
                <w:lang w:val="en-IE"/>
              </w:rPr>
              <w:t>Basic earnings per share</w:t>
            </w:r>
          </w:p>
        </w:tc>
        <w:tc>
          <w:tcPr>
            <w:tcW w:w="1471" w:type="dxa"/>
            <w:shd w:val="clear" w:color="auto" w:fill="auto"/>
          </w:tcPr>
          <w:p w14:paraId="086E20EC" w14:textId="1EBD6533" w:rsidR="002C4F7E" w:rsidRPr="002972F1" w:rsidRDefault="002C4F7E" w:rsidP="002C4F7E">
            <w:pPr>
              <w:tabs>
                <w:tab w:val="left" w:pos="284"/>
              </w:tabs>
              <w:jc w:val="right"/>
              <w:rPr>
                <w:rFonts w:ascii="Calibri" w:hAnsi="Calibri" w:cs="Calibri"/>
                <w:b/>
                <w:sz w:val="18"/>
                <w:szCs w:val="18"/>
              </w:rPr>
            </w:pPr>
            <w:r w:rsidRPr="002972F1">
              <w:rPr>
                <w:rFonts w:ascii="Calibri" w:hAnsi="Calibri" w:cs="Calibri"/>
                <w:b/>
                <w:sz w:val="18"/>
                <w:szCs w:val="18"/>
              </w:rPr>
              <w:t>19</w:t>
            </w:r>
            <w:r w:rsidR="003B1A68" w:rsidRPr="002972F1">
              <w:rPr>
                <w:rFonts w:ascii="Calibri" w:hAnsi="Calibri" w:cs="Calibri"/>
                <w:b/>
                <w:sz w:val="18"/>
                <w:szCs w:val="18"/>
              </w:rPr>
              <w:t>4</w:t>
            </w:r>
          </w:p>
        </w:tc>
        <w:tc>
          <w:tcPr>
            <w:tcW w:w="1494" w:type="dxa"/>
          </w:tcPr>
          <w:p w14:paraId="03F1BBA1" w14:textId="093AA370" w:rsidR="002C4F7E" w:rsidRPr="00535F94" w:rsidRDefault="002C4F7E" w:rsidP="002C4F7E">
            <w:pPr>
              <w:tabs>
                <w:tab w:val="left" w:pos="284"/>
              </w:tabs>
              <w:jc w:val="right"/>
              <w:rPr>
                <w:rFonts w:ascii="Calibri" w:hAnsi="Calibri" w:cs="Calibri"/>
                <w:b/>
                <w:sz w:val="18"/>
                <w:szCs w:val="18"/>
              </w:rPr>
            </w:pPr>
            <w:r w:rsidRPr="001D5AED">
              <w:rPr>
                <w:rFonts w:ascii="Calibri" w:hAnsi="Calibri" w:cs="Calibri"/>
                <w:b/>
                <w:sz w:val="18"/>
                <w:szCs w:val="18"/>
              </w:rPr>
              <w:t>1</w:t>
            </w:r>
            <w:r>
              <w:rPr>
                <w:rFonts w:ascii="Calibri" w:hAnsi="Calibri" w:cs="Calibri"/>
                <w:b/>
                <w:sz w:val="18"/>
                <w:szCs w:val="18"/>
              </w:rPr>
              <w:t>6</w:t>
            </w:r>
            <w:r w:rsidRPr="001D5AED">
              <w:rPr>
                <w:rFonts w:ascii="Calibri" w:hAnsi="Calibri" w:cs="Calibri"/>
                <w:b/>
                <w:sz w:val="18"/>
                <w:szCs w:val="18"/>
              </w:rPr>
              <w:t>1</w:t>
            </w:r>
          </w:p>
        </w:tc>
      </w:tr>
      <w:tr w:rsidR="002C4F7E" w:rsidRPr="00535F94" w14:paraId="7A7AFFFD" w14:textId="77777777" w:rsidTr="00B87E67">
        <w:tc>
          <w:tcPr>
            <w:tcW w:w="5602" w:type="dxa"/>
            <w:shd w:val="clear" w:color="auto" w:fill="auto"/>
          </w:tcPr>
          <w:p w14:paraId="03F30D14" w14:textId="77777777" w:rsidR="002C4F7E" w:rsidRPr="00535F94" w:rsidRDefault="002C4F7E" w:rsidP="002C4F7E">
            <w:pPr>
              <w:tabs>
                <w:tab w:val="left" w:pos="284"/>
              </w:tabs>
              <w:ind w:left="720"/>
              <w:jc w:val="both"/>
              <w:rPr>
                <w:rFonts w:ascii="Calibri" w:hAnsi="Calibri" w:cs="Calibri"/>
                <w:sz w:val="18"/>
                <w:szCs w:val="18"/>
              </w:rPr>
            </w:pPr>
            <w:r w:rsidRPr="00535F94">
              <w:rPr>
                <w:rFonts w:ascii="Calibri" w:hAnsi="Calibri" w:cs="Calibri"/>
                <w:sz w:val="18"/>
                <w:szCs w:val="18"/>
              </w:rPr>
              <w:t>Net asset value per share</w:t>
            </w:r>
          </w:p>
        </w:tc>
        <w:tc>
          <w:tcPr>
            <w:tcW w:w="1471" w:type="dxa"/>
            <w:shd w:val="clear" w:color="auto" w:fill="auto"/>
          </w:tcPr>
          <w:p w14:paraId="1E496DD7" w14:textId="3730A43F" w:rsidR="002C4F7E" w:rsidRPr="002972F1" w:rsidRDefault="002C4F7E" w:rsidP="002C4F7E">
            <w:pPr>
              <w:tabs>
                <w:tab w:val="left" w:pos="284"/>
              </w:tabs>
              <w:jc w:val="right"/>
              <w:rPr>
                <w:rFonts w:ascii="Calibri" w:hAnsi="Calibri" w:cs="Calibri"/>
                <w:b/>
                <w:sz w:val="18"/>
                <w:szCs w:val="18"/>
              </w:rPr>
            </w:pPr>
            <w:r w:rsidRPr="002972F1">
              <w:rPr>
                <w:rFonts w:ascii="Calibri" w:hAnsi="Calibri" w:cs="Calibri"/>
                <w:b/>
                <w:sz w:val="18"/>
                <w:szCs w:val="18"/>
              </w:rPr>
              <w:t>1,</w:t>
            </w:r>
            <w:r w:rsidR="00290959" w:rsidRPr="002972F1">
              <w:rPr>
                <w:rFonts w:ascii="Calibri" w:hAnsi="Calibri" w:cs="Calibri"/>
                <w:b/>
                <w:sz w:val="18"/>
                <w:szCs w:val="18"/>
              </w:rPr>
              <w:t>330</w:t>
            </w:r>
          </w:p>
        </w:tc>
        <w:tc>
          <w:tcPr>
            <w:tcW w:w="1494" w:type="dxa"/>
          </w:tcPr>
          <w:p w14:paraId="0207A614" w14:textId="62D9825B" w:rsidR="002C4F7E" w:rsidRPr="00535F94" w:rsidRDefault="002C4F7E" w:rsidP="002C4F7E">
            <w:pPr>
              <w:tabs>
                <w:tab w:val="left" w:pos="284"/>
              </w:tabs>
              <w:jc w:val="right"/>
              <w:rPr>
                <w:rFonts w:ascii="Calibri" w:hAnsi="Calibri" w:cs="Calibri"/>
                <w:b/>
                <w:sz w:val="18"/>
                <w:szCs w:val="18"/>
              </w:rPr>
            </w:pPr>
            <w:r w:rsidRPr="001D5AED">
              <w:rPr>
                <w:rFonts w:ascii="Calibri" w:hAnsi="Calibri" w:cs="Calibri"/>
                <w:b/>
                <w:sz w:val="18"/>
                <w:szCs w:val="18"/>
              </w:rPr>
              <w:t>1,</w:t>
            </w:r>
            <w:r>
              <w:rPr>
                <w:rFonts w:ascii="Calibri" w:hAnsi="Calibri" w:cs="Calibri"/>
                <w:b/>
                <w:sz w:val="18"/>
                <w:szCs w:val="18"/>
              </w:rPr>
              <w:t>276</w:t>
            </w:r>
          </w:p>
        </w:tc>
      </w:tr>
    </w:tbl>
    <w:p w14:paraId="5BBB8BFD" w14:textId="7AF86377" w:rsidR="001D5AED" w:rsidRDefault="001D5AED" w:rsidP="00CC3E02">
      <w:pPr>
        <w:pStyle w:val="NoSpacing"/>
        <w:ind w:left="720"/>
        <w:jc w:val="both"/>
        <w:rPr>
          <w:rFonts w:ascii="Calibri" w:hAnsi="Calibri" w:cs="Calibri"/>
          <w:i/>
          <w:sz w:val="18"/>
          <w:szCs w:val="18"/>
        </w:rPr>
      </w:pPr>
      <w:r w:rsidRPr="005B7E84">
        <w:rPr>
          <w:rFonts w:ascii="Calibri" w:hAnsi="Calibri" w:cs="Calibri"/>
          <w:i/>
          <w:sz w:val="16"/>
          <w:szCs w:val="18"/>
        </w:rPr>
        <w:t xml:space="preserve">A reconciliation between IFRS and non-IFRS measures is given in the Alternative Performance Measures (APMs) on </w:t>
      </w:r>
      <w:r w:rsidRPr="002972F1">
        <w:rPr>
          <w:rFonts w:ascii="Calibri" w:hAnsi="Calibri" w:cs="Calibri"/>
          <w:i/>
          <w:sz w:val="16"/>
          <w:szCs w:val="18"/>
        </w:rPr>
        <w:t>page 2</w:t>
      </w:r>
      <w:r w:rsidR="00731344">
        <w:rPr>
          <w:rFonts w:ascii="Calibri" w:hAnsi="Calibri" w:cs="Calibri"/>
          <w:i/>
          <w:sz w:val="16"/>
          <w:szCs w:val="18"/>
        </w:rPr>
        <w:t>3-</w:t>
      </w:r>
      <w:r w:rsidR="00CC3E02" w:rsidRPr="002972F1">
        <w:rPr>
          <w:rFonts w:ascii="Calibri" w:hAnsi="Calibri" w:cs="Calibri"/>
          <w:i/>
          <w:sz w:val="16"/>
          <w:szCs w:val="18"/>
        </w:rPr>
        <w:t>2</w:t>
      </w:r>
      <w:r w:rsidR="00B6085C">
        <w:rPr>
          <w:rFonts w:ascii="Calibri" w:hAnsi="Calibri" w:cs="Calibri"/>
          <w:i/>
          <w:sz w:val="16"/>
          <w:szCs w:val="18"/>
        </w:rPr>
        <w:t>6</w:t>
      </w:r>
      <w:r w:rsidRPr="002972F1">
        <w:rPr>
          <w:rFonts w:ascii="Calibri" w:hAnsi="Calibri" w:cs="Calibri"/>
          <w:i/>
          <w:sz w:val="16"/>
          <w:szCs w:val="18"/>
        </w:rPr>
        <w:t>.</w:t>
      </w:r>
    </w:p>
    <w:p w14:paraId="5C5A6706" w14:textId="77777777" w:rsidR="001D5AED" w:rsidRPr="001D5AED" w:rsidRDefault="001D5AED" w:rsidP="001D5AED">
      <w:pPr>
        <w:pStyle w:val="NoSpacing"/>
        <w:jc w:val="both"/>
        <w:rPr>
          <w:rFonts w:cstheme="minorHAnsi"/>
          <w:lang w:val="en-IE"/>
        </w:rPr>
      </w:pPr>
    </w:p>
    <w:p w14:paraId="21480A27" w14:textId="3E4F1539" w:rsidR="00157748" w:rsidRDefault="001D5AED" w:rsidP="00B87E67">
      <w:pPr>
        <w:pStyle w:val="NoSpacing"/>
        <w:numPr>
          <w:ilvl w:val="0"/>
          <w:numId w:val="2"/>
        </w:numPr>
        <w:jc w:val="both"/>
        <w:rPr>
          <w:rFonts w:ascii="Calibri" w:hAnsi="Calibri" w:cs="Calibri"/>
          <w:sz w:val="20"/>
          <w:szCs w:val="20"/>
          <w:lang w:val="en-IE"/>
        </w:rPr>
      </w:pPr>
      <w:r w:rsidRPr="00157748">
        <w:rPr>
          <w:rFonts w:ascii="Calibri" w:hAnsi="Calibri" w:cs="Calibri"/>
          <w:sz w:val="20"/>
          <w:szCs w:val="20"/>
          <w:lang w:val="en-IE"/>
        </w:rPr>
        <w:t xml:space="preserve">The largest element of Insurance revenue is GWP which increased by </w:t>
      </w:r>
      <w:r w:rsidR="00E62CC5" w:rsidRPr="00157748">
        <w:rPr>
          <w:rFonts w:ascii="Calibri" w:hAnsi="Calibri" w:cs="Calibri"/>
          <w:sz w:val="20"/>
          <w:szCs w:val="20"/>
          <w:lang w:val="en-IE"/>
        </w:rPr>
        <w:t>8</w:t>
      </w:r>
      <w:r w:rsidRPr="00157748">
        <w:rPr>
          <w:rFonts w:ascii="Calibri" w:hAnsi="Calibri" w:cs="Calibri"/>
          <w:sz w:val="20"/>
          <w:szCs w:val="20"/>
          <w:lang w:val="en-IE"/>
        </w:rPr>
        <w:t>% to €</w:t>
      </w:r>
      <w:r w:rsidR="00E62CC5" w:rsidRPr="00157748">
        <w:rPr>
          <w:rFonts w:ascii="Calibri" w:hAnsi="Calibri" w:cs="Calibri"/>
          <w:sz w:val="20"/>
          <w:szCs w:val="20"/>
          <w:lang w:val="en-IE"/>
        </w:rPr>
        <w:t>414</w:t>
      </w:r>
      <w:r w:rsidRPr="00157748">
        <w:rPr>
          <w:rFonts w:ascii="Calibri" w:hAnsi="Calibri" w:cs="Calibri"/>
          <w:sz w:val="20"/>
          <w:szCs w:val="20"/>
          <w:lang w:val="en-IE"/>
        </w:rPr>
        <w:t>m (2022: €</w:t>
      </w:r>
      <w:r w:rsidR="00E62CC5" w:rsidRPr="00157748">
        <w:rPr>
          <w:rFonts w:ascii="Calibri" w:hAnsi="Calibri" w:cs="Calibri"/>
          <w:sz w:val="20"/>
          <w:szCs w:val="20"/>
          <w:lang w:val="en-IE"/>
        </w:rPr>
        <w:t>383</w:t>
      </w:r>
      <w:r w:rsidRPr="00157748">
        <w:rPr>
          <w:rFonts w:ascii="Calibri" w:hAnsi="Calibri" w:cs="Calibri"/>
          <w:sz w:val="20"/>
          <w:szCs w:val="20"/>
          <w:lang w:val="en-IE"/>
        </w:rPr>
        <w:t>m)</w:t>
      </w:r>
      <w:r w:rsidR="00D21168" w:rsidRPr="00157748">
        <w:rPr>
          <w:rFonts w:ascii="Calibri" w:hAnsi="Calibri" w:cs="Calibri"/>
          <w:sz w:val="20"/>
          <w:szCs w:val="20"/>
          <w:lang w:val="en-IE"/>
        </w:rPr>
        <w:t xml:space="preserve"> with over 70% of the increase coming through </w:t>
      </w:r>
      <w:r w:rsidR="006E75F1">
        <w:rPr>
          <w:rFonts w:ascii="Calibri" w:hAnsi="Calibri" w:cs="Calibri"/>
          <w:sz w:val="20"/>
          <w:szCs w:val="20"/>
          <w:lang w:val="en-IE"/>
        </w:rPr>
        <w:t xml:space="preserve">from our </w:t>
      </w:r>
      <w:r w:rsidR="00E020B8">
        <w:rPr>
          <w:rFonts w:ascii="Calibri" w:hAnsi="Calibri" w:cs="Calibri"/>
          <w:sz w:val="20"/>
          <w:szCs w:val="20"/>
          <w:lang w:val="en-IE"/>
        </w:rPr>
        <w:t>F</w:t>
      </w:r>
      <w:r w:rsidR="006E75F1">
        <w:rPr>
          <w:rFonts w:ascii="Calibri" w:hAnsi="Calibri" w:cs="Calibri"/>
          <w:sz w:val="20"/>
          <w:szCs w:val="20"/>
          <w:lang w:val="en-IE"/>
        </w:rPr>
        <w:t>arm</w:t>
      </w:r>
      <w:r w:rsidR="00CD448F">
        <w:rPr>
          <w:rFonts w:ascii="Calibri" w:hAnsi="Calibri" w:cs="Calibri"/>
          <w:sz w:val="20"/>
          <w:szCs w:val="20"/>
          <w:lang w:val="en-IE"/>
        </w:rPr>
        <w:t>er</w:t>
      </w:r>
      <w:r w:rsidR="006E75F1">
        <w:rPr>
          <w:rFonts w:ascii="Calibri" w:hAnsi="Calibri" w:cs="Calibri"/>
          <w:sz w:val="20"/>
          <w:szCs w:val="20"/>
          <w:lang w:val="en-IE"/>
        </w:rPr>
        <w:t xml:space="preserve"> and </w:t>
      </w:r>
      <w:r w:rsidR="00E020B8">
        <w:rPr>
          <w:rFonts w:ascii="Calibri" w:hAnsi="Calibri" w:cs="Calibri"/>
          <w:sz w:val="20"/>
          <w:szCs w:val="20"/>
          <w:lang w:val="en-IE"/>
        </w:rPr>
        <w:t>B</w:t>
      </w:r>
      <w:r w:rsidR="006E75F1">
        <w:rPr>
          <w:rFonts w:ascii="Calibri" w:hAnsi="Calibri" w:cs="Calibri"/>
          <w:sz w:val="20"/>
          <w:szCs w:val="20"/>
          <w:lang w:val="en-IE"/>
        </w:rPr>
        <w:t xml:space="preserve">usiness </w:t>
      </w:r>
      <w:r w:rsidR="00AF7D14">
        <w:rPr>
          <w:rFonts w:ascii="Calibri" w:hAnsi="Calibri" w:cs="Calibri"/>
          <w:sz w:val="20"/>
          <w:szCs w:val="20"/>
          <w:lang w:val="en-IE"/>
        </w:rPr>
        <w:t>relationship c</w:t>
      </w:r>
      <w:r w:rsidR="00E020B8">
        <w:rPr>
          <w:rFonts w:ascii="Calibri" w:hAnsi="Calibri" w:cs="Calibri"/>
          <w:sz w:val="20"/>
          <w:szCs w:val="20"/>
          <w:lang w:val="en-IE"/>
        </w:rPr>
        <w:t>ustomer</w:t>
      </w:r>
      <w:r w:rsidR="00AF7D14">
        <w:rPr>
          <w:rFonts w:ascii="Calibri" w:hAnsi="Calibri" w:cs="Calibri"/>
          <w:sz w:val="20"/>
          <w:szCs w:val="20"/>
          <w:lang w:val="en-IE"/>
        </w:rPr>
        <w:t>s</w:t>
      </w:r>
      <w:r w:rsidR="006E75F1">
        <w:rPr>
          <w:rFonts w:ascii="Calibri" w:hAnsi="Calibri" w:cs="Calibri"/>
          <w:sz w:val="20"/>
          <w:szCs w:val="20"/>
          <w:lang w:val="en-IE"/>
        </w:rPr>
        <w:t>.</w:t>
      </w:r>
      <w:r w:rsidRPr="00157748">
        <w:rPr>
          <w:rFonts w:ascii="Calibri" w:hAnsi="Calibri" w:cs="Calibri"/>
          <w:sz w:val="20"/>
          <w:szCs w:val="20"/>
          <w:lang w:val="en-IE"/>
        </w:rPr>
        <w:t xml:space="preserve">  </w:t>
      </w:r>
    </w:p>
    <w:p w14:paraId="1C07CE11" w14:textId="198386D4" w:rsidR="00A90B7F" w:rsidRPr="00F537C1" w:rsidRDefault="00530F0E" w:rsidP="00F537C1">
      <w:pPr>
        <w:pStyle w:val="NoSpacing"/>
        <w:numPr>
          <w:ilvl w:val="0"/>
          <w:numId w:val="2"/>
        </w:numPr>
        <w:jc w:val="both"/>
        <w:rPr>
          <w:rFonts w:ascii="Calibri" w:hAnsi="Calibri" w:cs="Calibri"/>
          <w:sz w:val="20"/>
          <w:szCs w:val="20"/>
          <w:lang w:val="en-IE"/>
        </w:rPr>
      </w:pPr>
      <w:r w:rsidRPr="00F537C1">
        <w:rPr>
          <w:rFonts w:ascii="Calibri" w:hAnsi="Calibri" w:cs="Calibri"/>
          <w:sz w:val="20"/>
          <w:szCs w:val="20"/>
          <w:lang w:val="en-IE"/>
        </w:rPr>
        <w:t>Underwriting result is €7</w:t>
      </w:r>
      <w:r w:rsidR="00142FED" w:rsidRPr="00F537C1">
        <w:rPr>
          <w:rFonts w:ascii="Calibri" w:hAnsi="Calibri" w:cs="Calibri"/>
          <w:sz w:val="20"/>
          <w:szCs w:val="20"/>
          <w:lang w:val="en-IE"/>
        </w:rPr>
        <w:t>6</w:t>
      </w:r>
      <w:r w:rsidRPr="00F537C1">
        <w:rPr>
          <w:rFonts w:ascii="Calibri" w:hAnsi="Calibri" w:cs="Calibri"/>
          <w:sz w:val="20"/>
          <w:szCs w:val="20"/>
          <w:lang w:val="en-IE"/>
        </w:rPr>
        <w:t>m</w:t>
      </w:r>
      <w:r w:rsidR="00CD448F" w:rsidRPr="00F537C1">
        <w:rPr>
          <w:rFonts w:ascii="Calibri" w:hAnsi="Calibri" w:cs="Calibri"/>
          <w:sz w:val="20"/>
          <w:szCs w:val="20"/>
          <w:lang w:val="en-IE"/>
        </w:rPr>
        <w:t xml:space="preserve"> </w:t>
      </w:r>
      <w:r w:rsidRPr="00F537C1">
        <w:rPr>
          <w:rFonts w:ascii="Calibri" w:hAnsi="Calibri" w:cs="Calibri"/>
          <w:sz w:val="20"/>
          <w:szCs w:val="20"/>
          <w:lang w:val="en-IE"/>
        </w:rPr>
        <w:t>(2022: €90.0m</w:t>
      </w:r>
      <w:r w:rsidR="00CE00DF" w:rsidRPr="00F537C1">
        <w:rPr>
          <w:rFonts w:ascii="Calibri" w:hAnsi="Calibri" w:cs="Calibri"/>
          <w:sz w:val="20"/>
          <w:szCs w:val="20"/>
          <w:lang w:val="en-IE"/>
        </w:rPr>
        <w:t>)</w:t>
      </w:r>
      <w:r w:rsidR="00283508" w:rsidRPr="00F537C1">
        <w:rPr>
          <w:rFonts w:ascii="Calibri" w:hAnsi="Calibri" w:cs="Calibri"/>
          <w:sz w:val="20"/>
          <w:szCs w:val="20"/>
          <w:lang w:val="en-IE"/>
        </w:rPr>
        <w:t xml:space="preserve"> equating to an 81% COR with </w:t>
      </w:r>
      <w:r w:rsidR="00AF7D14" w:rsidRPr="00F537C1">
        <w:rPr>
          <w:rFonts w:ascii="Calibri" w:hAnsi="Calibri" w:cs="Calibri"/>
          <w:sz w:val="20"/>
          <w:szCs w:val="20"/>
          <w:lang w:val="en-IE"/>
        </w:rPr>
        <w:t>favourable</w:t>
      </w:r>
      <w:r w:rsidR="00283508" w:rsidRPr="00F537C1">
        <w:rPr>
          <w:rFonts w:ascii="Calibri" w:hAnsi="Calibri" w:cs="Calibri"/>
          <w:sz w:val="20"/>
          <w:szCs w:val="20"/>
          <w:lang w:val="en-IE"/>
        </w:rPr>
        <w:t xml:space="preserve"> prior year </w:t>
      </w:r>
      <w:r w:rsidR="00A90B7F" w:rsidRPr="00F537C1">
        <w:rPr>
          <w:rFonts w:ascii="Calibri" w:hAnsi="Calibri" w:cs="Calibri"/>
          <w:sz w:val="20"/>
          <w:szCs w:val="20"/>
          <w:lang w:val="en-IE"/>
        </w:rPr>
        <w:t xml:space="preserve">reserve </w:t>
      </w:r>
      <w:r w:rsidR="00283508" w:rsidRPr="00F537C1">
        <w:rPr>
          <w:rFonts w:ascii="Calibri" w:hAnsi="Calibri" w:cs="Calibri"/>
          <w:sz w:val="20"/>
          <w:szCs w:val="20"/>
          <w:lang w:val="en-IE"/>
        </w:rPr>
        <w:t xml:space="preserve">development being the key feature. The current service combined ratio, which excludes prior year releases, is </w:t>
      </w:r>
      <w:r w:rsidR="00A90B7F" w:rsidRPr="00F537C1">
        <w:rPr>
          <w:rFonts w:ascii="Calibri" w:hAnsi="Calibri" w:cs="Calibri"/>
          <w:sz w:val="20"/>
          <w:szCs w:val="20"/>
          <w:lang w:val="en-IE"/>
        </w:rPr>
        <w:t>9</w:t>
      </w:r>
      <w:r w:rsidR="00283508" w:rsidRPr="00F537C1">
        <w:rPr>
          <w:rFonts w:ascii="Calibri" w:hAnsi="Calibri" w:cs="Calibri"/>
          <w:sz w:val="20"/>
          <w:szCs w:val="20"/>
          <w:lang w:val="en-IE"/>
        </w:rPr>
        <w:t>5.1%</w:t>
      </w:r>
      <w:r w:rsidR="00F537C1" w:rsidRPr="005057D3">
        <w:rPr>
          <w:rFonts w:ascii="Calibri" w:hAnsi="Calibri" w:cs="Calibri"/>
          <w:sz w:val="20"/>
          <w:szCs w:val="20"/>
          <w:lang w:val="en-IE"/>
        </w:rPr>
        <w:t>.</w:t>
      </w:r>
      <w:r w:rsidR="00F537C1">
        <w:rPr>
          <w:rFonts w:ascii="Calibri" w:hAnsi="Calibri" w:cs="Calibri"/>
          <w:sz w:val="20"/>
          <w:szCs w:val="20"/>
          <w:lang w:val="en-IE"/>
        </w:rPr>
        <w:t xml:space="preserve"> T</w:t>
      </w:r>
      <w:r w:rsidR="00A90B7F" w:rsidRPr="00F537C1">
        <w:rPr>
          <w:rFonts w:ascii="Calibri" w:hAnsi="Calibri" w:cs="Calibri"/>
          <w:sz w:val="20"/>
          <w:szCs w:val="20"/>
          <w:lang w:val="en-IE"/>
        </w:rPr>
        <w:t xml:space="preserve">he expense ratio remained stable at 27.4% (2022: 27.3%), despite inflationary pressure on employee, </w:t>
      </w:r>
      <w:proofErr w:type="gramStart"/>
      <w:r w:rsidR="00A90B7F" w:rsidRPr="00F537C1">
        <w:rPr>
          <w:rFonts w:ascii="Calibri" w:hAnsi="Calibri" w:cs="Calibri"/>
          <w:sz w:val="20"/>
          <w:szCs w:val="20"/>
          <w:lang w:val="en-IE"/>
        </w:rPr>
        <w:t>IT</w:t>
      </w:r>
      <w:proofErr w:type="gramEnd"/>
      <w:r w:rsidR="00A90B7F" w:rsidRPr="00F537C1">
        <w:rPr>
          <w:rFonts w:ascii="Calibri" w:hAnsi="Calibri" w:cs="Calibri"/>
          <w:sz w:val="20"/>
          <w:szCs w:val="20"/>
          <w:lang w:val="en-IE"/>
        </w:rPr>
        <w:t xml:space="preserve"> and utility costs. </w:t>
      </w:r>
    </w:p>
    <w:p w14:paraId="29923A5F" w14:textId="3F982803" w:rsidR="001D5AED" w:rsidRDefault="001D5AED" w:rsidP="001D5AED">
      <w:pPr>
        <w:pStyle w:val="NoSpacing"/>
        <w:numPr>
          <w:ilvl w:val="0"/>
          <w:numId w:val="2"/>
        </w:numPr>
        <w:jc w:val="both"/>
        <w:rPr>
          <w:rFonts w:ascii="Calibri" w:hAnsi="Calibri" w:cs="Calibri"/>
          <w:sz w:val="20"/>
          <w:szCs w:val="20"/>
          <w:lang w:val="en-IE"/>
        </w:rPr>
      </w:pPr>
      <w:r w:rsidRPr="00915B6D">
        <w:rPr>
          <w:rFonts w:ascii="Calibri" w:hAnsi="Calibri" w:cs="Calibri"/>
          <w:sz w:val="20"/>
          <w:szCs w:val="20"/>
          <w:lang w:val="en-IE"/>
        </w:rPr>
        <w:lastRenderedPageBreak/>
        <w:t xml:space="preserve">A positive </w:t>
      </w:r>
      <w:r w:rsidR="00E20EBC">
        <w:rPr>
          <w:rFonts w:ascii="Calibri" w:hAnsi="Calibri" w:cs="Calibri"/>
          <w:sz w:val="20"/>
          <w:szCs w:val="20"/>
          <w:lang w:val="en-IE"/>
        </w:rPr>
        <w:t>return for</w:t>
      </w:r>
      <w:r w:rsidRPr="00915B6D">
        <w:rPr>
          <w:rFonts w:ascii="Calibri" w:hAnsi="Calibri" w:cs="Calibri"/>
          <w:sz w:val="20"/>
          <w:szCs w:val="20"/>
          <w:lang w:val="en-IE"/>
        </w:rPr>
        <w:t xml:space="preserve"> both equity and fixed income investments resulted in a profit through the Income Statement of €</w:t>
      </w:r>
      <w:r w:rsidR="00915B6D" w:rsidRPr="00915B6D">
        <w:rPr>
          <w:rFonts w:ascii="Calibri" w:hAnsi="Calibri" w:cs="Calibri"/>
          <w:sz w:val="20"/>
          <w:szCs w:val="20"/>
          <w:lang w:val="en-IE"/>
        </w:rPr>
        <w:t>19</w:t>
      </w:r>
      <w:r w:rsidRPr="00915B6D">
        <w:rPr>
          <w:rFonts w:ascii="Calibri" w:hAnsi="Calibri" w:cs="Calibri"/>
          <w:sz w:val="20"/>
          <w:szCs w:val="20"/>
          <w:lang w:val="en-IE"/>
        </w:rPr>
        <w:t>m (2022: -€1</w:t>
      </w:r>
      <w:r w:rsidR="00915B6D" w:rsidRPr="00915B6D">
        <w:rPr>
          <w:rFonts w:ascii="Calibri" w:hAnsi="Calibri" w:cs="Calibri"/>
          <w:sz w:val="20"/>
          <w:szCs w:val="20"/>
          <w:lang w:val="en-IE"/>
        </w:rPr>
        <w:t>1</w:t>
      </w:r>
      <w:r w:rsidRPr="00915B6D">
        <w:rPr>
          <w:rFonts w:ascii="Calibri" w:hAnsi="Calibri" w:cs="Calibri"/>
          <w:sz w:val="20"/>
          <w:szCs w:val="20"/>
          <w:lang w:val="en-IE"/>
        </w:rPr>
        <w:t>m) and a profit through Other Comprehensive Income (OCI) of €</w:t>
      </w:r>
      <w:r w:rsidR="00915B6D" w:rsidRPr="00915B6D">
        <w:rPr>
          <w:rFonts w:ascii="Calibri" w:hAnsi="Calibri" w:cs="Calibri"/>
          <w:sz w:val="20"/>
          <w:szCs w:val="20"/>
          <w:lang w:val="en-IE"/>
        </w:rPr>
        <w:t>41</w:t>
      </w:r>
      <w:r w:rsidRPr="00915B6D">
        <w:rPr>
          <w:rFonts w:ascii="Calibri" w:hAnsi="Calibri" w:cs="Calibri"/>
          <w:sz w:val="20"/>
          <w:szCs w:val="20"/>
          <w:lang w:val="en-IE"/>
        </w:rPr>
        <w:t>m (2022: -€</w:t>
      </w:r>
      <w:r w:rsidR="00915B6D" w:rsidRPr="00915B6D">
        <w:rPr>
          <w:rFonts w:ascii="Calibri" w:hAnsi="Calibri" w:cs="Calibri"/>
          <w:sz w:val="20"/>
          <w:szCs w:val="20"/>
          <w:lang w:val="en-IE"/>
        </w:rPr>
        <w:t>90</w:t>
      </w:r>
      <w:r w:rsidRPr="00915B6D">
        <w:rPr>
          <w:rFonts w:ascii="Calibri" w:hAnsi="Calibri" w:cs="Calibri"/>
          <w:sz w:val="20"/>
          <w:szCs w:val="20"/>
          <w:lang w:val="en-IE"/>
        </w:rPr>
        <w:t xml:space="preserve">m). </w:t>
      </w:r>
    </w:p>
    <w:p w14:paraId="57277E41" w14:textId="37B92B80" w:rsidR="001D5AED" w:rsidRDefault="001D5AED" w:rsidP="001D5AED">
      <w:pPr>
        <w:pStyle w:val="NoSpacing"/>
        <w:numPr>
          <w:ilvl w:val="0"/>
          <w:numId w:val="2"/>
        </w:numPr>
        <w:jc w:val="both"/>
        <w:rPr>
          <w:rFonts w:ascii="Calibri" w:hAnsi="Calibri" w:cs="Calibri"/>
          <w:sz w:val="20"/>
          <w:szCs w:val="20"/>
          <w:lang w:val="en-IE"/>
        </w:rPr>
      </w:pPr>
      <w:r w:rsidRPr="00675E4F">
        <w:rPr>
          <w:rFonts w:ascii="Calibri" w:hAnsi="Calibri" w:cs="Calibri"/>
          <w:sz w:val="20"/>
          <w:szCs w:val="20"/>
          <w:lang w:val="en-IE"/>
        </w:rPr>
        <w:t xml:space="preserve">Net Asset Value per share </w:t>
      </w:r>
      <w:r w:rsidRPr="00196769">
        <w:rPr>
          <w:rFonts w:ascii="Calibri" w:hAnsi="Calibri" w:cs="Calibri"/>
          <w:sz w:val="20"/>
          <w:szCs w:val="20"/>
          <w:lang w:val="en-IE"/>
        </w:rPr>
        <w:t xml:space="preserve">of </w:t>
      </w:r>
      <w:r w:rsidRPr="002972F1">
        <w:rPr>
          <w:rFonts w:ascii="Calibri" w:hAnsi="Calibri" w:cs="Calibri"/>
          <w:sz w:val="20"/>
          <w:szCs w:val="20"/>
          <w:lang w:val="en-IE"/>
        </w:rPr>
        <w:t>1,</w:t>
      </w:r>
      <w:r w:rsidR="00675E4F" w:rsidRPr="002972F1">
        <w:rPr>
          <w:rFonts w:ascii="Calibri" w:hAnsi="Calibri" w:cs="Calibri"/>
          <w:sz w:val="20"/>
          <w:szCs w:val="20"/>
          <w:lang w:val="en-IE"/>
        </w:rPr>
        <w:t>330</w:t>
      </w:r>
      <w:r w:rsidRPr="00196769">
        <w:rPr>
          <w:rFonts w:ascii="Calibri" w:hAnsi="Calibri" w:cs="Calibri"/>
          <w:sz w:val="20"/>
          <w:szCs w:val="20"/>
          <w:lang w:val="en-IE"/>
        </w:rPr>
        <w:t xml:space="preserve"> cent</w:t>
      </w:r>
      <w:r w:rsidRPr="00675E4F">
        <w:rPr>
          <w:rFonts w:ascii="Calibri" w:hAnsi="Calibri" w:cs="Calibri"/>
          <w:sz w:val="20"/>
          <w:szCs w:val="20"/>
          <w:lang w:val="en-IE"/>
        </w:rPr>
        <w:t xml:space="preserve"> has </w:t>
      </w:r>
      <w:r w:rsidR="00675E4F" w:rsidRPr="00675E4F">
        <w:rPr>
          <w:rFonts w:ascii="Calibri" w:hAnsi="Calibri" w:cs="Calibri"/>
          <w:sz w:val="20"/>
          <w:szCs w:val="20"/>
          <w:lang w:val="en-IE"/>
        </w:rPr>
        <w:t>increased</w:t>
      </w:r>
      <w:r w:rsidRPr="00675E4F">
        <w:rPr>
          <w:rFonts w:ascii="Calibri" w:hAnsi="Calibri" w:cs="Calibri"/>
          <w:sz w:val="20"/>
          <w:szCs w:val="20"/>
          <w:lang w:val="en-IE"/>
        </w:rPr>
        <w:t xml:space="preserve"> from 1,276 cent (restated) at the end of 2022 </w:t>
      </w:r>
      <w:proofErr w:type="gramStart"/>
      <w:r w:rsidR="00196769">
        <w:rPr>
          <w:rFonts w:ascii="Calibri" w:hAnsi="Calibri" w:cs="Calibri"/>
          <w:sz w:val="20"/>
          <w:szCs w:val="20"/>
          <w:lang w:val="en-IE"/>
        </w:rPr>
        <w:t>as a result of</w:t>
      </w:r>
      <w:proofErr w:type="gramEnd"/>
      <w:r w:rsidR="00196769">
        <w:rPr>
          <w:rFonts w:ascii="Calibri" w:hAnsi="Calibri" w:cs="Calibri"/>
          <w:sz w:val="20"/>
          <w:szCs w:val="20"/>
          <w:lang w:val="en-IE"/>
        </w:rPr>
        <w:t xml:space="preserve"> </w:t>
      </w:r>
      <w:r w:rsidR="00675E4F" w:rsidRPr="00DB7152">
        <w:rPr>
          <w:rFonts w:ascii="Calibri" w:hAnsi="Calibri" w:cs="Calibri"/>
          <w:sz w:val="20"/>
          <w:szCs w:val="20"/>
          <w:lang w:val="en-IE"/>
        </w:rPr>
        <w:t>profit</w:t>
      </w:r>
      <w:r w:rsidR="00196769">
        <w:rPr>
          <w:rFonts w:ascii="Calibri" w:hAnsi="Calibri" w:cs="Calibri"/>
          <w:sz w:val="20"/>
          <w:szCs w:val="20"/>
          <w:lang w:val="en-IE"/>
        </w:rPr>
        <w:t xml:space="preserve">s </w:t>
      </w:r>
      <w:r w:rsidR="00E201B7" w:rsidRPr="00DB7152">
        <w:rPr>
          <w:rFonts w:ascii="Calibri" w:hAnsi="Calibri" w:cs="Calibri"/>
          <w:sz w:val="20"/>
          <w:szCs w:val="20"/>
          <w:lang w:val="en-IE"/>
        </w:rPr>
        <w:t>during the year</w:t>
      </w:r>
      <w:r w:rsidR="00AF7D14">
        <w:rPr>
          <w:rFonts w:ascii="Calibri" w:hAnsi="Calibri" w:cs="Calibri"/>
          <w:sz w:val="20"/>
          <w:szCs w:val="20"/>
          <w:lang w:val="en-IE"/>
        </w:rPr>
        <w:t xml:space="preserve"> being</w:t>
      </w:r>
      <w:r w:rsidR="00196769">
        <w:rPr>
          <w:rFonts w:ascii="Calibri" w:hAnsi="Calibri" w:cs="Calibri"/>
          <w:sz w:val="20"/>
          <w:szCs w:val="20"/>
          <w:lang w:val="en-IE"/>
        </w:rPr>
        <w:t xml:space="preserve"> offset by ordinary and special dividends totalling €72m paid</w:t>
      </w:r>
      <w:r w:rsidR="006E75F1" w:rsidRPr="00DB7152">
        <w:rPr>
          <w:rFonts w:ascii="Calibri" w:hAnsi="Calibri" w:cs="Calibri"/>
          <w:sz w:val="20"/>
          <w:szCs w:val="20"/>
          <w:lang w:val="en-IE"/>
        </w:rPr>
        <w:t xml:space="preserve"> to shareholders</w:t>
      </w:r>
      <w:r w:rsidR="00196769">
        <w:rPr>
          <w:rFonts w:ascii="Calibri" w:hAnsi="Calibri" w:cs="Calibri"/>
          <w:sz w:val="20"/>
          <w:szCs w:val="20"/>
          <w:lang w:val="en-IE"/>
        </w:rPr>
        <w:t xml:space="preserve"> during 2023</w:t>
      </w:r>
      <w:r w:rsidRPr="00E201B7">
        <w:rPr>
          <w:rFonts w:ascii="Calibri" w:hAnsi="Calibri" w:cs="Calibri"/>
          <w:sz w:val="20"/>
          <w:szCs w:val="20"/>
          <w:lang w:val="en-IE"/>
        </w:rPr>
        <w:t>.</w:t>
      </w:r>
    </w:p>
    <w:p w14:paraId="2D7C0743" w14:textId="77777777" w:rsidR="00C40A02" w:rsidRPr="00675E4F" w:rsidRDefault="00C40A02" w:rsidP="00E201B7">
      <w:pPr>
        <w:pStyle w:val="NoSpacing"/>
        <w:jc w:val="both"/>
        <w:rPr>
          <w:rFonts w:ascii="Calibri" w:hAnsi="Calibri" w:cs="Calibri"/>
          <w:sz w:val="20"/>
          <w:szCs w:val="20"/>
          <w:lang w:val="en-IE"/>
        </w:rPr>
      </w:pPr>
    </w:p>
    <w:p w14:paraId="050BD3DB" w14:textId="2BC2E363" w:rsidR="00991D00" w:rsidRPr="001D5AED" w:rsidRDefault="00991D00" w:rsidP="003F4E9E">
      <w:pPr>
        <w:pStyle w:val="po"/>
        <w:spacing w:before="0" w:beforeAutospacing="0" w:after="0" w:afterAutospacing="0"/>
        <w:ind w:left="-142"/>
        <w:jc w:val="both"/>
        <w:rPr>
          <w:rFonts w:asciiTheme="minorHAnsi" w:hAnsiTheme="minorHAnsi" w:cstheme="minorHAnsi"/>
          <w:color w:val="000000"/>
          <w:sz w:val="22"/>
          <w:szCs w:val="22"/>
        </w:rPr>
      </w:pPr>
    </w:p>
    <w:p w14:paraId="36CC4D87" w14:textId="5325AB6F" w:rsidR="003F4E9E" w:rsidRDefault="00D741D5" w:rsidP="003F4E9E">
      <w:pPr>
        <w:pStyle w:val="po"/>
        <w:spacing w:before="0" w:beforeAutospacing="0" w:after="0" w:afterAutospacing="0"/>
        <w:ind w:left="-142"/>
        <w:jc w:val="both"/>
        <w:rPr>
          <w:rFonts w:asciiTheme="minorHAnsi" w:hAnsiTheme="minorHAnsi" w:cstheme="minorHAnsi"/>
          <w:color w:val="000000"/>
          <w:sz w:val="20"/>
          <w:szCs w:val="20"/>
        </w:rPr>
      </w:pPr>
      <w:r w:rsidRPr="00AD64AB">
        <w:rPr>
          <w:rFonts w:asciiTheme="minorHAnsi" w:hAnsiTheme="minorHAnsi" w:cstheme="minorHAnsi"/>
          <w:color w:val="000000"/>
          <w:sz w:val="20"/>
          <w:szCs w:val="20"/>
        </w:rPr>
        <w:t xml:space="preserve">Commenting on these results </w:t>
      </w:r>
      <w:r w:rsidR="00A77CA9" w:rsidRPr="00AD64AB">
        <w:rPr>
          <w:rFonts w:asciiTheme="minorHAnsi" w:hAnsiTheme="minorHAnsi" w:cstheme="minorHAnsi"/>
          <w:color w:val="000000"/>
          <w:sz w:val="20"/>
          <w:szCs w:val="20"/>
        </w:rPr>
        <w:t>T</w:t>
      </w:r>
      <w:r w:rsidR="001166F0" w:rsidRPr="00AD64AB">
        <w:rPr>
          <w:rFonts w:asciiTheme="minorHAnsi" w:hAnsiTheme="minorHAnsi" w:cstheme="minorHAnsi"/>
          <w:color w:val="000000"/>
          <w:sz w:val="20"/>
          <w:szCs w:val="20"/>
        </w:rPr>
        <w:t>o</w:t>
      </w:r>
      <w:r w:rsidR="00A77CA9" w:rsidRPr="00AD64AB">
        <w:rPr>
          <w:rFonts w:asciiTheme="minorHAnsi" w:hAnsiTheme="minorHAnsi" w:cstheme="minorHAnsi"/>
          <w:color w:val="000000"/>
          <w:sz w:val="20"/>
          <w:szCs w:val="20"/>
        </w:rPr>
        <w:t>m</w:t>
      </w:r>
      <w:r w:rsidR="001166F0" w:rsidRPr="00AD64AB">
        <w:rPr>
          <w:rFonts w:asciiTheme="minorHAnsi" w:hAnsiTheme="minorHAnsi" w:cstheme="minorHAnsi"/>
          <w:color w:val="000000"/>
          <w:sz w:val="20"/>
          <w:szCs w:val="20"/>
        </w:rPr>
        <w:t>á</w:t>
      </w:r>
      <w:r w:rsidR="00A77CA9" w:rsidRPr="00AD64AB">
        <w:rPr>
          <w:rFonts w:asciiTheme="minorHAnsi" w:hAnsiTheme="minorHAnsi" w:cstheme="minorHAnsi"/>
          <w:color w:val="000000"/>
          <w:sz w:val="20"/>
          <w:szCs w:val="20"/>
        </w:rPr>
        <w:t>s Ó</w:t>
      </w:r>
      <w:r w:rsidR="0047644C" w:rsidRPr="00AD64AB">
        <w:rPr>
          <w:rFonts w:asciiTheme="minorHAnsi" w:hAnsiTheme="minorHAnsi" w:cstheme="minorHAnsi"/>
          <w:color w:val="000000"/>
          <w:sz w:val="20"/>
          <w:szCs w:val="20"/>
        </w:rPr>
        <w:t xml:space="preserve"> </w:t>
      </w:r>
      <w:r w:rsidR="00A77CA9" w:rsidRPr="00AD64AB">
        <w:rPr>
          <w:rFonts w:asciiTheme="minorHAnsi" w:hAnsiTheme="minorHAnsi" w:cstheme="minorHAnsi"/>
          <w:color w:val="000000"/>
          <w:sz w:val="20"/>
          <w:szCs w:val="20"/>
        </w:rPr>
        <w:t>M</w:t>
      </w:r>
      <w:r w:rsidR="002653B6" w:rsidRPr="00AD64AB">
        <w:rPr>
          <w:rFonts w:asciiTheme="minorHAnsi" w:hAnsiTheme="minorHAnsi" w:cstheme="minorHAnsi"/>
          <w:color w:val="000000"/>
          <w:sz w:val="20"/>
          <w:szCs w:val="20"/>
        </w:rPr>
        <w:t>i</w:t>
      </w:r>
      <w:r w:rsidR="00A77CA9" w:rsidRPr="00AD64AB">
        <w:rPr>
          <w:rFonts w:asciiTheme="minorHAnsi" w:hAnsiTheme="minorHAnsi" w:cstheme="minorHAnsi"/>
          <w:color w:val="000000"/>
          <w:sz w:val="20"/>
          <w:szCs w:val="20"/>
        </w:rPr>
        <w:t>dheach</w:t>
      </w:r>
      <w:r w:rsidR="003F4E9E" w:rsidRPr="00AD64AB">
        <w:rPr>
          <w:rFonts w:asciiTheme="minorHAnsi" w:hAnsiTheme="minorHAnsi" w:cstheme="minorHAnsi"/>
          <w:color w:val="000000"/>
          <w:sz w:val="20"/>
          <w:szCs w:val="20"/>
        </w:rPr>
        <w:t>, Group Chief Executive, said:</w:t>
      </w:r>
    </w:p>
    <w:p w14:paraId="1D409F2E" w14:textId="77777777" w:rsidR="00004047" w:rsidRPr="00AD64AB" w:rsidRDefault="00004047" w:rsidP="003F4E9E">
      <w:pPr>
        <w:pStyle w:val="po"/>
        <w:spacing w:before="0" w:beforeAutospacing="0" w:after="0" w:afterAutospacing="0"/>
        <w:ind w:left="-142"/>
        <w:jc w:val="both"/>
        <w:rPr>
          <w:rFonts w:asciiTheme="minorHAnsi" w:hAnsiTheme="minorHAnsi" w:cstheme="minorHAnsi"/>
          <w:color w:val="000000"/>
          <w:sz w:val="20"/>
          <w:szCs w:val="20"/>
        </w:rPr>
      </w:pPr>
    </w:p>
    <w:p w14:paraId="74A4AC91" w14:textId="52E0E5A8" w:rsidR="005F1C03" w:rsidRPr="00041065" w:rsidRDefault="00EC7165" w:rsidP="003B4F91">
      <w:pPr>
        <w:jc w:val="both"/>
        <w:rPr>
          <w:rFonts w:asciiTheme="minorHAnsi" w:hAnsiTheme="minorHAnsi" w:cstheme="minorHAnsi"/>
        </w:rPr>
      </w:pPr>
      <w:r w:rsidRPr="005F1C03">
        <w:rPr>
          <w:rFonts w:asciiTheme="minorHAnsi" w:hAnsiTheme="minorHAnsi" w:cstheme="minorHAnsi"/>
        </w:rPr>
        <w:t>“</w:t>
      </w:r>
      <w:r w:rsidR="005F1C03" w:rsidRPr="003B4F91">
        <w:rPr>
          <w:rFonts w:asciiTheme="minorHAnsi" w:hAnsiTheme="minorHAnsi" w:cstheme="minorHAnsi"/>
        </w:rPr>
        <w:t xml:space="preserve">Building on our successful approach to date </w:t>
      </w:r>
      <w:r w:rsidR="00687BA3">
        <w:rPr>
          <w:rFonts w:asciiTheme="minorHAnsi" w:hAnsiTheme="minorHAnsi" w:cstheme="minorHAnsi"/>
        </w:rPr>
        <w:t xml:space="preserve">to </w:t>
      </w:r>
      <w:r w:rsidR="005F1C03" w:rsidRPr="003B4F91">
        <w:rPr>
          <w:rFonts w:asciiTheme="minorHAnsi" w:hAnsiTheme="minorHAnsi" w:cstheme="minorHAnsi"/>
        </w:rPr>
        <w:t>driv</w:t>
      </w:r>
      <w:r w:rsidR="00687BA3">
        <w:rPr>
          <w:rFonts w:asciiTheme="minorHAnsi" w:hAnsiTheme="minorHAnsi" w:cstheme="minorHAnsi"/>
        </w:rPr>
        <w:t>e</w:t>
      </w:r>
      <w:r w:rsidR="005F1C03" w:rsidRPr="003B4F91">
        <w:rPr>
          <w:rFonts w:asciiTheme="minorHAnsi" w:hAnsiTheme="minorHAnsi" w:cstheme="minorHAnsi"/>
        </w:rPr>
        <w:t xml:space="preserve"> </w:t>
      </w:r>
      <w:r w:rsidR="00687BA3">
        <w:rPr>
          <w:rFonts w:asciiTheme="minorHAnsi" w:hAnsiTheme="minorHAnsi" w:cstheme="minorHAnsi"/>
        </w:rPr>
        <w:t>measured</w:t>
      </w:r>
      <w:r w:rsidR="005F1C03" w:rsidRPr="003B4F91">
        <w:rPr>
          <w:rFonts w:asciiTheme="minorHAnsi" w:hAnsiTheme="minorHAnsi" w:cstheme="minorHAnsi"/>
        </w:rPr>
        <w:t xml:space="preserve"> profitable growth, </w:t>
      </w:r>
      <w:r w:rsidR="0080445D">
        <w:rPr>
          <w:rFonts w:asciiTheme="minorHAnsi" w:hAnsiTheme="minorHAnsi" w:cstheme="minorHAnsi"/>
        </w:rPr>
        <w:t>we</w:t>
      </w:r>
      <w:r w:rsidR="005F1C03" w:rsidRPr="003B4F91">
        <w:rPr>
          <w:rFonts w:asciiTheme="minorHAnsi" w:hAnsiTheme="minorHAnsi" w:cstheme="minorHAnsi"/>
        </w:rPr>
        <w:t xml:space="preserve"> a</w:t>
      </w:r>
      <w:r w:rsidR="0080445D">
        <w:rPr>
          <w:rFonts w:asciiTheme="minorHAnsi" w:hAnsiTheme="minorHAnsi" w:cstheme="minorHAnsi"/>
        </w:rPr>
        <w:t>re</w:t>
      </w:r>
      <w:r w:rsidR="005F1C03" w:rsidRPr="003B4F91">
        <w:rPr>
          <w:rFonts w:asciiTheme="minorHAnsi" w:hAnsiTheme="minorHAnsi" w:cstheme="minorHAnsi"/>
        </w:rPr>
        <w:t xml:space="preserve"> pleased to announce a</w:t>
      </w:r>
      <w:r w:rsidR="00687BA3">
        <w:rPr>
          <w:rFonts w:asciiTheme="minorHAnsi" w:hAnsiTheme="minorHAnsi" w:cstheme="minorHAnsi"/>
        </w:rPr>
        <w:t xml:space="preserve"> </w:t>
      </w:r>
      <w:r w:rsidR="00687BA3" w:rsidRPr="00041065">
        <w:rPr>
          <w:rFonts w:asciiTheme="minorHAnsi" w:hAnsiTheme="minorHAnsi" w:cstheme="minorHAnsi"/>
        </w:rPr>
        <w:t>robust</w:t>
      </w:r>
      <w:r w:rsidR="005F1C03" w:rsidRPr="00041065">
        <w:rPr>
          <w:rFonts w:asciiTheme="minorHAnsi" w:hAnsiTheme="minorHAnsi" w:cstheme="minorHAnsi"/>
        </w:rPr>
        <w:t xml:space="preserve"> result for 2023. This was achieved </w:t>
      </w:r>
      <w:proofErr w:type="gramStart"/>
      <w:r w:rsidR="005F1C03" w:rsidRPr="00041065">
        <w:rPr>
          <w:rFonts w:asciiTheme="minorHAnsi" w:hAnsiTheme="minorHAnsi" w:cstheme="minorHAnsi"/>
        </w:rPr>
        <w:t>as a</w:t>
      </w:r>
      <w:r w:rsidR="00687BA3" w:rsidRPr="00041065">
        <w:rPr>
          <w:rFonts w:asciiTheme="minorHAnsi" w:hAnsiTheme="minorHAnsi" w:cstheme="minorHAnsi"/>
        </w:rPr>
        <w:t xml:space="preserve"> result of</w:t>
      </w:r>
      <w:proofErr w:type="gramEnd"/>
      <w:r w:rsidR="00687BA3" w:rsidRPr="00041065">
        <w:rPr>
          <w:rFonts w:asciiTheme="minorHAnsi" w:hAnsiTheme="minorHAnsi" w:cstheme="minorHAnsi"/>
        </w:rPr>
        <w:t xml:space="preserve"> strong returns from our business activities, underpinned by our </w:t>
      </w:r>
      <w:r w:rsidR="005F1C03" w:rsidRPr="00041065">
        <w:rPr>
          <w:rFonts w:asciiTheme="minorHAnsi" w:hAnsiTheme="minorHAnsi" w:cstheme="minorHAnsi"/>
        </w:rPr>
        <w:t>underwriting discipline</w:t>
      </w:r>
      <w:r w:rsidR="00687BA3" w:rsidRPr="00041065">
        <w:rPr>
          <w:rFonts w:asciiTheme="minorHAnsi" w:hAnsiTheme="minorHAnsi" w:cstheme="minorHAnsi"/>
        </w:rPr>
        <w:t>. In addition, the result was enhanced</w:t>
      </w:r>
      <w:r w:rsidR="005F1C03" w:rsidRPr="00041065">
        <w:rPr>
          <w:rFonts w:asciiTheme="minorHAnsi" w:hAnsiTheme="minorHAnsi" w:cstheme="minorHAnsi"/>
        </w:rPr>
        <w:t xml:space="preserve"> by </w:t>
      </w:r>
      <w:r w:rsidR="00687BA3" w:rsidRPr="00041065">
        <w:rPr>
          <w:rFonts w:asciiTheme="minorHAnsi" w:hAnsiTheme="minorHAnsi" w:cstheme="minorHAnsi"/>
        </w:rPr>
        <w:t>favourable</w:t>
      </w:r>
      <w:r w:rsidR="005F1C03" w:rsidRPr="00041065">
        <w:rPr>
          <w:rFonts w:asciiTheme="minorHAnsi" w:hAnsiTheme="minorHAnsi" w:cstheme="minorHAnsi"/>
        </w:rPr>
        <w:t xml:space="preserve"> prior year reserve development.  </w:t>
      </w:r>
    </w:p>
    <w:p w14:paraId="61AC70E4" w14:textId="6C7D317B" w:rsidR="005F1C03" w:rsidRPr="00041065" w:rsidRDefault="005F1C03" w:rsidP="003B4F91">
      <w:pPr>
        <w:jc w:val="both"/>
        <w:rPr>
          <w:rFonts w:asciiTheme="minorHAnsi" w:hAnsiTheme="minorHAnsi" w:cstheme="minorHAnsi"/>
        </w:rPr>
      </w:pPr>
    </w:p>
    <w:p w14:paraId="47578AFC" w14:textId="1CF028C1" w:rsidR="005F1C03" w:rsidRPr="00041065" w:rsidRDefault="005F1C03" w:rsidP="003B4F91">
      <w:pPr>
        <w:jc w:val="both"/>
        <w:rPr>
          <w:rFonts w:asciiTheme="minorHAnsi" w:hAnsiTheme="minorHAnsi" w:cstheme="minorHAnsi"/>
        </w:rPr>
      </w:pPr>
      <w:r w:rsidRPr="00041065">
        <w:rPr>
          <w:rFonts w:asciiTheme="minorHAnsi" w:hAnsiTheme="minorHAnsi" w:cstheme="minorHAnsi"/>
        </w:rPr>
        <w:t>We are acutely conscious of the economic environment as inflation and interest rates increase costs with result</w:t>
      </w:r>
      <w:r w:rsidR="00687BA3" w:rsidRPr="00041065">
        <w:rPr>
          <w:rFonts w:asciiTheme="minorHAnsi" w:hAnsiTheme="minorHAnsi" w:cstheme="minorHAnsi"/>
        </w:rPr>
        <w:t>ant</w:t>
      </w:r>
      <w:r w:rsidRPr="00041065">
        <w:rPr>
          <w:rFonts w:asciiTheme="minorHAnsi" w:hAnsiTheme="minorHAnsi" w:cstheme="minorHAnsi"/>
        </w:rPr>
        <w:t xml:space="preserve"> impacts on our customers</w:t>
      </w:r>
      <w:r w:rsidR="00687BA3" w:rsidRPr="00041065">
        <w:rPr>
          <w:rFonts w:asciiTheme="minorHAnsi" w:hAnsiTheme="minorHAnsi" w:cstheme="minorHAnsi"/>
        </w:rPr>
        <w:t xml:space="preserve"> and our business</w:t>
      </w:r>
      <w:r w:rsidRPr="00041065">
        <w:rPr>
          <w:rFonts w:asciiTheme="minorHAnsi" w:hAnsiTheme="minorHAnsi" w:cstheme="minorHAnsi"/>
        </w:rPr>
        <w:t>.</w:t>
      </w:r>
      <w:r w:rsidR="00687BA3" w:rsidRPr="00041065">
        <w:rPr>
          <w:rFonts w:asciiTheme="minorHAnsi" w:hAnsiTheme="minorHAnsi" w:cstheme="minorHAnsi"/>
        </w:rPr>
        <w:t xml:space="preserve"> FBD strives to ensure that </w:t>
      </w:r>
      <w:r w:rsidRPr="00041065">
        <w:rPr>
          <w:rFonts w:asciiTheme="minorHAnsi" w:hAnsiTheme="minorHAnsi" w:cstheme="minorHAnsi"/>
        </w:rPr>
        <w:t xml:space="preserve">our customers remain with us for the service they receive and </w:t>
      </w:r>
      <w:r w:rsidR="00687BA3" w:rsidRPr="00041065">
        <w:rPr>
          <w:rFonts w:asciiTheme="minorHAnsi" w:hAnsiTheme="minorHAnsi" w:cstheme="minorHAnsi"/>
        </w:rPr>
        <w:t>requires us to work with our customers</w:t>
      </w:r>
      <w:r w:rsidRPr="00041065">
        <w:rPr>
          <w:rFonts w:asciiTheme="minorHAnsi" w:hAnsiTheme="minorHAnsi" w:cstheme="minorHAnsi"/>
        </w:rPr>
        <w:t xml:space="preserve"> to ensure </w:t>
      </w:r>
      <w:r w:rsidR="00687BA3" w:rsidRPr="00041065">
        <w:rPr>
          <w:rFonts w:asciiTheme="minorHAnsi" w:hAnsiTheme="minorHAnsi" w:cstheme="minorHAnsi"/>
        </w:rPr>
        <w:t>they have appropriate cover</w:t>
      </w:r>
      <w:r w:rsidRPr="00041065">
        <w:rPr>
          <w:rFonts w:asciiTheme="minorHAnsi" w:hAnsiTheme="minorHAnsi" w:cstheme="minorHAnsi"/>
        </w:rPr>
        <w:t>. </w:t>
      </w:r>
      <w:r w:rsidR="00687BA3" w:rsidRPr="00041065">
        <w:rPr>
          <w:rFonts w:asciiTheme="minorHAnsi" w:hAnsiTheme="minorHAnsi" w:cstheme="minorHAnsi"/>
        </w:rPr>
        <w:t xml:space="preserve">We maintained our strong retention rates of our existing valued customers, while also driving growth in </w:t>
      </w:r>
      <w:r w:rsidRPr="00041065">
        <w:rPr>
          <w:rFonts w:asciiTheme="minorHAnsi" w:hAnsiTheme="minorHAnsi" w:cstheme="minorHAnsi"/>
        </w:rPr>
        <w:t>new customer and policy count numbers. </w:t>
      </w:r>
      <w:proofErr w:type="gramStart"/>
      <w:r w:rsidRPr="00041065">
        <w:rPr>
          <w:rFonts w:asciiTheme="minorHAnsi" w:hAnsiTheme="minorHAnsi" w:cstheme="minorHAnsi"/>
        </w:rPr>
        <w:t>Both of these</w:t>
      </w:r>
      <w:proofErr w:type="gramEnd"/>
      <w:r w:rsidRPr="00041065">
        <w:rPr>
          <w:rFonts w:asciiTheme="minorHAnsi" w:hAnsiTheme="minorHAnsi" w:cstheme="minorHAnsi"/>
        </w:rPr>
        <w:t xml:space="preserve"> performance factors are focus</w:t>
      </w:r>
      <w:r w:rsidR="00687BA3" w:rsidRPr="00041065">
        <w:rPr>
          <w:rFonts w:asciiTheme="minorHAnsi" w:hAnsiTheme="minorHAnsi" w:cstheme="minorHAnsi"/>
        </w:rPr>
        <w:t>ed on</w:t>
      </w:r>
      <w:r w:rsidRPr="00041065">
        <w:rPr>
          <w:rFonts w:asciiTheme="minorHAnsi" w:hAnsiTheme="minorHAnsi" w:cstheme="minorHAnsi"/>
        </w:rPr>
        <w:t xml:space="preserve"> meeting the needs of our customers through the provision of a personalised service nationwide. </w:t>
      </w:r>
    </w:p>
    <w:p w14:paraId="1DE4086B" w14:textId="77777777" w:rsidR="007A1875" w:rsidRPr="00041065" w:rsidRDefault="007A1875" w:rsidP="003B4F91">
      <w:pPr>
        <w:jc w:val="both"/>
        <w:rPr>
          <w:rFonts w:asciiTheme="minorHAnsi" w:hAnsiTheme="minorHAnsi" w:cstheme="minorHAnsi"/>
        </w:rPr>
      </w:pPr>
    </w:p>
    <w:p w14:paraId="7BAC20BD" w14:textId="7BB1F918" w:rsidR="007A1875" w:rsidRPr="00041065" w:rsidRDefault="007A1875" w:rsidP="003B4F91">
      <w:pPr>
        <w:jc w:val="both"/>
        <w:rPr>
          <w:rFonts w:asciiTheme="minorHAnsi" w:hAnsiTheme="minorHAnsi" w:cstheme="minorHAnsi"/>
        </w:rPr>
      </w:pPr>
      <w:bookmarkStart w:id="2" w:name="_Hlk160533036"/>
      <w:r w:rsidRPr="00BC4B5B">
        <w:rPr>
          <w:rFonts w:asciiTheme="minorHAnsi" w:hAnsiTheme="minorHAnsi" w:cstheme="minorHAnsi"/>
        </w:rPr>
        <w:t xml:space="preserve">FBD remains a strongly capitalised business with a </w:t>
      </w:r>
      <w:r w:rsidR="00EB26F8">
        <w:rPr>
          <w:rFonts w:asciiTheme="minorHAnsi" w:hAnsiTheme="minorHAnsi" w:cstheme="minorHAnsi"/>
        </w:rPr>
        <w:t xml:space="preserve">Solvency </w:t>
      </w:r>
      <w:r w:rsidRPr="00BC4B5B">
        <w:rPr>
          <w:rFonts w:asciiTheme="minorHAnsi" w:hAnsiTheme="minorHAnsi" w:cstheme="minorHAnsi"/>
        </w:rPr>
        <w:t xml:space="preserve">Capital Ratio </w:t>
      </w:r>
      <w:proofErr w:type="gramStart"/>
      <w:r w:rsidRPr="00BC4B5B">
        <w:rPr>
          <w:rFonts w:asciiTheme="minorHAnsi" w:hAnsiTheme="minorHAnsi" w:cstheme="minorHAnsi"/>
        </w:rPr>
        <w:t>in excess of</w:t>
      </w:r>
      <w:proofErr w:type="gramEnd"/>
      <w:r w:rsidRPr="00BC4B5B">
        <w:rPr>
          <w:rFonts w:asciiTheme="minorHAnsi" w:hAnsiTheme="minorHAnsi" w:cstheme="minorHAnsi"/>
        </w:rPr>
        <w:t xml:space="preserve"> our stated risk appetite. </w:t>
      </w:r>
      <w:r w:rsidRPr="00041065">
        <w:rPr>
          <w:rFonts w:asciiTheme="minorHAnsi" w:hAnsiTheme="minorHAnsi" w:cstheme="minorHAnsi"/>
        </w:rPr>
        <w:t>We will continue to engage with our stakeholders and to monitor our capital position with the intention of moving closer to target capital.</w:t>
      </w:r>
    </w:p>
    <w:bookmarkEnd w:id="2"/>
    <w:p w14:paraId="696211DF" w14:textId="77777777" w:rsidR="005F1C03" w:rsidRPr="00041065" w:rsidRDefault="005F1C03" w:rsidP="003B4F91">
      <w:pPr>
        <w:jc w:val="both"/>
        <w:rPr>
          <w:rFonts w:asciiTheme="minorHAnsi" w:hAnsiTheme="minorHAnsi" w:cstheme="minorHAnsi"/>
        </w:rPr>
      </w:pPr>
    </w:p>
    <w:p w14:paraId="4A37825A" w14:textId="426496E3" w:rsidR="005F1C03" w:rsidRPr="00041065" w:rsidRDefault="005F1C03" w:rsidP="003B4F91">
      <w:pPr>
        <w:jc w:val="both"/>
        <w:rPr>
          <w:rFonts w:asciiTheme="minorHAnsi" w:hAnsiTheme="minorHAnsi" w:cstheme="minorHAnsi"/>
        </w:rPr>
      </w:pPr>
      <w:r w:rsidRPr="00041065">
        <w:rPr>
          <w:rFonts w:asciiTheme="minorHAnsi" w:hAnsiTheme="minorHAnsi" w:cstheme="minorHAnsi"/>
        </w:rPr>
        <w:t xml:space="preserve">In 2023, we </w:t>
      </w:r>
      <w:r w:rsidR="007A1875" w:rsidRPr="00041065">
        <w:rPr>
          <w:rFonts w:asciiTheme="minorHAnsi" w:hAnsiTheme="minorHAnsi" w:cstheme="minorHAnsi"/>
        </w:rPr>
        <w:t>demonstrated</w:t>
      </w:r>
      <w:r w:rsidRPr="00041065">
        <w:rPr>
          <w:rFonts w:asciiTheme="minorHAnsi" w:hAnsiTheme="minorHAnsi" w:cstheme="minorHAnsi"/>
        </w:rPr>
        <w:t xml:space="preserve"> our commitment to sustainability in Ireland’s agriculture sector, </w:t>
      </w:r>
      <w:r w:rsidR="00687BA3" w:rsidRPr="00041065">
        <w:rPr>
          <w:rFonts w:asciiTheme="minorHAnsi" w:hAnsiTheme="minorHAnsi" w:cstheme="minorHAnsi"/>
        </w:rPr>
        <w:t>and we are delighted to support financially ‘</w:t>
      </w:r>
      <w:r w:rsidRPr="00041065">
        <w:rPr>
          <w:rFonts w:asciiTheme="minorHAnsi" w:hAnsiTheme="minorHAnsi" w:cstheme="minorHAnsi"/>
        </w:rPr>
        <w:t>The Padraig Walshe Centre for Sustainable Animal and Grassland Research</w:t>
      </w:r>
      <w:r w:rsidR="00687BA3" w:rsidRPr="00041065">
        <w:rPr>
          <w:rFonts w:asciiTheme="minorHAnsi" w:hAnsiTheme="minorHAnsi" w:cstheme="minorHAnsi"/>
        </w:rPr>
        <w:t xml:space="preserve">’. This centre </w:t>
      </w:r>
      <w:r w:rsidRPr="00041065">
        <w:rPr>
          <w:rFonts w:asciiTheme="minorHAnsi" w:hAnsiTheme="minorHAnsi" w:cstheme="minorHAnsi"/>
        </w:rPr>
        <w:t xml:space="preserve">will </w:t>
      </w:r>
      <w:r w:rsidR="00687BA3" w:rsidRPr="00041065">
        <w:rPr>
          <w:rFonts w:asciiTheme="minorHAnsi" w:hAnsiTheme="minorHAnsi" w:cstheme="minorHAnsi"/>
        </w:rPr>
        <w:t xml:space="preserve">facilitate </w:t>
      </w:r>
      <w:r w:rsidRPr="00041065">
        <w:rPr>
          <w:rFonts w:asciiTheme="minorHAnsi" w:hAnsiTheme="minorHAnsi" w:cstheme="minorHAnsi"/>
        </w:rPr>
        <w:t xml:space="preserve">research </w:t>
      </w:r>
      <w:r w:rsidR="00687BA3" w:rsidRPr="00041065">
        <w:rPr>
          <w:rFonts w:asciiTheme="minorHAnsi" w:hAnsiTheme="minorHAnsi" w:cstheme="minorHAnsi"/>
        </w:rPr>
        <w:t xml:space="preserve">that </w:t>
      </w:r>
      <w:r w:rsidRPr="00041065">
        <w:rPr>
          <w:rFonts w:asciiTheme="minorHAnsi" w:hAnsiTheme="minorHAnsi" w:cstheme="minorHAnsi"/>
        </w:rPr>
        <w:t xml:space="preserve">can provide innovative solutions to improve the environmental sustainability and efficiency of </w:t>
      </w:r>
      <w:r w:rsidR="00373802" w:rsidRPr="00041065">
        <w:rPr>
          <w:rFonts w:asciiTheme="minorHAnsi" w:hAnsiTheme="minorHAnsi" w:cstheme="minorHAnsi"/>
        </w:rPr>
        <w:t>pasture-based systems</w:t>
      </w:r>
      <w:r w:rsidRPr="00041065">
        <w:rPr>
          <w:rFonts w:asciiTheme="minorHAnsi" w:hAnsiTheme="minorHAnsi" w:cstheme="minorHAnsi"/>
        </w:rPr>
        <w:t xml:space="preserve">. </w:t>
      </w:r>
    </w:p>
    <w:p w14:paraId="2A2C873E" w14:textId="77777777" w:rsidR="005F1C03" w:rsidRPr="00041065" w:rsidRDefault="005F1C03" w:rsidP="003B4F91">
      <w:pPr>
        <w:jc w:val="both"/>
        <w:rPr>
          <w:rFonts w:asciiTheme="minorHAnsi" w:hAnsiTheme="minorHAnsi" w:cstheme="minorHAnsi"/>
        </w:rPr>
      </w:pPr>
    </w:p>
    <w:p w14:paraId="31D02ABA" w14:textId="67FB0AA2" w:rsidR="001D5AED" w:rsidRPr="005F1C03" w:rsidRDefault="007E2598" w:rsidP="005F1C03">
      <w:pPr>
        <w:jc w:val="both"/>
        <w:rPr>
          <w:rFonts w:asciiTheme="minorHAnsi" w:eastAsiaTheme="minorHAnsi" w:hAnsiTheme="minorHAnsi" w:cstheme="minorHAnsi"/>
          <w:color w:val="000000" w:themeColor="text1"/>
          <w:lang w:val="en-US"/>
        </w:rPr>
      </w:pPr>
      <w:r w:rsidRPr="00041065">
        <w:rPr>
          <w:rFonts w:asciiTheme="minorHAnsi" w:hAnsiTheme="minorHAnsi" w:cstheme="minorHAnsi"/>
        </w:rPr>
        <w:t xml:space="preserve">I would like to thank </w:t>
      </w:r>
      <w:r w:rsidR="00687BA3" w:rsidRPr="00041065">
        <w:rPr>
          <w:rFonts w:asciiTheme="minorHAnsi" w:hAnsiTheme="minorHAnsi" w:cstheme="minorHAnsi"/>
        </w:rPr>
        <w:t>the</w:t>
      </w:r>
      <w:r w:rsidRPr="00041065">
        <w:rPr>
          <w:rFonts w:asciiTheme="minorHAnsi" w:hAnsiTheme="minorHAnsi" w:cstheme="minorHAnsi"/>
        </w:rPr>
        <w:t xml:space="preserve"> Board for their continued support</w:t>
      </w:r>
      <w:r w:rsidR="00687BA3" w:rsidRPr="00041065">
        <w:rPr>
          <w:rFonts w:asciiTheme="minorHAnsi" w:hAnsiTheme="minorHAnsi" w:cstheme="minorHAnsi"/>
        </w:rPr>
        <w:t xml:space="preserve"> and the wider FBD </w:t>
      </w:r>
      <w:r w:rsidR="00373802" w:rsidRPr="00041065">
        <w:rPr>
          <w:rFonts w:asciiTheme="minorHAnsi" w:hAnsiTheme="minorHAnsi" w:cstheme="minorHAnsi"/>
        </w:rPr>
        <w:t>t</w:t>
      </w:r>
      <w:r w:rsidR="00687BA3" w:rsidRPr="00041065">
        <w:rPr>
          <w:rFonts w:asciiTheme="minorHAnsi" w:hAnsiTheme="minorHAnsi" w:cstheme="minorHAnsi"/>
        </w:rPr>
        <w:t>eam for their commitment and hard work</w:t>
      </w:r>
      <w:r w:rsidR="005F1C03" w:rsidRPr="00041065">
        <w:rPr>
          <w:rFonts w:asciiTheme="minorHAnsi" w:hAnsiTheme="minorHAnsi" w:cstheme="minorHAnsi"/>
        </w:rPr>
        <w:t xml:space="preserve">. </w:t>
      </w:r>
      <w:r w:rsidR="00687BA3" w:rsidRPr="00041065">
        <w:rPr>
          <w:rFonts w:asciiTheme="minorHAnsi" w:hAnsiTheme="minorHAnsi" w:cstheme="minorHAnsi"/>
        </w:rPr>
        <w:t xml:space="preserve">We firmly believe that our </w:t>
      </w:r>
      <w:r w:rsidRPr="00041065">
        <w:rPr>
          <w:rFonts w:asciiTheme="minorHAnsi" w:hAnsiTheme="minorHAnsi" w:cstheme="minorHAnsi"/>
        </w:rPr>
        <w:t>relationship focus</w:t>
      </w:r>
      <w:r w:rsidR="005F1C03" w:rsidRPr="00041065">
        <w:rPr>
          <w:rFonts w:asciiTheme="minorHAnsi" w:hAnsiTheme="minorHAnsi" w:cstheme="minorHAnsi"/>
        </w:rPr>
        <w:t>ed approach</w:t>
      </w:r>
      <w:r w:rsidRPr="00041065">
        <w:rPr>
          <w:rFonts w:asciiTheme="minorHAnsi" w:hAnsiTheme="minorHAnsi" w:cstheme="minorHAnsi"/>
        </w:rPr>
        <w:t xml:space="preserve"> </w:t>
      </w:r>
      <w:r w:rsidR="00687BA3" w:rsidRPr="00041065">
        <w:rPr>
          <w:rFonts w:asciiTheme="minorHAnsi" w:hAnsiTheme="minorHAnsi" w:cstheme="minorHAnsi"/>
        </w:rPr>
        <w:t>supported by</w:t>
      </w:r>
      <w:r w:rsidRPr="00041065">
        <w:rPr>
          <w:rFonts w:asciiTheme="minorHAnsi" w:hAnsiTheme="minorHAnsi" w:cstheme="minorHAnsi"/>
        </w:rPr>
        <w:t xml:space="preserve"> </w:t>
      </w:r>
      <w:r w:rsidR="00687BA3" w:rsidRPr="00041065">
        <w:rPr>
          <w:rFonts w:asciiTheme="minorHAnsi" w:hAnsiTheme="minorHAnsi" w:cstheme="minorHAnsi"/>
        </w:rPr>
        <w:t>a digitally enabled, data enriched organisation is delivering</w:t>
      </w:r>
      <w:r w:rsidR="00687BA3" w:rsidRPr="003B4F91">
        <w:rPr>
          <w:rFonts w:asciiTheme="minorHAnsi" w:hAnsiTheme="minorHAnsi" w:cstheme="minorHAnsi"/>
        </w:rPr>
        <w:t xml:space="preserve"> </w:t>
      </w:r>
      <w:r w:rsidR="00687BA3">
        <w:rPr>
          <w:rFonts w:asciiTheme="minorHAnsi" w:hAnsiTheme="minorHAnsi" w:cstheme="minorHAnsi"/>
        </w:rPr>
        <w:t>for our customers and s</w:t>
      </w:r>
      <w:r w:rsidR="00EF4BCB">
        <w:rPr>
          <w:rFonts w:asciiTheme="minorHAnsi" w:hAnsiTheme="minorHAnsi" w:cstheme="minorHAnsi"/>
        </w:rPr>
        <w:t>t</w:t>
      </w:r>
      <w:r w:rsidR="00687BA3">
        <w:rPr>
          <w:rFonts w:asciiTheme="minorHAnsi" w:hAnsiTheme="minorHAnsi" w:cstheme="minorHAnsi"/>
        </w:rPr>
        <w:t>a</w:t>
      </w:r>
      <w:r w:rsidR="00EF4BCB">
        <w:rPr>
          <w:rFonts w:asciiTheme="minorHAnsi" w:hAnsiTheme="minorHAnsi" w:cstheme="minorHAnsi"/>
        </w:rPr>
        <w:t>k</w:t>
      </w:r>
      <w:r w:rsidR="00687BA3">
        <w:rPr>
          <w:rFonts w:asciiTheme="minorHAnsi" w:hAnsiTheme="minorHAnsi" w:cstheme="minorHAnsi"/>
        </w:rPr>
        <w:t>eholders alike. Looking forward, we remain confident in the underlying profitability, future growth prospects</w:t>
      </w:r>
      <w:r w:rsidR="00373802">
        <w:rPr>
          <w:rFonts w:asciiTheme="minorHAnsi" w:hAnsiTheme="minorHAnsi" w:cstheme="minorHAnsi"/>
        </w:rPr>
        <w:t xml:space="preserve"> </w:t>
      </w:r>
      <w:r w:rsidR="00687BA3">
        <w:rPr>
          <w:rFonts w:asciiTheme="minorHAnsi" w:hAnsiTheme="minorHAnsi" w:cstheme="minorHAnsi"/>
        </w:rPr>
        <w:t>and capital strength of the business.</w:t>
      </w:r>
      <w:r w:rsidR="001D5AED" w:rsidRPr="005F1C03">
        <w:rPr>
          <w:rFonts w:asciiTheme="minorHAnsi" w:eastAsiaTheme="minorHAnsi" w:hAnsiTheme="minorHAnsi" w:cstheme="minorHAnsi"/>
          <w:color w:val="000000" w:themeColor="text1"/>
          <w:lang w:val="en-US"/>
        </w:rPr>
        <w:t>”</w:t>
      </w:r>
    </w:p>
    <w:p w14:paraId="05F8E846" w14:textId="77777777" w:rsidR="00EC40DA" w:rsidRPr="005F1C03" w:rsidRDefault="00EC40DA" w:rsidP="00EC40DA">
      <w:pPr>
        <w:pStyle w:val="NoSpacing"/>
        <w:jc w:val="both"/>
        <w:rPr>
          <w:rFonts w:cstheme="minorHAnsi"/>
        </w:rPr>
      </w:pPr>
    </w:p>
    <w:p w14:paraId="258A9FFB" w14:textId="77777777" w:rsidR="001D5AED" w:rsidRPr="00465E1A" w:rsidRDefault="001D5AED" w:rsidP="001D5AED">
      <w:pPr>
        <w:ind w:left="-284"/>
        <w:jc w:val="both"/>
        <w:rPr>
          <w:rFonts w:ascii="Calibri" w:hAnsi="Calibri" w:cs="Calibri"/>
          <w:b/>
          <w:bCs/>
          <w:i/>
          <w:iCs/>
          <w:lang w:eastAsia="en-GB"/>
        </w:rPr>
      </w:pPr>
      <w:r w:rsidRPr="00465E1A">
        <w:rPr>
          <w:rFonts w:ascii="Calibri" w:hAnsi="Calibri" w:cs="Calibri"/>
          <w:lang w:eastAsia="en-GB"/>
        </w:rPr>
        <w:t xml:space="preserve">A presentation will be available on our Group website </w:t>
      </w:r>
      <w:hyperlink r:id="rId9" w:history="1">
        <w:r w:rsidRPr="00465E1A">
          <w:rPr>
            <w:rStyle w:val="Hyperlink"/>
            <w:rFonts w:ascii="Calibri" w:hAnsi="Calibri" w:cs="Calibri"/>
            <w:color w:val="auto"/>
            <w:lang w:eastAsia="en-GB"/>
          </w:rPr>
          <w:t>www.fbdgroup.com</w:t>
        </w:r>
      </w:hyperlink>
      <w:r w:rsidRPr="00465E1A">
        <w:rPr>
          <w:rStyle w:val="Hyperlink"/>
          <w:rFonts w:ascii="Calibri" w:hAnsi="Calibri" w:cs="Calibri"/>
          <w:color w:val="auto"/>
          <w:lang w:eastAsia="en-GB"/>
        </w:rPr>
        <w:t xml:space="preserve"> from 9.00 am today. </w:t>
      </w:r>
    </w:p>
    <w:p w14:paraId="522813BC" w14:textId="77777777" w:rsidR="001D5AED" w:rsidRPr="00465E1A" w:rsidRDefault="001D5AED" w:rsidP="001D5AED">
      <w:pPr>
        <w:ind w:left="-142"/>
        <w:jc w:val="both"/>
        <w:rPr>
          <w:rFonts w:ascii="Calibri" w:hAnsi="Calibri" w:cs="Calibri"/>
          <w:b/>
          <w:bCs/>
          <w:lang w:eastAsia="en-GB"/>
        </w:rPr>
      </w:pPr>
    </w:p>
    <w:tbl>
      <w:tblPr>
        <w:tblW w:w="9787" w:type="dxa"/>
        <w:tblCellMar>
          <w:left w:w="0" w:type="dxa"/>
          <w:right w:w="0" w:type="dxa"/>
        </w:tblCellMar>
        <w:tblLook w:val="04A0" w:firstRow="1" w:lastRow="0" w:firstColumn="1" w:lastColumn="0" w:noHBand="0" w:noVBand="1"/>
      </w:tblPr>
      <w:tblGrid>
        <w:gridCol w:w="6096"/>
        <w:gridCol w:w="3691"/>
      </w:tblGrid>
      <w:tr w:rsidR="001D5AED" w:rsidRPr="00285C06" w14:paraId="63E8F61A" w14:textId="77777777" w:rsidTr="00B87E67">
        <w:tc>
          <w:tcPr>
            <w:tcW w:w="6096" w:type="dxa"/>
            <w:tcMar>
              <w:top w:w="0" w:type="dxa"/>
              <w:left w:w="108" w:type="dxa"/>
              <w:bottom w:w="0" w:type="dxa"/>
              <w:right w:w="108" w:type="dxa"/>
            </w:tcMar>
            <w:hideMark/>
          </w:tcPr>
          <w:p w14:paraId="6689EBEF" w14:textId="77777777" w:rsidR="001D5AED" w:rsidRPr="00465E1A" w:rsidRDefault="001D5AED" w:rsidP="00B87E67">
            <w:pPr>
              <w:jc w:val="both"/>
              <w:rPr>
                <w:rFonts w:ascii="Calibri" w:hAnsi="Calibri" w:cs="Calibri"/>
                <w:b/>
                <w:bCs/>
                <w:color w:val="000000"/>
                <w:lang w:eastAsia="en-GB"/>
              </w:rPr>
            </w:pPr>
            <w:r w:rsidRPr="00465E1A">
              <w:rPr>
                <w:rFonts w:ascii="Calibri" w:hAnsi="Calibri" w:cs="Calibri"/>
                <w:b/>
                <w:bCs/>
                <w:color w:val="000000"/>
                <w:lang w:eastAsia="en-GB"/>
              </w:rPr>
              <w:t>Enquiries</w:t>
            </w:r>
          </w:p>
        </w:tc>
        <w:tc>
          <w:tcPr>
            <w:tcW w:w="3691" w:type="dxa"/>
            <w:tcMar>
              <w:top w:w="0" w:type="dxa"/>
              <w:left w:w="108" w:type="dxa"/>
              <w:bottom w:w="0" w:type="dxa"/>
              <w:right w:w="108" w:type="dxa"/>
            </w:tcMar>
            <w:hideMark/>
          </w:tcPr>
          <w:p w14:paraId="542D2B74" w14:textId="77777777" w:rsidR="001D5AED" w:rsidRPr="00465E1A" w:rsidRDefault="001D5AED" w:rsidP="00B87E67">
            <w:pPr>
              <w:jc w:val="both"/>
              <w:rPr>
                <w:rFonts w:ascii="Calibri" w:hAnsi="Calibri" w:cs="Calibri"/>
                <w:b/>
                <w:bCs/>
                <w:color w:val="000000"/>
                <w:lang w:eastAsia="en-GB"/>
              </w:rPr>
            </w:pPr>
            <w:r w:rsidRPr="00465E1A">
              <w:rPr>
                <w:rFonts w:ascii="Calibri" w:hAnsi="Calibri" w:cs="Calibri"/>
                <w:b/>
                <w:bCs/>
                <w:color w:val="000000"/>
                <w:lang w:eastAsia="en-GB"/>
              </w:rPr>
              <w:t>Telephone</w:t>
            </w:r>
          </w:p>
        </w:tc>
      </w:tr>
      <w:tr w:rsidR="001D5AED" w:rsidRPr="00285C06" w14:paraId="1F9803FB" w14:textId="77777777" w:rsidTr="00B87E67">
        <w:tc>
          <w:tcPr>
            <w:tcW w:w="6096" w:type="dxa"/>
            <w:tcMar>
              <w:top w:w="0" w:type="dxa"/>
              <w:left w:w="108" w:type="dxa"/>
              <w:bottom w:w="0" w:type="dxa"/>
              <w:right w:w="108" w:type="dxa"/>
            </w:tcMar>
            <w:hideMark/>
          </w:tcPr>
          <w:p w14:paraId="7B363209" w14:textId="77777777" w:rsidR="001D5AED" w:rsidRPr="00465E1A" w:rsidRDefault="001D5AED" w:rsidP="00B87E67">
            <w:pPr>
              <w:jc w:val="both"/>
              <w:rPr>
                <w:rFonts w:ascii="Calibri" w:hAnsi="Calibri" w:cs="Calibri"/>
                <w:b/>
                <w:bCs/>
                <w:color w:val="000000"/>
                <w:lang w:eastAsia="en-GB"/>
              </w:rPr>
            </w:pPr>
            <w:r w:rsidRPr="00465E1A">
              <w:rPr>
                <w:rFonts w:ascii="Calibri" w:hAnsi="Calibri" w:cs="Calibri"/>
                <w:b/>
                <w:bCs/>
                <w:color w:val="000000"/>
                <w:lang w:eastAsia="en-GB"/>
              </w:rPr>
              <w:t>FBD</w:t>
            </w:r>
          </w:p>
        </w:tc>
        <w:tc>
          <w:tcPr>
            <w:tcW w:w="3691" w:type="dxa"/>
            <w:tcMar>
              <w:top w:w="0" w:type="dxa"/>
              <w:left w:w="108" w:type="dxa"/>
              <w:bottom w:w="0" w:type="dxa"/>
              <w:right w:w="108" w:type="dxa"/>
            </w:tcMar>
            <w:hideMark/>
          </w:tcPr>
          <w:p w14:paraId="692A875E" w14:textId="77777777" w:rsidR="001D5AED" w:rsidRPr="00465E1A" w:rsidRDefault="001D5AED" w:rsidP="00B87E67">
            <w:pPr>
              <w:jc w:val="both"/>
              <w:rPr>
                <w:rFonts w:ascii="Calibri" w:hAnsi="Calibri" w:cs="Calibri"/>
              </w:rPr>
            </w:pPr>
          </w:p>
        </w:tc>
      </w:tr>
      <w:tr w:rsidR="001D5AED" w:rsidRPr="00285C06" w14:paraId="768762DF" w14:textId="77777777" w:rsidTr="00B87E67">
        <w:tc>
          <w:tcPr>
            <w:tcW w:w="6096" w:type="dxa"/>
            <w:tcMar>
              <w:top w:w="0" w:type="dxa"/>
              <w:left w:w="108" w:type="dxa"/>
              <w:bottom w:w="0" w:type="dxa"/>
              <w:right w:w="108" w:type="dxa"/>
            </w:tcMar>
            <w:hideMark/>
          </w:tcPr>
          <w:p w14:paraId="25DD7E11" w14:textId="30EA7F4C" w:rsidR="001D5AED" w:rsidRPr="0048204E" w:rsidRDefault="001D5AED" w:rsidP="00B87E67">
            <w:pPr>
              <w:jc w:val="both"/>
              <w:rPr>
                <w:rFonts w:ascii="Calibri" w:hAnsi="Calibri" w:cs="Calibri"/>
                <w:color w:val="000000"/>
                <w:lang w:eastAsia="en-GB"/>
              </w:rPr>
            </w:pPr>
            <w:r w:rsidRPr="0048204E">
              <w:rPr>
                <w:rFonts w:ascii="Calibri" w:hAnsi="Calibri" w:cs="Calibri"/>
                <w:color w:val="000000"/>
                <w:lang w:eastAsia="en-GB"/>
              </w:rPr>
              <w:t>Fiona Meegan, Investor Relations</w:t>
            </w:r>
          </w:p>
        </w:tc>
        <w:tc>
          <w:tcPr>
            <w:tcW w:w="3691" w:type="dxa"/>
            <w:tcMar>
              <w:top w:w="0" w:type="dxa"/>
              <w:left w:w="108" w:type="dxa"/>
              <w:bottom w:w="0" w:type="dxa"/>
              <w:right w:w="108" w:type="dxa"/>
            </w:tcMar>
            <w:hideMark/>
          </w:tcPr>
          <w:p w14:paraId="3D3A0966" w14:textId="1856F17C" w:rsidR="001D5AED" w:rsidRPr="00465E1A" w:rsidRDefault="001D5AED" w:rsidP="00B87E67">
            <w:pPr>
              <w:jc w:val="both"/>
              <w:rPr>
                <w:rFonts w:ascii="Calibri" w:hAnsi="Calibri" w:cs="Calibri"/>
                <w:color w:val="000000"/>
                <w:lang w:eastAsia="en-GB"/>
              </w:rPr>
            </w:pPr>
            <w:r w:rsidRPr="0048204E">
              <w:rPr>
                <w:rFonts w:ascii="Calibri" w:hAnsi="Calibri" w:cs="Calibri"/>
                <w:color w:val="000000"/>
                <w:lang w:eastAsia="en-GB"/>
              </w:rPr>
              <w:t xml:space="preserve">+353 </w:t>
            </w:r>
            <w:r w:rsidR="0048204E" w:rsidRPr="0048204E">
              <w:rPr>
                <w:rFonts w:ascii="Calibri" w:hAnsi="Calibri" w:cs="Calibri"/>
                <w:color w:val="000000"/>
                <w:lang w:eastAsia="en-GB"/>
              </w:rPr>
              <w:t>1 4194885</w:t>
            </w:r>
          </w:p>
        </w:tc>
      </w:tr>
      <w:tr w:rsidR="001D5AED" w:rsidRPr="00285C06" w14:paraId="70C60D5B" w14:textId="77777777" w:rsidTr="00B87E67">
        <w:trPr>
          <w:trHeight w:val="230"/>
        </w:trPr>
        <w:tc>
          <w:tcPr>
            <w:tcW w:w="6096" w:type="dxa"/>
            <w:tcMar>
              <w:top w:w="0" w:type="dxa"/>
              <w:left w:w="108" w:type="dxa"/>
              <w:bottom w:w="0" w:type="dxa"/>
              <w:right w:w="108" w:type="dxa"/>
            </w:tcMar>
          </w:tcPr>
          <w:p w14:paraId="42E8F687" w14:textId="77777777" w:rsidR="001D5AED" w:rsidRPr="00465E1A" w:rsidRDefault="001D5AED" w:rsidP="00B87E67">
            <w:pPr>
              <w:jc w:val="both"/>
              <w:rPr>
                <w:rFonts w:ascii="Calibri" w:hAnsi="Calibri" w:cs="Calibri"/>
                <w:color w:val="000000"/>
                <w:lang w:eastAsia="en-GB"/>
              </w:rPr>
            </w:pPr>
          </w:p>
        </w:tc>
        <w:tc>
          <w:tcPr>
            <w:tcW w:w="3691" w:type="dxa"/>
            <w:tcMar>
              <w:top w:w="0" w:type="dxa"/>
              <w:left w:w="108" w:type="dxa"/>
              <w:bottom w:w="0" w:type="dxa"/>
              <w:right w:w="108" w:type="dxa"/>
            </w:tcMar>
            <w:hideMark/>
          </w:tcPr>
          <w:p w14:paraId="7E467A12" w14:textId="77777777" w:rsidR="001D5AED" w:rsidRPr="00465E1A" w:rsidRDefault="001D5AED" w:rsidP="00B87E67">
            <w:pPr>
              <w:jc w:val="both"/>
              <w:rPr>
                <w:rFonts w:ascii="Calibri" w:hAnsi="Calibri" w:cs="Calibri"/>
              </w:rPr>
            </w:pPr>
          </w:p>
        </w:tc>
      </w:tr>
      <w:tr w:rsidR="001D5AED" w:rsidRPr="00285C06" w14:paraId="66317E5B" w14:textId="77777777" w:rsidTr="00B87E67">
        <w:tc>
          <w:tcPr>
            <w:tcW w:w="6096" w:type="dxa"/>
            <w:tcMar>
              <w:top w:w="0" w:type="dxa"/>
              <w:left w:w="108" w:type="dxa"/>
              <w:bottom w:w="0" w:type="dxa"/>
              <w:right w:w="108" w:type="dxa"/>
            </w:tcMar>
          </w:tcPr>
          <w:p w14:paraId="78FB4FF8" w14:textId="77777777" w:rsidR="001D5AED" w:rsidRPr="00465E1A" w:rsidRDefault="001D5AED" w:rsidP="00B87E67">
            <w:pPr>
              <w:jc w:val="both"/>
              <w:rPr>
                <w:rFonts w:ascii="Calibri" w:hAnsi="Calibri" w:cs="Calibri"/>
                <w:color w:val="000000"/>
                <w:lang w:eastAsia="en-GB"/>
              </w:rPr>
            </w:pPr>
            <w:r w:rsidRPr="00465E1A">
              <w:rPr>
                <w:rFonts w:ascii="Calibri" w:hAnsi="Calibri" w:cs="Calibri"/>
                <w:b/>
                <w:bCs/>
                <w:color w:val="000000"/>
                <w:lang w:eastAsia="en-GB"/>
              </w:rPr>
              <w:t>Drury Communications</w:t>
            </w:r>
          </w:p>
        </w:tc>
        <w:tc>
          <w:tcPr>
            <w:tcW w:w="3691" w:type="dxa"/>
            <w:tcMar>
              <w:top w:w="0" w:type="dxa"/>
              <w:left w:w="108" w:type="dxa"/>
              <w:bottom w:w="0" w:type="dxa"/>
              <w:right w:w="108" w:type="dxa"/>
            </w:tcMar>
            <w:hideMark/>
          </w:tcPr>
          <w:p w14:paraId="5C37DD4B" w14:textId="77777777" w:rsidR="001D5AED" w:rsidRPr="00465E1A" w:rsidRDefault="001D5AED" w:rsidP="00B87E67">
            <w:pPr>
              <w:jc w:val="both"/>
              <w:rPr>
                <w:rFonts w:ascii="Calibri" w:hAnsi="Calibri" w:cs="Calibri"/>
              </w:rPr>
            </w:pPr>
          </w:p>
        </w:tc>
      </w:tr>
      <w:tr w:rsidR="001D5AED" w:rsidRPr="00285C06" w14:paraId="56C5DDF2" w14:textId="77777777" w:rsidTr="00B87E67">
        <w:tc>
          <w:tcPr>
            <w:tcW w:w="6096" w:type="dxa"/>
            <w:tcMar>
              <w:top w:w="0" w:type="dxa"/>
              <w:left w:w="108" w:type="dxa"/>
              <w:bottom w:w="0" w:type="dxa"/>
              <w:right w:w="108" w:type="dxa"/>
            </w:tcMar>
          </w:tcPr>
          <w:p w14:paraId="13C9496B" w14:textId="77777777" w:rsidR="001D5AED" w:rsidRPr="00465E1A" w:rsidRDefault="001D5AED" w:rsidP="00B87E67">
            <w:pPr>
              <w:jc w:val="both"/>
              <w:rPr>
                <w:rFonts w:ascii="Calibri" w:hAnsi="Calibri" w:cs="Calibri"/>
                <w:b/>
                <w:bCs/>
                <w:color w:val="000000"/>
                <w:lang w:eastAsia="en-GB"/>
              </w:rPr>
            </w:pPr>
            <w:r w:rsidRPr="00465E1A">
              <w:rPr>
                <w:rFonts w:ascii="Calibri" w:hAnsi="Calibri" w:cs="Calibri"/>
                <w:color w:val="000000"/>
                <w:lang w:eastAsia="en-GB"/>
              </w:rPr>
              <w:t>Paddy Hughes</w:t>
            </w:r>
          </w:p>
        </w:tc>
        <w:tc>
          <w:tcPr>
            <w:tcW w:w="3691" w:type="dxa"/>
            <w:tcMar>
              <w:top w:w="0" w:type="dxa"/>
              <w:left w:w="108" w:type="dxa"/>
              <w:bottom w:w="0" w:type="dxa"/>
              <w:right w:w="108" w:type="dxa"/>
            </w:tcMar>
            <w:hideMark/>
          </w:tcPr>
          <w:p w14:paraId="2C1257FA" w14:textId="77777777" w:rsidR="001D5AED" w:rsidRPr="00465E1A" w:rsidRDefault="001D5AED" w:rsidP="00B87E67">
            <w:pPr>
              <w:jc w:val="both"/>
              <w:rPr>
                <w:rFonts w:ascii="Calibri" w:hAnsi="Calibri" w:cs="Calibri"/>
                <w:color w:val="000000"/>
                <w:lang w:eastAsia="en-GB"/>
              </w:rPr>
            </w:pPr>
            <w:r w:rsidRPr="00465E1A">
              <w:rPr>
                <w:rFonts w:ascii="Calibri" w:hAnsi="Calibri" w:cs="Calibri"/>
                <w:color w:val="000000"/>
                <w:lang w:eastAsia="en-GB"/>
              </w:rPr>
              <w:t>+353 87 6167811</w:t>
            </w:r>
          </w:p>
        </w:tc>
      </w:tr>
    </w:tbl>
    <w:p w14:paraId="7FE07BBB" w14:textId="77777777" w:rsidR="001D5AED" w:rsidRPr="00465E1A" w:rsidRDefault="001D5AED" w:rsidP="001D5AED">
      <w:pPr>
        <w:ind w:left="-142"/>
        <w:jc w:val="both"/>
        <w:rPr>
          <w:rFonts w:ascii="Calibri" w:hAnsi="Calibri" w:cs="Calibri"/>
          <w:b/>
          <w:bCs/>
          <w:color w:val="000000"/>
          <w:lang w:eastAsia="en-GB"/>
        </w:rPr>
      </w:pPr>
    </w:p>
    <w:p w14:paraId="61F7A792" w14:textId="0C76D544" w:rsidR="001D5AED" w:rsidRPr="00465E1A" w:rsidRDefault="001D5AED" w:rsidP="001D5AED">
      <w:pPr>
        <w:pStyle w:val="NoSpacing"/>
        <w:jc w:val="both"/>
        <w:rPr>
          <w:rFonts w:ascii="Calibri" w:hAnsi="Calibri" w:cs="Calibri"/>
          <w:b/>
          <w:bCs/>
          <w:color w:val="000000"/>
          <w:sz w:val="20"/>
          <w:szCs w:val="20"/>
          <w:lang w:eastAsia="en-GB"/>
        </w:rPr>
      </w:pPr>
      <w:r w:rsidRPr="00465E1A">
        <w:rPr>
          <w:rFonts w:ascii="Calibri" w:hAnsi="Calibri" w:cs="Calibri"/>
          <w:b/>
          <w:color w:val="000000" w:themeColor="text1"/>
          <w:sz w:val="20"/>
          <w:szCs w:val="20"/>
        </w:rPr>
        <w:t>About FBD Holdings plc (</w:t>
      </w:r>
      <w:r w:rsidR="00A718EF">
        <w:rPr>
          <w:rFonts w:ascii="Calibri" w:hAnsi="Calibri" w:cs="Calibri"/>
          <w:b/>
          <w:color w:val="000000" w:themeColor="text1"/>
          <w:sz w:val="20"/>
          <w:szCs w:val="20"/>
        </w:rPr>
        <w:t>“</w:t>
      </w:r>
      <w:r w:rsidRPr="00465E1A">
        <w:rPr>
          <w:rFonts w:ascii="Calibri" w:hAnsi="Calibri" w:cs="Calibri"/>
          <w:b/>
          <w:color w:val="000000" w:themeColor="text1"/>
          <w:sz w:val="20"/>
          <w:szCs w:val="20"/>
        </w:rPr>
        <w:t>FBD</w:t>
      </w:r>
      <w:r w:rsidR="00A718EF">
        <w:rPr>
          <w:rFonts w:ascii="Calibri" w:hAnsi="Calibri" w:cs="Calibri"/>
          <w:b/>
          <w:color w:val="000000" w:themeColor="text1"/>
          <w:sz w:val="20"/>
          <w:szCs w:val="20"/>
        </w:rPr>
        <w:t>”</w:t>
      </w:r>
      <w:r w:rsidRPr="00465E1A">
        <w:rPr>
          <w:rFonts w:ascii="Calibri" w:hAnsi="Calibri" w:cs="Calibri"/>
          <w:b/>
          <w:color w:val="000000" w:themeColor="text1"/>
          <w:sz w:val="20"/>
          <w:szCs w:val="20"/>
        </w:rPr>
        <w:t>)</w:t>
      </w:r>
      <w:r w:rsidRPr="00465E1A">
        <w:rPr>
          <w:rFonts w:ascii="Calibri" w:hAnsi="Calibri" w:cs="Calibri"/>
          <w:b/>
          <w:bCs/>
          <w:color w:val="000000"/>
          <w:sz w:val="20"/>
          <w:szCs w:val="20"/>
          <w:lang w:eastAsia="en-GB"/>
        </w:rPr>
        <w:t xml:space="preserve"> </w:t>
      </w:r>
    </w:p>
    <w:p w14:paraId="74E488F1" w14:textId="65D82810" w:rsidR="001D5AED" w:rsidRPr="00465E1A" w:rsidRDefault="001D5AED" w:rsidP="001D5AED">
      <w:pPr>
        <w:pStyle w:val="NoSpacing"/>
        <w:jc w:val="both"/>
        <w:rPr>
          <w:rFonts w:ascii="Calibri" w:hAnsi="Calibri" w:cs="Calibri"/>
          <w:color w:val="000000" w:themeColor="text1"/>
          <w:sz w:val="20"/>
          <w:szCs w:val="20"/>
        </w:rPr>
      </w:pPr>
      <w:r w:rsidRPr="00465E1A">
        <w:rPr>
          <w:rFonts w:ascii="Calibri" w:hAnsi="Calibri" w:cs="Calibri"/>
          <w:color w:val="000000" w:themeColor="text1"/>
          <w:sz w:val="20"/>
          <w:szCs w:val="20"/>
        </w:rPr>
        <w:t>FBD is one of Ireland</w:t>
      </w:r>
      <w:r w:rsidR="00A718EF">
        <w:rPr>
          <w:rFonts w:ascii="Calibri" w:hAnsi="Calibri" w:cs="Calibri"/>
          <w:color w:val="000000" w:themeColor="text1"/>
          <w:sz w:val="20"/>
          <w:szCs w:val="20"/>
        </w:rPr>
        <w:t>’</w:t>
      </w:r>
      <w:r w:rsidRPr="00465E1A">
        <w:rPr>
          <w:rFonts w:ascii="Calibri" w:hAnsi="Calibri" w:cs="Calibri"/>
          <w:color w:val="000000" w:themeColor="text1"/>
          <w:sz w:val="20"/>
          <w:szCs w:val="20"/>
        </w:rPr>
        <w:t xml:space="preserve">s largest property and casualty insurers, looking after the insurance needs of farmers, </w:t>
      </w:r>
      <w:proofErr w:type="gramStart"/>
      <w:r w:rsidRPr="00465E1A">
        <w:rPr>
          <w:rFonts w:ascii="Calibri" w:hAnsi="Calibri" w:cs="Calibri"/>
          <w:color w:val="000000" w:themeColor="text1"/>
          <w:sz w:val="20"/>
          <w:szCs w:val="20"/>
        </w:rPr>
        <w:t>consumers</w:t>
      </w:r>
      <w:proofErr w:type="gramEnd"/>
      <w:r w:rsidRPr="00465E1A">
        <w:rPr>
          <w:rFonts w:ascii="Calibri" w:hAnsi="Calibri" w:cs="Calibri"/>
          <w:color w:val="000000" w:themeColor="text1"/>
          <w:sz w:val="20"/>
          <w:szCs w:val="20"/>
        </w:rPr>
        <w:t xml:space="preserve"> and business owners. Established in the 1960s by farmers for farmers, FBD has built on those roots in agriculture to become a leading general insurer serving the needs of its direct agricultural, small business and consumer customers throughout Ireland. It has a network of 34 branches nationwide.  </w:t>
      </w:r>
    </w:p>
    <w:p w14:paraId="7E667DE2" w14:textId="77777777" w:rsidR="001D5AED" w:rsidRDefault="001D5AED" w:rsidP="001D5AED">
      <w:pPr>
        <w:ind w:left="-142"/>
        <w:jc w:val="both"/>
        <w:rPr>
          <w:rFonts w:ascii="Calibri" w:hAnsi="Calibri" w:cs="Calibri"/>
          <w:b/>
          <w:color w:val="000000"/>
          <w:lang w:eastAsia="en-GB"/>
        </w:rPr>
      </w:pPr>
      <w:r w:rsidRPr="00465E1A">
        <w:rPr>
          <w:rFonts w:ascii="Calibri" w:hAnsi="Calibri" w:cs="Calibri"/>
          <w:b/>
          <w:color w:val="000000"/>
          <w:lang w:eastAsia="en-GB"/>
        </w:rPr>
        <w:t> </w:t>
      </w:r>
    </w:p>
    <w:p w14:paraId="6E7FE83F" w14:textId="77777777" w:rsidR="00856586" w:rsidRPr="00326EA3" w:rsidRDefault="00856586" w:rsidP="00856586">
      <w:pPr>
        <w:tabs>
          <w:tab w:val="left" w:pos="284"/>
        </w:tabs>
        <w:jc w:val="both"/>
        <w:rPr>
          <w:rFonts w:ascii="Calibri" w:hAnsi="Calibri" w:cs="Calibri"/>
          <w:b/>
          <w:sz w:val="18"/>
          <w:szCs w:val="18"/>
        </w:rPr>
      </w:pPr>
      <w:r w:rsidRPr="00326EA3">
        <w:rPr>
          <w:rFonts w:ascii="Calibri" w:hAnsi="Calibri" w:cs="Calibri"/>
          <w:b/>
          <w:sz w:val="18"/>
          <w:szCs w:val="18"/>
        </w:rPr>
        <w:t>C</w:t>
      </w:r>
      <w:r>
        <w:rPr>
          <w:rFonts w:ascii="Calibri" w:hAnsi="Calibri" w:cs="Calibri"/>
          <w:b/>
          <w:sz w:val="18"/>
          <w:szCs w:val="18"/>
        </w:rPr>
        <w:t>onsideration</w:t>
      </w:r>
      <w:r w:rsidRPr="00326EA3">
        <w:rPr>
          <w:rFonts w:ascii="Calibri" w:hAnsi="Calibri" w:cs="Calibri"/>
          <w:b/>
          <w:sz w:val="18"/>
          <w:szCs w:val="18"/>
        </w:rPr>
        <w:t xml:space="preserve"> </w:t>
      </w:r>
      <w:r>
        <w:rPr>
          <w:rFonts w:ascii="Calibri" w:hAnsi="Calibri" w:cs="Calibri"/>
          <w:b/>
          <w:sz w:val="18"/>
          <w:szCs w:val="18"/>
        </w:rPr>
        <w:t>of</w:t>
      </w:r>
      <w:r w:rsidRPr="00326EA3">
        <w:rPr>
          <w:rFonts w:ascii="Calibri" w:hAnsi="Calibri" w:cs="Calibri"/>
          <w:b/>
          <w:sz w:val="18"/>
          <w:szCs w:val="18"/>
        </w:rPr>
        <w:t xml:space="preserve"> L</w:t>
      </w:r>
      <w:r>
        <w:rPr>
          <w:rFonts w:ascii="Calibri" w:hAnsi="Calibri" w:cs="Calibri"/>
          <w:b/>
          <w:sz w:val="18"/>
          <w:szCs w:val="18"/>
        </w:rPr>
        <w:t>isting</w:t>
      </w:r>
      <w:r w:rsidRPr="00326EA3">
        <w:rPr>
          <w:rFonts w:ascii="Calibri" w:hAnsi="Calibri" w:cs="Calibri"/>
          <w:b/>
          <w:sz w:val="18"/>
          <w:szCs w:val="18"/>
        </w:rPr>
        <w:t xml:space="preserve"> A</w:t>
      </w:r>
      <w:r>
        <w:rPr>
          <w:rFonts w:ascii="Calibri" w:hAnsi="Calibri" w:cs="Calibri"/>
          <w:b/>
          <w:sz w:val="18"/>
          <w:szCs w:val="18"/>
        </w:rPr>
        <w:t>rrangements</w:t>
      </w:r>
      <w:r>
        <w:rPr>
          <w:rFonts w:ascii="Calibri" w:hAnsi="Calibri" w:cs="Calibri"/>
          <w:b/>
          <w:sz w:val="18"/>
          <w:szCs w:val="18"/>
        </w:rPr>
        <w:tab/>
      </w:r>
    </w:p>
    <w:p w14:paraId="3BFDA3A9" w14:textId="77777777" w:rsidR="00856586" w:rsidRPr="002972F1" w:rsidRDefault="00856586" w:rsidP="00856586">
      <w:pPr>
        <w:pStyle w:val="Default"/>
        <w:jc w:val="both"/>
        <w:rPr>
          <w:rFonts w:asciiTheme="minorHAnsi" w:eastAsiaTheme="minorHAnsi" w:hAnsiTheme="minorHAnsi" w:cstheme="minorHAnsi"/>
          <w:sz w:val="20"/>
          <w:szCs w:val="20"/>
          <w:lang w:val="en-IE"/>
        </w:rPr>
      </w:pPr>
      <w:r w:rsidRPr="00D42C20">
        <w:rPr>
          <w:rFonts w:ascii="Calibri" w:eastAsiaTheme="minorHAnsi" w:hAnsi="Calibri" w:cs="Calibri"/>
          <w:color w:val="000000" w:themeColor="text1"/>
          <w:sz w:val="20"/>
          <w:szCs w:val="20"/>
        </w:rPr>
        <w:t>Trading on the London Stock Exchange as a percentage of overall trading volume in the Company’s ordinary</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shares has significantly reduced over recent years. Consequently,</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the</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Board</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of</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FBD</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is</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now</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considering</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the</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merits</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and</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costs</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of</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retaining</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the</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Company’s</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listing</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on</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the</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London</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Stock</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Exchange</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and</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if</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simplification</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of</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the</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listing</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structures</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would</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be</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beneficial</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for</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FBD.</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The</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Company</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has</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a</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primary</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listing</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on</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the</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regulated</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market</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of</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lastRenderedPageBreak/>
        <w:t>Euronext</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Dublin</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which</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offers</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shareholders</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the</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highest</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standard</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of</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protection,</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including</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compliance</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with</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the</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UK</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Corporate</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Governance</w:t>
      </w:r>
      <w:r w:rsidRPr="00D42C20">
        <w:rPr>
          <w:rFonts w:ascii="Calibri" w:eastAsiaTheme="minorHAnsi" w:hAnsi="Calibri" w:cs="Calibri"/>
          <w:color w:val="000000" w:themeColor="text1"/>
        </w:rPr>
        <w:t xml:space="preserve"> </w:t>
      </w:r>
      <w:r w:rsidRPr="00D42C20">
        <w:rPr>
          <w:rFonts w:ascii="Calibri" w:eastAsiaTheme="minorHAnsi" w:hAnsi="Calibri" w:cs="Calibri"/>
          <w:color w:val="000000" w:themeColor="text1"/>
          <w:sz w:val="20"/>
          <w:szCs w:val="20"/>
        </w:rPr>
        <w:t>Code.</w:t>
      </w:r>
    </w:p>
    <w:p w14:paraId="119EDC5A" w14:textId="77777777" w:rsidR="00856586" w:rsidRDefault="00856586" w:rsidP="001D5AED">
      <w:pPr>
        <w:pStyle w:val="NoSpacing"/>
        <w:jc w:val="both"/>
        <w:rPr>
          <w:rFonts w:ascii="Calibri" w:hAnsi="Calibri" w:cs="Calibri"/>
          <w:b/>
          <w:color w:val="000000" w:themeColor="text1"/>
          <w:sz w:val="20"/>
          <w:szCs w:val="20"/>
        </w:rPr>
      </w:pPr>
    </w:p>
    <w:p w14:paraId="3CF83C84" w14:textId="1595099F" w:rsidR="001D5AED" w:rsidRPr="00465E1A" w:rsidRDefault="001D5AED" w:rsidP="001D5AED">
      <w:pPr>
        <w:pStyle w:val="NoSpacing"/>
        <w:jc w:val="both"/>
        <w:rPr>
          <w:rFonts w:ascii="Calibri" w:hAnsi="Calibri" w:cs="Calibri"/>
          <w:b/>
          <w:color w:val="000000" w:themeColor="text1"/>
          <w:sz w:val="20"/>
          <w:szCs w:val="20"/>
        </w:rPr>
      </w:pPr>
      <w:r w:rsidRPr="00465E1A">
        <w:rPr>
          <w:rFonts w:ascii="Calibri" w:hAnsi="Calibri" w:cs="Calibri"/>
          <w:b/>
          <w:color w:val="000000" w:themeColor="text1"/>
          <w:sz w:val="20"/>
          <w:szCs w:val="20"/>
        </w:rPr>
        <w:t>Forward Looking Statements</w:t>
      </w:r>
    </w:p>
    <w:p w14:paraId="1A365FB5" w14:textId="273A1851" w:rsidR="001D5AED" w:rsidRPr="00465E1A" w:rsidRDefault="001D5AED" w:rsidP="001D5AED">
      <w:pPr>
        <w:pStyle w:val="NoSpacing"/>
        <w:jc w:val="both"/>
        <w:rPr>
          <w:rFonts w:ascii="Calibri" w:hAnsi="Calibri" w:cs="Calibri"/>
          <w:color w:val="000000" w:themeColor="text1"/>
          <w:sz w:val="20"/>
          <w:szCs w:val="20"/>
        </w:rPr>
      </w:pPr>
      <w:r w:rsidRPr="00465E1A">
        <w:rPr>
          <w:rFonts w:ascii="Calibri" w:hAnsi="Calibri" w:cs="Calibri"/>
          <w:color w:val="000000" w:themeColor="text1"/>
          <w:sz w:val="20"/>
          <w:szCs w:val="20"/>
        </w:rPr>
        <w:t>Some statements in this announcement are forward-looking. They represent expectations for the Group</w:t>
      </w:r>
      <w:r w:rsidR="00A718EF">
        <w:rPr>
          <w:rFonts w:ascii="Calibri" w:hAnsi="Calibri" w:cs="Calibri"/>
          <w:color w:val="000000" w:themeColor="text1"/>
          <w:sz w:val="20"/>
          <w:szCs w:val="20"/>
        </w:rPr>
        <w:t>’</w:t>
      </w:r>
      <w:r w:rsidRPr="00465E1A">
        <w:rPr>
          <w:rFonts w:ascii="Calibri" w:hAnsi="Calibri" w:cs="Calibri"/>
          <w:color w:val="000000" w:themeColor="text1"/>
          <w:sz w:val="20"/>
          <w:szCs w:val="20"/>
        </w:rPr>
        <w:t xml:space="preserve">s </w:t>
      </w:r>
      <w:proofErr w:type="gramStart"/>
      <w:r w:rsidRPr="00465E1A">
        <w:rPr>
          <w:rFonts w:ascii="Calibri" w:hAnsi="Calibri" w:cs="Calibri"/>
          <w:color w:val="000000" w:themeColor="text1"/>
          <w:sz w:val="20"/>
          <w:szCs w:val="20"/>
        </w:rPr>
        <w:t>business,</w:t>
      </w:r>
      <w:r w:rsidR="00A1498A">
        <w:rPr>
          <w:rFonts w:ascii="Calibri" w:hAnsi="Calibri" w:cs="Calibri"/>
          <w:color w:val="000000" w:themeColor="text1"/>
          <w:sz w:val="20"/>
          <w:szCs w:val="20"/>
        </w:rPr>
        <w:t xml:space="preserve"> </w:t>
      </w:r>
      <w:r w:rsidRPr="00465E1A">
        <w:rPr>
          <w:rFonts w:ascii="Calibri" w:hAnsi="Calibri" w:cs="Calibri"/>
          <w:color w:val="000000" w:themeColor="text1"/>
          <w:sz w:val="20"/>
          <w:szCs w:val="20"/>
        </w:rPr>
        <w:t>and</w:t>
      </w:r>
      <w:proofErr w:type="gramEnd"/>
      <w:r w:rsidRPr="00465E1A">
        <w:rPr>
          <w:rFonts w:ascii="Calibri" w:hAnsi="Calibri" w:cs="Calibri"/>
          <w:color w:val="000000" w:themeColor="text1"/>
          <w:sz w:val="20"/>
          <w:szCs w:val="20"/>
        </w:rPr>
        <w:t xml:space="preserve"> involve risks and uncertainties. These forward-looking statements are based on current expectations and projections about future events. The Group believes that current expectations and assumptions with respect to these forward-looking statements are reasonable. However, because they involve known and unknown risks, </w:t>
      </w:r>
      <w:proofErr w:type="gramStart"/>
      <w:r w:rsidRPr="00465E1A">
        <w:rPr>
          <w:rFonts w:ascii="Calibri" w:hAnsi="Calibri" w:cs="Calibri"/>
          <w:color w:val="000000" w:themeColor="text1"/>
          <w:sz w:val="20"/>
          <w:szCs w:val="20"/>
        </w:rPr>
        <w:t>uncertainties</w:t>
      </w:r>
      <w:proofErr w:type="gramEnd"/>
      <w:r w:rsidRPr="00465E1A">
        <w:rPr>
          <w:rFonts w:ascii="Calibri" w:hAnsi="Calibri" w:cs="Calibri"/>
          <w:color w:val="000000" w:themeColor="text1"/>
          <w:sz w:val="20"/>
          <w:szCs w:val="20"/>
        </w:rPr>
        <w:t xml:space="preserve"> and other factors, which are in some cases beyond the Group</w:t>
      </w:r>
      <w:r w:rsidR="00A718EF">
        <w:rPr>
          <w:rFonts w:ascii="Calibri" w:hAnsi="Calibri" w:cs="Calibri"/>
          <w:color w:val="000000" w:themeColor="text1"/>
          <w:sz w:val="20"/>
          <w:szCs w:val="20"/>
        </w:rPr>
        <w:t>’</w:t>
      </w:r>
      <w:r w:rsidRPr="00465E1A">
        <w:rPr>
          <w:rFonts w:ascii="Calibri" w:hAnsi="Calibri" w:cs="Calibri"/>
          <w:color w:val="000000" w:themeColor="text1"/>
          <w:sz w:val="20"/>
          <w:szCs w:val="20"/>
        </w:rPr>
        <w:t>s control, actual results or performance may differ materially from those expressed or implied by such forward-looking statements.</w:t>
      </w:r>
    </w:p>
    <w:p w14:paraId="33026EBB" w14:textId="77777777" w:rsidR="001D5AED" w:rsidRDefault="001D5AED" w:rsidP="001D5AED">
      <w:pPr>
        <w:ind w:left="-142"/>
        <w:jc w:val="both"/>
        <w:rPr>
          <w:rFonts w:ascii="Calibri" w:hAnsi="Calibri" w:cs="Calibri"/>
          <w:color w:val="000000"/>
          <w:lang w:eastAsia="en-GB"/>
        </w:rPr>
      </w:pPr>
      <w:r w:rsidRPr="00465E1A">
        <w:rPr>
          <w:rFonts w:ascii="Calibri" w:hAnsi="Calibri" w:cs="Calibri"/>
          <w:color w:val="000000"/>
          <w:lang w:eastAsia="en-GB"/>
        </w:rPr>
        <w:t xml:space="preserve">  </w:t>
      </w:r>
    </w:p>
    <w:p w14:paraId="754A1271" w14:textId="77777777" w:rsidR="001D5AED" w:rsidRDefault="001D5AED" w:rsidP="001D5AED">
      <w:pPr>
        <w:ind w:left="-142"/>
        <w:jc w:val="both"/>
        <w:rPr>
          <w:rFonts w:ascii="Calibri" w:hAnsi="Calibri" w:cs="Calibri"/>
          <w:color w:val="000000"/>
          <w:lang w:eastAsia="en-GB"/>
        </w:rPr>
      </w:pPr>
    </w:p>
    <w:p w14:paraId="1A418B9B" w14:textId="77777777" w:rsidR="001D5AED" w:rsidRPr="00465E1A" w:rsidRDefault="001D5AED" w:rsidP="001D5AED">
      <w:pPr>
        <w:pStyle w:val="NoSpacing"/>
        <w:jc w:val="both"/>
        <w:rPr>
          <w:rFonts w:ascii="Calibri" w:hAnsi="Calibri" w:cs="Calibri"/>
          <w:color w:val="000000" w:themeColor="text1"/>
          <w:sz w:val="20"/>
          <w:szCs w:val="20"/>
        </w:rPr>
      </w:pPr>
      <w:r w:rsidRPr="00465E1A">
        <w:rPr>
          <w:rFonts w:ascii="Calibri" w:hAnsi="Calibri" w:cs="Calibri"/>
          <w:color w:val="000000" w:themeColor="text1"/>
          <w:sz w:val="20"/>
          <w:szCs w:val="20"/>
        </w:rPr>
        <w:t>The following details relate to FBD's ordinary shares of €0.60 each which are publicly traded:</w:t>
      </w:r>
    </w:p>
    <w:p w14:paraId="5F9573E7" w14:textId="77777777" w:rsidR="001D5AED" w:rsidRPr="00465E1A" w:rsidRDefault="001D5AED" w:rsidP="001D5AED">
      <w:pPr>
        <w:pStyle w:val="NoSpacing"/>
        <w:jc w:val="both"/>
        <w:rPr>
          <w:rFonts w:ascii="Calibri" w:hAnsi="Calibri" w:cs="Calibri"/>
          <w:color w:val="000000" w:themeColor="text1"/>
          <w:sz w:val="20"/>
          <w:szCs w:val="20"/>
        </w:rPr>
      </w:pPr>
    </w:p>
    <w:tbl>
      <w:tblPr>
        <w:tblW w:w="9828" w:type="dxa"/>
        <w:tblCellMar>
          <w:left w:w="0" w:type="dxa"/>
          <w:right w:w="0" w:type="dxa"/>
        </w:tblCellMar>
        <w:tblLook w:val="04A0" w:firstRow="1" w:lastRow="0" w:firstColumn="1" w:lastColumn="0" w:noHBand="0" w:noVBand="1"/>
      </w:tblPr>
      <w:tblGrid>
        <w:gridCol w:w="3038"/>
        <w:gridCol w:w="3246"/>
        <w:gridCol w:w="3544"/>
      </w:tblGrid>
      <w:tr w:rsidR="001D5AED" w:rsidRPr="00285C06" w14:paraId="1366E9DA" w14:textId="77777777" w:rsidTr="00B87E67">
        <w:trPr>
          <w:trHeight w:val="254"/>
        </w:trPr>
        <w:tc>
          <w:tcPr>
            <w:tcW w:w="3038" w:type="dxa"/>
            <w:tcMar>
              <w:top w:w="0" w:type="dxa"/>
              <w:left w:w="108" w:type="dxa"/>
              <w:bottom w:w="0" w:type="dxa"/>
              <w:right w:w="108" w:type="dxa"/>
            </w:tcMar>
            <w:hideMark/>
          </w:tcPr>
          <w:p w14:paraId="038C4069" w14:textId="77777777" w:rsidR="001D5AED" w:rsidRPr="00465E1A" w:rsidRDefault="001D5AED" w:rsidP="00B87E67">
            <w:pPr>
              <w:jc w:val="both"/>
              <w:rPr>
                <w:rFonts w:ascii="Calibri" w:hAnsi="Calibri" w:cs="Calibri"/>
                <w:color w:val="000000"/>
                <w:lang w:eastAsia="en-GB"/>
              </w:rPr>
            </w:pPr>
            <w:r w:rsidRPr="00465E1A">
              <w:rPr>
                <w:rFonts w:ascii="Calibri" w:hAnsi="Calibri" w:cs="Calibri"/>
                <w:color w:val="000000"/>
                <w:lang w:eastAsia="en-GB"/>
              </w:rPr>
              <w:t xml:space="preserve"> Listing</w:t>
            </w:r>
          </w:p>
        </w:tc>
        <w:tc>
          <w:tcPr>
            <w:tcW w:w="3246" w:type="dxa"/>
            <w:tcMar>
              <w:top w:w="0" w:type="dxa"/>
              <w:left w:w="108" w:type="dxa"/>
              <w:bottom w:w="0" w:type="dxa"/>
              <w:right w:w="108" w:type="dxa"/>
            </w:tcMar>
            <w:hideMark/>
          </w:tcPr>
          <w:p w14:paraId="368FA74E" w14:textId="77777777" w:rsidR="001D5AED" w:rsidRPr="00465E1A" w:rsidRDefault="001D5AED" w:rsidP="00B87E67">
            <w:pPr>
              <w:jc w:val="both"/>
              <w:rPr>
                <w:rFonts w:ascii="Calibri" w:hAnsi="Calibri" w:cs="Calibri"/>
                <w:color w:val="000000"/>
                <w:lang w:eastAsia="en-GB"/>
              </w:rPr>
            </w:pPr>
            <w:r w:rsidRPr="00465E1A">
              <w:rPr>
                <w:rFonts w:ascii="Calibri" w:hAnsi="Calibri" w:cs="Calibri"/>
                <w:color w:val="000000"/>
                <w:lang w:eastAsia="en-GB"/>
              </w:rPr>
              <w:t>Euronext Dublin</w:t>
            </w:r>
          </w:p>
        </w:tc>
        <w:tc>
          <w:tcPr>
            <w:tcW w:w="3544" w:type="dxa"/>
            <w:tcMar>
              <w:top w:w="0" w:type="dxa"/>
              <w:left w:w="108" w:type="dxa"/>
              <w:bottom w:w="0" w:type="dxa"/>
              <w:right w:w="108" w:type="dxa"/>
            </w:tcMar>
            <w:hideMark/>
          </w:tcPr>
          <w:p w14:paraId="401226CA" w14:textId="77777777" w:rsidR="001D5AED" w:rsidRPr="00465E1A" w:rsidRDefault="001D5AED" w:rsidP="00B87E67">
            <w:pPr>
              <w:jc w:val="both"/>
              <w:rPr>
                <w:rFonts w:ascii="Calibri" w:hAnsi="Calibri" w:cs="Calibri"/>
                <w:color w:val="000000"/>
                <w:lang w:eastAsia="en-GB"/>
              </w:rPr>
            </w:pPr>
            <w:r>
              <w:rPr>
                <w:rFonts w:ascii="Calibri" w:hAnsi="Calibri" w:cs="Calibri"/>
                <w:color w:val="000000"/>
                <w:lang w:eastAsia="en-GB"/>
              </w:rPr>
              <w:t>Financial Conduct</w:t>
            </w:r>
            <w:r w:rsidRPr="00465E1A">
              <w:rPr>
                <w:rFonts w:ascii="Calibri" w:hAnsi="Calibri" w:cs="Calibri"/>
                <w:color w:val="000000"/>
                <w:lang w:eastAsia="en-GB"/>
              </w:rPr>
              <w:t xml:space="preserve"> Authority</w:t>
            </w:r>
          </w:p>
        </w:tc>
      </w:tr>
      <w:tr w:rsidR="001D5AED" w:rsidRPr="00285C06" w14:paraId="52280DA1" w14:textId="77777777" w:rsidTr="00B87E67">
        <w:trPr>
          <w:trHeight w:val="265"/>
        </w:trPr>
        <w:tc>
          <w:tcPr>
            <w:tcW w:w="3038" w:type="dxa"/>
            <w:tcMar>
              <w:top w:w="0" w:type="dxa"/>
              <w:left w:w="108" w:type="dxa"/>
              <w:bottom w:w="0" w:type="dxa"/>
              <w:right w:w="108" w:type="dxa"/>
            </w:tcMar>
            <w:hideMark/>
          </w:tcPr>
          <w:p w14:paraId="6E261B32" w14:textId="77777777" w:rsidR="001D5AED" w:rsidRPr="00465E1A" w:rsidRDefault="001D5AED" w:rsidP="00B87E67">
            <w:pPr>
              <w:jc w:val="both"/>
              <w:rPr>
                <w:rFonts w:ascii="Calibri" w:hAnsi="Calibri" w:cs="Calibri"/>
                <w:color w:val="000000"/>
                <w:lang w:eastAsia="en-GB"/>
              </w:rPr>
            </w:pPr>
            <w:r w:rsidRPr="00465E1A">
              <w:rPr>
                <w:rFonts w:ascii="Calibri" w:hAnsi="Calibri" w:cs="Calibri"/>
                <w:color w:val="000000"/>
                <w:lang w:eastAsia="en-GB"/>
              </w:rPr>
              <w:t xml:space="preserve"> Listing Category</w:t>
            </w:r>
          </w:p>
        </w:tc>
        <w:tc>
          <w:tcPr>
            <w:tcW w:w="3246" w:type="dxa"/>
            <w:tcMar>
              <w:top w:w="0" w:type="dxa"/>
              <w:left w:w="108" w:type="dxa"/>
              <w:bottom w:w="0" w:type="dxa"/>
              <w:right w:w="108" w:type="dxa"/>
            </w:tcMar>
            <w:hideMark/>
          </w:tcPr>
          <w:p w14:paraId="46EE468C" w14:textId="77777777" w:rsidR="001D5AED" w:rsidRPr="00465E1A" w:rsidRDefault="001D5AED" w:rsidP="00B87E67">
            <w:pPr>
              <w:jc w:val="both"/>
              <w:rPr>
                <w:rFonts w:ascii="Calibri" w:hAnsi="Calibri" w:cs="Calibri"/>
                <w:color w:val="000000"/>
                <w:lang w:eastAsia="en-GB"/>
              </w:rPr>
            </w:pPr>
            <w:r w:rsidRPr="00465E1A">
              <w:rPr>
                <w:rFonts w:ascii="Calibri" w:hAnsi="Calibri" w:cs="Calibri"/>
                <w:color w:val="000000"/>
                <w:lang w:eastAsia="en-GB"/>
              </w:rPr>
              <w:t>Premium</w:t>
            </w:r>
          </w:p>
        </w:tc>
        <w:tc>
          <w:tcPr>
            <w:tcW w:w="3544" w:type="dxa"/>
            <w:tcMar>
              <w:top w:w="0" w:type="dxa"/>
              <w:left w:w="108" w:type="dxa"/>
              <w:bottom w:w="0" w:type="dxa"/>
              <w:right w:w="108" w:type="dxa"/>
            </w:tcMar>
            <w:hideMark/>
          </w:tcPr>
          <w:p w14:paraId="3E154C97" w14:textId="77777777" w:rsidR="001D5AED" w:rsidRPr="00465E1A" w:rsidRDefault="001D5AED" w:rsidP="00B87E67">
            <w:pPr>
              <w:jc w:val="both"/>
              <w:rPr>
                <w:rFonts w:ascii="Calibri" w:hAnsi="Calibri" w:cs="Calibri"/>
                <w:color w:val="000000"/>
                <w:lang w:eastAsia="en-GB"/>
              </w:rPr>
            </w:pPr>
            <w:r w:rsidRPr="00465E1A">
              <w:rPr>
                <w:rFonts w:ascii="Calibri" w:hAnsi="Calibri" w:cs="Calibri"/>
                <w:color w:val="000000"/>
                <w:lang w:eastAsia="en-GB"/>
              </w:rPr>
              <w:t>Premium (Equity)</w:t>
            </w:r>
          </w:p>
        </w:tc>
      </w:tr>
      <w:tr w:rsidR="001D5AED" w:rsidRPr="00285C06" w14:paraId="116AA85F" w14:textId="77777777" w:rsidTr="00B87E67">
        <w:trPr>
          <w:trHeight w:val="254"/>
        </w:trPr>
        <w:tc>
          <w:tcPr>
            <w:tcW w:w="3038" w:type="dxa"/>
            <w:tcMar>
              <w:top w:w="0" w:type="dxa"/>
              <w:left w:w="108" w:type="dxa"/>
              <w:bottom w:w="0" w:type="dxa"/>
              <w:right w:w="108" w:type="dxa"/>
            </w:tcMar>
            <w:hideMark/>
          </w:tcPr>
          <w:p w14:paraId="659FABFB" w14:textId="77777777" w:rsidR="001D5AED" w:rsidRPr="00465E1A" w:rsidRDefault="001D5AED" w:rsidP="00B87E67">
            <w:pPr>
              <w:jc w:val="both"/>
              <w:rPr>
                <w:rFonts w:ascii="Calibri" w:hAnsi="Calibri" w:cs="Calibri"/>
                <w:color w:val="000000"/>
                <w:lang w:eastAsia="en-GB"/>
              </w:rPr>
            </w:pPr>
            <w:r>
              <w:rPr>
                <w:rFonts w:ascii="Calibri" w:hAnsi="Calibri" w:cs="Calibri"/>
                <w:color w:val="000000"/>
                <w:lang w:eastAsia="en-GB"/>
              </w:rPr>
              <w:t>Trading</w:t>
            </w:r>
            <w:r w:rsidRPr="00465E1A">
              <w:rPr>
                <w:rFonts w:ascii="Calibri" w:hAnsi="Calibri" w:cs="Calibri"/>
                <w:color w:val="000000"/>
                <w:lang w:eastAsia="en-GB"/>
              </w:rPr>
              <w:t xml:space="preserve"> Venue</w:t>
            </w:r>
          </w:p>
        </w:tc>
        <w:tc>
          <w:tcPr>
            <w:tcW w:w="3246" w:type="dxa"/>
            <w:tcMar>
              <w:top w:w="0" w:type="dxa"/>
              <w:left w:w="108" w:type="dxa"/>
              <w:bottom w:w="0" w:type="dxa"/>
              <w:right w:w="108" w:type="dxa"/>
            </w:tcMar>
            <w:hideMark/>
          </w:tcPr>
          <w:p w14:paraId="3995BBDD" w14:textId="77777777" w:rsidR="001D5AED" w:rsidRPr="00465E1A" w:rsidRDefault="001D5AED" w:rsidP="00B87E67">
            <w:pPr>
              <w:jc w:val="both"/>
              <w:rPr>
                <w:rFonts w:ascii="Calibri" w:hAnsi="Calibri" w:cs="Calibri"/>
                <w:color w:val="000000"/>
                <w:lang w:eastAsia="en-GB"/>
              </w:rPr>
            </w:pPr>
            <w:r w:rsidRPr="00465E1A">
              <w:rPr>
                <w:rFonts w:ascii="Calibri" w:hAnsi="Calibri" w:cs="Calibri"/>
                <w:color w:val="000000"/>
                <w:lang w:eastAsia="en-GB"/>
              </w:rPr>
              <w:t>Euronext Dublin</w:t>
            </w:r>
          </w:p>
        </w:tc>
        <w:tc>
          <w:tcPr>
            <w:tcW w:w="3544" w:type="dxa"/>
            <w:tcMar>
              <w:top w:w="0" w:type="dxa"/>
              <w:left w:w="108" w:type="dxa"/>
              <w:bottom w:w="0" w:type="dxa"/>
              <w:right w:w="108" w:type="dxa"/>
            </w:tcMar>
            <w:hideMark/>
          </w:tcPr>
          <w:p w14:paraId="4054D48B" w14:textId="77777777" w:rsidR="001D5AED" w:rsidRPr="00465E1A" w:rsidRDefault="001D5AED" w:rsidP="00B87E67">
            <w:pPr>
              <w:jc w:val="both"/>
              <w:rPr>
                <w:rFonts w:ascii="Calibri" w:hAnsi="Calibri" w:cs="Calibri"/>
                <w:color w:val="000000"/>
                <w:lang w:eastAsia="en-GB"/>
              </w:rPr>
            </w:pPr>
            <w:r w:rsidRPr="00465E1A">
              <w:rPr>
                <w:rFonts w:ascii="Calibri" w:hAnsi="Calibri" w:cs="Calibri"/>
                <w:color w:val="000000"/>
                <w:lang w:eastAsia="en-GB"/>
              </w:rPr>
              <w:t>London Stock Exchange</w:t>
            </w:r>
          </w:p>
        </w:tc>
      </w:tr>
      <w:tr w:rsidR="001D5AED" w:rsidRPr="00285C06" w14:paraId="5A609CD5" w14:textId="77777777" w:rsidTr="00B87E67">
        <w:trPr>
          <w:trHeight w:val="265"/>
        </w:trPr>
        <w:tc>
          <w:tcPr>
            <w:tcW w:w="3038" w:type="dxa"/>
            <w:tcMar>
              <w:top w:w="0" w:type="dxa"/>
              <w:left w:w="108" w:type="dxa"/>
              <w:bottom w:w="0" w:type="dxa"/>
              <w:right w:w="108" w:type="dxa"/>
            </w:tcMar>
            <w:hideMark/>
          </w:tcPr>
          <w:p w14:paraId="43CA101D" w14:textId="77777777" w:rsidR="001D5AED" w:rsidRPr="00465E1A" w:rsidRDefault="001D5AED" w:rsidP="00B87E67">
            <w:pPr>
              <w:jc w:val="both"/>
              <w:rPr>
                <w:rFonts w:ascii="Calibri" w:hAnsi="Calibri" w:cs="Calibri"/>
                <w:color w:val="000000"/>
                <w:lang w:eastAsia="en-GB"/>
              </w:rPr>
            </w:pPr>
            <w:r w:rsidRPr="00465E1A">
              <w:rPr>
                <w:rFonts w:ascii="Calibri" w:hAnsi="Calibri" w:cs="Calibri"/>
                <w:color w:val="000000"/>
                <w:lang w:eastAsia="en-GB"/>
              </w:rPr>
              <w:t xml:space="preserve"> Market</w:t>
            </w:r>
          </w:p>
        </w:tc>
        <w:tc>
          <w:tcPr>
            <w:tcW w:w="3246" w:type="dxa"/>
            <w:tcMar>
              <w:top w:w="0" w:type="dxa"/>
              <w:left w:w="108" w:type="dxa"/>
              <w:bottom w:w="0" w:type="dxa"/>
              <w:right w:w="108" w:type="dxa"/>
            </w:tcMar>
            <w:hideMark/>
          </w:tcPr>
          <w:p w14:paraId="39D90CF1" w14:textId="77777777" w:rsidR="001D5AED" w:rsidRPr="00465E1A" w:rsidRDefault="001D5AED" w:rsidP="00B87E67">
            <w:pPr>
              <w:jc w:val="both"/>
              <w:rPr>
                <w:rFonts w:ascii="Calibri" w:hAnsi="Calibri" w:cs="Calibri"/>
                <w:color w:val="000000"/>
                <w:lang w:eastAsia="en-GB"/>
              </w:rPr>
            </w:pPr>
            <w:r w:rsidRPr="00465E1A">
              <w:rPr>
                <w:rFonts w:ascii="Calibri" w:hAnsi="Calibri" w:cs="Calibri"/>
                <w:color w:val="000000"/>
                <w:lang w:eastAsia="en-GB"/>
              </w:rPr>
              <w:t>Main Securities Market</w:t>
            </w:r>
          </w:p>
        </w:tc>
        <w:tc>
          <w:tcPr>
            <w:tcW w:w="3544" w:type="dxa"/>
            <w:tcMar>
              <w:top w:w="0" w:type="dxa"/>
              <w:left w:w="108" w:type="dxa"/>
              <w:bottom w:w="0" w:type="dxa"/>
              <w:right w:w="108" w:type="dxa"/>
            </w:tcMar>
            <w:hideMark/>
          </w:tcPr>
          <w:p w14:paraId="56D23C50" w14:textId="77777777" w:rsidR="001D5AED" w:rsidRPr="00465E1A" w:rsidRDefault="001D5AED" w:rsidP="00B87E67">
            <w:pPr>
              <w:jc w:val="both"/>
              <w:rPr>
                <w:rFonts w:ascii="Calibri" w:hAnsi="Calibri" w:cs="Calibri"/>
                <w:color w:val="000000"/>
                <w:lang w:eastAsia="en-GB"/>
              </w:rPr>
            </w:pPr>
            <w:r w:rsidRPr="00465E1A">
              <w:rPr>
                <w:rFonts w:ascii="Calibri" w:hAnsi="Calibri" w:cs="Calibri"/>
                <w:color w:val="000000"/>
                <w:lang w:eastAsia="en-GB"/>
              </w:rPr>
              <w:t>Main Market</w:t>
            </w:r>
          </w:p>
        </w:tc>
      </w:tr>
      <w:tr w:rsidR="001D5AED" w:rsidRPr="00285C06" w14:paraId="2A401967" w14:textId="77777777" w:rsidTr="00B87E67">
        <w:trPr>
          <w:trHeight w:val="254"/>
        </w:trPr>
        <w:tc>
          <w:tcPr>
            <w:tcW w:w="3038" w:type="dxa"/>
            <w:tcMar>
              <w:top w:w="0" w:type="dxa"/>
              <w:left w:w="108" w:type="dxa"/>
              <w:bottom w:w="0" w:type="dxa"/>
              <w:right w:w="108" w:type="dxa"/>
            </w:tcMar>
            <w:hideMark/>
          </w:tcPr>
          <w:p w14:paraId="476D7411" w14:textId="77777777" w:rsidR="001D5AED" w:rsidRPr="00465E1A" w:rsidRDefault="001D5AED" w:rsidP="00B87E67">
            <w:pPr>
              <w:jc w:val="both"/>
              <w:rPr>
                <w:rFonts w:ascii="Calibri" w:hAnsi="Calibri" w:cs="Calibri"/>
                <w:color w:val="000000"/>
                <w:lang w:eastAsia="en-GB"/>
              </w:rPr>
            </w:pPr>
            <w:r w:rsidRPr="00465E1A">
              <w:rPr>
                <w:rFonts w:ascii="Calibri" w:hAnsi="Calibri" w:cs="Calibri"/>
                <w:color w:val="000000"/>
                <w:lang w:eastAsia="en-GB"/>
              </w:rPr>
              <w:t xml:space="preserve"> ISIN</w:t>
            </w:r>
          </w:p>
        </w:tc>
        <w:tc>
          <w:tcPr>
            <w:tcW w:w="3246" w:type="dxa"/>
            <w:tcMar>
              <w:top w:w="0" w:type="dxa"/>
              <w:left w:w="108" w:type="dxa"/>
              <w:bottom w:w="0" w:type="dxa"/>
              <w:right w:w="108" w:type="dxa"/>
            </w:tcMar>
            <w:hideMark/>
          </w:tcPr>
          <w:p w14:paraId="4D0A7E1A" w14:textId="77777777" w:rsidR="001D5AED" w:rsidRPr="00465E1A" w:rsidRDefault="001D5AED" w:rsidP="00B87E67">
            <w:pPr>
              <w:jc w:val="both"/>
              <w:rPr>
                <w:rFonts w:ascii="Calibri" w:hAnsi="Calibri" w:cs="Calibri"/>
                <w:color w:val="000000"/>
                <w:lang w:eastAsia="en-GB"/>
              </w:rPr>
            </w:pPr>
            <w:r w:rsidRPr="00465E1A">
              <w:rPr>
                <w:rFonts w:ascii="Calibri" w:hAnsi="Calibri" w:cs="Calibri"/>
                <w:color w:val="000000"/>
                <w:lang w:eastAsia="en-GB"/>
              </w:rPr>
              <w:t>IE0003290289</w:t>
            </w:r>
          </w:p>
        </w:tc>
        <w:tc>
          <w:tcPr>
            <w:tcW w:w="3544" w:type="dxa"/>
            <w:tcMar>
              <w:top w:w="0" w:type="dxa"/>
              <w:left w:w="108" w:type="dxa"/>
              <w:bottom w:w="0" w:type="dxa"/>
              <w:right w:w="108" w:type="dxa"/>
            </w:tcMar>
            <w:hideMark/>
          </w:tcPr>
          <w:p w14:paraId="269481B1" w14:textId="77777777" w:rsidR="001D5AED" w:rsidRPr="00465E1A" w:rsidRDefault="001D5AED" w:rsidP="00B87E67">
            <w:pPr>
              <w:jc w:val="both"/>
              <w:rPr>
                <w:rFonts w:ascii="Calibri" w:hAnsi="Calibri" w:cs="Calibri"/>
                <w:color w:val="000000"/>
                <w:lang w:eastAsia="en-GB"/>
              </w:rPr>
            </w:pPr>
            <w:r w:rsidRPr="00465E1A">
              <w:rPr>
                <w:rFonts w:ascii="Calibri" w:hAnsi="Calibri" w:cs="Calibri"/>
                <w:color w:val="000000"/>
                <w:lang w:eastAsia="en-GB"/>
              </w:rPr>
              <w:t>IE0003290289</w:t>
            </w:r>
          </w:p>
        </w:tc>
      </w:tr>
      <w:tr w:rsidR="001D5AED" w:rsidRPr="00285C06" w14:paraId="342E6A14" w14:textId="77777777" w:rsidTr="00B87E67">
        <w:trPr>
          <w:trHeight w:val="254"/>
        </w:trPr>
        <w:tc>
          <w:tcPr>
            <w:tcW w:w="3038" w:type="dxa"/>
            <w:tcMar>
              <w:top w:w="0" w:type="dxa"/>
              <w:left w:w="108" w:type="dxa"/>
              <w:bottom w:w="0" w:type="dxa"/>
              <w:right w:w="108" w:type="dxa"/>
            </w:tcMar>
            <w:hideMark/>
          </w:tcPr>
          <w:p w14:paraId="781B3D6F" w14:textId="77777777" w:rsidR="001D5AED" w:rsidRPr="00465E1A" w:rsidRDefault="001D5AED" w:rsidP="00B87E67">
            <w:pPr>
              <w:jc w:val="both"/>
              <w:rPr>
                <w:rFonts w:ascii="Calibri" w:hAnsi="Calibri" w:cs="Calibri"/>
                <w:color w:val="000000"/>
                <w:lang w:eastAsia="en-GB"/>
              </w:rPr>
            </w:pPr>
            <w:r w:rsidRPr="00465E1A">
              <w:rPr>
                <w:rFonts w:ascii="Calibri" w:hAnsi="Calibri" w:cs="Calibri"/>
                <w:color w:val="000000"/>
                <w:lang w:eastAsia="en-GB"/>
              </w:rPr>
              <w:t xml:space="preserve"> Ticker</w:t>
            </w:r>
          </w:p>
        </w:tc>
        <w:tc>
          <w:tcPr>
            <w:tcW w:w="3246" w:type="dxa"/>
            <w:tcMar>
              <w:top w:w="0" w:type="dxa"/>
              <w:left w:w="108" w:type="dxa"/>
              <w:bottom w:w="0" w:type="dxa"/>
              <w:right w:w="108" w:type="dxa"/>
            </w:tcMar>
            <w:hideMark/>
          </w:tcPr>
          <w:p w14:paraId="4810D44B" w14:textId="77777777" w:rsidR="001D5AED" w:rsidRPr="00465E1A" w:rsidRDefault="001D5AED" w:rsidP="00B87E67">
            <w:pPr>
              <w:jc w:val="both"/>
              <w:rPr>
                <w:rFonts w:ascii="Calibri" w:hAnsi="Calibri" w:cs="Calibri"/>
                <w:color w:val="000000"/>
                <w:lang w:eastAsia="en-GB"/>
              </w:rPr>
            </w:pPr>
            <w:r w:rsidRPr="00465E1A">
              <w:rPr>
                <w:rFonts w:ascii="Calibri" w:hAnsi="Calibri" w:cs="Calibri"/>
                <w:color w:val="000000"/>
                <w:lang w:eastAsia="en-GB"/>
              </w:rPr>
              <w:t>FBD.I or EG7.IR</w:t>
            </w:r>
          </w:p>
        </w:tc>
        <w:tc>
          <w:tcPr>
            <w:tcW w:w="3544" w:type="dxa"/>
            <w:tcMar>
              <w:top w:w="0" w:type="dxa"/>
              <w:left w:w="108" w:type="dxa"/>
              <w:bottom w:w="0" w:type="dxa"/>
              <w:right w:w="108" w:type="dxa"/>
            </w:tcMar>
            <w:hideMark/>
          </w:tcPr>
          <w:p w14:paraId="48AD1C95" w14:textId="77777777" w:rsidR="001D5AED" w:rsidRPr="00465E1A" w:rsidRDefault="001D5AED" w:rsidP="00B87E67">
            <w:pPr>
              <w:jc w:val="both"/>
              <w:rPr>
                <w:rFonts w:ascii="Calibri" w:hAnsi="Calibri" w:cs="Calibri"/>
                <w:color w:val="000000"/>
                <w:lang w:eastAsia="en-GB"/>
              </w:rPr>
            </w:pPr>
            <w:r w:rsidRPr="00465E1A">
              <w:rPr>
                <w:rFonts w:ascii="Calibri" w:hAnsi="Calibri" w:cs="Calibri"/>
                <w:color w:val="000000"/>
                <w:lang w:eastAsia="en-GB"/>
              </w:rPr>
              <w:t>FBH.L</w:t>
            </w:r>
          </w:p>
        </w:tc>
      </w:tr>
    </w:tbl>
    <w:p w14:paraId="3DEF88E5" w14:textId="77777777" w:rsidR="00B32F7E" w:rsidRDefault="00B32F7E" w:rsidP="001D5AED">
      <w:pPr>
        <w:spacing w:after="200" w:line="276" w:lineRule="auto"/>
        <w:rPr>
          <w:rFonts w:ascii="Calibri" w:hAnsi="Calibri" w:cs="Calibri"/>
          <w:b/>
          <w:lang w:val="en-IE"/>
        </w:rPr>
      </w:pPr>
    </w:p>
    <w:p w14:paraId="73A854F5" w14:textId="72793971" w:rsidR="001D5AED" w:rsidRPr="00B32F7E" w:rsidRDefault="001D5AED" w:rsidP="00B32F7E">
      <w:pPr>
        <w:spacing w:after="200" w:line="276" w:lineRule="auto"/>
        <w:rPr>
          <w:rFonts w:ascii="Calibri" w:eastAsiaTheme="minorHAnsi" w:hAnsi="Calibri" w:cs="Calibri"/>
          <w:color w:val="000000" w:themeColor="text1"/>
          <w:lang w:val="en-US"/>
        </w:rPr>
      </w:pPr>
      <w:r w:rsidRPr="00B32F7E">
        <w:rPr>
          <w:rFonts w:ascii="Calibri" w:eastAsiaTheme="minorHAnsi" w:hAnsi="Calibri" w:cs="Calibri"/>
          <w:color w:val="000000" w:themeColor="text1"/>
          <w:lang w:val="en-US"/>
        </w:rPr>
        <w:br w:type="page"/>
      </w:r>
    </w:p>
    <w:p w14:paraId="25A09CCB" w14:textId="75E495E6" w:rsidR="003F4E9E" w:rsidRPr="001D5AED" w:rsidRDefault="003F4E9E" w:rsidP="00F00DCD">
      <w:pPr>
        <w:spacing w:after="200" w:line="276" w:lineRule="auto"/>
        <w:rPr>
          <w:rFonts w:asciiTheme="minorHAnsi" w:hAnsiTheme="minorHAnsi" w:cstheme="minorHAnsi"/>
          <w:b/>
          <w:lang w:val="en-IE"/>
        </w:rPr>
      </w:pPr>
      <w:r w:rsidRPr="001D5AED">
        <w:rPr>
          <w:rFonts w:asciiTheme="minorHAnsi" w:hAnsiTheme="minorHAnsi" w:cstheme="minorHAnsi"/>
          <w:b/>
          <w:lang w:val="en-IE"/>
        </w:rPr>
        <w:t>OVERVIEW</w:t>
      </w:r>
    </w:p>
    <w:p w14:paraId="3D5868DA" w14:textId="46248322" w:rsidR="00825314" w:rsidRDefault="00915B6D" w:rsidP="00915B6D">
      <w:pPr>
        <w:pStyle w:val="NoSpacing"/>
        <w:jc w:val="both"/>
        <w:rPr>
          <w:rFonts w:ascii="Calibri" w:hAnsi="Calibri" w:cs="Calibri"/>
          <w:sz w:val="20"/>
          <w:szCs w:val="20"/>
          <w:lang w:val="en-IE"/>
        </w:rPr>
      </w:pPr>
      <w:r w:rsidRPr="001173C5">
        <w:rPr>
          <w:rFonts w:ascii="Calibri" w:hAnsi="Calibri" w:cs="Calibri"/>
          <w:sz w:val="20"/>
          <w:szCs w:val="20"/>
          <w:lang w:val="en-IE"/>
        </w:rPr>
        <w:t>The Group reported a profit before tax of €</w:t>
      </w:r>
      <w:r w:rsidR="001173C5" w:rsidRPr="001173C5">
        <w:rPr>
          <w:rFonts w:ascii="Calibri" w:hAnsi="Calibri" w:cs="Calibri"/>
          <w:sz w:val="20"/>
          <w:szCs w:val="20"/>
          <w:lang w:val="en-IE"/>
        </w:rPr>
        <w:t>81.4</w:t>
      </w:r>
      <w:r w:rsidRPr="001173C5">
        <w:rPr>
          <w:rFonts w:ascii="Calibri" w:hAnsi="Calibri" w:cs="Calibri"/>
          <w:sz w:val="20"/>
          <w:szCs w:val="20"/>
          <w:lang w:val="en-IE"/>
        </w:rPr>
        <w:t>m (2022: €</w:t>
      </w:r>
      <w:r w:rsidR="0047113A" w:rsidRPr="001173C5">
        <w:rPr>
          <w:rFonts w:ascii="Calibri" w:hAnsi="Calibri" w:cs="Calibri"/>
          <w:sz w:val="20"/>
          <w:szCs w:val="20"/>
          <w:lang w:val="en-IE"/>
        </w:rPr>
        <w:t>65.8</w:t>
      </w:r>
      <w:r w:rsidRPr="001173C5">
        <w:rPr>
          <w:rFonts w:ascii="Calibri" w:hAnsi="Calibri" w:cs="Calibri"/>
          <w:sz w:val="20"/>
          <w:szCs w:val="20"/>
          <w:lang w:val="en-IE"/>
        </w:rPr>
        <w:t>m),</w:t>
      </w:r>
      <w:r w:rsidR="00F9107E">
        <w:rPr>
          <w:rFonts w:ascii="Calibri" w:hAnsi="Calibri" w:cs="Calibri"/>
          <w:sz w:val="20"/>
          <w:szCs w:val="20"/>
          <w:lang w:val="en-IE"/>
        </w:rPr>
        <w:t xml:space="preserve"> </w:t>
      </w:r>
      <w:r w:rsidR="00A470BF">
        <w:rPr>
          <w:rFonts w:ascii="Calibri" w:hAnsi="Calibri" w:cs="Calibri"/>
          <w:sz w:val="20"/>
          <w:szCs w:val="20"/>
          <w:lang w:val="en-IE"/>
        </w:rPr>
        <w:t xml:space="preserve">supported by </w:t>
      </w:r>
      <w:r w:rsidRPr="001173C5">
        <w:rPr>
          <w:rFonts w:ascii="Calibri" w:hAnsi="Calibri" w:cs="Calibri"/>
          <w:sz w:val="20"/>
          <w:szCs w:val="20"/>
          <w:lang w:val="en-IE"/>
        </w:rPr>
        <w:t>growth in Insurance revenue</w:t>
      </w:r>
      <w:r w:rsidR="00B87A9B">
        <w:rPr>
          <w:rFonts w:ascii="Calibri" w:hAnsi="Calibri" w:cs="Calibri"/>
          <w:sz w:val="20"/>
          <w:szCs w:val="20"/>
          <w:lang w:val="en-IE"/>
        </w:rPr>
        <w:t>,</w:t>
      </w:r>
      <w:r w:rsidR="00A90B7F">
        <w:rPr>
          <w:rFonts w:ascii="Calibri" w:hAnsi="Calibri" w:cs="Calibri"/>
          <w:sz w:val="20"/>
          <w:szCs w:val="20"/>
          <w:lang w:val="en-IE"/>
        </w:rPr>
        <w:t xml:space="preserve"> profits generated from current </w:t>
      </w:r>
      <w:r w:rsidR="001D4A51">
        <w:rPr>
          <w:rFonts w:ascii="Calibri" w:hAnsi="Calibri" w:cs="Calibri"/>
          <w:sz w:val="20"/>
          <w:szCs w:val="20"/>
          <w:lang w:val="en-IE"/>
        </w:rPr>
        <w:t>year</w:t>
      </w:r>
      <w:r w:rsidR="00A90B7F">
        <w:rPr>
          <w:rFonts w:ascii="Calibri" w:hAnsi="Calibri" w:cs="Calibri"/>
          <w:sz w:val="20"/>
          <w:szCs w:val="20"/>
          <w:lang w:val="en-IE"/>
        </w:rPr>
        <w:t xml:space="preserve"> business</w:t>
      </w:r>
      <w:r w:rsidR="00397841">
        <w:rPr>
          <w:rFonts w:ascii="Calibri" w:hAnsi="Calibri" w:cs="Calibri"/>
          <w:sz w:val="20"/>
          <w:szCs w:val="20"/>
          <w:lang w:val="en-IE"/>
        </w:rPr>
        <w:t>, favourable prior year reserve development of €44.4m</w:t>
      </w:r>
      <w:r w:rsidR="00487394">
        <w:rPr>
          <w:rFonts w:ascii="Calibri" w:hAnsi="Calibri" w:cs="Calibri"/>
          <w:sz w:val="20"/>
          <w:szCs w:val="20"/>
          <w:lang w:val="en-IE"/>
        </w:rPr>
        <w:t xml:space="preserve"> and</w:t>
      </w:r>
      <w:r w:rsidR="00EE372A">
        <w:rPr>
          <w:rFonts w:ascii="Calibri" w:hAnsi="Calibri" w:cs="Calibri"/>
          <w:sz w:val="20"/>
          <w:szCs w:val="20"/>
          <w:lang w:val="en-IE"/>
        </w:rPr>
        <w:t xml:space="preserve"> positive</w:t>
      </w:r>
      <w:r w:rsidR="00EE372A" w:rsidRPr="0047113A">
        <w:rPr>
          <w:rFonts w:ascii="Calibri" w:hAnsi="Calibri" w:cs="Calibri"/>
          <w:sz w:val="20"/>
          <w:szCs w:val="20"/>
          <w:lang w:val="en-IE"/>
        </w:rPr>
        <w:t xml:space="preserve"> investment returns </w:t>
      </w:r>
      <w:r w:rsidR="00EE372A">
        <w:rPr>
          <w:rFonts w:ascii="Calibri" w:hAnsi="Calibri" w:cs="Calibri"/>
          <w:sz w:val="20"/>
          <w:szCs w:val="20"/>
          <w:lang w:val="en-IE"/>
        </w:rPr>
        <w:t xml:space="preserve">of </w:t>
      </w:r>
      <w:r w:rsidR="00EE372A" w:rsidRPr="0047113A">
        <w:rPr>
          <w:rFonts w:ascii="Calibri" w:hAnsi="Calibri" w:cs="Calibri"/>
          <w:sz w:val="20"/>
          <w:szCs w:val="20"/>
          <w:lang w:val="en-IE"/>
        </w:rPr>
        <w:t>€19</w:t>
      </w:r>
      <w:r w:rsidR="00EE372A">
        <w:rPr>
          <w:rFonts w:ascii="Calibri" w:hAnsi="Calibri" w:cs="Calibri"/>
          <w:sz w:val="20"/>
          <w:szCs w:val="20"/>
          <w:lang w:val="en-IE"/>
        </w:rPr>
        <w:t>.1m</w:t>
      </w:r>
      <w:r w:rsidR="00DD3B7B">
        <w:rPr>
          <w:rFonts w:ascii="Calibri" w:hAnsi="Calibri" w:cs="Calibri"/>
          <w:sz w:val="20"/>
          <w:szCs w:val="20"/>
          <w:lang w:val="en-IE"/>
        </w:rPr>
        <w:t xml:space="preserve"> (2022: -€10.8m)</w:t>
      </w:r>
      <w:r w:rsidR="00EE372A">
        <w:rPr>
          <w:rFonts w:ascii="Calibri" w:hAnsi="Calibri" w:cs="Calibri"/>
          <w:sz w:val="20"/>
          <w:szCs w:val="20"/>
          <w:lang w:val="en-IE"/>
        </w:rPr>
        <w:t xml:space="preserve">. </w:t>
      </w:r>
    </w:p>
    <w:p w14:paraId="5DEE22D4" w14:textId="77777777" w:rsidR="00E20EBC" w:rsidRDefault="00E20EBC" w:rsidP="00915B6D">
      <w:pPr>
        <w:pStyle w:val="NoSpacing"/>
        <w:jc w:val="both"/>
        <w:rPr>
          <w:rFonts w:ascii="Calibri" w:hAnsi="Calibri" w:cs="Calibri"/>
          <w:sz w:val="20"/>
          <w:szCs w:val="20"/>
          <w:lang w:val="en-IE"/>
        </w:rPr>
      </w:pPr>
    </w:p>
    <w:p w14:paraId="4BFE986F" w14:textId="7F493493" w:rsidR="004F692A" w:rsidRDefault="004F692A" w:rsidP="00915B6D">
      <w:pPr>
        <w:pStyle w:val="NoSpacing"/>
        <w:jc w:val="both"/>
        <w:rPr>
          <w:rFonts w:ascii="Calibri" w:hAnsi="Calibri" w:cs="Calibri"/>
          <w:sz w:val="20"/>
          <w:szCs w:val="20"/>
          <w:lang w:val="en-IE"/>
        </w:rPr>
      </w:pPr>
      <w:r w:rsidRPr="001D5038">
        <w:rPr>
          <w:rFonts w:ascii="Calibri" w:hAnsi="Calibri" w:cs="Calibri"/>
          <w:sz w:val="20"/>
          <w:szCs w:val="20"/>
          <w:lang w:val="en-IE"/>
        </w:rPr>
        <w:t xml:space="preserve">IFRS 17 is effective for insurance contract reporting since 1 January 2023 and all </w:t>
      </w:r>
      <w:r>
        <w:rPr>
          <w:rFonts w:ascii="Calibri" w:hAnsi="Calibri" w:cs="Calibri"/>
          <w:sz w:val="20"/>
          <w:szCs w:val="20"/>
          <w:lang w:val="en-IE"/>
        </w:rPr>
        <w:t xml:space="preserve">2022 </w:t>
      </w:r>
      <w:r w:rsidRPr="001D5038">
        <w:rPr>
          <w:rFonts w:ascii="Calibri" w:hAnsi="Calibri" w:cs="Calibri"/>
          <w:sz w:val="20"/>
          <w:szCs w:val="20"/>
          <w:lang w:val="en-IE"/>
        </w:rPr>
        <w:t xml:space="preserve">comparatives </w:t>
      </w:r>
      <w:r>
        <w:rPr>
          <w:rFonts w:ascii="Calibri" w:hAnsi="Calibri" w:cs="Calibri"/>
          <w:sz w:val="20"/>
          <w:szCs w:val="20"/>
          <w:lang w:val="en-IE"/>
        </w:rPr>
        <w:t>are</w:t>
      </w:r>
      <w:r w:rsidRPr="001D5038">
        <w:rPr>
          <w:rFonts w:ascii="Calibri" w:hAnsi="Calibri" w:cs="Calibri"/>
          <w:sz w:val="20"/>
          <w:szCs w:val="20"/>
          <w:lang w:val="en-IE"/>
        </w:rPr>
        <w:t xml:space="preserve"> restated, unless otherwise specified. IFRS 9 has also been adopted.</w:t>
      </w:r>
    </w:p>
    <w:p w14:paraId="41B2A65A" w14:textId="77777777" w:rsidR="00751251" w:rsidRPr="001D5AED" w:rsidRDefault="00751251" w:rsidP="0010312A">
      <w:pPr>
        <w:pStyle w:val="NoSpacing"/>
        <w:jc w:val="both"/>
        <w:rPr>
          <w:rFonts w:cstheme="minorHAnsi"/>
          <w:b/>
          <w:lang w:val="en-IE"/>
        </w:rPr>
      </w:pPr>
    </w:p>
    <w:p w14:paraId="5EFA3C61" w14:textId="77777777" w:rsidR="00955A1C" w:rsidRDefault="00955A1C" w:rsidP="00725965">
      <w:pPr>
        <w:pStyle w:val="NoSpacing"/>
        <w:jc w:val="both"/>
        <w:rPr>
          <w:rFonts w:ascii="Calibri" w:hAnsi="Calibri" w:cs="Calibri"/>
          <w:b/>
          <w:sz w:val="20"/>
          <w:szCs w:val="20"/>
          <w:lang w:val="en-IE"/>
        </w:rPr>
      </w:pPr>
    </w:p>
    <w:p w14:paraId="7A56AE2D" w14:textId="2A1411C3" w:rsidR="00725965" w:rsidRPr="00465E1A" w:rsidRDefault="00725965" w:rsidP="00725965">
      <w:pPr>
        <w:pStyle w:val="NoSpacing"/>
        <w:jc w:val="both"/>
        <w:rPr>
          <w:rFonts w:ascii="Calibri" w:hAnsi="Calibri" w:cs="Calibri"/>
          <w:b/>
          <w:sz w:val="20"/>
          <w:szCs w:val="20"/>
          <w:lang w:val="en-IE"/>
        </w:rPr>
      </w:pPr>
      <w:r w:rsidRPr="00EC78A7">
        <w:rPr>
          <w:rFonts w:ascii="Calibri" w:hAnsi="Calibri" w:cs="Calibri"/>
          <w:b/>
          <w:sz w:val="20"/>
          <w:szCs w:val="20"/>
          <w:lang w:val="en-IE"/>
        </w:rPr>
        <w:t>INSURANCE SERVICE RESULT</w:t>
      </w:r>
    </w:p>
    <w:p w14:paraId="72D42EDC" w14:textId="77777777" w:rsidR="00955A1C" w:rsidRDefault="00955A1C" w:rsidP="00725965">
      <w:pPr>
        <w:pStyle w:val="NoSpacing"/>
        <w:tabs>
          <w:tab w:val="left" w:pos="2544"/>
        </w:tabs>
        <w:jc w:val="both"/>
        <w:rPr>
          <w:rFonts w:ascii="Calibri" w:hAnsi="Calibri" w:cs="Calibri"/>
          <w:b/>
          <w:sz w:val="20"/>
          <w:szCs w:val="20"/>
          <w:lang w:val="en-IE"/>
        </w:rPr>
      </w:pPr>
    </w:p>
    <w:p w14:paraId="6A64FB4B" w14:textId="7AC1AB43" w:rsidR="00725965" w:rsidRPr="00465E1A" w:rsidRDefault="00725965" w:rsidP="00725965">
      <w:pPr>
        <w:pStyle w:val="NoSpacing"/>
        <w:tabs>
          <w:tab w:val="left" w:pos="2544"/>
        </w:tabs>
        <w:jc w:val="both"/>
        <w:rPr>
          <w:rFonts w:ascii="Calibri" w:hAnsi="Calibri" w:cs="Calibri"/>
          <w:b/>
          <w:sz w:val="20"/>
          <w:szCs w:val="20"/>
          <w:lang w:val="en-IE"/>
        </w:rPr>
      </w:pPr>
      <w:r w:rsidRPr="00465E1A">
        <w:rPr>
          <w:rFonts w:ascii="Calibri" w:hAnsi="Calibri" w:cs="Calibri"/>
          <w:b/>
          <w:sz w:val="20"/>
          <w:szCs w:val="20"/>
          <w:lang w:val="en-IE"/>
        </w:rPr>
        <w:tab/>
      </w:r>
    </w:p>
    <w:p w14:paraId="3F094B55" w14:textId="77777777" w:rsidR="00725965" w:rsidRPr="00465E1A" w:rsidRDefault="00725965" w:rsidP="00725965">
      <w:pPr>
        <w:pStyle w:val="NoSpacing"/>
        <w:jc w:val="both"/>
        <w:rPr>
          <w:rFonts w:ascii="Calibri" w:hAnsi="Calibri" w:cs="Calibri"/>
          <w:b/>
          <w:sz w:val="20"/>
          <w:szCs w:val="20"/>
          <w:u w:val="single"/>
          <w:lang w:val="en-IE"/>
        </w:rPr>
      </w:pPr>
      <w:r w:rsidRPr="00465E1A">
        <w:rPr>
          <w:rFonts w:ascii="Calibri" w:hAnsi="Calibri" w:cs="Calibri"/>
          <w:b/>
          <w:sz w:val="20"/>
          <w:szCs w:val="20"/>
          <w:u w:val="single"/>
          <w:lang w:val="en-IE"/>
        </w:rPr>
        <w:t>Insurance Revenue</w:t>
      </w:r>
    </w:p>
    <w:p w14:paraId="629BC29C" w14:textId="2056990C" w:rsidR="00725965" w:rsidRDefault="00725965" w:rsidP="00725965">
      <w:pPr>
        <w:pStyle w:val="NoSpacing"/>
        <w:jc w:val="both"/>
        <w:rPr>
          <w:rFonts w:ascii="Calibri" w:hAnsi="Calibri" w:cs="Calibri"/>
          <w:sz w:val="20"/>
          <w:szCs w:val="20"/>
          <w:lang w:val="en-IE"/>
        </w:rPr>
      </w:pPr>
      <w:r w:rsidRPr="00465E1A">
        <w:rPr>
          <w:rFonts w:ascii="Calibri" w:hAnsi="Calibri" w:cs="Calibri"/>
          <w:sz w:val="20"/>
          <w:szCs w:val="20"/>
          <w:lang w:val="en-IE"/>
        </w:rPr>
        <w:t xml:space="preserve">Insurance </w:t>
      </w:r>
      <w:r>
        <w:rPr>
          <w:rFonts w:ascii="Calibri" w:hAnsi="Calibri" w:cs="Calibri"/>
          <w:sz w:val="20"/>
          <w:szCs w:val="20"/>
          <w:lang w:val="en-IE"/>
        </w:rPr>
        <w:t>r</w:t>
      </w:r>
      <w:r w:rsidRPr="00465E1A">
        <w:rPr>
          <w:rFonts w:ascii="Calibri" w:hAnsi="Calibri" w:cs="Calibri"/>
          <w:sz w:val="20"/>
          <w:szCs w:val="20"/>
          <w:lang w:val="en-IE"/>
        </w:rPr>
        <w:t xml:space="preserve">evenue </w:t>
      </w:r>
      <w:r>
        <w:rPr>
          <w:rFonts w:ascii="Calibri" w:hAnsi="Calibri" w:cs="Calibri"/>
          <w:sz w:val="20"/>
          <w:szCs w:val="20"/>
          <w:lang w:val="en-IE"/>
        </w:rPr>
        <w:t xml:space="preserve">is 5.6% higher at €401.0m (2022: €379.7m). </w:t>
      </w:r>
      <w:r w:rsidRPr="00465E1A">
        <w:rPr>
          <w:rFonts w:ascii="Calibri" w:hAnsi="Calibri" w:cs="Calibri"/>
          <w:sz w:val="20"/>
          <w:szCs w:val="20"/>
          <w:lang w:val="en-IE"/>
        </w:rPr>
        <w:t>Gross written</w:t>
      </w:r>
      <w:r>
        <w:rPr>
          <w:rFonts w:ascii="Calibri" w:hAnsi="Calibri" w:cs="Calibri"/>
          <w:sz w:val="20"/>
          <w:szCs w:val="20"/>
          <w:lang w:val="en-IE"/>
        </w:rPr>
        <w:t xml:space="preserve"> premium</w:t>
      </w:r>
      <w:r w:rsidRPr="00465E1A">
        <w:rPr>
          <w:rFonts w:ascii="Calibri" w:hAnsi="Calibri" w:cs="Calibri"/>
          <w:sz w:val="20"/>
          <w:szCs w:val="20"/>
          <w:lang w:val="en-IE"/>
        </w:rPr>
        <w:t xml:space="preserve"> is the largest part of Insurance </w:t>
      </w:r>
      <w:r>
        <w:rPr>
          <w:rFonts w:ascii="Calibri" w:hAnsi="Calibri" w:cs="Calibri"/>
          <w:sz w:val="20"/>
          <w:szCs w:val="20"/>
          <w:lang w:val="en-IE"/>
        </w:rPr>
        <w:t>r</w:t>
      </w:r>
      <w:r w:rsidRPr="00465E1A">
        <w:rPr>
          <w:rFonts w:ascii="Calibri" w:hAnsi="Calibri" w:cs="Calibri"/>
          <w:sz w:val="20"/>
          <w:szCs w:val="20"/>
          <w:lang w:val="en-IE"/>
        </w:rPr>
        <w:t xml:space="preserve">evenue and is </w:t>
      </w:r>
      <w:r>
        <w:rPr>
          <w:rFonts w:ascii="Calibri" w:hAnsi="Calibri" w:cs="Calibri"/>
          <w:sz w:val="20"/>
          <w:szCs w:val="20"/>
          <w:lang w:val="en-IE"/>
        </w:rPr>
        <w:t>8.1</w:t>
      </w:r>
      <w:r w:rsidRPr="00465E1A">
        <w:rPr>
          <w:rFonts w:ascii="Calibri" w:hAnsi="Calibri" w:cs="Calibri"/>
          <w:sz w:val="20"/>
          <w:szCs w:val="20"/>
          <w:lang w:val="en-IE"/>
        </w:rPr>
        <w:t>% higher than 2022 at €</w:t>
      </w:r>
      <w:r>
        <w:rPr>
          <w:rFonts w:ascii="Calibri" w:hAnsi="Calibri" w:cs="Calibri"/>
          <w:sz w:val="20"/>
          <w:szCs w:val="20"/>
          <w:lang w:val="en-IE"/>
        </w:rPr>
        <w:t>413.6</w:t>
      </w:r>
      <w:r w:rsidRPr="00465E1A">
        <w:rPr>
          <w:rFonts w:ascii="Calibri" w:hAnsi="Calibri" w:cs="Calibri"/>
          <w:sz w:val="20"/>
          <w:szCs w:val="20"/>
          <w:lang w:val="en-IE"/>
        </w:rPr>
        <w:t>m (2022: €</w:t>
      </w:r>
      <w:r>
        <w:rPr>
          <w:rFonts w:ascii="Calibri" w:hAnsi="Calibri" w:cs="Calibri"/>
          <w:sz w:val="20"/>
          <w:szCs w:val="20"/>
          <w:lang w:val="en-IE"/>
        </w:rPr>
        <w:t>382.7</w:t>
      </w:r>
      <w:r w:rsidRPr="00465E1A">
        <w:rPr>
          <w:rFonts w:ascii="Calibri" w:hAnsi="Calibri" w:cs="Calibri"/>
          <w:sz w:val="20"/>
          <w:szCs w:val="20"/>
          <w:lang w:val="en-IE"/>
        </w:rPr>
        <w:t>m</w:t>
      </w:r>
      <w:r w:rsidRPr="008848A0">
        <w:rPr>
          <w:rFonts w:ascii="Calibri" w:hAnsi="Calibri" w:cs="Calibri"/>
          <w:sz w:val="20"/>
          <w:szCs w:val="20"/>
          <w:lang w:val="en-IE"/>
        </w:rPr>
        <w:t xml:space="preserve">) </w:t>
      </w:r>
      <w:r w:rsidR="00A90B7F">
        <w:rPr>
          <w:rFonts w:ascii="Calibri" w:hAnsi="Calibri" w:cs="Calibri"/>
          <w:sz w:val="20"/>
          <w:szCs w:val="20"/>
          <w:lang w:val="en-IE"/>
        </w:rPr>
        <w:t xml:space="preserve">primarily delivered from our Farmer and Business </w:t>
      </w:r>
      <w:r w:rsidR="005012DF">
        <w:rPr>
          <w:rFonts w:ascii="Calibri" w:hAnsi="Calibri" w:cs="Calibri"/>
          <w:sz w:val="20"/>
          <w:szCs w:val="20"/>
          <w:lang w:val="en-IE"/>
        </w:rPr>
        <w:t>c</w:t>
      </w:r>
      <w:r w:rsidR="00A90B7F">
        <w:rPr>
          <w:rFonts w:ascii="Calibri" w:hAnsi="Calibri" w:cs="Calibri"/>
          <w:sz w:val="20"/>
          <w:szCs w:val="20"/>
          <w:lang w:val="en-IE"/>
        </w:rPr>
        <w:t>ustomer</w:t>
      </w:r>
      <w:r w:rsidR="005012DF">
        <w:rPr>
          <w:rFonts w:ascii="Calibri" w:hAnsi="Calibri" w:cs="Calibri"/>
          <w:sz w:val="20"/>
          <w:szCs w:val="20"/>
          <w:lang w:val="en-IE"/>
        </w:rPr>
        <w:t>s</w:t>
      </w:r>
      <w:r w:rsidR="00A90B7F">
        <w:rPr>
          <w:rFonts w:ascii="Calibri" w:hAnsi="Calibri" w:cs="Calibri"/>
          <w:sz w:val="20"/>
          <w:szCs w:val="20"/>
          <w:lang w:val="en-IE"/>
        </w:rPr>
        <w:t xml:space="preserve">, </w:t>
      </w:r>
      <w:r w:rsidRPr="008848A0">
        <w:rPr>
          <w:rFonts w:ascii="Calibri" w:hAnsi="Calibri" w:cs="Calibri"/>
          <w:sz w:val="20"/>
          <w:szCs w:val="20"/>
          <w:lang w:val="en-IE"/>
        </w:rPr>
        <w:t xml:space="preserve">with strong </w:t>
      </w:r>
      <w:r w:rsidR="00A90B7F">
        <w:rPr>
          <w:rFonts w:ascii="Calibri" w:hAnsi="Calibri" w:cs="Calibri"/>
          <w:sz w:val="20"/>
          <w:szCs w:val="20"/>
          <w:lang w:val="en-IE"/>
        </w:rPr>
        <w:t>growth</w:t>
      </w:r>
      <w:r w:rsidR="00A90B7F" w:rsidRPr="008848A0">
        <w:rPr>
          <w:rFonts w:ascii="Calibri" w:hAnsi="Calibri" w:cs="Calibri"/>
          <w:sz w:val="20"/>
          <w:szCs w:val="20"/>
          <w:lang w:val="en-IE"/>
        </w:rPr>
        <w:t xml:space="preserve"> </w:t>
      </w:r>
      <w:r w:rsidRPr="008848A0">
        <w:rPr>
          <w:rFonts w:ascii="Calibri" w:hAnsi="Calibri" w:cs="Calibri"/>
          <w:sz w:val="20"/>
          <w:szCs w:val="20"/>
          <w:lang w:val="en-IE"/>
        </w:rPr>
        <w:t xml:space="preserve">in </w:t>
      </w:r>
      <w:r w:rsidR="0098761E" w:rsidRPr="008848A0">
        <w:rPr>
          <w:rFonts w:ascii="Calibri" w:hAnsi="Calibri" w:cs="Calibri"/>
          <w:sz w:val="20"/>
          <w:szCs w:val="20"/>
          <w:lang w:val="en-IE"/>
        </w:rPr>
        <w:t>Agri</w:t>
      </w:r>
      <w:r w:rsidR="0098761E">
        <w:rPr>
          <w:rFonts w:ascii="Calibri" w:hAnsi="Calibri" w:cs="Calibri"/>
          <w:sz w:val="20"/>
          <w:szCs w:val="20"/>
          <w:lang w:val="en-IE"/>
        </w:rPr>
        <w:t xml:space="preserve"> including Tractor,</w:t>
      </w:r>
      <w:r w:rsidR="0098761E" w:rsidRPr="008848A0">
        <w:rPr>
          <w:rFonts w:ascii="Calibri" w:hAnsi="Calibri" w:cs="Calibri"/>
          <w:sz w:val="20"/>
          <w:szCs w:val="20"/>
          <w:lang w:val="en-IE"/>
        </w:rPr>
        <w:t xml:space="preserve"> Commercial Business</w:t>
      </w:r>
      <w:r w:rsidR="0098761E">
        <w:rPr>
          <w:rFonts w:ascii="Calibri" w:hAnsi="Calibri" w:cs="Calibri"/>
          <w:sz w:val="20"/>
          <w:szCs w:val="20"/>
          <w:lang w:val="en-IE"/>
        </w:rPr>
        <w:t xml:space="preserve"> and</w:t>
      </w:r>
      <w:r w:rsidR="0098761E" w:rsidRPr="008848A0">
        <w:rPr>
          <w:rFonts w:ascii="Calibri" w:hAnsi="Calibri" w:cs="Calibri"/>
          <w:sz w:val="20"/>
          <w:szCs w:val="20"/>
          <w:lang w:val="en-IE"/>
        </w:rPr>
        <w:t xml:space="preserve"> </w:t>
      </w:r>
      <w:r w:rsidRPr="008848A0">
        <w:rPr>
          <w:rFonts w:ascii="Calibri" w:hAnsi="Calibri" w:cs="Calibri"/>
          <w:sz w:val="20"/>
          <w:szCs w:val="20"/>
          <w:lang w:val="en-IE"/>
        </w:rPr>
        <w:t>Home</w:t>
      </w:r>
      <w:r w:rsidR="0098761E">
        <w:rPr>
          <w:rFonts w:ascii="Calibri" w:hAnsi="Calibri" w:cs="Calibri"/>
          <w:sz w:val="20"/>
          <w:szCs w:val="20"/>
          <w:lang w:val="en-IE"/>
        </w:rPr>
        <w:t xml:space="preserve"> products</w:t>
      </w:r>
      <w:r w:rsidRPr="008848A0">
        <w:rPr>
          <w:rFonts w:ascii="Calibri" w:hAnsi="Calibri" w:cs="Calibri"/>
          <w:sz w:val="20"/>
          <w:szCs w:val="20"/>
          <w:lang w:val="en-IE"/>
        </w:rPr>
        <w:t>. Written policy count increased by 2.6</w:t>
      </w:r>
      <w:r w:rsidR="00A90B7F">
        <w:rPr>
          <w:rFonts w:ascii="Calibri" w:hAnsi="Calibri" w:cs="Calibri"/>
          <w:sz w:val="20"/>
          <w:szCs w:val="20"/>
          <w:lang w:val="en-IE"/>
        </w:rPr>
        <w:t>%</w:t>
      </w:r>
      <w:r w:rsidR="00C60224">
        <w:rPr>
          <w:rFonts w:ascii="Calibri" w:hAnsi="Calibri" w:cs="Calibri"/>
          <w:sz w:val="20"/>
          <w:szCs w:val="20"/>
          <w:lang w:val="en-IE"/>
        </w:rPr>
        <w:t xml:space="preserve"> (2022: 2.8%)</w:t>
      </w:r>
      <w:r w:rsidR="00A90B7F">
        <w:rPr>
          <w:rFonts w:ascii="Calibri" w:hAnsi="Calibri" w:cs="Calibri"/>
          <w:sz w:val="20"/>
          <w:szCs w:val="20"/>
          <w:lang w:val="en-IE"/>
        </w:rPr>
        <w:t xml:space="preserve"> supported by a strong </w:t>
      </w:r>
      <w:r w:rsidRPr="00465E1A">
        <w:rPr>
          <w:rFonts w:ascii="Calibri" w:hAnsi="Calibri" w:cs="Calibri"/>
          <w:sz w:val="20"/>
          <w:szCs w:val="20"/>
          <w:lang w:val="en-IE"/>
        </w:rPr>
        <w:t>retention rate</w:t>
      </w:r>
      <w:r w:rsidR="00A90B7F">
        <w:rPr>
          <w:rFonts w:ascii="Calibri" w:hAnsi="Calibri" w:cs="Calibri"/>
          <w:sz w:val="20"/>
          <w:szCs w:val="20"/>
          <w:lang w:val="en-IE"/>
        </w:rPr>
        <w:t>,</w:t>
      </w:r>
      <w:r w:rsidRPr="00465E1A">
        <w:rPr>
          <w:rFonts w:ascii="Calibri" w:hAnsi="Calibri" w:cs="Calibri"/>
          <w:sz w:val="20"/>
          <w:szCs w:val="20"/>
          <w:lang w:val="en-IE"/>
        </w:rPr>
        <w:t xml:space="preserve"> </w:t>
      </w:r>
      <w:r w:rsidR="00084529">
        <w:rPr>
          <w:rFonts w:ascii="Calibri" w:hAnsi="Calibri" w:cs="Calibri"/>
          <w:sz w:val="20"/>
          <w:szCs w:val="20"/>
          <w:lang w:val="en-IE"/>
        </w:rPr>
        <w:t>particularly in Farm and Business products</w:t>
      </w:r>
      <w:r w:rsidRPr="00465E1A">
        <w:rPr>
          <w:rFonts w:ascii="Calibri" w:hAnsi="Calibri" w:cs="Calibri"/>
          <w:sz w:val="20"/>
          <w:szCs w:val="20"/>
          <w:lang w:val="en-IE"/>
        </w:rPr>
        <w:t xml:space="preserve">. </w:t>
      </w:r>
    </w:p>
    <w:p w14:paraId="0C85C67F" w14:textId="77777777" w:rsidR="00725965" w:rsidRPr="00E32F3C" w:rsidRDefault="00725965" w:rsidP="00725965">
      <w:pPr>
        <w:pStyle w:val="NoSpacing"/>
        <w:jc w:val="both"/>
        <w:rPr>
          <w:rFonts w:ascii="Calibri" w:hAnsi="Calibri" w:cs="Calibri"/>
          <w:sz w:val="20"/>
          <w:szCs w:val="20"/>
          <w:lang w:val="en-IE"/>
        </w:rPr>
      </w:pPr>
    </w:p>
    <w:p w14:paraId="0AD207F7" w14:textId="3D5EEDCB" w:rsidR="00D36DD2" w:rsidRDefault="00814B50" w:rsidP="00725965">
      <w:pPr>
        <w:pStyle w:val="NoSpacing"/>
        <w:jc w:val="both"/>
        <w:rPr>
          <w:rFonts w:ascii="Calibri" w:hAnsi="Calibri" w:cs="Calibri"/>
          <w:sz w:val="20"/>
          <w:szCs w:val="20"/>
          <w:lang w:val="en-IE"/>
        </w:rPr>
      </w:pPr>
      <w:bookmarkStart w:id="3" w:name="_Hlk160053102"/>
      <w:bookmarkStart w:id="4" w:name="_Hlk156742917"/>
      <w:r>
        <w:rPr>
          <w:rFonts w:cstheme="minorHAnsi"/>
          <w:sz w:val="20"/>
          <w:szCs w:val="20"/>
          <w:lang w:val="en-IE"/>
        </w:rPr>
        <w:t>Increased levels of policy coverage account for 4.5</w:t>
      </w:r>
      <w:r w:rsidR="00D46567">
        <w:rPr>
          <w:rFonts w:cstheme="minorHAnsi"/>
          <w:sz w:val="20"/>
          <w:szCs w:val="20"/>
          <w:lang w:val="en-IE"/>
        </w:rPr>
        <w:t xml:space="preserve"> percentage points</w:t>
      </w:r>
      <w:r>
        <w:rPr>
          <w:rFonts w:cstheme="minorHAnsi"/>
          <w:sz w:val="20"/>
          <w:szCs w:val="20"/>
          <w:lang w:val="en-IE"/>
        </w:rPr>
        <w:t xml:space="preserve"> of the 5.4% increase in a</w:t>
      </w:r>
      <w:r w:rsidRPr="00144DF8">
        <w:rPr>
          <w:rFonts w:cstheme="minorHAnsi"/>
          <w:sz w:val="20"/>
          <w:szCs w:val="20"/>
          <w:lang w:val="en-IE"/>
        </w:rPr>
        <w:t>verage premium</w:t>
      </w:r>
      <w:r w:rsidR="00A90B7F">
        <w:rPr>
          <w:rFonts w:ascii="Calibri" w:hAnsi="Calibri" w:cs="Calibri"/>
          <w:sz w:val="20"/>
          <w:szCs w:val="20"/>
          <w:lang w:val="en-IE"/>
        </w:rPr>
        <w:t xml:space="preserve">, driven primarily from property lines, </w:t>
      </w:r>
      <w:r w:rsidR="005375CA" w:rsidRPr="00E32F3C">
        <w:rPr>
          <w:rFonts w:ascii="Calibri" w:hAnsi="Calibri" w:cs="Calibri"/>
          <w:sz w:val="20"/>
          <w:szCs w:val="20"/>
          <w:lang w:val="en-IE"/>
        </w:rPr>
        <w:t xml:space="preserve">as rebuild costs and consequently sums insured have increased in response to inflation in </w:t>
      </w:r>
      <w:r w:rsidR="00617E6A" w:rsidRPr="00E32F3C">
        <w:rPr>
          <w:rFonts w:ascii="Calibri" w:hAnsi="Calibri" w:cs="Calibri"/>
          <w:sz w:val="20"/>
          <w:szCs w:val="20"/>
          <w:lang w:val="en-IE"/>
        </w:rPr>
        <w:t xml:space="preserve">construction and other operational costs in the </w:t>
      </w:r>
      <w:r w:rsidR="00725965" w:rsidRPr="00E32F3C">
        <w:rPr>
          <w:rFonts w:ascii="Calibri" w:hAnsi="Calibri" w:cs="Calibri"/>
          <w:sz w:val="20"/>
          <w:szCs w:val="20"/>
          <w:lang w:val="en-IE"/>
        </w:rPr>
        <w:t>economic environment.</w:t>
      </w:r>
      <w:r w:rsidR="00A718EF" w:rsidRPr="00A718EF">
        <w:rPr>
          <w:rFonts w:ascii="Calibri" w:hAnsi="Calibri" w:cs="Calibri"/>
          <w:sz w:val="20"/>
          <w:szCs w:val="20"/>
          <w:lang w:val="en-IE"/>
        </w:rPr>
        <w:t xml:space="preserve"> </w:t>
      </w:r>
      <w:bookmarkEnd w:id="3"/>
      <w:r w:rsidR="00A718EF" w:rsidRPr="00814B50">
        <w:rPr>
          <w:rFonts w:ascii="Calibri" w:hAnsi="Calibri" w:cs="Calibri"/>
          <w:sz w:val="20"/>
          <w:szCs w:val="20"/>
          <w:lang w:val="en-IE"/>
        </w:rPr>
        <w:t>Farm</w:t>
      </w:r>
      <w:r w:rsidR="00A718EF" w:rsidRPr="00E32F3C">
        <w:rPr>
          <w:rFonts w:ascii="Calibri" w:hAnsi="Calibri" w:cs="Calibri"/>
          <w:sz w:val="20"/>
          <w:szCs w:val="20"/>
          <w:lang w:val="en-IE"/>
        </w:rPr>
        <w:t xml:space="preserve"> </w:t>
      </w:r>
      <w:r>
        <w:rPr>
          <w:rFonts w:ascii="Calibri" w:hAnsi="Calibri" w:cs="Calibri"/>
          <w:sz w:val="20"/>
          <w:szCs w:val="20"/>
          <w:lang w:val="en-IE"/>
        </w:rPr>
        <w:t xml:space="preserve">multi-peril </w:t>
      </w:r>
      <w:r w:rsidR="00A718EF" w:rsidRPr="00E32F3C">
        <w:rPr>
          <w:rFonts w:ascii="Calibri" w:hAnsi="Calibri" w:cs="Calibri"/>
          <w:sz w:val="20"/>
          <w:szCs w:val="20"/>
          <w:lang w:val="en-IE"/>
        </w:rPr>
        <w:t>average premium increased by 5.6%</w:t>
      </w:r>
      <w:r w:rsidR="00A718EF">
        <w:rPr>
          <w:rFonts w:ascii="Calibri" w:hAnsi="Calibri" w:cs="Calibri"/>
          <w:sz w:val="20"/>
          <w:szCs w:val="20"/>
          <w:lang w:val="en-IE"/>
        </w:rPr>
        <w:t xml:space="preserve"> and </w:t>
      </w:r>
      <w:proofErr w:type="gramStart"/>
      <w:r w:rsidR="00A718EF">
        <w:rPr>
          <w:rFonts w:ascii="Calibri" w:hAnsi="Calibri" w:cs="Calibri"/>
          <w:sz w:val="20"/>
          <w:szCs w:val="20"/>
          <w:lang w:val="en-IE"/>
        </w:rPr>
        <w:t>Home</w:t>
      </w:r>
      <w:proofErr w:type="gramEnd"/>
      <w:r w:rsidR="00A718EF">
        <w:rPr>
          <w:rFonts w:ascii="Calibri" w:hAnsi="Calibri" w:cs="Calibri"/>
          <w:sz w:val="20"/>
          <w:szCs w:val="20"/>
          <w:lang w:val="en-IE"/>
        </w:rPr>
        <w:t xml:space="preserve"> average premium increased by 1</w:t>
      </w:r>
      <w:r>
        <w:rPr>
          <w:rFonts w:ascii="Calibri" w:hAnsi="Calibri" w:cs="Calibri"/>
          <w:sz w:val="20"/>
          <w:szCs w:val="20"/>
          <w:lang w:val="en-IE"/>
        </w:rPr>
        <w:t>0</w:t>
      </w:r>
      <w:r w:rsidR="007D0D6F">
        <w:rPr>
          <w:rFonts w:ascii="Calibri" w:hAnsi="Calibri" w:cs="Calibri"/>
          <w:sz w:val="20"/>
          <w:szCs w:val="20"/>
          <w:lang w:val="en-IE"/>
        </w:rPr>
        <w:t>.</w:t>
      </w:r>
      <w:r>
        <w:rPr>
          <w:rFonts w:ascii="Calibri" w:hAnsi="Calibri" w:cs="Calibri"/>
          <w:sz w:val="20"/>
          <w:szCs w:val="20"/>
          <w:lang w:val="en-IE"/>
        </w:rPr>
        <w:t>8</w:t>
      </w:r>
      <w:r w:rsidR="00A718EF">
        <w:rPr>
          <w:rFonts w:ascii="Calibri" w:hAnsi="Calibri" w:cs="Calibri"/>
          <w:sz w:val="20"/>
          <w:szCs w:val="20"/>
          <w:lang w:val="en-IE"/>
        </w:rPr>
        <w:t>%</w:t>
      </w:r>
      <w:r w:rsidR="00A718EF" w:rsidRPr="00E32F3C">
        <w:rPr>
          <w:rFonts w:ascii="Calibri" w:hAnsi="Calibri" w:cs="Calibri"/>
          <w:sz w:val="20"/>
          <w:szCs w:val="20"/>
          <w:lang w:val="en-IE"/>
        </w:rPr>
        <w:t xml:space="preserve"> as a result of increases in property elements as sums insured increased due to inflation in construction costs.</w:t>
      </w:r>
    </w:p>
    <w:p w14:paraId="031CB83A" w14:textId="0B8F12D4" w:rsidR="00725965" w:rsidRPr="00E32F3C" w:rsidRDefault="00725965" w:rsidP="00725965">
      <w:pPr>
        <w:pStyle w:val="NoSpacing"/>
        <w:jc w:val="both"/>
        <w:rPr>
          <w:rFonts w:ascii="Calibri" w:hAnsi="Calibri" w:cs="Calibri"/>
          <w:sz w:val="20"/>
          <w:szCs w:val="20"/>
          <w:lang w:val="en-IE"/>
        </w:rPr>
      </w:pPr>
      <w:r w:rsidRPr="00E32F3C">
        <w:rPr>
          <w:rFonts w:ascii="Calibri" w:hAnsi="Calibri" w:cs="Calibri"/>
          <w:sz w:val="20"/>
          <w:szCs w:val="20"/>
          <w:lang w:val="en-IE"/>
        </w:rPr>
        <w:t xml:space="preserve">Commercial Business average premium increased </w:t>
      </w:r>
      <w:r w:rsidR="005A164A">
        <w:rPr>
          <w:rFonts w:ascii="Calibri" w:hAnsi="Calibri" w:cs="Calibri"/>
          <w:sz w:val="20"/>
          <w:szCs w:val="20"/>
          <w:lang w:val="en-IE"/>
        </w:rPr>
        <w:t xml:space="preserve">by </w:t>
      </w:r>
      <w:r w:rsidRPr="00E32F3C">
        <w:rPr>
          <w:rFonts w:ascii="Calibri" w:hAnsi="Calibri" w:cs="Calibri"/>
          <w:sz w:val="20"/>
          <w:szCs w:val="20"/>
          <w:lang w:val="en-IE"/>
        </w:rPr>
        <w:t>5.</w:t>
      </w:r>
      <w:r w:rsidR="00746C70" w:rsidRPr="00E32F3C">
        <w:rPr>
          <w:rFonts w:ascii="Calibri" w:hAnsi="Calibri" w:cs="Calibri"/>
          <w:sz w:val="20"/>
          <w:szCs w:val="20"/>
          <w:lang w:val="en-IE"/>
        </w:rPr>
        <w:t>3</w:t>
      </w:r>
      <w:r w:rsidRPr="00E32F3C">
        <w:rPr>
          <w:rFonts w:ascii="Calibri" w:hAnsi="Calibri" w:cs="Calibri"/>
          <w:sz w:val="20"/>
          <w:szCs w:val="20"/>
          <w:lang w:val="en-IE"/>
        </w:rPr>
        <w:t>% driven by a combination of sums insured increasing due to inflation in construction costs and customers increasing liability cover</w:t>
      </w:r>
      <w:r w:rsidR="00A718EF">
        <w:rPr>
          <w:rFonts w:ascii="Calibri" w:hAnsi="Calibri" w:cs="Calibri"/>
          <w:sz w:val="20"/>
          <w:szCs w:val="20"/>
          <w:lang w:val="en-IE"/>
        </w:rPr>
        <w:t xml:space="preserve"> levels</w:t>
      </w:r>
      <w:r w:rsidRPr="00E32F3C">
        <w:rPr>
          <w:rFonts w:ascii="Calibri" w:hAnsi="Calibri" w:cs="Calibri"/>
          <w:sz w:val="20"/>
          <w:szCs w:val="20"/>
          <w:lang w:val="en-IE"/>
        </w:rPr>
        <w:t xml:space="preserve">. </w:t>
      </w:r>
      <w:r w:rsidR="00A718EF" w:rsidRPr="00E32F3C">
        <w:rPr>
          <w:rFonts w:ascii="Calibri" w:hAnsi="Calibri" w:cs="Calibri"/>
          <w:sz w:val="20"/>
          <w:szCs w:val="20"/>
          <w:lang w:val="en-IE"/>
        </w:rPr>
        <w:t>Private Motor average premium increased by 2.9% and Commercial Motor increased by 3.</w:t>
      </w:r>
      <w:r w:rsidR="00814B50">
        <w:rPr>
          <w:rFonts w:ascii="Calibri" w:hAnsi="Calibri" w:cs="Calibri"/>
          <w:sz w:val="20"/>
          <w:szCs w:val="20"/>
          <w:lang w:val="en-IE"/>
        </w:rPr>
        <w:t>6</w:t>
      </w:r>
      <w:r w:rsidR="00A718EF" w:rsidRPr="00E32F3C">
        <w:rPr>
          <w:rFonts w:ascii="Calibri" w:hAnsi="Calibri" w:cs="Calibri"/>
          <w:sz w:val="20"/>
          <w:szCs w:val="20"/>
          <w:lang w:val="en-IE"/>
        </w:rPr>
        <w:t xml:space="preserve">%, with rate increases applied to offset the increased cost of Motor </w:t>
      </w:r>
      <w:r w:rsidR="00A718EF">
        <w:rPr>
          <w:rFonts w:ascii="Calibri" w:hAnsi="Calibri" w:cs="Calibri"/>
          <w:sz w:val="20"/>
          <w:szCs w:val="20"/>
          <w:lang w:val="en-IE"/>
        </w:rPr>
        <w:t>D</w:t>
      </w:r>
      <w:r w:rsidR="00A718EF" w:rsidRPr="00E32F3C">
        <w:rPr>
          <w:rFonts w:ascii="Calibri" w:hAnsi="Calibri" w:cs="Calibri"/>
          <w:sz w:val="20"/>
          <w:szCs w:val="20"/>
          <w:lang w:val="en-IE"/>
        </w:rPr>
        <w:t>amage claims stemming from inflation in labour, parts and paint costs and the higher costs associated with repair and replacement of advanced technology on newer vehicles.</w:t>
      </w:r>
      <w:r w:rsidR="00A718EF">
        <w:rPr>
          <w:rFonts w:ascii="Calibri" w:hAnsi="Calibri" w:cs="Calibri"/>
          <w:sz w:val="20"/>
          <w:szCs w:val="20"/>
          <w:lang w:val="en-IE"/>
        </w:rPr>
        <w:t xml:space="preserve"> </w:t>
      </w:r>
      <w:r w:rsidRPr="00E32F3C">
        <w:rPr>
          <w:rFonts w:ascii="Calibri" w:hAnsi="Calibri" w:cs="Calibri"/>
          <w:sz w:val="20"/>
          <w:szCs w:val="20"/>
          <w:lang w:val="en-IE"/>
        </w:rPr>
        <w:t xml:space="preserve">Average Tractor premium increased by </w:t>
      </w:r>
      <w:r w:rsidR="00825415" w:rsidRPr="00E32F3C">
        <w:rPr>
          <w:rFonts w:ascii="Calibri" w:hAnsi="Calibri" w:cs="Calibri"/>
          <w:sz w:val="20"/>
          <w:szCs w:val="20"/>
          <w:lang w:val="en-IE"/>
        </w:rPr>
        <w:t>9.1</w:t>
      </w:r>
      <w:r w:rsidRPr="00E32F3C">
        <w:rPr>
          <w:rFonts w:ascii="Calibri" w:hAnsi="Calibri" w:cs="Calibri"/>
          <w:sz w:val="20"/>
          <w:szCs w:val="20"/>
          <w:lang w:val="en-IE"/>
        </w:rPr>
        <w:t xml:space="preserve">% due to a higher proportion of newer tractors, increasing value of existing tractors and </w:t>
      </w:r>
      <w:r w:rsidR="005375CA" w:rsidRPr="00E32F3C">
        <w:rPr>
          <w:rFonts w:ascii="Calibri" w:hAnsi="Calibri" w:cs="Calibri"/>
          <w:sz w:val="20"/>
          <w:szCs w:val="20"/>
          <w:lang w:val="en-IE"/>
        </w:rPr>
        <w:t xml:space="preserve">modest rate increases to offset </w:t>
      </w:r>
      <w:r w:rsidRPr="00E32F3C">
        <w:rPr>
          <w:rFonts w:ascii="Calibri" w:hAnsi="Calibri" w:cs="Calibri"/>
          <w:sz w:val="20"/>
          <w:szCs w:val="20"/>
          <w:lang w:val="en-IE"/>
        </w:rPr>
        <w:t xml:space="preserve">inflation in the cost of Motor Damage claims. </w:t>
      </w:r>
    </w:p>
    <w:p w14:paraId="49DE4BC1" w14:textId="77777777" w:rsidR="006162B7" w:rsidRPr="00E32F3C" w:rsidRDefault="006162B7" w:rsidP="006162B7">
      <w:pPr>
        <w:jc w:val="both"/>
        <w:rPr>
          <w:rFonts w:ascii="Calibri" w:eastAsiaTheme="minorHAnsi" w:hAnsi="Calibri" w:cs="Calibri"/>
          <w:lang w:val="en-IE"/>
        </w:rPr>
      </w:pPr>
    </w:p>
    <w:p w14:paraId="66EEEC22" w14:textId="1E6CAAB9" w:rsidR="006162B7" w:rsidRPr="00465E1A" w:rsidRDefault="006162B7" w:rsidP="006162B7">
      <w:pPr>
        <w:jc w:val="both"/>
        <w:rPr>
          <w:rFonts w:ascii="Calibri" w:eastAsiaTheme="minorHAnsi" w:hAnsi="Calibri" w:cs="Calibri"/>
          <w:b/>
          <w:u w:val="single"/>
          <w:lang w:val="en-IE"/>
        </w:rPr>
      </w:pPr>
      <w:r w:rsidRPr="00465E1A">
        <w:rPr>
          <w:rFonts w:ascii="Calibri" w:eastAsiaTheme="minorHAnsi" w:hAnsi="Calibri" w:cs="Calibri"/>
          <w:b/>
          <w:u w:val="single"/>
          <w:lang w:val="en-IE"/>
        </w:rPr>
        <w:t>Insurance Service Expenses</w:t>
      </w:r>
    </w:p>
    <w:p w14:paraId="76E5B801" w14:textId="24D3DE6B" w:rsidR="006162B7" w:rsidRDefault="006162B7" w:rsidP="006162B7">
      <w:pPr>
        <w:jc w:val="both"/>
        <w:rPr>
          <w:rFonts w:ascii="Calibri" w:eastAsiaTheme="minorHAnsi" w:hAnsi="Calibri" w:cs="Calibri"/>
          <w:lang w:val="en-IE"/>
        </w:rPr>
      </w:pPr>
      <w:r w:rsidRPr="00084529">
        <w:rPr>
          <w:rFonts w:ascii="Calibri" w:eastAsiaTheme="minorHAnsi" w:hAnsi="Calibri" w:cs="Calibri"/>
          <w:lang w:val="en-IE"/>
        </w:rPr>
        <w:t xml:space="preserve">Insurance service expenses (ISE) </w:t>
      </w:r>
      <w:r w:rsidR="0031727E" w:rsidRPr="00084529">
        <w:rPr>
          <w:rFonts w:ascii="Calibri" w:eastAsiaTheme="minorHAnsi" w:hAnsi="Calibri" w:cs="Calibri"/>
          <w:lang w:val="en-IE"/>
        </w:rPr>
        <w:t>increased</w:t>
      </w:r>
      <w:r w:rsidRPr="00084529">
        <w:rPr>
          <w:rFonts w:ascii="Calibri" w:eastAsiaTheme="minorHAnsi" w:hAnsi="Calibri" w:cs="Calibri"/>
          <w:lang w:val="en-IE"/>
        </w:rPr>
        <w:t xml:space="preserve"> by €</w:t>
      </w:r>
      <w:r w:rsidR="0031727E" w:rsidRPr="00084529">
        <w:rPr>
          <w:rFonts w:ascii="Calibri" w:eastAsiaTheme="minorHAnsi" w:hAnsi="Calibri" w:cs="Calibri"/>
          <w:lang w:val="en-IE"/>
        </w:rPr>
        <w:t>8.</w:t>
      </w:r>
      <w:r w:rsidR="00004047">
        <w:rPr>
          <w:rFonts w:ascii="Calibri" w:eastAsiaTheme="minorHAnsi" w:hAnsi="Calibri" w:cs="Calibri"/>
          <w:lang w:val="en-IE"/>
        </w:rPr>
        <w:t>3</w:t>
      </w:r>
      <w:r w:rsidRPr="00084529">
        <w:rPr>
          <w:rFonts w:ascii="Calibri" w:eastAsiaTheme="minorHAnsi" w:hAnsi="Calibri" w:cs="Calibri"/>
          <w:lang w:val="en-IE"/>
        </w:rPr>
        <w:t>m to €</w:t>
      </w:r>
      <w:r w:rsidR="0031727E" w:rsidRPr="00084529">
        <w:rPr>
          <w:rFonts w:ascii="Calibri" w:eastAsiaTheme="minorHAnsi" w:hAnsi="Calibri" w:cs="Calibri"/>
          <w:lang w:val="en-IE"/>
        </w:rPr>
        <w:t>210.1</w:t>
      </w:r>
      <w:r w:rsidRPr="00084529">
        <w:rPr>
          <w:rFonts w:ascii="Calibri" w:eastAsiaTheme="minorHAnsi" w:hAnsi="Calibri" w:cs="Calibri"/>
          <w:lang w:val="en-IE"/>
        </w:rPr>
        <w:t>m (2022: €</w:t>
      </w:r>
      <w:r w:rsidR="0031727E" w:rsidRPr="00084529">
        <w:rPr>
          <w:rFonts w:ascii="Calibri" w:eastAsiaTheme="minorHAnsi" w:hAnsi="Calibri" w:cs="Calibri"/>
          <w:lang w:val="en-IE"/>
        </w:rPr>
        <w:t>201.8</w:t>
      </w:r>
      <w:r w:rsidRPr="00084529">
        <w:rPr>
          <w:rFonts w:ascii="Calibri" w:eastAsiaTheme="minorHAnsi" w:hAnsi="Calibri" w:cs="Calibri"/>
          <w:lang w:val="en-IE"/>
        </w:rPr>
        <w:t>m). The table below splits the ISE</w:t>
      </w:r>
      <w:r w:rsidRPr="00FC2BCE">
        <w:rPr>
          <w:rFonts w:ascii="Calibri" w:eastAsiaTheme="minorHAnsi" w:hAnsi="Calibri" w:cs="Calibri"/>
          <w:lang w:val="en-IE"/>
        </w:rPr>
        <w:t xml:space="preserve"> into Gross incurred claims, Changes that relate to past service and Insurance acquisition expenses</w:t>
      </w:r>
      <w:r w:rsidRPr="00EB1431">
        <w:rPr>
          <w:rFonts w:ascii="Calibri" w:eastAsiaTheme="minorHAnsi" w:hAnsi="Calibri" w:cs="Calibri"/>
          <w:lang w:val="en-IE"/>
        </w:rPr>
        <w:t>. The Gross incurred claims increase of €</w:t>
      </w:r>
      <w:r w:rsidR="0031727E" w:rsidRPr="00EB1431">
        <w:rPr>
          <w:rFonts w:ascii="Calibri" w:eastAsiaTheme="minorHAnsi" w:hAnsi="Calibri" w:cs="Calibri"/>
          <w:lang w:val="en-IE"/>
        </w:rPr>
        <w:t>1</w:t>
      </w:r>
      <w:r w:rsidRPr="00EB1431">
        <w:rPr>
          <w:rFonts w:ascii="Calibri" w:eastAsiaTheme="minorHAnsi" w:hAnsi="Calibri" w:cs="Calibri"/>
          <w:lang w:val="en-IE"/>
        </w:rPr>
        <w:t>4.</w:t>
      </w:r>
      <w:r w:rsidR="0031727E" w:rsidRPr="00EB1431">
        <w:rPr>
          <w:rFonts w:ascii="Calibri" w:eastAsiaTheme="minorHAnsi" w:hAnsi="Calibri" w:cs="Calibri"/>
          <w:lang w:val="en-IE"/>
        </w:rPr>
        <w:t>3</w:t>
      </w:r>
      <w:r w:rsidRPr="00EB1431">
        <w:rPr>
          <w:rFonts w:ascii="Calibri" w:eastAsiaTheme="minorHAnsi" w:hAnsi="Calibri" w:cs="Calibri"/>
          <w:lang w:val="en-IE"/>
        </w:rPr>
        <w:t xml:space="preserve">m reflects increasing costs due to </w:t>
      </w:r>
      <w:r w:rsidR="00942B1B" w:rsidRPr="00EB1431">
        <w:rPr>
          <w:rFonts w:ascii="Calibri" w:eastAsiaTheme="minorHAnsi" w:hAnsi="Calibri" w:cs="Calibri"/>
          <w:lang w:val="en-IE"/>
        </w:rPr>
        <w:t>inflation, increased</w:t>
      </w:r>
      <w:r w:rsidRPr="00EB1431">
        <w:rPr>
          <w:rFonts w:ascii="Calibri" w:eastAsiaTheme="minorHAnsi" w:hAnsi="Calibri" w:cs="Calibri"/>
          <w:lang w:val="en-IE"/>
        </w:rPr>
        <w:t xml:space="preserve"> frequency in Property and Motor Damage</w:t>
      </w:r>
      <w:r w:rsidR="002222AE">
        <w:rPr>
          <w:rFonts w:ascii="Calibri" w:eastAsiaTheme="minorHAnsi" w:hAnsi="Calibri" w:cs="Calibri"/>
          <w:lang w:val="en-IE"/>
        </w:rPr>
        <w:t xml:space="preserve"> and increased policy count</w:t>
      </w:r>
      <w:r w:rsidRPr="00EB1431">
        <w:rPr>
          <w:rFonts w:ascii="Calibri" w:eastAsiaTheme="minorHAnsi" w:hAnsi="Calibri" w:cs="Calibri"/>
          <w:lang w:val="en-IE"/>
        </w:rPr>
        <w:t>. Changes that relate to past service of €</w:t>
      </w:r>
      <w:r w:rsidR="0031727E" w:rsidRPr="00EB1431">
        <w:rPr>
          <w:rFonts w:ascii="Calibri" w:eastAsiaTheme="minorHAnsi" w:hAnsi="Calibri" w:cs="Calibri"/>
          <w:lang w:val="en-IE"/>
        </w:rPr>
        <w:t>104.0</w:t>
      </w:r>
      <w:r w:rsidRPr="00EB1431">
        <w:rPr>
          <w:rFonts w:ascii="Calibri" w:eastAsiaTheme="minorHAnsi" w:hAnsi="Calibri" w:cs="Calibri"/>
          <w:lang w:val="en-IE"/>
        </w:rPr>
        <w:t xml:space="preserve">m include prior year reserve </w:t>
      </w:r>
      <w:r w:rsidR="00084529" w:rsidRPr="00EB1431">
        <w:rPr>
          <w:rFonts w:ascii="Calibri" w:eastAsiaTheme="minorHAnsi" w:hAnsi="Calibri" w:cs="Calibri"/>
          <w:lang w:val="en-IE"/>
        </w:rPr>
        <w:t>development</w:t>
      </w:r>
      <w:r w:rsidRPr="00EB1431">
        <w:rPr>
          <w:rFonts w:ascii="Calibri" w:eastAsiaTheme="minorHAnsi" w:hAnsi="Calibri" w:cs="Calibri"/>
          <w:lang w:val="en-IE"/>
        </w:rPr>
        <w:t>, gross of reinsurance, including that related to Business Interruption, as well as other IFRS 17 specific movements in the Risk Adjustment and Discounting.</w:t>
      </w:r>
      <w:r w:rsidR="003E0286">
        <w:rPr>
          <w:rFonts w:ascii="Calibri" w:eastAsiaTheme="minorHAnsi" w:hAnsi="Calibri" w:cs="Calibri"/>
          <w:lang w:val="en-IE"/>
        </w:rPr>
        <w:t xml:space="preserve"> </w:t>
      </w:r>
      <w:r w:rsidR="003E0286" w:rsidRPr="008F2A6B">
        <w:rPr>
          <w:rFonts w:ascii="Calibri" w:eastAsiaTheme="minorHAnsi" w:hAnsi="Calibri" w:cs="Calibri"/>
          <w:lang w:val="en-IE"/>
        </w:rPr>
        <w:t xml:space="preserve">The amount of </w:t>
      </w:r>
      <w:r w:rsidR="006979CE">
        <w:rPr>
          <w:rFonts w:ascii="Calibri" w:eastAsiaTheme="minorHAnsi" w:hAnsi="Calibri" w:cs="Calibri"/>
          <w:lang w:val="en-IE"/>
        </w:rPr>
        <w:t>C</w:t>
      </w:r>
      <w:r w:rsidR="003E0286" w:rsidRPr="008F2A6B">
        <w:rPr>
          <w:rFonts w:ascii="Calibri" w:eastAsiaTheme="minorHAnsi" w:hAnsi="Calibri" w:cs="Calibri"/>
          <w:lang w:val="en-IE"/>
        </w:rPr>
        <w:t>hanges to past service</w:t>
      </w:r>
      <w:r w:rsidR="003E0286" w:rsidRPr="0079657D">
        <w:rPr>
          <w:rFonts w:ascii="Calibri" w:eastAsiaTheme="minorHAnsi" w:hAnsi="Calibri" w:cs="Calibri"/>
          <w:lang w:val="en-IE"/>
        </w:rPr>
        <w:t xml:space="preserve"> that relate to prior year best estimate reserve development, net of reinsurance, is €44.4m (2022: €48.3m).</w:t>
      </w:r>
      <w:r w:rsidRPr="002010CB">
        <w:rPr>
          <w:rFonts w:ascii="Calibri" w:eastAsiaTheme="minorHAnsi" w:hAnsi="Calibri" w:cs="Calibri"/>
          <w:lang w:val="en-IE"/>
        </w:rPr>
        <w:t xml:space="preserve"> Insurance acquisition expenses of €</w:t>
      </w:r>
      <w:r w:rsidR="002010CB" w:rsidRPr="002010CB">
        <w:rPr>
          <w:rFonts w:ascii="Calibri" w:eastAsiaTheme="minorHAnsi" w:hAnsi="Calibri" w:cs="Calibri"/>
          <w:lang w:val="en-IE"/>
        </w:rPr>
        <w:t>7</w:t>
      </w:r>
      <w:r w:rsidR="00084529">
        <w:rPr>
          <w:rFonts w:ascii="Calibri" w:eastAsiaTheme="minorHAnsi" w:hAnsi="Calibri" w:cs="Calibri"/>
          <w:lang w:val="en-IE"/>
        </w:rPr>
        <w:t>5</w:t>
      </w:r>
      <w:r w:rsidR="002010CB" w:rsidRPr="002010CB">
        <w:rPr>
          <w:rFonts w:ascii="Calibri" w:eastAsiaTheme="minorHAnsi" w:hAnsi="Calibri" w:cs="Calibri"/>
          <w:lang w:val="en-IE"/>
        </w:rPr>
        <w:t>.</w:t>
      </w:r>
      <w:r w:rsidR="0031727E">
        <w:rPr>
          <w:rFonts w:ascii="Calibri" w:eastAsiaTheme="minorHAnsi" w:hAnsi="Calibri" w:cs="Calibri"/>
          <w:lang w:val="en-IE"/>
        </w:rPr>
        <w:t>9</w:t>
      </w:r>
      <w:r w:rsidRPr="002010CB">
        <w:rPr>
          <w:rFonts w:ascii="Calibri" w:eastAsiaTheme="minorHAnsi" w:hAnsi="Calibri" w:cs="Calibri"/>
          <w:lang w:val="en-IE"/>
        </w:rPr>
        <w:t xml:space="preserve">m form part of the ISE and are referenced below under Expenses. </w:t>
      </w:r>
    </w:p>
    <w:p w14:paraId="7F726E3C" w14:textId="6999C8AF" w:rsidR="00A718EF" w:rsidRPr="002010CB" w:rsidRDefault="00A718EF" w:rsidP="006162B7">
      <w:pPr>
        <w:jc w:val="both"/>
        <w:rPr>
          <w:rFonts w:ascii="Calibri" w:eastAsiaTheme="minorHAnsi" w:hAnsi="Calibri" w:cs="Calibri"/>
          <w:lang w:val="en-IE"/>
        </w:rPr>
      </w:pPr>
    </w:p>
    <w:p w14:paraId="65D0EE87" w14:textId="77777777" w:rsidR="006162B7" w:rsidRPr="006162B7" w:rsidRDefault="006162B7" w:rsidP="006162B7">
      <w:pPr>
        <w:pStyle w:val="NoSpacing"/>
        <w:jc w:val="both"/>
        <w:rPr>
          <w:rFonts w:ascii="Calibri" w:hAnsi="Calibri" w:cs="Calibri"/>
          <w:b/>
          <w:sz w:val="20"/>
          <w:szCs w:val="20"/>
          <w:highlight w:val="yellow"/>
          <w:lang w:val="en-IE"/>
        </w:rPr>
      </w:pPr>
    </w:p>
    <w:tbl>
      <w:tblPr>
        <w:tblpPr w:leftFromText="180" w:rightFromText="180" w:vertAnchor="text" w:horzAnchor="margin" w:tblpY="-11"/>
        <w:tblW w:w="3340" w:type="pct"/>
        <w:tblLook w:val="01E0" w:firstRow="1" w:lastRow="1" w:firstColumn="1" w:lastColumn="1" w:noHBand="0" w:noVBand="0"/>
      </w:tblPr>
      <w:tblGrid>
        <w:gridCol w:w="3059"/>
        <w:gridCol w:w="1485"/>
        <w:gridCol w:w="1485"/>
      </w:tblGrid>
      <w:tr w:rsidR="006162B7" w:rsidRPr="006162B7" w14:paraId="01D8C152" w14:textId="77777777" w:rsidTr="00B87E67">
        <w:trPr>
          <w:trHeight w:val="267"/>
        </w:trPr>
        <w:tc>
          <w:tcPr>
            <w:tcW w:w="2573" w:type="pct"/>
          </w:tcPr>
          <w:p w14:paraId="1B5BAE1A" w14:textId="77777777" w:rsidR="006162B7" w:rsidRPr="00FC2BCE" w:rsidRDefault="006162B7" w:rsidP="00B87E67">
            <w:pPr>
              <w:rPr>
                <w:rFonts w:ascii="Calibri" w:hAnsi="Calibri" w:cs="Calibri"/>
                <w:b/>
                <w:color w:val="000000"/>
                <w:sz w:val="18"/>
                <w:szCs w:val="18"/>
              </w:rPr>
            </w:pPr>
            <w:r w:rsidRPr="00FC2BCE">
              <w:rPr>
                <w:rFonts w:ascii="Calibri" w:hAnsi="Calibri" w:cs="Calibri"/>
                <w:b/>
                <w:color w:val="000000"/>
                <w:sz w:val="18"/>
                <w:szCs w:val="18"/>
              </w:rPr>
              <w:t>Insurance Service Expenses</w:t>
            </w:r>
          </w:p>
        </w:tc>
        <w:tc>
          <w:tcPr>
            <w:tcW w:w="1214" w:type="pct"/>
          </w:tcPr>
          <w:p w14:paraId="7528C488" w14:textId="3C4C3440" w:rsidR="002010CB" w:rsidRPr="00FC2BCE" w:rsidRDefault="006162B7" w:rsidP="00B87E67">
            <w:pPr>
              <w:jc w:val="right"/>
              <w:rPr>
                <w:rFonts w:ascii="Calibri" w:hAnsi="Calibri" w:cs="Calibri"/>
                <w:b/>
                <w:color w:val="000000"/>
                <w:sz w:val="18"/>
                <w:szCs w:val="18"/>
              </w:rPr>
            </w:pPr>
            <w:r w:rsidRPr="00FC2BCE">
              <w:rPr>
                <w:rFonts w:ascii="Calibri" w:hAnsi="Calibri" w:cs="Calibri"/>
                <w:b/>
                <w:sz w:val="18"/>
                <w:szCs w:val="18"/>
              </w:rPr>
              <w:t>Year</w:t>
            </w:r>
            <w:r w:rsidR="002010CB" w:rsidRPr="00FC2BCE">
              <w:rPr>
                <w:rFonts w:ascii="Calibri" w:hAnsi="Calibri" w:cs="Calibri"/>
                <w:b/>
                <w:sz w:val="18"/>
                <w:szCs w:val="18"/>
              </w:rPr>
              <w:t>-</w:t>
            </w:r>
            <w:r w:rsidRPr="00FC2BCE">
              <w:rPr>
                <w:rFonts w:ascii="Calibri" w:hAnsi="Calibri" w:cs="Calibri"/>
                <w:b/>
                <w:sz w:val="18"/>
                <w:szCs w:val="18"/>
              </w:rPr>
              <w:t>ended</w:t>
            </w:r>
            <w:r w:rsidRPr="00FC2BCE">
              <w:rPr>
                <w:rFonts w:ascii="Calibri" w:hAnsi="Calibri" w:cs="Calibri"/>
                <w:b/>
                <w:color w:val="000000"/>
                <w:sz w:val="18"/>
                <w:szCs w:val="18"/>
              </w:rPr>
              <w:t xml:space="preserve"> </w:t>
            </w:r>
          </w:p>
          <w:p w14:paraId="2732D4FE" w14:textId="557B4592" w:rsidR="006162B7" w:rsidRPr="00FC2BCE" w:rsidRDefault="006162B7" w:rsidP="00B87E67">
            <w:pPr>
              <w:jc w:val="right"/>
              <w:rPr>
                <w:rFonts w:ascii="Calibri" w:hAnsi="Calibri" w:cs="Calibri"/>
                <w:b/>
                <w:color w:val="000000"/>
                <w:sz w:val="18"/>
                <w:szCs w:val="18"/>
              </w:rPr>
            </w:pPr>
            <w:r w:rsidRPr="00FC2BCE">
              <w:rPr>
                <w:rFonts w:ascii="Calibri" w:hAnsi="Calibri" w:cs="Calibri"/>
                <w:b/>
                <w:color w:val="000000"/>
                <w:sz w:val="18"/>
                <w:szCs w:val="18"/>
              </w:rPr>
              <w:t>3</w:t>
            </w:r>
            <w:r w:rsidR="002010CB" w:rsidRPr="00FC2BCE">
              <w:rPr>
                <w:rFonts w:ascii="Calibri" w:hAnsi="Calibri" w:cs="Calibri"/>
                <w:b/>
                <w:color w:val="000000"/>
                <w:sz w:val="18"/>
                <w:szCs w:val="18"/>
              </w:rPr>
              <w:t>1 Dec</w:t>
            </w:r>
            <w:r w:rsidRPr="00FC2BCE">
              <w:rPr>
                <w:rFonts w:ascii="Calibri" w:hAnsi="Calibri" w:cs="Calibri"/>
                <w:b/>
                <w:color w:val="000000"/>
                <w:sz w:val="18"/>
                <w:szCs w:val="18"/>
              </w:rPr>
              <w:t xml:space="preserve"> 2023</w:t>
            </w:r>
          </w:p>
        </w:tc>
        <w:tc>
          <w:tcPr>
            <w:tcW w:w="1214" w:type="pct"/>
          </w:tcPr>
          <w:p w14:paraId="5C693214" w14:textId="77777777" w:rsidR="002010CB" w:rsidRPr="00FC2BCE" w:rsidRDefault="002010CB" w:rsidP="002010CB">
            <w:pPr>
              <w:jc w:val="right"/>
              <w:rPr>
                <w:rFonts w:ascii="Calibri" w:hAnsi="Calibri" w:cs="Calibri"/>
                <w:b/>
                <w:color w:val="000000"/>
                <w:sz w:val="18"/>
                <w:szCs w:val="18"/>
              </w:rPr>
            </w:pPr>
            <w:r w:rsidRPr="00FC2BCE">
              <w:rPr>
                <w:rFonts w:ascii="Calibri" w:hAnsi="Calibri" w:cs="Calibri"/>
                <w:b/>
                <w:sz w:val="18"/>
                <w:szCs w:val="18"/>
              </w:rPr>
              <w:t>Year-ended</w:t>
            </w:r>
            <w:r w:rsidRPr="00FC2BCE">
              <w:rPr>
                <w:rFonts w:ascii="Calibri" w:hAnsi="Calibri" w:cs="Calibri"/>
                <w:b/>
                <w:color w:val="000000"/>
                <w:sz w:val="18"/>
                <w:szCs w:val="18"/>
              </w:rPr>
              <w:t xml:space="preserve"> </w:t>
            </w:r>
          </w:p>
          <w:p w14:paraId="6421DAEE" w14:textId="54D3E680" w:rsidR="006162B7" w:rsidRPr="00FC2BCE" w:rsidRDefault="002010CB" w:rsidP="002010CB">
            <w:pPr>
              <w:jc w:val="right"/>
              <w:rPr>
                <w:rFonts w:ascii="Calibri" w:hAnsi="Calibri" w:cs="Calibri"/>
                <w:b/>
                <w:color w:val="000000"/>
                <w:sz w:val="18"/>
                <w:szCs w:val="18"/>
              </w:rPr>
            </w:pPr>
            <w:r w:rsidRPr="00FC2BCE">
              <w:rPr>
                <w:rFonts w:ascii="Calibri" w:hAnsi="Calibri" w:cs="Calibri"/>
                <w:b/>
                <w:color w:val="000000"/>
                <w:sz w:val="18"/>
                <w:szCs w:val="18"/>
              </w:rPr>
              <w:t>31 Dec 2022</w:t>
            </w:r>
          </w:p>
        </w:tc>
      </w:tr>
      <w:tr w:rsidR="006162B7" w:rsidRPr="006162B7" w14:paraId="4D8B21F8" w14:textId="77777777" w:rsidTr="00B87E67">
        <w:trPr>
          <w:trHeight w:val="267"/>
        </w:trPr>
        <w:tc>
          <w:tcPr>
            <w:tcW w:w="2573" w:type="pct"/>
          </w:tcPr>
          <w:p w14:paraId="737D06A1" w14:textId="77777777" w:rsidR="006162B7" w:rsidRPr="00FC2BCE" w:rsidRDefault="006162B7" w:rsidP="00B87E67">
            <w:pPr>
              <w:ind w:left="567"/>
              <w:rPr>
                <w:rFonts w:ascii="Calibri" w:hAnsi="Calibri" w:cs="Calibri"/>
                <w:b/>
                <w:color w:val="000000"/>
                <w:sz w:val="18"/>
                <w:szCs w:val="18"/>
              </w:rPr>
            </w:pPr>
          </w:p>
        </w:tc>
        <w:tc>
          <w:tcPr>
            <w:tcW w:w="1214" w:type="pct"/>
          </w:tcPr>
          <w:p w14:paraId="1E745643" w14:textId="77777777" w:rsidR="006162B7" w:rsidRPr="00FC2BCE" w:rsidRDefault="006162B7" w:rsidP="00B87E67">
            <w:pPr>
              <w:ind w:left="567"/>
              <w:jc w:val="right"/>
              <w:rPr>
                <w:rFonts w:ascii="Calibri" w:hAnsi="Calibri" w:cs="Calibri"/>
                <w:b/>
                <w:color w:val="000000"/>
                <w:sz w:val="18"/>
                <w:szCs w:val="18"/>
              </w:rPr>
            </w:pPr>
            <w:r w:rsidRPr="00FC2BCE">
              <w:rPr>
                <w:rFonts w:ascii="Calibri" w:hAnsi="Calibri" w:cs="Calibri"/>
                <w:b/>
                <w:color w:val="000000"/>
                <w:sz w:val="18"/>
                <w:szCs w:val="18"/>
              </w:rPr>
              <w:t>€000</w:t>
            </w:r>
          </w:p>
        </w:tc>
        <w:tc>
          <w:tcPr>
            <w:tcW w:w="1214" w:type="pct"/>
          </w:tcPr>
          <w:p w14:paraId="701E17FC" w14:textId="77777777" w:rsidR="006162B7" w:rsidRPr="00FC2BCE" w:rsidRDefault="006162B7" w:rsidP="00B87E67">
            <w:pPr>
              <w:ind w:left="567"/>
              <w:jc w:val="right"/>
              <w:rPr>
                <w:rFonts w:ascii="Calibri" w:hAnsi="Calibri" w:cs="Calibri"/>
                <w:b/>
                <w:color w:val="000000"/>
                <w:sz w:val="18"/>
                <w:szCs w:val="18"/>
              </w:rPr>
            </w:pPr>
            <w:r w:rsidRPr="00FC2BCE">
              <w:rPr>
                <w:rFonts w:ascii="Calibri" w:hAnsi="Calibri" w:cs="Calibri"/>
                <w:b/>
                <w:color w:val="000000"/>
                <w:sz w:val="18"/>
                <w:szCs w:val="18"/>
              </w:rPr>
              <w:t>€000</w:t>
            </w:r>
          </w:p>
        </w:tc>
      </w:tr>
      <w:tr w:rsidR="006162B7" w:rsidRPr="006162B7" w14:paraId="43EA3676" w14:textId="77777777" w:rsidTr="00B87E67">
        <w:trPr>
          <w:trHeight w:val="267"/>
        </w:trPr>
        <w:tc>
          <w:tcPr>
            <w:tcW w:w="2573" w:type="pct"/>
          </w:tcPr>
          <w:p w14:paraId="6DA31802" w14:textId="77777777" w:rsidR="006162B7" w:rsidRPr="00FC2BCE" w:rsidRDefault="006162B7" w:rsidP="00B87E67">
            <w:pPr>
              <w:rPr>
                <w:rFonts w:ascii="Calibri" w:hAnsi="Calibri" w:cs="Calibri"/>
                <w:color w:val="000000"/>
                <w:sz w:val="18"/>
                <w:szCs w:val="18"/>
              </w:rPr>
            </w:pPr>
            <w:r w:rsidRPr="00FC2BCE">
              <w:rPr>
                <w:rFonts w:ascii="Calibri" w:hAnsi="Calibri" w:cs="Calibri"/>
                <w:color w:val="000000"/>
                <w:sz w:val="18"/>
                <w:szCs w:val="18"/>
              </w:rPr>
              <w:t>Gross incurred claims</w:t>
            </w:r>
          </w:p>
        </w:tc>
        <w:tc>
          <w:tcPr>
            <w:tcW w:w="1214" w:type="pct"/>
          </w:tcPr>
          <w:p w14:paraId="24DCFAAA" w14:textId="14231EC3" w:rsidR="006162B7" w:rsidRPr="00BE6073" w:rsidRDefault="006162B7" w:rsidP="00B87E67">
            <w:pPr>
              <w:ind w:left="567"/>
              <w:jc w:val="right"/>
              <w:rPr>
                <w:rFonts w:ascii="Calibri" w:hAnsi="Calibri" w:cs="Calibri"/>
                <w:color w:val="000000"/>
                <w:sz w:val="18"/>
                <w:szCs w:val="18"/>
              </w:rPr>
            </w:pPr>
            <w:r w:rsidRPr="00BE6073">
              <w:rPr>
                <w:rFonts w:ascii="Calibri" w:hAnsi="Calibri" w:cs="Calibri"/>
                <w:sz w:val="18"/>
                <w:szCs w:val="18"/>
              </w:rPr>
              <w:t>(</w:t>
            </w:r>
            <w:r w:rsidR="0031727E" w:rsidRPr="00BE6073">
              <w:rPr>
                <w:rFonts w:ascii="Calibri" w:hAnsi="Calibri" w:cs="Calibri"/>
                <w:sz w:val="18"/>
                <w:szCs w:val="18"/>
              </w:rPr>
              <w:t>238,133</w:t>
            </w:r>
            <w:r w:rsidRPr="00BE6073">
              <w:rPr>
                <w:rFonts w:ascii="Calibri" w:hAnsi="Calibri" w:cs="Calibri"/>
                <w:sz w:val="18"/>
                <w:szCs w:val="18"/>
              </w:rPr>
              <w:t>)</w:t>
            </w:r>
          </w:p>
        </w:tc>
        <w:tc>
          <w:tcPr>
            <w:tcW w:w="1214" w:type="pct"/>
          </w:tcPr>
          <w:p w14:paraId="4C892200" w14:textId="26B539B7" w:rsidR="006162B7" w:rsidRPr="00FC2BCE" w:rsidRDefault="006162B7" w:rsidP="00B87E67">
            <w:pPr>
              <w:ind w:left="567"/>
              <w:jc w:val="right"/>
              <w:rPr>
                <w:rFonts w:ascii="Calibri" w:hAnsi="Calibri" w:cs="Calibri"/>
                <w:color w:val="000000"/>
                <w:sz w:val="18"/>
                <w:szCs w:val="18"/>
              </w:rPr>
            </w:pPr>
            <w:r w:rsidRPr="00FC2BCE">
              <w:rPr>
                <w:rFonts w:ascii="Calibri" w:hAnsi="Calibri" w:cs="Calibri"/>
                <w:sz w:val="18"/>
                <w:szCs w:val="18"/>
              </w:rPr>
              <w:t>(</w:t>
            </w:r>
            <w:r w:rsidR="00FC2BCE" w:rsidRPr="00FC2BCE">
              <w:rPr>
                <w:rFonts w:ascii="Calibri" w:hAnsi="Calibri" w:cs="Calibri"/>
                <w:sz w:val="18"/>
                <w:szCs w:val="18"/>
              </w:rPr>
              <w:t>223,807</w:t>
            </w:r>
            <w:r w:rsidRPr="00FC2BCE">
              <w:rPr>
                <w:rFonts w:ascii="Calibri" w:hAnsi="Calibri" w:cs="Calibri"/>
                <w:sz w:val="18"/>
                <w:szCs w:val="18"/>
              </w:rPr>
              <w:t>)</w:t>
            </w:r>
          </w:p>
        </w:tc>
      </w:tr>
      <w:tr w:rsidR="006162B7" w:rsidRPr="006162B7" w14:paraId="43C19424" w14:textId="77777777" w:rsidTr="00B87E67">
        <w:trPr>
          <w:trHeight w:val="252"/>
        </w:trPr>
        <w:tc>
          <w:tcPr>
            <w:tcW w:w="2573" w:type="pct"/>
          </w:tcPr>
          <w:p w14:paraId="0B382C41" w14:textId="77777777" w:rsidR="006162B7" w:rsidRPr="00FC2BCE" w:rsidRDefault="006162B7" w:rsidP="00B87E67">
            <w:pPr>
              <w:rPr>
                <w:rFonts w:ascii="Calibri" w:hAnsi="Calibri" w:cs="Calibri"/>
                <w:color w:val="000000"/>
                <w:sz w:val="18"/>
                <w:szCs w:val="18"/>
              </w:rPr>
            </w:pPr>
            <w:r w:rsidRPr="00FC2BCE">
              <w:rPr>
                <w:rFonts w:ascii="Calibri" w:hAnsi="Calibri" w:cs="Calibri"/>
                <w:color w:val="000000"/>
                <w:sz w:val="18"/>
                <w:szCs w:val="18"/>
              </w:rPr>
              <w:t xml:space="preserve">Changes that relate to past service </w:t>
            </w:r>
          </w:p>
        </w:tc>
        <w:tc>
          <w:tcPr>
            <w:tcW w:w="1214" w:type="pct"/>
          </w:tcPr>
          <w:p w14:paraId="050675DC" w14:textId="7454B7BE" w:rsidR="006162B7" w:rsidRPr="00BE6073" w:rsidRDefault="0031727E" w:rsidP="00B87E67">
            <w:pPr>
              <w:ind w:left="567"/>
              <w:jc w:val="right"/>
              <w:rPr>
                <w:rFonts w:ascii="Calibri" w:hAnsi="Calibri" w:cs="Calibri"/>
                <w:color w:val="000000"/>
                <w:sz w:val="18"/>
                <w:szCs w:val="18"/>
              </w:rPr>
            </w:pPr>
            <w:r w:rsidRPr="00BE6073">
              <w:rPr>
                <w:rFonts w:ascii="Calibri" w:hAnsi="Calibri" w:cs="Calibri"/>
                <w:color w:val="000000"/>
                <w:sz w:val="18"/>
                <w:szCs w:val="18"/>
              </w:rPr>
              <w:t>103,990</w:t>
            </w:r>
          </w:p>
        </w:tc>
        <w:tc>
          <w:tcPr>
            <w:tcW w:w="1214" w:type="pct"/>
          </w:tcPr>
          <w:p w14:paraId="63E42DE5" w14:textId="078DE79D" w:rsidR="006162B7" w:rsidRPr="00FC2BCE" w:rsidRDefault="00FC2BCE" w:rsidP="00B87E67">
            <w:pPr>
              <w:ind w:left="567"/>
              <w:jc w:val="right"/>
              <w:rPr>
                <w:rFonts w:ascii="Calibri" w:hAnsi="Calibri" w:cs="Calibri"/>
                <w:color w:val="000000"/>
                <w:sz w:val="18"/>
                <w:szCs w:val="18"/>
              </w:rPr>
            </w:pPr>
            <w:r w:rsidRPr="00FC2BCE">
              <w:rPr>
                <w:rFonts w:ascii="Calibri" w:hAnsi="Calibri" w:cs="Calibri"/>
                <w:sz w:val="18"/>
                <w:szCs w:val="18"/>
              </w:rPr>
              <w:t>92,564</w:t>
            </w:r>
          </w:p>
        </w:tc>
      </w:tr>
      <w:tr w:rsidR="006162B7" w:rsidRPr="006162B7" w14:paraId="23853191" w14:textId="77777777" w:rsidTr="00B87E67">
        <w:trPr>
          <w:trHeight w:val="267"/>
        </w:trPr>
        <w:tc>
          <w:tcPr>
            <w:tcW w:w="2573" w:type="pct"/>
          </w:tcPr>
          <w:p w14:paraId="745CFCC5" w14:textId="77777777" w:rsidR="006162B7" w:rsidRPr="00FC2BCE" w:rsidRDefault="006162B7" w:rsidP="00B87E67">
            <w:pPr>
              <w:rPr>
                <w:rFonts w:ascii="Calibri" w:hAnsi="Calibri" w:cs="Calibri"/>
                <w:color w:val="000000"/>
                <w:sz w:val="18"/>
                <w:szCs w:val="18"/>
              </w:rPr>
            </w:pPr>
            <w:r w:rsidRPr="00FC2BCE">
              <w:rPr>
                <w:rFonts w:ascii="Calibri" w:hAnsi="Calibri" w:cs="Calibri"/>
                <w:color w:val="000000"/>
                <w:sz w:val="18"/>
                <w:szCs w:val="18"/>
              </w:rPr>
              <w:t>Insurance acquisition expenses</w:t>
            </w:r>
          </w:p>
        </w:tc>
        <w:tc>
          <w:tcPr>
            <w:tcW w:w="1214" w:type="pct"/>
          </w:tcPr>
          <w:p w14:paraId="2E5A0DA6" w14:textId="0AE332EA" w:rsidR="006162B7" w:rsidRPr="00BE6073" w:rsidRDefault="006162B7" w:rsidP="00B87E67">
            <w:pPr>
              <w:ind w:left="567"/>
              <w:jc w:val="right"/>
              <w:rPr>
                <w:rFonts w:ascii="Calibri" w:hAnsi="Calibri" w:cs="Calibri"/>
                <w:color w:val="000000"/>
                <w:sz w:val="18"/>
                <w:szCs w:val="18"/>
              </w:rPr>
            </w:pPr>
            <w:r w:rsidRPr="00BE6073">
              <w:rPr>
                <w:rFonts w:ascii="Calibri" w:hAnsi="Calibri" w:cs="Calibri"/>
                <w:sz w:val="18"/>
                <w:szCs w:val="18"/>
              </w:rPr>
              <w:t>(</w:t>
            </w:r>
            <w:r w:rsidR="002010CB" w:rsidRPr="00BE6073">
              <w:rPr>
                <w:rFonts w:ascii="Calibri" w:hAnsi="Calibri" w:cs="Calibri"/>
                <w:sz w:val="18"/>
                <w:szCs w:val="18"/>
              </w:rPr>
              <w:t>75,909</w:t>
            </w:r>
            <w:r w:rsidRPr="00BE6073">
              <w:rPr>
                <w:rFonts w:ascii="Calibri" w:hAnsi="Calibri" w:cs="Calibri"/>
                <w:sz w:val="18"/>
                <w:szCs w:val="18"/>
              </w:rPr>
              <w:t>)</w:t>
            </w:r>
          </w:p>
        </w:tc>
        <w:tc>
          <w:tcPr>
            <w:tcW w:w="1214" w:type="pct"/>
          </w:tcPr>
          <w:p w14:paraId="4FCA6B5A" w14:textId="1EB24D53" w:rsidR="006162B7" w:rsidRPr="00FC2BCE" w:rsidRDefault="006162B7" w:rsidP="00B87E67">
            <w:pPr>
              <w:ind w:left="567"/>
              <w:jc w:val="right"/>
              <w:rPr>
                <w:rFonts w:ascii="Calibri" w:hAnsi="Calibri" w:cs="Calibri"/>
                <w:color w:val="000000"/>
                <w:sz w:val="18"/>
                <w:szCs w:val="18"/>
              </w:rPr>
            </w:pPr>
            <w:r w:rsidRPr="00FC2BCE">
              <w:rPr>
                <w:rFonts w:ascii="Calibri" w:hAnsi="Calibri" w:cs="Calibri"/>
                <w:sz w:val="18"/>
                <w:szCs w:val="18"/>
              </w:rPr>
              <w:t>(</w:t>
            </w:r>
            <w:r w:rsidR="00FC2BCE" w:rsidRPr="00FC2BCE">
              <w:rPr>
                <w:rFonts w:ascii="Calibri" w:hAnsi="Calibri" w:cs="Calibri"/>
                <w:sz w:val="18"/>
                <w:szCs w:val="18"/>
              </w:rPr>
              <w:t>70,595</w:t>
            </w:r>
            <w:r w:rsidRPr="00FC2BCE">
              <w:rPr>
                <w:rFonts w:ascii="Calibri" w:hAnsi="Calibri" w:cs="Calibri"/>
                <w:sz w:val="18"/>
                <w:szCs w:val="18"/>
              </w:rPr>
              <w:t>)</w:t>
            </w:r>
          </w:p>
        </w:tc>
      </w:tr>
      <w:tr w:rsidR="006162B7" w:rsidRPr="006162B7" w14:paraId="26F28BFE" w14:textId="77777777" w:rsidTr="00B87E67">
        <w:trPr>
          <w:trHeight w:val="142"/>
        </w:trPr>
        <w:tc>
          <w:tcPr>
            <w:tcW w:w="2573" w:type="pct"/>
          </w:tcPr>
          <w:p w14:paraId="47CB414C" w14:textId="77777777" w:rsidR="006162B7" w:rsidRPr="00FC2BCE" w:rsidRDefault="006162B7" w:rsidP="00B87E67">
            <w:pPr>
              <w:rPr>
                <w:rFonts w:ascii="Calibri" w:hAnsi="Calibri" w:cs="Calibri"/>
                <w:b/>
                <w:color w:val="000000"/>
                <w:sz w:val="18"/>
                <w:szCs w:val="18"/>
              </w:rPr>
            </w:pPr>
            <w:r w:rsidRPr="00FC2BCE">
              <w:rPr>
                <w:rFonts w:ascii="Calibri" w:hAnsi="Calibri" w:cs="Calibri"/>
                <w:b/>
                <w:color w:val="000000"/>
                <w:sz w:val="18"/>
                <w:szCs w:val="18"/>
              </w:rPr>
              <w:t>Total Insurance service expenses</w:t>
            </w:r>
          </w:p>
        </w:tc>
        <w:tc>
          <w:tcPr>
            <w:tcW w:w="1214" w:type="pct"/>
            <w:tcBorders>
              <w:top w:val="single" w:sz="4" w:space="0" w:color="auto"/>
              <w:bottom w:val="single" w:sz="12" w:space="0" w:color="auto"/>
            </w:tcBorders>
          </w:tcPr>
          <w:p w14:paraId="5B94CE3C" w14:textId="783DDB85" w:rsidR="006162B7" w:rsidRPr="00BE6073" w:rsidRDefault="006162B7" w:rsidP="00B87E67">
            <w:pPr>
              <w:ind w:left="567"/>
              <w:jc w:val="right"/>
              <w:rPr>
                <w:rFonts w:ascii="Calibri" w:hAnsi="Calibri" w:cs="Calibri"/>
                <w:color w:val="000000"/>
                <w:sz w:val="18"/>
                <w:szCs w:val="18"/>
              </w:rPr>
            </w:pPr>
            <w:r w:rsidRPr="00BE6073">
              <w:rPr>
                <w:rFonts w:ascii="Calibri" w:hAnsi="Calibri" w:cs="Calibri"/>
                <w:sz w:val="18"/>
                <w:szCs w:val="18"/>
              </w:rPr>
              <w:t>(</w:t>
            </w:r>
            <w:r w:rsidR="0031727E" w:rsidRPr="00BE6073">
              <w:rPr>
                <w:rFonts w:ascii="Calibri" w:hAnsi="Calibri" w:cs="Calibri"/>
                <w:sz w:val="18"/>
                <w:szCs w:val="18"/>
              </w:rPr>
              <w:t>210,052</w:t>
            </w:r>
            <w:r w:rsidRPr="00BE6073">
              <w:rPr>
                <w:rFonts w:ascii="Calibri" w:hAnsi="Calibri" w:cs="Calibri"/>
                <w:sz w:val="18"/>
                <w:szCs w:val="18"/>
              </w:rPr>
              <w:t>)</w:t>
            </w:r>
          </w:p>
        </w:tc>
        <w:tc>
          <w:tcPr>
            <w:tcW w:w="1214" w:type="pct"/>
            <w:tcBorders>
              <w:top w:val="single" w:sz="4" w:space="0" w:color="auto"/>
              <w:bottom w:val="single" w:sz="12" w:space="0" w:color="auto"/>
            </w:tcBorders>
          </w:tcPr>
          <w:p w14:paraId="76B8B487" w14:textId="063250A2" w:rsidR="006162B7" w:rsidRPr="00FC2BCE" w:rsidRDefault="006162B7" w:rsidP="00B87E67">
            <w:pPr>
              <w:ind w:left="567"/>
              <w:jc w:val="right"/>
              <w:rPr>
                <w:rFonts w:ascii="Calibri" w:hAnsi="Calibri" w:cs="Calibri"/>
                <w:color w:val="000000"/>
                <w:sz w:val="18"/>
                <w:szCs w:val="18"/>
              </w:rPr>
            </w:pPr>
            <w:r w:rsidRPr="00FC2BCE">
              <w:rPr>
                <w:rFonts w:ascii="Calibri" w:hAnsi="Calibri" w:cs="Calibri"/>
                <w:sz w:val="18"/>
                <w:szCs w:val="18"/>
              </w:rPr>
              <w:t>(</w:t>
            </w:r>
            <w:r w:rsidR="00FC2BCE" w:rsidRPr="00FC2BCE">
              <w:rPr>
                <w:rFonts w:ascii="Calibri" w:hAnsi="Calibri" w:cs="Calibri"/>
                <w:sz w:val="18"/>
                <w:szCs w:val="18"/>
              </w:rPr>
              <w:t>201,838</w:t>
            </w:r>
            <w:r w:rsidRPr="00FC2BCE">
              <w:rPr>
                <w:rFonts w:ascii="Calibri" w:hAnsi="Calibri" w:cs="Calibri"/>
                <w:sz w:val="18"/>
                <w:szCs w:val="18"/>
              </w:rPr>
              <w:t>)</w:t>
            </w:r>
          </w:p>
        </w:tc>
      </w:tr>
    </w:tbl>
    <w:p w14:paraId="41F146F2" w14:textId="77777777" w:rsidR="006162B7" w:rsidRPr="006162B7" w:rsidRDefault="006162B7" w:rsidP="006162B7">
      <w:pPr>
        <w:pStyle w:val="NoSpacing"/>
        <w:jc w:val="both"/>
        <w:rPr>
          <w:rFonts w:ascii="Calibri" w:hAnsi="Calibri" w:cs="Calibri"/>
          <w:color w:val="FF0000"/>
          <w:sz w:val="20"/>
          <w:szCs w:val="20"/>
          <w:highlight w:val="yellow"/>
          <w:lang w:val="en-IE"/>
        </w:rPr>
      </w:pPr>
    </w:p>
    <w:p w14:paraId="603B8A2E" w14:textId="77777777" w:rsidR="006162B7" w:rsidRPr="006162B7" w:rsidRDefault="006162B7" w:rsidP="006162B7">
      <w:pPr>
        <w:pStyle w:val="NoSpacing"/>
        <w:jc w:val="both"/>
        <w:rPr>
          <w:rFonts w:ascii="Calibri" w:hAnsi="Calibri" w:cs="Calibri"/>
          <w:color w:val="FF0000"/>
          <w:sz w:val="20"/>
          <w:szCs w:val="20"/>
          <w:highlight w:val="yellow"/>
          <w:lang w:val="en-IE"/>
        </w:rPr>
      </w:pPr>
    </w:p>
    <w:p w14:paraId="6730DF80" w14:textId="77777777" w:rsidR="006162B7" w:rsidRPr="006162B7" w:rsidRDefault="006162B7" w:rsidP="006162B7">
      <w:pPr>
        <w:jc w:val="both"/>
        <w:rPr>
          <w:rFonts w:ascii="Calibri" w:eastAsiaTheme="minorHAnsi" w:hAnsi="Calibri" w:cs="Calibri"/>
          <w:highlight w:val="yellow"/>
          <w:lang w:val="en-IE"/>
        </w:rPr>
      </w:pPr>
    </w:p>
    <w:p w14:paraId="58FB14B4" w14:textId="77777777" w:rsidR="006162B7" w:rsidRPr="006162B7" w:rsidRDefault="006162B7" w:rsidP="006162B7">
      <w:pPr>
        <w:jc w:val="both"/>
        <w:rPr>
          <w:rFonts w:ascii="Calibri" w:eastAsiaTheme="minorHAnsi" w:hAnsi="Calibri" w:cs="Calibri"/>
          <w:highlight w:val="yellow"/>
          <w:lang w:val="en-IE"/>
        </w:rPr>
      </w:pPr>
    </w:p>
    <w:p w14:paraId="33562A1D" w14:textId="77777777" w:rsidR="006162B7" w:rsidRPr="006162B7" w:rsidRDefault="006162B7" w:rsidP="006162B7">
      <w:pPr>
        <w:jc w:val="both"/>
        <w:rPr>
          <w:rFonts w:ascii="Calibri" w:eastAsiaTheme="minorHAnsi" w:hAnsi="Calibri" w:cs="Calibri"/>
          <w:highlight w:val="yellow"/>
          <w:lang w:val="en-IE"/>
        </w:rPr>
      </w:pPr>
    </w:p>
    <w:p w14:paraId="0B9A6385" w14:textId="77777777" w:rsidR="006162B7" w:rsidRPr="006162B7" w:rsidRDefault="006162B7" w:rsidP="006162B7">
      <w:pPr>
        <w:jc w:val="both"/>
        <w:rPr>
          <w:rFonts w:ascii="Calibri" w:eastAsiaTheme="minorHAnsi" w:hAnsi="Calibri" w:cs="Calibri"/>
          <w:highlight w:val="yellow"/>
          <w:lang w:val="en-IE"/>
        </w:rPr>
      </w:pPr>
    </w:p>
    <w:p w14:paraId="3CE895A5" w14:textId="77777777" w:rsidR="006162B7" w:rsidRPr="006162B7" w:rsidRDefault="006162B7" w:rsidP="006162B7">
      <w:pPr>
        <w:jc w:val="both"/>
        <w:rPr>
          <w:rFonts w:ascii="Calibri" w:eastAsiaTheme="minorHAnsi" w:hAnsi="Calibri" w:cs="Calibri"/>
          <w:highlight w:val="yellow"/>
          <w:lang w:val="en-IE"/>
        </w:rPr>
      </w:pPr>
    </w:p>
    <w:p w14:paraId="41C1BADA" w14:textId="77777777" w:rsidR="006162B7" w:rsidRPr="006162B7" w:rsidRDefault="006162B7" w:rsidP="006162B7">
      <w:pPr>
        <w:jc w:val="both"/>
        <w:rPr>
          <w:rFonts w:ascii="Calibri" w:eastAsiaTheme="minorHAnsi" w:hAnsi="Calibri" w:cs="Calibri"/>
          <w:highlight w:val="yellow"/>
          <w:lang w:val="en-IE"/>
        </w:rPr>
      </w:pPr>
      <w:bookmarkStart w:id="5" w:name="_Hlk159427437"/>
    </w:p>
    <w:p w14:paraId="402A03DA" w14:textId="30E5B353" w:rsidR="006162B7" w:rsidRPr="00EB1431" w:rsidRDefault="006162B7" w:rsidP="006162B7">
      <w:pPr>
        <w:jc w:val="both"/>
        <w:rPr>
          <w:rFonts w:ascii="Calibri" w:eastAsiaTheme="minorHAnsi" w:hAnsi="Calibri" w:cs="Calibri"/>
          <w:lang w:val="en-IE"/>
        </w:rPr>
      </w:pPr>
      <w:r w:rsidRPr="00EB1431">
        <w:rPr>
          <w:rFonts w:ascii="Calibri" w:eastAsiaTheme="minorHAnsi" w:hAnsi="Calibri" w:cs="Calibri"/>
          <w:lang w:val="en-IE"/>
        </w:rPr>
        <w:t>Injury notifications increased 4% year on year largely reflecting increased policy count with a slight increase in</w:t>
      </w:r>
      <w:r w:rsidRPr="0047113A">
        <w:rPr>
          <w:rFonts w:ascii="Calibri" w:eastAsiaTheme="minorHAnsi" w:hAnsi="Calibri" w:cs="Calibri"/>
          <w:lang w:val="en-IE"/>
        </w:rPr>
        <w:t xml:space="preserve"> frequency. </w:t>
      </w:r>
      <w:r w:rsidRPr="0047113A">
        <w:rPr>
          <w:rFonts w:ascii="Calibri" w:hAnsi="Calibri" w:cs="Calibri"/>
          <w:lang w:val="en-IE"/>
        </w:rPr>
        <w:t xml:space="preserve">The average cost of injury claims settlements </w:t>
      </w:r>
      <w:r w:rsidR="00942B1B">
        <w:rPr>
          <w:rFonts w:ascii="Calibri" w:hAnsi="Calibri" w:cs="Calibri"/>
          <w:lang w:val="en-IE"/>
        </w:rPr>
        <w:t>is</w:t>
      </w:r>
      <w:r w:rsidRPr="0047113A">
        <w:rPr>
          <w:rFonts w:ascii="Calibri" w:hAnsi="Calibri" w:cs="Calibri"/>
          <w:lang w:val="en-IE"/>
        </w:rPr>
        <w:t xml:space="preserve"> down </w:t>
      </w:r>
      <w:r w:rsidR="0047113A" w:rsidRPr="0047113A">
        <w:rPr>
          <w:rFonts w:ascii="Calibri" w:hAnsi="Calibri" w:cs="Calibri"/>
          <w:lang w:val="en-IE"/>
        </w:rPr>
        <w:t>3</w:t>
      </w:r>
      <w:r w:rsidRPr="0047113A">
        <w:rPr>
          <w:rFonts w:ascii="Calibri" w:hAnsi="Calibri" w:cs="Calibri"/>
          <w:lang w:val="en-IE"/>
        </w:rPr>
        <w:t>% in the last 12 months</w:t>
      </w:r>
      <w:r w:rsidRPr="00EB1431">
        <w:rPr>
          <w:rFonts w:ascii="Calibri" w:eastAsiaTheme="minorHAnsi" w:hAnsi="Calibri" w:cs="Calibri"/>
          <w:lang w:val="en-IE"/>
        </w:rPr>
        <w:t xml:space="preserve">. </w:t>
      </w:r>
    </w:p>
    <w:p w14:paraId="26E2A70D" w14:textId="77777777" w:rsidR="006162B7" w:rsidRPr="00EB1431" w:rsidRDefault="006162B7" w:rsidP="006162B7">
      <w:pPr>
        <w:jc w:val="both"/>
        <w:rPr>
          <w:rFonts w:ascii="Calibri" w:eastAsiaTheme="minorHAnsi" w:hAnsi="Calibri" w:cs="Calibri"/>
          <w:lang w:val="en-IE"/>
        </w:rPr>
      </w:pPr>
    </w:p>
    <w:p w14:paraId="602F63EE" w14:textId="383DAE87" w:rsidR="006162B7" w:rsidRPr="005D458C" w:rsidRDefault="006162B7" w:rsidP="006162B7">
      <w:pPr>
        <w:jc w:val="both"/>
        <w:rPr>
          <w:rFonts w:ascii="Calibri" w:eastAsiaTheme="minorHAnsi" w:hAnsi="Calibri" w:cs="Calibri"/>
          <w:lang w:val="en-IE"/>
        </w:rPr>
      </w:pPr>
      <w:r w:rsidRPr="005D458C">
        <w:rPr>
          <w:rFonts w:ascii="Calibri" w:eastAsiaTheme="minorHAnsi" w:hAnsi="Calibri" w:cs="Calibri"/>
          <w:lang w:val="en-IE"/>
        </w:rPr>
        <w:t>Claims being settled under the new guidelines continue to be</w:t>
      </w:r>
      <w:r w:rsidR="00572D0E">
        <w:rPr>
          <w:rFonts w:ascii="Calibri" w:eastAsiaTheme="minorHAnsi" w:hAnsi="Calibri" w:cs="Calibri"/>
          <w:lang w:val="en-IE"/>
        </w:rPr>
        <w:t xml:space="preserve"> more than</w:t>
      </w:r>
      <w:r w:rsidRPr="005D458C">
        <w:rPr>
          <w:rFonts w:ascii="Calibri" w:eastAsiaTheme="minorHAnsi" w:hAnsi="Calibri" w:cs="Calibri"/>
          <w:lang w:val="en-IE"/>
        </w:rPr>
        <w:t xml:space="preserve"> 40% lower in value when compared to the previous Book of Quantum. The level of acceptance of I</w:t>
      </w:r>
      <w:r w:rsidR="00C93698">
        <w:rPr>
          <w:rFonts w:ascii="Calibri" w:eastAsiaTheme="minorHAnsi" w:hAnsi="Calibri" w:cs="Calibri"/>
          <w:lang w:val="en-IE"/>
        </w:rPr>
        <w:t xml:space="preserve">njuries </w:t>
      </w:r>
      <w:r w:rsidR="00F86580">
        <w:rPr>
          <w:rFonts w:ascii="Calibri" w:eastAsiaTheme="minorHAnsi" w:hAnsi="Calibri" w:cs="Calibri"/>
          <w:lang w:val="en-IE"/>
        </w:rPr>
        <w:t>R</w:t>
      </w:r>
      <w:r w:rsidR="00C93698">
        <w:rPr>
          <w:rFonts w:ascii="Calibri" w:eastAsiaTheme="minorHAnsi" w:hAnsi="Calibri" w:cs="Calibri"/>
          <w:lang w:val="en-IE"/>
        </w:rPr>
        <w:t xml:space="preserve">esolution </w:t>
      </w:r>
      <w:r w:rsidRPr="005D458C">
        <w:rPr>
          <w:rFonts w:ascii="Calibri" w:eastAsiaTheme="minorHAnsi" w:hAnsi="Calibri" w:cs="Calibri"/>
          <w:lang w:val="en-IE"/>
        </w:rPr>
        <w:t>B</w:t>
      </w:r>
      <w:r w:rsidR="00C93698">
        <w:rPr>
          <w:rFonts w:ascii="Calibri" w:eastAsiaTheme="minorHAnsi" w:hAnsi="Calibri" w:cs="Calibri"/>
          <w:lang w:val="en-IE"/>
        </w:rPr>
        <w:t>oard</w:t>
      </w:r>
      <w:r w:rsidRPr="005D458C">
        <w:rPr>
          <w:rFonts w:ascii="Calibri" w:eastAsiaTheme="minorHAnsi" w:hAnsi="Calibri" w:cs="Calibri"/>
          <w:lang w:val="en-IE"/>
        </w:rPr>
        <w:t xml:space="preserve"> awards </w:t>
      </w:r>
      <w:r w:rsidR="00572D0E" w:rsidRPr="00B3213B">
        <w:rPr>
          <w:rFonts w:ascii="Calibri" w:eastAsiaTheme="minorHAnsi" w:hAnsi="Calibri" w:cs="Calibri"/>
          <w:lang w:val="en-IE"/>
        </w:rPr>
        <w:t xml:space="preserve">by </w:t>
      </w:r>
      <w:r w:rsidR="00B3213B">
        <w:rPr>
          <w:rFonts w:ascii="Calibri" w:eastAsiaTheme="minorHAnsi" w:hAnsi="Calibri" w:cs="Calibri"/>
          <w:lang w:val="en-IE"/>
        </w:rPr>
        <w:t xml:space="preserve">the </w:t>
      </w:r>
      <w:r w:rsidR="00572D0E" w:rsidRPr="00B3213B">
        <w:rPr>
          <w:rFonts w:ascii="Calibri" w:eastAsiaTheme="minorHAnsi" w:hAnsi="Calibri" w:cs="Calibri"/>
          <w:lang w:val="en-IE"/>
        </w:rPr>
        <w:t>end of 2022 across the market was approaching pre-guideline levels at 48%</w:t>
      </w:r>
      <w:r w:rsidRPr="005D458C">
        <w:rPr>
          <w:rFonts w:ascii="Calibri" w:eastAsiaTheme="minorHAnsi" w:hAnsi="Calibri" w:cs="Calibri"/>
          <w:lang w:val="en-IE"/>
        </w:rPr>
        <w:t xml:space="preserve">. </w:t>
      </w:r>
      <w:r w:rsidR="005361DB">
        <w:rPr>
          <w:rFonts w:ascii="Calibri" w:eastAsiaTheme="minorHAnsi" w:hAnsi="Calibri" w:cs="Calibri"/>
          <w:lang w:val="en-IE"/>
        </w:rPr>
        <w:t>Higher acceptance rates</w:t>
      </w:r>
      <w:r w:rsidRPr="005D458C">
        <w:rPr>
          <w:rFonts w:ascii="Calibri" w:eastAsiaTheme="minorHAnsi" w:hAnsi="Calibri" w:cs="Calibri"/>
          <w:lang w:val="en-IE"/>
        </w:rPr>
        <w:t xml:space="preserve"> reduce the number of cases through the courts system attracting higher legal costs. It </w:t>
      </w:r>
      <w:r w:rsidR="00EB1431">
        <w:rPr>
          <w:rFonts w:ascii="Calibri" w:eastAsiaTheme="minorHAnsi" w:hAnsi="Calibri" w:cs="Calibri"/>
          <w:lang w:val="en-IE"/>
        </w:rPr>
        <w:t>will take time</w:t>
      </w:r>
      <w:r w:rsidRPr="005D458C">
        <w:rPr>
          <w:rFonts w:ascii="Calibri" w:eastAsiaTheme="minorHAnsi" w:hAnsi="Calibri" w:cs="Calibri"/>
          <w:lang w:val="en-IE"/>
        </w:rPr>
        <w:t xml:space="preserve"> for the full impact to be known of the new guidelines on claims settled through the litigation process. </w:t>
      </w:r>
    </w:p>
    <w:p w14:paraId="151982DF" w14:textId="77777777" w:rsidR="006162B7" w:rsidRPr="00B3213B" w:rsidRDefault="006162B7" w:rsidP="006162B7">
      <w:pPr>
        <w:jc w:val="both"/>
        <w:rPr>
          <w:rFonts w:ascii="Calibri" w:eastAsiaTheme="minorHAnsi" w:hAnsi="Calibri" w:cs="Calibri"/>
          <w:lang w:val="en-IE"/>
        </w:rPr>
      </w:pPr>
    </w:p>
    <w:p w14:paraId="7694F3BF" w14:textId="6F08621F" w:rsidR="00572D0E" w:rsidRPr="00B3213B" w:rsidRDefault="006162B7" w:rsidP="00572D0E">
      <w:pPr>
        <w:jc w:val="both"/>
        <w:rPr>
          <w:rFonts w:ascii="Calibri" w:eastAsiaTheme="minorHAnsi" w:hAnsi="Calibri" w:cs="Calibri"/>
          <w:lang w:val="en-IE"/>
        </w:rPr>
      </w:pPr>
      <w:bookmarkStart w:id="6" w:name="_Hlk157773873"/>
      <w:r w:rsidRPr="00AF0633">
        <w:rPr>
          <w:rFonts w:ascii="Calibri" w:eastAsiaTheme="minorHAnsi" w:hAnsi="Calibri" w:cs="Calibri"/>
          <w:lang w:val="en-IE"/>
        </w:rPr>
        <w:t xml:space="preserve">Motor </w:t>
      </w:r>
      <w:r w:rsidR="006979CE">
        <w:rPr>
          <w:rFonts w:ascii="Calibri" w:eastAsiaTheme="minorHAnsi" w:hAnsi="Calibri" w:cs="Calibri"/>
          <w:lang w:val="en-IE"/>
        </w:rPr>
        <w:t>D</w:t>
      </w:r>
      <w:r w:rsidRPr="00AF0633">
        <w:rPr>
          <w:rFonts w:ascii="Calibri" w:eastAsiaTheme="minorHAnsi" w:hAnsi="Calibri" w:cs="Calibri"/>
          <w:lang w:val="en-IE"/>
        </w:rPr>
        <w:t>amage notifications increased by 1</w:t>
      </w:r>
      <w:r w:rsidR="005D458C" w:rsidRPr="00AF0633">
        <w:rPr>
          <w:rFonts w:ascii="Calibri" w:eastAsiaTheme="minorHAnsi" w:hAnsi="Calibri" w:cs="Calibri"/>
          <w:lang w:val="en-IE"/>
        </w:rPr>
        <w:t>1</w:t>
      </w:r>
      <w:r w:rsidRPr="00AF0633">
        <w:rPr>
          <w:rFonts w:ascii="Calibri" w:eastAsiaTheme="minorHAnsi" w:hAnsi="Calibri" w:cs="Calibri"/>
          <w:lang w:val="en-IE"/>
        </w:rPr>
        <w:t xml:space="preserve">% and settlement costs also increased </w:t>
      </w:r>
      <w:r w:rsidR="005D458C" w:rsidRPr="00AF0633">
        <w:rPr>
          <w:rFonts w:ascii="Calibri" w:eastAsiaTheme="minorHAnsi" w:hAnsi="Calibri" w:cs="Calibri"/>
          <w:lang w:val="en-IE"/>
        </w:rPr>
        <w:t xml:space="preserve">by </w:t>
      </w:r>
      <w:r w:rsidR="00E23765">
        <w:rPr>
          <w:rFonts w:ascii="Calibri" w:eastAsiaTheme="minorHAnsi" w:hAnsi="Calibri" w:cs="Calibri"/>
          <w:lang w:val="en-IE"/>
        </w:rPr>
        <w:t>17</w:t>
      </w:r>
      <w:r w:rsidRPr="00DB7152">
        <w:rPr>
          <w:rFonts w:ascii="Calibri" w:eastAsiaTheme="minorHAnsi" w:hAnsi="Calibri" w:cs="Calibri"/>
          <w:lang w:val="en-IE"/>
        </w:rPr>
        <w:t xml:space="preserve">%. </w:t>
      </w:r>
      <w:r w:rsidR="00572D0E" w:rsidRPr="00B3213B">
        <w:rPr>
          <w:rFonts w:ascii="Calibri" w:eastAsiaTheme="minorHAnsi" w:hAnsi="Calibri" w:cs="Calibri"/>
          <w:lang w:val="en-IE"/>
        </w:rPr>
        <w:t xml:space="preserve">There remains considerable upward pressure on constituent costs (parts, </w:t>
      </w:r>
      <w:proofErr w:type="gramStart"/>
      <w:r w:rsidR="00572D0E" w:rsidRPr="00B3213B">
        <w:rPr>
          <w:rFonts w:ascii="Calibri" w:eastAsiaTheme="minorHAnsi" w:hAnsi="Calibri" w:cs="Calibri"/>
          <w:lang w:val="en-IE"/>
        </w:rPr>
        <w:t>labour</w:t>
      </w:r>
      <w:proofErr w:type="gramEnd"/>
      <w:r w:rsidR="00572D0E" w:rsidRPr="00B3213B">
        <w:rPr>
          <w:rFonts w:ascii="Calibri" w:eastAsiaTheme="minorHAnsi" w:hAnsi="Calibri" w:cs="Calibri"/>
          <w:lang w:val="en-IE"/>
        </w:rPr>
        <w:t xml:space="preserve"> and paint).</w:t>
      </w:r>
    </w:p>
    <w:p w14:paraId="3818FC4A" w14:textId="77777777" w:rsidR="006162B7" w:rsidRPr="00AF0633" w:rsidRDefault="006162B7" w:rsidP="006162B7">
      <w:pPr>
        <w:jc w:val="both"/>
        <w:rPr>
          <w:rFonts w:ascii="Calibri" w:eastAsiaTheme="minorHAnsi" w:hAnsi="Calibri" w:cs="Calibri"/>
          <w:color w:val="FF0000"/>
          <w:lang w:val="en-IE"/>
        </w:rPr>
      </w:pPr>
    </w:p>
    <w:bookmarkEnd w:id="6"/>
    <w:p w14:paraId="31937096" w14:textId="2FA92265" w:rsidR="006162B7" w:rsidRPr="005D458C" w:rsidRDefault="006162B7" w:rsidP="006162B7">
      <w:pPr>
        <w:jc w:val="both"/>
        <w:rPr>
          <w:rFonts w:ascii="Calibri" w:eastAsiaTheme="minorHAnsi" w:hAnsi="Calibri" w:cs="Calibri"/>
          <w:lang w:val="en-IE"/>
        </w:rPr>
      </w:pPr>
      <w:r w:rsidRPr="005D458C">
        <w:rPr>
          <w:rFonts w:ascii="Calibri" w:eastAsiaTheme="minorHAnsi" w:hAnsi="Calibri" w:cs="Calibri"/>
          <w:lang w:val="en-IE"/>
        </w:rPr>
        <w:t xml:space="preserve">The average cost of </w:t>
      </w:r>
      <w:r w:rsidR="006979CE">
        <w:rPr>
          <w:rFonts w:ascii="Calibri" w:eastAsiaTheme="minorHAnsi" w:hAnsi="Calibri" w:cs="Calibri"/>
          <w:lang w:val="en-IE"/>
        </w:rPr>
        <w:t>P</w:t>
      </w:r>
      <w:r w:rsidRPr="005D458C">
        <w:rPr>
          <w:rFonts w:ascii="Calibri" w:eastAsiaTheme="minorHAnsi" w:hAnsi="Calibri" w:cs="Calibri"/>
          <w:lang w:val="en-IE"/>
        </w:rPr>
        <w:t xml:space="preserve">roperty claims increased by </w:t>
      </w:r>
      <w:r w:rsidR="005D458C" w:rsidRPr="005D458C">
        <w:rPr>
          <w:rFonts w:ascii="Calibri" w:eastAsiaTheme="minorHAnsi" w:hAnsi="Calibri" w:cs="Calibri"/>
          <w:lang w:val="en-IE"/>
        </w:rPr>
        <w:t>16</w:t>
      </w:r>
      <w:r w:rsidRPr="005D458C">
        <w:rPr>
          <w:rFonts w:ascii="Calibri" w:eastAsiaTheme="minorHAnsi" w:hAnsi="Calibri" w:cs="Calibri"/>
          <w:lang w:val="en-IE"/>
        </w:rPr>
        <w:t xml:space="preserve">% </w:t>
      </w:r>
      <w:r w:rsidR="005D458C" w:rsidRPr="005D458C">
        <w:rPr>
          <w:rFonts w:ascii="Calibri" w:eastAsiaTheme="minorHAnsi" w:hAnsi="Calibri" w:cs="Calibri"/>
          <w:lang w:val="en-IE"/>
        </w:rPr>
        <w:t xml:space="preserve">since 2022, excluding Business Interruption claims, </w:t>
      </w:r>
      <w:r w:rsidRPr="005D458C">
        <w:rPr>
          <w:rFonts w:ascii="Calibri" w:eastAsiaTheme="minorHAnsi" w:hAnsi="Calibri" w:cs="Calibri"/>
          <w:lang w:val="en-IE"/>
        </w:rPr>
        <w:t xml:space="preserve">due to a change in mix </w:t>
      </w:r>
      <w:r w:rsidR="00572D0E">
        <w:rPr>
          <w:rFonts w:ascii="Calibri" w:eastAsiaTheme="minorHAnsi" w:hAnsi="Calibri" w:cs="Calibri"/>
          <w:lang w:val="en-IE"/>
        </w:rPr>
        <w:t xml:space="preserve">of claims </w:t>
      </w:r>
      <w:r w:rsidRPr="005D458C">
        <w:rPr>
          <w:rFonts w:ascii="Calibri" w:eastAsiaTheme="minorHAnsi" w:hAnsi="Calibri" w:cs="Calibri"/>
          <w:lang w:val="en-IE"/>
        </w:rPr>
        <w:t>and inflation, with double digit increases in Escape of Water</w:t>
      </w:r>
      <w:r w:rsidR="005D458C" w:rsidRPr="005D458C">
        <w:rPr>
          <w:rFonts w:ascii="Calibri" w:eastAsiaTheme="minorHAnsi" w:hAnsi="Calibri" w:cs="Calibri"/>
          <w:lang w:val="en-IE"/>
        </w:rPr>
        <w:t>, Fire and Storm</w:t>
      </w:r>
      <w:r w:rsidRPr="005D458C">
        <w:rPr>
          <w:rFonts w:ascii="Calibri" w:eastAsiaTheme="minorHAnsi" w:hAnsi="Calibri" w:cs="Calibri"/>
          <w:lang w:val="en-IE"/>
        </w:rPr>
        <w:t xml:space="preserve"> costs. </w:t>
      </w:r>
    </w:p>
    <w:bookmarkEnd w:id="5"/>
    <w:p w14:paraId="0052EBD5" w14:textId="77777777" w:rsidR="006162B7" w:rsidRPr="005D458C" w:rsidRDefault="006162B7" w:rsidP="006162B7">
      <w:pPr>
        <w:jc w:val="both"/>
        <w:rPr>
          <w:rFonts w:ascii="Calibri" w:eastAsiaTheme="minorHAnsi" w:hAnsi="Calibri" w:cs="Calibri"/>
          <w:color w:val="FF0000"/>
          <w:lang w:val="en-IE"/>
        </w:rPr>
      </w:pPr>
    </w:p>
    <w:p w14:paraId="320372E0" w14:textId="67DFD255" w:rsidR="005375CA" w:rsidRPr="00AF0633" w:rsidRDefault="005375CA" w:rsidP="005375CA">
      <w:pPr>
        <w:jc w:val="both"/>
        <w:rPr>
          <w:rFonts w:asciiTheme="minorHAnsi" w:eastAsiaTheme="minorHAnsi" w:hAnsiTheme="minorHAnsi" w:cstheme="minorHAnsi"/>
          <w:b/>
          <w:bCs/>
          <w:u w:val="single"/>
          <w:lang w:val="en-IE"/>
        </w:rPr>
      </w:pPr>
      <w:bookmarkStart w:id="7" w:name="_Hlk158966562"/>
      <w:bookmarkStart w:id="8" w:name="_Hlk158964097"/>
      <w:bookmarkStart w:id="9" w:name="_Hlk156743574"/>
      <w:bookmarkEnd w:id="4"/>
      <w:r w:rsidRPr="00AF0633">
        <w:rPr>
          <w:rFonts w:asciiTheme="minorHAnsi" w:eastAsiaTheme="minorHAnsi" w:hAnsiTheme="minorHAnsi" w:cstheme="minorHAnsi"/>
          <w:b/>
          <w:bCs/>
          <w:u w:val="single"/>
          <w:lang w:val="en-IE"/>
        </w:rPr>
        <w:t>Weather and Large Claims</w:t>
      </w:r>
    </w:p>
    <w:p w14:paraId="495AC818" w14:textId="40AF760C" w:rsidR="005375CA" w:rsidRPr="00465E1A" w:rsidRDefault="00847141" w:rsidP="005375CA">
      <w:pPr>
        <w:jc w:val="both"/>
        <w:rPr>
          <w:rFonts w:asciiTheme="minorHAnsi" w:hAnsiTheme="minorHAnsi"/>
        </w:rPr>
      </w:pPr>
      <w:r>
        <w:rPr>
          <w:rFonts w:asciiTheme="minorHAnsi" w:hAnsiTheme="minorHAnsi"/>
        </w:rPr>
        <w:t xml:space="preserve">Net of reinsurance weather losses in 2023 were </w:t>
      </w:r>
      <w:proofErr w:type="gramStart"/>
      <w:r>
        <w:rPr>
          <w:rFonts w:asciiTheme="minorHAnsi" w:hAnsiTheme="minorHAnsi"/>
        </w:rPr>
        <w:t>similar to</w:t>
      </w:r>
      <w:proofErr w:type="gramEnd"/>
      <w:r>
        <w:rPr>
          <w:rFonts w:asciiTheme="minorHAnsi" w:hAnsiTheme="minorHAnsi"/>
        </w:rPr>
        <w:t xml:space="preserve"> that in 2022. </w:t>
      </w:r>
      <w:r w:rsidR="005375CA">
        <w:rPr>
          <w:rFonts w:asciiTheme="minorHAnsi" w:hAnsiTheme="minorHAnsi"/>
        </w:rPr>
        <w:t>There w</w:t>
      </w:r>
      <w:r w:rsidR="00A5626B">
        <w:rPr>
          <w:rFonts w:asciiTheme="minorHAnsi" w:hAnsiTheme="minorHAnsi"/>
        </w:rPr>
        <w:t>as a higher frequency of named Storms in 2023</w:t>
      </w:r>
      <w:r>
        <w:rPr>
          <w:rFonts w:asciiTheme="minorHAnsi" w:hAnsiTheme="minorHAnsi"/>
        </w:rPr>
        <w:t xml:space="preserve"> but a lower number of attritional weather events. </w:t>
      </w:r>
    </w:p>
    <w:bookmarkEnd w:id="7"/>
    <w:p w14:paraId="3ABB0B4F" w14:textId="77777777" w:rsidR="005375CA" w:rsidRPr="008B2C1D" w:rsidRDefault="005375CA" w:rsidP="005375CA">
      <w:pPr>
        <w:jc w:val="both"/>
        <w:rPr>
          <w:rFonts w:asciiTheme="minorHAnsi" w:hAnsiTheme="minorHAnsi"/>
        </w:rPr>
      </w:pPr>
    </w:p>
    <w:p w14:paraId="2A248230" w14:textId="77777777" w:rsidR="005375CA" w:rsidRPr="008B2C1D" w:rsidRDefault="005375CA" w:rsidP="005375CA">
      <w:pPr>
        <w:jc w:val="both"/>
        <w:rPr>
          <w:rFonts w:asciiTheme="minorHAnsi" w:hAnsiTheme="minorHAnsi"/>
        </w:rPr>
      </w:pPr>
      <w:r w:rsidRPr="008B2C1D">
        <w:rPr>
          <w:rFonts w:asciiTheme="minorHAnsi" w:hAnsiTheme="minorHAnsi"/>
        </w:rPr>
        <w:t xml:space="preserve">Large injury claims, defined as a value greater than €250k, notified in 2023 are lower than the average of previous pre-Covid years. </w:t>
      </w:r>
    </w:p>
    <w:bookmarkEnd w:id="8"/>
    <w:p w14:paraId="55A32AC0" w14:textId="77777777" w:rsidR="005375CA" w:rsidRPr="008B2C1D" w:rsidRDefault="005375CA" w:rsidP="005375CA">
      <w:pPr>
        <w:jc w:val="both"/>
        <w:rPr>
          <w:rFonts w:asciiTheme="minorHAnsi" w:eastAsiaTheme="minorHAnsi" w:hAnsiTheme="minorHAnsi" w:cstheme="minorHAnsi"/>
          <w:lang w:val="en-IE"/>
        </w:rPr>
      </w:pPr>
    </w:p>
    <w:p w14:paraId="70199E32" w14:textId="160E7FDF" w:rsidR="00437096" w:rsidRPr="008B2C1D" w:rsidRDefault="00437096" w:rsidP="007C308D">
      <w:pPr>
        <w:pStyle w:val="NoSpacing"/>
        <w:jc w:val="both"/>
        <w:rPr>
          <w:rFonts w:cstheme="minorHAnsi"/>
          <w:b/>
          <w:sz w:val="20"/>
          <w:szCs w:val="20"/>
          <w:u w:val="single"/>
          <w:lang w:val="en-IE"/>
        </w:rPr>
      </w:pPr>
      <w:r w:rsidRPr="008B2C1D">
        <w:rPr>
          <w:rFonts w:cstheme="minorHAnsi"/>
          <w:b/>
          <w:sz w:val="20"/>
          <w:szCs w:val="20"/>
          <w:u w:val="single"/>
          <w:lang w:val="en-IE"/>
        </w:rPr>
        <w:t xml:space="preserve">Reinsurance </w:t>
      </w:r>
    </w:p>
    <w:p w14:paraId="68754BA2" w14:textId="64CD67F6" w:rsidR="00A5626B" w:rsidRDefault="00541CAF" w:rsidP="00541CAF">
      <w:pPr>
        <w:pStyle w:val="NoSpacing"/>
        <w:jc w:val="both"/>
        <w:rPr>
          <w:rFonts w:cstheme="minorHAnsi"/>
          <w:sz w:val="20"/>
          <w:szCs w:val="20"/>
          <w:lang w:val="en-IE"/>
        </w:rPr>
      </w:pPr>
      <w:r w:rsidRPr="00FB109B">
        <w:rPr>
          <w:rFonts w:cstheme="minorHAnsi"/>
          <w:sz w:val="20"/>
          <w:szCs w:val="20"/>
          <w:lang w:val="en-IE"/>
        </w:rPr>
        <w:t>The reinsurance programme for 202</w:t>
      </w:r>
      <w:r w:rsidR="007636BA" w:rsidRPr="00FB109B">
        <w:rPr>
          <w:rFonts w:cstheme="minorHAnsi"/>
          <w:sz w:val="20"/>
          <w:szCs w:val="20"/>
          <w:lang w:val="en-IE"/>
        </w:rPr>
        <w:t>4</w:t>
      </w:r>
      <w:r w:rsidRPr="00FB109B">
        <w:rPr>
          <w:rFonts w:cstheme="minorHAnsi"/>
          <w:sz w:val="20"/>
          <w:szCs w:val="20"/>
          <w:lang w:val="en-IE"/>
        </w:rPr>
        <w:t xml:space="preserve"> was successfully renegotiated with </w:t>
      </w:r>
      <w:r w:rsidR="00E71728">
        <w:rPr>
          <w:rFonts w:cstheme="minorHAnsi"/>
          <w:sz w:val="20"/>
          <w:szCs w:val="20"/>
          <w:lang w:val="en-IE"/>
        </w:rPr>
        <w:t>some</w:t>
      </w:r>
      <w:r w:rsidR="007636BA" w:rsidRPr="00FB109B">
        <w:rPr>
          <w:rFonts w:cstheme="minorHAnsi"/>
          <w:sz w:val="20"/>
          <w:szCs w:val="20"/>
          <w:lang w:val="en-IE"/>
        </w:rPr>
        <w:t xml:space="preserve"> change</w:t>
      </w:r>
      <w:r w:rsidR="00E71728">
        <w:rPr>
          <w:rFonts w:cstheme="minorHAnsi"/>
          <w:sz w:val="20"/>
          <w:szCs w:val="20"/>
          <w:lang w:val="en-IE"/>
        </w:rPr>
        <w:t>s</w:t>
      </w:r>
      <w:r w:rsidR="007636BA" w:rsidRPr="00FB109B">
        <w:rPr>
          <w:rFonts w:cstheme="minorHAnsi"/>
          <w:sz w:val="20"/>
          <w:szCs w:val="20"/>
          <w:lang w:val="en-IE"/>
        </w:rPr>
        <w:t xml:space="preserve"> </w:t>
      </w:r>
      <w:r w:rsidRPr="00FB109B">
        <w:rPr>
          <w:rFonts w:cstheme="minorHAnsi"/>
          <w:sz w:val="20"/>
          <w:szCs w:val="20"/>
          <w:lang w:val="en-IE"/>
        </w:rPr>
        <w:t xml:space="preserve">to the expiring </w:t>
      </w:r>
      <w:r w:rsidR="00E71728">
        <w:rPr>
          <w:rFonts w:cstheme="minorHAnsi"/>
          <w:sz w:val="20"/>
          <w:szCs w:val="20"/>
          <w:lang w:val="en-IE"/>
        </w:rPr>
        <w:t>agreement</w:t>
      </w:r>
      <w:r w:rsidR="007636BA" w:rsidRPr="00FB109B">
        <w:rPr>
          <w:rFonts w:cstheme="minorHAnsi"/>
          <w:sz w:val="20"/>
          <w:szCs w:val="20"/>
          <w:lang w:val="en-IE"/>
        </w:rPr>
        <w:t>, as more risk is retained at lower l</w:t>
      </w:r>
      <w:r w:rsidR="00940BB7">
        <w:rPr>
          <w:rFonts w:cstheme="minorHAnsi"/>
          <w:sz w:val="20"/>
          <w:szCs w:val="20"/>
          <w:lang w:val="en-IE"/>
        </w:rPr>
        <w:t>ayer</w:t>
      </w:r>
      <w:r w:rsidR="007636BA" w:rsidRPr="00FB109B">
        <w:rPr>
          <w:rFonts w:cstheme="minorHAnsi"/>
          <w:sz w:val="20"/>
          <w:szCs w:val="20"/>
          <w:lang w:val="en-IE"/>
        </w:rPr>
        <w:t xml:space="preserve">s. </w:t>
      </w:r>
      <w:r w:rsidR="003E0286" w:rsidRPr="0079657D">
        <w:rPr>
          <w:rFonts w:cstheme="minorHAnsi"/>
          <w:sz w:val="20"/>
          <w:szCs w:val="20"/>
          <w:lang w:val="en-IE"/>
        </w:rPr>
        <w:t xml:space="preserve">Reinsurance market conditions and pricing increases incurred over recent years have diminished the value of lower layer protection. While the levels of expected reinsurance recoveries will reduce </w:t>
      </w:r>
      <w:proofErr w:type="gramStart"/>
      <w:r w:rsidR="003E0286" w:rsidRPr="0079657D">
        <w:rPr>
          <w:rFonts w:cstheme="minorHAnsi"/>
          <w:sz w:val="20"/>
          <w:szCs w:val="20"/>
          <w:lang w:val="en-IE"/>
        </w:rPr>
        <w:t>as a result of</w:t>
      </w:r>
      <w:proofErr w:type="gramEnd"/>
      <w:r w:rsidR="003E0286" w:rsidRPr="0079657D">
        <w:rPr>
          <w:rFonts w:cstheme="minorHAnsi"/>
          <w:sz w:val="20"/>
          <w:szCs w:val="20"/>
          <w:lang w:val="en-IE"/>
        </w:rPr>
        <w:t xml:space="preserve"> the changes, the reduced reinsurance premium would mean an expected net benefit to FBD in a typical year. </w:t>
      </w:r>
      <w:proofErr w:type="gramStart"/>
      <w:r w:rsidR="003E0286" w:rsidRPr="0079657D">
        <w:rPr>
          <w:rFonts w:cstheme="minorHAnsi"/>
          <w:sz w:val="20"/>
          <w:szCs w:val="20"/>
          <w:lang w:val="en-IE"/>
        </w:rPr>
        <w:t>Overall</w:t>
      </w:r>
      <w:proofErr w:type="gramEnd"/>
      <w:r w:rsidR="003E0286" w:rsidRPr="0079657D">
        <w:rPr>
          <w:rFonts w:cstheme="minorHAnsi"/>
          <w:sz w:val="20"/>
          <w:szCs w:val="20"/>
          <w:lang w:val="en-IE"/>
        </w:rPr>
        <w:t xml:space="preserve"> we saw an increase in reinsurance rates for </w:t>
      </w:r>
      <w:r w:rsidR="001F3216">
        <w:rPr>
          <w:rFonts w:cstheme="minorHAnsi"/>
          <w:sz w:val="20"/>
          <w:szCs w:val="20"/>
          <w:lang w:val="en-IE"/>
        </w:rPr>
        <w:t>P</w:t>
      </w:r>
      <w:r w:rsidR="003E0286" w:rsidRPr="0079657D">
        <w:rPr>
          <w:rFonts w:cstheme="minorHAnsi"/>
          <w:sz w:val="20"/>
          <w:szCs w:val="20"/>
          <w:lang w:val="en-IE"/>
        </w:rPr>
        <w:t>roperty of 5.5% and Casualty of 8.5%</w:t>
      </w:r>
      <w:r w:rsidR="0079657D">
        <w:rPr>
          <w:rFonts w:cstheme="minorHAnsi"/>
          <w:sz w:val="20"/>
          <w:szCs w:val="20"/>
          <w:lang w:val="en-IE"/>
        </w:rPr>
        <w:t xml:space="preserve"> on the comparable renewed cover</w:t>
      </w:r>
      <w:r w:rsidR="003E0286" w:rsidRPr="0079657D">
        <w:rPr>
          <w:rFonts w:cstheme="minorHAnsi"/>
          <w:sz w:val="20"/>
          <w:szCs w:val="20"/>
          <w:lang w:val="en-IE"/>
        </w:rPr>
        <w:t>.</w:t>
      </w:r>
    </w:p>
    <w:p w14:paraId="676A8F9C" w14:textId="77777777" w:rsidR="00A5626B" w:rsidRDefault="00A5626B" w:rsidP="00541CAF">
      <w:pPr>
        <w:pStyle w:val="NoSpacing"/>
        <w:jc w:val="both"/>
        <w:rPr>
          <w:rFonts w:cstheme="minorHAnsi"/>
          <w:sz w:val="20"/>
          <w:szCs w:val="20"/>
          <w:lang w:val="en-IE"/>
        </w:rPr>
      </w:pPr>
    </w:p>
    <w:p w14:paraId="0BD5F9AC" w14:textId="1656286E" w:rsidR="00541CAF" w:rsidRPr="00E63465" w:rsidRDefault="00E71728" w:rsidP="00541CAF">
      <w:pPr>
        <w:pStyle w:val="NoSpacing"/>
        <w:jc w:val="both"/>
        <w:rPr>
          <w:rFonts w:cstheme="minorHAnsi"/>
          <w:sz w:val="20"/>
          <w:szCs w:val="20"/>
          <w:lang w:val="en-IE"/>
        </w:rPr>
      </w:pPr>
      <w:r>
        <w:rPr>
          <w:rFonts w:cstheme="minorHAnsi"/>
          <w:sz w:val="20"/>
          <w:szCs w:val="20"/>
          <w:lang w:val="en-IE"/>
        </w:rPr>
        <w:t>For 2023, t</w:t>
      </w:r>
      <w:r w:rsidR="00541CAF" w:rsidRPr="00FB109B">
        <w:rPr>
          <w:rFonts w:cstheme="minorHAnsi"/>
          <w:sz w:val="20"/>
          <w:szCs w:val="20"/>
          <w:lang w:val="en-IE"/>
        </w:rPr>
        <w:t>he net expense from reinsurance contracts held</w:t>
      </w:r>
      <w:r w:rsidR="00541CAF" w:rsidRPr="00294A1C">
        <w:rPr>
          <w:rFonts w:cstheme="minorHAnsi"/>
          <w:sz w:val="20"/>
          <w:szCs w:val="20"/>
          <w:lang w:val="en-IE"/>
        </w:rPr>
        <w:t xml:space="preserve"> increased by €</w:t>
      </w:r>
      <w:r w:rsidR="00E63465" w:rsidRPr="00294A1C">
        <w:rPr>
          <w:rFonts w:cstheme="minorHAnsi"/>
          <w:sz w:val="20"/>
          <w:szCs w:val="20"/>
          <w:lang w:val="en-IE"/>
        </w:rPr>
        <w:t>17.9</w:t>
      </w:r>
      <w:r w:rsidR="00541CAF" w:rsidRPr="00294A1C">
        <w:rPr>
          <w:rFonts w:cstheme="minorHAnsi"/>
          <w:sz w:val="20"/>
          <w:szCs w:val="20"/>
          <w:lang w:val="en-IE"/>
        </w:rPr>
        <w:t xml:space="preserve">m </w:t>
      </w:r>
      <w:r>
        <w:rPr>
          <w:rFonts w:cstheme="minorHAnsi"/>
          <w:sz w:val="20"/>
          <w:szCs w:val="20"/>
          <w:lang w:val="en-IE"/>
        </w:rPr>
        <w:t xml:space="preserve">due to a reduction in the level of </w:t>
      </w:r>
      <w:r w:rsidR="00541CAF" w:rsidRPr="00294A1C">
        <w:rPr>
          <w:rFonts w:cstheme="minorHAnsi"/>
          <w:sz w:val="20"/>
          <w:szCs w:val="20"/>
          <w:lang w:val="en-IE"/>
        </w:rPr>
        <w:t xml:space="preserve">expected recoveries </w:t>
      </w:r>
      <w:r>
        <w:rPr>
          <w:rFonts w:cstheme="minorHAnsi"/>
          <w:sz w:val="20"/>
          <w:szCs w:val="20"/>
          <w:lang w:val="en-IE"/>
        </w:rPr>
        <w:t>relating to</w:t>
      </w:r>
      <w:r w:rsidR="00541CAF" w:rsidRPr="00294A1C">
        <w:rPr>
          <w:rFonts w:cstheme="minorHAnsi"/>
          <w:sz w:val="20"/>
          <w:szCs w:val="20"/>
          <w:lang w:val="en-IE"/>
        </w:rPr>
        <w:t xml:space="preserve"> Business</w:t>
      </w:r>
      <w:r w:rsidR="00541CAF" w:rsidRPr="00E63465">
        <w:rPr>
          <w:rFonts w:cstheme="minorHAnsi"/>
          <w:sz w:val="20"/>
          <w:szCs w:val="20"/>
          <w:lang w:val="en-IE"/>
        </w:rPr>
        <w:t xml:space="preserve"> Interruption claims</w:t>
      </w:r>
      <w:r w:rsidR="00A5626B">
        <w:rPr>
          <w:rFonts w:cstheme="minorHAnsi"/>
          <w:sz w:val="20"/>
          <w:szCs w:val="20"/>
          <w:lang w:val="en-IE"/>
        </w:rPr>
        <w:t>,</w:t>
      </w:r>
      <w:r>
        <w:rPr>
          <w:rFonts w:cstheme="minorHAnsi"/>
          <w:sz w:val="20"/>
          <w:szCs w:val="20"/>
          <w:lang w:val="en-IE"/>
        </w:rPr>
        <w:t xml:space="preserve"> </w:t>
      </w:r>
      <w:proofErr w:type="gramStart"/>
      <w:r>
        <w:rPr>
          <w:rFonts w:cstheme="minorHAnsi"/>
          <w:sz w:val="20"/>
          <w:szCs w:val="20"/>
          <w:lang w:val="en-IE"/>
        </w:rPr>
        <w:t>as a result of</w:t>
      </w:r>
      <w:proofErr w:type="gramEnd"/>
      <w:r>
        <w:rPr>
          <w:rFonts w:cstheme="minorHAnsi"/>
          <w:sz w:val="20"/>
          <w:szCs w:val="20"/>
          <w:lang w:val="en-IE"/>
        </w:rPr>
        <w:t xml:space="preserve"> the reduction in the associated gross best estimate</w:t>
      </w:r>
      <w:r w:rsidR="00541CAF" w:rsidRPr="00E63465">
        <w:rPr>
          <w:rFonts w:cstheme="minorHAnsi"/>
          <w:sz w:val="20"/>
          <w:szCs w:val="20"/>
          <w:lang w:val="en-IE"/>
        </w:rPr>
        <w:t xml:space="preserve">, as well as </w:t>
      </w:r>
      <w:r>
        <w:rPr>
          <w:rFonts w:cstheme="minorHAnsi"/>
          <w:sz w:val="20"/>
          <w:szCs w:val="20"/>
          <w:lang w:val="en-IE"/>
        </w:rPr>
        <w:t xml:space="preserve">increased </w:t>
      </w:r>
      <w:r w:rsidR="00541CAF" w:rsidRPr="00E63465">
        <w:rPr>
          <w:rFonts w:cstheme="minorHAnsi"/>
          <w:sz w:val="20"/>
          <w:szCs w:val="20"/>
          <w:lang w:val="en-IE"/>
        </w:rPr>
        <w:t xml:space="preserve">reinsurance premium. </w:t>
      </w:r>
    </w:p>
    <w:bookmarkEnd w:id="9"/>
    <w:p w14:paraId="3CA29ECE" w14:textId="77777777" w:rsidR="008B2C1D" w:rsidRPr="008B2C1D" w:rsidRDefault="008B2C1D" w:rsidP="008B2C1D">
      <w:pPr>
        <w:jc w:val="both"/>
        <w:rPr>
          <w:rFonts w:asciiTheme="minorHAnsi" w:eastAsiaTheme="minorHAnsi" w:hAnsiTheme="minorHAnsi" w:cstheme="minorHAnsi"/>
          <w:lang w:val="en-IE"/>
        </w:rPr>
      </w:pPr>
    </w:p>
    <w:p w14:paraId="59125429" w14:textId="77777777" w:rsidR="008B2C1D" w:rsidRPr="005E14F0" w:rsidRDefault="008B2C1D" w:rsidP="008B2C1D">
      <w:pPr>
        <w:jc w:val="both"/>
        <w:rPr>
          <w:rFonts w:asciiTheme="minorHAnsi" w:eastAsiaTheme="minorHAnsi" w:hAnsiTheme="minorHAnsi" w:cstheme="minorHAnsi"/>
          <w:b/>
          <w:u w:val="single"/>
          <w:lang w:val="en-IE"/>
        </w:rPr>
      </w:pPr>
      <w:r w:rsidRPr="005E14F0">
        <w:rPr>
          <w:rFonts w:asciiTheme="minorHAnsi" w:eastAsiaTheme="minorHAnsi" w:hAnsiTheme="minorHAnsi" w:cstheme="minorHAnsi"/>
          <w:b/>
          <w:u w:val="single"/>
          <w:lang w:val="en-IE"/>
        </w:rPr>
        <w:t>Expenses</w:t>
      </w:r>
    </w:p>
    <w:p w14:paraId="2F339F0F" w14:textId="6AC1E577" w:rsidR="008B2C1D" w:rsidRPr="00E32F3C" w:rsidRDefault="008B2C1D" w:rsidP="008B2C1D">
      <w:pPr>
        <w:jc w:val="both"/>
        <w:rPr>
          <w:rFonts w:asciiTheme="minorHAnsi" w:eastAsiaTheme="minorHAnsi" w:hAnsiTheme="minorHAnsi" w:cstheme="minorHAnsi"/>
          <w:lang w:val="en-IE"/>
        </w:rPr>
      </w:pPr>
      <w:r w:rsidRPr="00E32F3C">
        <w:rPr>
          <w:rFonts w:asciiTheme="minorHAnsi" w:eastAsiaTheme="minorHAnsi" w:hAnsiTheme="minorHAnsi" w:cstheme="minorHAnsi"/>
          <w:lang w:val="en-IE"/>
        </w:rPr>
        <w:t xml:space="preserve">The Group’s expense ratio is 27.4% (2022: 27.3%). Insurance acquisition expenses and </w:t>
      </w:r>
      <w:proofErr w:type="gramStart"/>
      <w:r w:rsidRPr="00E32F3C">
        <w:rPr>
          <w:rFonts w:asciiTheme="minorHAnsi" w:eastAsiaTheme="minorHAnsi" w:hAnsiTheme="minorHAnsi" w:cstheme="minorHAnsi"/>
          <w:lang w:val="en-IE"/>
        </w:rPr>
        <w:t>Non-attributable</w:t>
      </w:r>
      <w:proofErr w:type="gramEnd"/>
      <w:r w:rsidRPr="00E32F3C">
        <w:rPr>
          <w:rFonts w:asciiTheme="minorHAnsi" w:eastAsiaTheme="minorHAnsi" w:hAnsiTheme="minorHAnsi" w:cstheme="minorHAnsi"/>
          <w:lang w:val="en-IE"/>
        </w:rPr>
        <w:t xml:space="preserve"> expenses are combined to calculate the total expense cost of €109.9m (2022: €103.6m). The 6% increase is made up of inflationary impacts on salary costs, IT spend and other utility costs. Commission also increased as our partnerships with intermediaries continue to grow.</w:t>
      </w:r>
    </w:p>
    <w:p w14:paraId="6ED6AC73" w14:textId="77777777" w:rsidR="008B2C1D" w:rsidRDefault="008B2C1D" w:rsidP="00437096">
      <w:pPr>
        <w:pStyle w:val="NoSpacing"/>
        <w:jc w:val="both"/>
        <w:rPr>
          <w:rFonts w:cstheme="minorHAnsi"/>
          <w:sz w:val="20"/>
          <w:szCs w:val="20"/>
          <w:highlight w:val="cyan"/>
          <w:lang w:val="en-IE"/>
        </w:rPr>
      </w:pPr>
    </w:p>
    <w:p w14:paraId="7A5FF257" w14:textId="6BEFE4E1" w:rsidR="00E56E40" w:rsidRPr="00E56E40" w:rsidRDefault="00E56E40" w:rsidP="00437096">
      <w:pPr>
        <w:pStyle w:val="NoSpacing"/>
        <w:jc w:val="both"/>
        <w:rPr>
          <w:rFonts w:cstheme="minorHAnsi"/>
          <w:b/>
          <w:bCs/>
          <w:sz w:val="20"/>
          <w:szCs w:val="20"/>
          <w:u w:val="single"/>
          <w:lang w:val="en-IE"/>
        </w:rPr>
      </w:pPr>
      <w:r w:rsidRPr="00E56E40">
        <w:rPr>
          <w:rFonts w:cstheme="minorHAnsi"/>
          <w:b/>
          <w:bCs/>
          <w:sz w:val="20"/>
          <w:szCs w:val="20"/>
          <w:u w:val="single"/>
          <w:lang w:val="en-IE"/>
        </w:rPr>
        <w:t xml:space="preserve">Other </w:t>
      </w:r>
      <w:r w:rsidR="00FA6091">
        <w:rPr>
          <w:rFonts w:cstheme="minorHAnsi"/>
          <w:b/>
          <w:bCs/>
          <w:sz w:val="20"/>
          <w:szCs w:val="20"/>
          <w:u w:val="single"/>
          <w:lang w:val="en-IE"/>
        </w:rPr>
        <w:t>P</w:t>
      </w:r>
      <w:r w:rsidRPr="00E56E40">
        <w:rPr>
          <w:rFonts w:cstheme="minorHAnsi"/>
          <w:b/>
          <w:bCs/>
          <w:sz w:val="20"/>
          <w:szCs w:val="20"/>
          <w:u w:val="single"/>
          <w:lang w:val="en-IE"/>
        </w:rPr>
        <w:t>rovisions</w:t>
      </w:r>
    </w:p>
    <w:p w14:paraId="4DB5A0F4" w14:textId="6D2C89D7" w:rsidR="00E56E40" w:rsidRDefault="00E56E40" w:rsidP="00E56E40">
      <w:pPr>
        <w:jc w:val="both"/>
        <w:rPr>
          <w:rFonts w:ascii="Calibri" w:eastAsiaTheme="minorHAnsi" w:hAnsi="Calibri" w:cs="Calibri"/>
          <w:lang w:val="en-IE"/>
        </w:rPr>
      </w:pPr>
      <w:r w:rsidRPr="00A97B3A">
        <w:rPr>
          <w:rFonts w:ascii="Calibri" w:eastAsiaTheme="minorHAnsi" w:hAnsi="Calibri" w:cs="Calibri"/>
          <w:lang w:val="en-IE"/>
        </w:rPr>
        <w:t xml:space="preserve">Movement in </w:t>
      </w:r>
      <w:r w:rsidR="006979CE">
        <w:rPr>
          <w:rFonts w:ascii="Calibri" w:eastAsiaTheme="minorHAnsi" w:hAnsi="Calibri" w:cs="Calibri"/>
          <w:lang w:val="en-IE"/>
        </w:rPr>
        <w:t>o</w:t>
      </w:r>
      <w:r w:rsidRPr="00A97B3A">
        <w:rPr>
          <w:rFonts w:ascii="Calibri" w:eastAsiaTheme="minorHAnsi" w:hAnsi="Calibri" w:cs="Calibri"/>
          <w:lang w:val="en-IE"/>
        </w:rPr>
        <w:t xml:space="preserve">ther provisions increased by €9.9m to €18.3m (2022: €8.4m), with the increase relating to the </w:t>
      </w:r>
      <w:r w:rsidRPr="00326EA3">
        <w:rPr>
          <w:rFonts w:ascii="Calibri" w:eastAsiaTheme="minorHAnsi" w:hAnsi="Calibri" w:cs="Calibri"/>
          <w:lang w:val="en-IE"/>
        </w:rPr>
        <w:t xml:space="preserve">provision for </w:t>
      </w:r>
      <w:r w:rsidRPr="00326EA3">
        <w:rPr>
          <w:rFonts w:ascii="Calibri" w:hAnsi="Calibri" w:cs="Calibri"/>
          <w:lang w:val="en-IE"/>
        </w:rPr>
        <w:t xml:space="preserve">our current estimate of the cost of </w:t>
      </w:r>
      <w:r w:rsidRPr="00326EA3">
        <w:rPr>
          <w:rFonts w:ascii="Calibri" w:eastAsiaTheme="minorHAnsi" w:hAnsi="Calibri" w:cs="Calibri"/>
          <w:lang w:val="en-IE"/>
        </w:rPr>
        <w:t>a constructive obligation</w:t>
      </w:r>
      <w:r w:rsidRPr="00326EA3">
        <w:rPr>
          <w:rFonts w:ascii="Calibri" w:hAnsi="Calibri" w:cs="Calibri"/>
          <w:lang w:val="en-IE"/>
        </w:rPr>
        <w:t xml:space="preserve"> arising from</w:t>
      </w:r>
      <w:r w:rsidRPr="00326EA3">
        <w:rPr>
          <w:rFonts w:ascii="Calibri" w:eastAsiaTheme="minorHAnsi" w:hAnsi="Calibri" w:cs="Calibri"/>
          <w:lang w:val="en-IE"/>
        </w:rPr>
        <w:t xml:space="preserve"> the deduction of State subsidies paid to claimants under Business Interruption of €6.2m, as well as the €2.5m </w:t>
      </w:r>
      <w:r w:rsidRPr="002972F1">
        <w:rPr>
          <w:rFonts w:ascii="Calibri" w:eastAsiaTheme="minorHAnsi" w:hAnsi="Calibri" w:cs="Calibri"/>
          <w:lang w:val="en-IE"/>
        </w:rPr>
        <w:t>ESG initiative</w:t>
      </w:r>
      <w:r w:rsidRPr="002972F1">
        <w:rPr>
          <w:rFonts w:asciiTheme="minorHAnsi" w:eastAsiaTheme="minorHAnsi" w:hAnsiTheme="minorHAnsi" w:cstheme="minorHAnsi"/>
          <w:lang w:val="en-IE"/>
        </w:rPr>
        <w:t xml:space="preserve"> for </w:t>
      </w:r>
      <w:r w:rsidRPr="002972F1">
        <w:rPr>
          <w:rFonts w:ascii="Calibri" w:hAnsi="Calibri" w:cs="Calibri"/>
        </w:rPr>
        <w:t>The Padraig Walshe Centre</w:t>
      </w:r>
      <w:r>
        <w:rPr>
          <w:rFonts w:ascii="Calibri" w:hAnsi="Calibri" w:cs="Calibri"/>
        </w:rPr>
        <w:t xml:space="preserve"> </w:t>
      </w:r>
      <w:r w:rsidRPr="007F6B4B">
        <w:rPr>
          <w:rFonts w:asciiTheme="minorHAnsi" w:hAnsiTheme="minorHAnsi" w:cstheme="minorHAnsi"/>
          <w:lang w:val="en-IE"/>
        </w:rPr>
        <w:t>for Sustainable Animal and Grassland Research</w:t>
      </w:r>
      <w:r w:rsidRPr="00326EA3">
        <w:rPr>
          <w:rFonts w:ascii="Calibri" w:eastAsiaTheme="minorHAnsi" w:hAnsi="Calibri" w:cs="Calibri"/>
          <w:lang w:val="en-IE"/>
        </w:rPr>
        <w:t>. The other elements of the Movement in other provisions are the Motor Insurers</w:t>
      </w:r>
      <w:r w:rsidRPr="00EB1431">
        <w:rPr>
          <w:rFonts w:ascii="Calibri" w:eastAsiaTheme="minorHAnsi" w:hAnsi="Calibri" w:cs="Calibri"/>
          <w:lang w:val="en-IE"/>
        </w:rPr>
        <w:t xml:space="preserve"> Bureau of Ireland (MIBI) levy and the Motor</w:t>
      </w:r>
      <w:r w:rsidRPr="00A97B3A">
        <w:rPr>
          <w:rFonts w:ascii="Calibri" w:eastAsiaTheme="minorHAnsi" w:hAnsi="Calibri" w:cs="Calibri"/>
          <w:lang w:val="en-IE"/>
        </w:rPr>
        <w:t xml:space="preserve"> Insurers Insolvency Compensation Fund (MIICF) contribution.</w:t>
      </w:r>
      <w:r>
        <w:rPr>
          <w:rFonts w:ascii="Calibri" w:eastAsiaTheme="minorHAnsi" w:hAnsi="Calibri" w:cs="Calibri"/>
          <w:lang w:val="en-IE"/>
        </w:rPr>
        <w:t xml:space="preserve"> </w:t>
      </w:r>
    </w:p>
    <w:p w14:paraId="4BEC8024" w14:textId="77777777" w:rsidR="00E56E40" w:rsidRPr="00465E1A" w:rsidRDefault="00E56E40" w:rsidP="00E56E40">
      <w:pPr>
        <w:pStyle w:val="NoSpacing"/>
        <w:jc w:val="both"/>
        <w:rPr>
          <w:rFonts w:ascii="Calibri" w:hAnsi="Calibri" w:cs="Calibri"/>
          <w:sz w:val="20"/>
          <w:szCs w:val="20"/>
          <w:lang w:val="en-IE"/>
        </w:rPr>
      </w:pPr>
    </w:p>
    <w:p w14:paraId="15EAEE67" w14:textId="77777777" w:rsidR="00955A1C" w:rsidRDefault="00955A1C" w:rsidP="000845A8">
      <w:pPr>
        <w:jc w:val="both"/>
        <w:rPr>
          <w:rFonts w:asciiTheme="minorHAnsi" w:eastAsiaTheme="minorHAnsi" w:hAnsiTheme="minorHAnsi" w:cstheme="minorHAnsi"/>
          <w:b/>
          <w:bCs/>
          <w:lang w:val="en-IE"/>
        </w:rPr>
      </w:pPr>
    </w:p>
    <w:p w14:paraId="1EBD7B49" w14:textId="168C0D67" w:rsidR="00A76460" w:rsidRPr="008B2C1D" w:rsidRDefault="008B2C1D" w:rsidP="000845A8">
      <w:pPr>
        <w:jc w:val="both"/>
        <w:rPr>
          <w:rFonts w:asciiTheme="minorHAnsi" w:eastAsiaTheme="minorHAnsi" w:hAnsiTheme="minorHAnsi" w:cstheme="minorHAnsi"/>
          <w:b/>
          <w:bCs/>
          <w:lang w:val="en-IE"/>
        </w:rPr>
      </w:pPr>
      <w:r w:rsidRPr="008B2C1D">
        <w:rPr>
          <w:rFonts w:asciiTheme="minorHAnsi" w:eastAsiaTheme="minorHAnsi" w:hAnsiTheme="minorHAnsi" w:cstheme="minorHAnsi"/>
          <w:b/>
          <w:bCs/>
          <w:lang w:val="en-IE"/>
        </w:rPr>
        <w:t>INDUSTRY ENVIRONMENT</w:t>
      </w:r>
    </w:p>
    <w:p w14:paraId="11A1A9DC" w14:textId="77777777" w:rsidR="00417836" w:rsidRDefault="00417836" w:rsidP="000845A8">
      <w:pPr>
        <w:jc w:val="both"/>
        <w:rPr>
          <w:rFonts w:asciiTheme="minorHAnsi" w:eastAsiaTheme="minorHAnsi" w:hAnsiTheme="minorHAnsi" w:cstheme="minorHAnsi"/>
          <w:b/>
          <w:bCs/>
          <w:sz w:val="22"/>
          <w:szCs w:val="22"/>
          <w:u w:val="single"/>
          <w:lang w:val="en-IE"/>
        </w:rPr>
      </w:pPr>
    </w:p>
    <w:p w14:paraId="76A2BCFA" w14:textId="77777777" w:rsidR="00955A1C" w:rsidRPr="008B2C1D" w:rsidRDefault="00955A1C" w:rsidP="000845A8">
      <w:pPr>
        <w:jc w:val="both"/>
        <w:rPr>
          <w:rFonts w:asciiTheme="minorHAnsi" w:eastAsiaTheme="minorHAnsi" w:hAnsiTheme="minorHAnsi" w:cstheme="minorHAnsi"/>
          <w:b/>
          <w:bCs/>
          <w:sz w:val="22"/>
          <w:szCs w:val="22"/>
          <w:u w:val="single"/>
          <w:lang w:val="en-IE"/>
        </w:rPr>
      </w:pPr>
    </w:p>
    <w:p w14:paraId="5D72B034" w14:textId="612B4648" w:rsidR="00A1498A" w:rsidRPr="00E32F3C" w:rsidRDefault="00196769" w:rsidP="00A1498A">
      <w:pPr>
        <w:pStyle w:val="NoSpacing"/>
        <w:jc w:val="both"/>
        <w:rPr>
          <w:rFonts w:cstheme="minorHAnsi"/>
          <w:sz w:val="20"/>
          <w:szCs w:val="20"/>
          <w:lang w:val="en-IE"/>
        </w:rPr>
      </w:pPr>
      <w:r w:rsidRPr="00E32F3C">
        <w:rPr>
          <w:rFonts w:cstheme="minorHAnsi"/>
          <w:sz w:val="20"/>
          <w:szCs w:val="20"/>
          <w:lang w:val="en-IE"/>
        </w:rPr>
        <w:t xml:space="preserve">An appeal to the Supreme Court in respect of the Personal Injury Guidelines was heard at the end of February 2023. We are awaiting the </w:t>
      </w:r>
      <w:r w:rsidR="00487394" w:rsidRPr="00E32F3C">
        <w:rPr>
          <w:rFonts w:cstheme="minorHAnsi"/>
          <w:sz w:val="20"/>
          <w:szCs w:val="20"/>
          <w:lang w:val="en-IE"/>
        </w:rPr>
        <w:t>Judgement but</w:t>
      </w:r>
      <w:r w:rsidRPr="00E32F3C">
        <w:rPr>
          <w:rFonts w:cstheme="minorHAnsi"/>
          <w:sz w:val="20"/>
          <w:szCs w:val="20"/>
          <w:lang w:val="en-IE"/>
        </w:rPr>
        <w:t xml:space="preserve"> have no indication as to the timeline for delivery. Court backlogs have eased, with trial dates secured within pre-Covid timelines, however, we note Claimants’ Solicitors still have a greater say around the timing of cases being called for trial. </w:t>
      </w:r>
      <w:r w:rsidR="005A170B" w:rsidRPr="00E32F3C">
        <w:rPr>
          <w:rFonts w:cstheme="minorHAnsi"/>
          <w:sz w:val="20"/>
          <w:szCs w:val="20"/>
          <w:lang w:val="en-IE"/>
        </w:rPr>
        <w:t>Injury claims settlement rates are down 9% year on year.</w:t>
      </w:r>
    </w:p>
    <w:p w14:paraId="31B7416E" w14:textId="77777777" w:rsidR="00A1498A" w:rsidRPr="00E32F3C" w:rsidRDefault="00A1498A" w:rsidP="00A1498A">
      <w:pPr>
        <w:pStyle w:val="NoSpacing"/>
        <w:jc w:val="both"/>
        <w:rPr>
          <w:rFonts w:cstheme="minorHAnsi"/>
          <w:sz w:val="20"/>
          <w:szCs w:val="20"/>
          <w:lang w:val="en-IE"/>
        </w:rPr>
      </w:pPr>
    </w:p>
    <w:p w14:paraId="19CA3EFB" w14:textId="750A8140" w:rsidR="00274D25" w:rsidRPr="00E32F3C" w:rsidRDefault="00A1498A" w:rsidP="00274D25">
      <w:pPr>
        <w:jc w:val="both"/>
        <w:rPr>
          <w:rFonts w:asciiTheme="minorHAnsi" w:eastAsiaTheme="minorHAnsi" w:hAnsiTheme="minorHAnsi" w:cstheme="minorHAnsi"/>
          <w:lang w:val="en-IE"/>
        </w:rPr>
      </w:pPr>
      <w:r w:rsidRPr="00E32F3C">
        <w:rPr>
          <w:rFonts w:asciiTheme="minorHAnsi" w:eastAsiaTheme="minorHAnsi" w:hAnsiTheme="minorHAnsi" w:cstheme="minorHAnsi"/>
          <w:lang w:val="en-IE"/>
        </w:rPr>
        <w:t>We still await the outcome of the review to determine if the Judiciary or the Minister of Justice and Equality should be allowed to determine the discount rate and review it at intervals. The delay in this decision may raise the potential of a challenge to the discount rate. The Court &amp; Civil Law (Miscellaneous Provisions) Bill 2022 was signed into law in July 2023. Part 3 of the Act sets out that the indexation of periodic payment orders will no longer be fixed solely on the Consumer Price Index. Instead, the indexation rate will be set by ministerial regulations based on a broad range of more flexible factors.</w:t>
      </w:r>
      <w:r w:rsidR="00274D25" w:rsidRPr="00E32F3C">
        <w:rPr>
          <w:rFonts w:asciiTheme="minorHAnsi" w:eastAsiaTheme="minorHAnsi" w:hAnsiTheme="minorHAnsi" w:cstheme="minorHAnsi"/>
          <w:lang w:val="en-IE"/>
        </w:rPr>
        <w:t xml:space="preserve"> A committee was established to consider and make recommendations on a suitable indexation rate to the Minister. These recommendations and ministerial regulations are still awaited.</w:t>
      </w:r>
    </w:p>
    <w:p w14:paraId="5576D176" w14:textId="77777777" w:rsidR="00A1498A" w:rsidRPr="005B12AE" w:rsidRDefault="00A1498A" w:rsidP="00A1498A">
      <w:pPr>
        <w:pStyle w:val="NoSpacing"/>
        <w:rPr>
          <w:rFonts w:ascii="Calibri" w:hAnsi="Calibri" w:cs="Calibri"/>
          <w:sz w:val="20"/>
          <w:szCs w:val="20"/>
          <w:lang w:val="en-IE"/>
        </w:rPr>
      </w:pPr>
    </w:p>
    <w:p w14:paraId="4A4E7EC6" w14:textId="78E15905" w:rsidR="00A1498A" w:rsidRPr="005B12AE" w:rsidRDefault="00A1498A" w:rsidP="00A1498A">
      <w:pPr>
        <w:pStyle w:val="NoSpacing"/>
        <w:rPr>
          <w:rFonts w:ascii="Calibri" w:hAnsi="Calibri" w:cs="Calibri"/>
          <w:sz w:val="20"/>
          <w:szCs w:val="20"/>
          <w:lang w:val="en-IE"/>
        </w:rPr>
      </w:pPr>
      <w:r w:rsidRPr="005B12AE">
        <w:rPr>
          <w:rFonts w:ascii="Calibri" w:hAnsi="Calibri" w:cs="Calibri"/>
          <w:sz w:val="20"/>
          <w:szCs w:val="20"/>
          <w:lang w:val="en-IE"/>
        </w:rPr>
        <w:t xml:space="preserve">The following legislative changes impacting insurance </w:t>
      </w:r>
      <w:r w:rsidR="00274D25" w:rsidRPr="005B12AE">
        <w:rPr>
          <w:rFonts w:ascii="Calibri" w:hAnsi="Calibri" w:cs="Calibri"/>
          <w:sz w:val="20"/>
          <w:szCs w:val="20"/>
          <w:lang w:val="en-IE"/>
        </w:rPr>
        <w:t>were</w:t>
      </w:r>
      <w:r w:rsidRPr="005B12AE">
        <w:rPr>
          <w:rFonts w:ascii="Calibri" w:hAnsi="Calibri" w:cs="Calibri"/>
          <w:sz w:val="20"/>
          <w:szCs w:val="20"/>
          <w:lang w:val="en-IE"/>
        </w:rPr>
        <w:t xml:space="preserve"> enacted </w:t>
      </w:r>
      <w:r w:rsidR="00274D25" w:rsidRPr="005B12AE">
        <w:rPr>
          <w:rFonts w:ascii="Calibri" w:hAnsi="Calibri" w:cs="Calibri"/>
          <w:sz w:val="20"/>
          <w:szCs w:val="20"/>
          <w:lang w:val="en-IE"/>
        </w:rPr>
        <w:t>during 2023</w:t>
      </w:r>
      <w:r w:rsidRPr="005B12AE">
        <w:rPr>
          <w:rFonts w:ascii="Calibri" w:hAnsi="Calibri" w:cs="Calibri"/>
          <w:sz w:val="20"/>
          <w:szCs w:val="20"/>
          <w:lang w:val="en-IE"/>
        </w:rPr>
        <w:t xml:space="preserve">: </w:t>
      </w:r>
    </w:p>
    <w:p w14:paraId="406242C7" w14:textId="77777777" w:rsidR="00A1498A" w:rsidRPr="005B12AE" w:rsidRDefault="00A1498A" w:rsidP="00A1498A">
      <w:pPr>
        <w:pStyle w:val="NoSpacing"/>
        <w:rPr>
          <w:rFonts w:ascii="Calibri" w:hAnsi="Calibri" w:cs="Calibri"/>
          <w:sz w:val="20"/>
          <w:szCs w:val="20"/>
          <w:lang w:val="en-IE"/>
        </w:rPr>
      </w:pPr>
    </w:p>
    <w:p w14:paraId="1CD35DD7" w14:textId="574DC7C5" w:rsidR="0014025A" w:rsidRPr="0014025A" w:rsidRDefault="00E2216F" w:rsidP="0014025A">
      <w:pPr>
        <w:pStyle w:val="NoSpacing"/>
        <w:numPr>
          <w:ilvl w:val="0"/>
          <w:numId w:val="34"/>
        </w:numPr>
        <w:jc w:val="both"/>
        <w:rPr>
          <w:rFonts w:cs="Gill Sans MT"/>
          <w:sz w:val="20"/>
          <w:szCs w:val="20"/>
        </w:rPr>
      </w:pPr>
      <w:r w:rsidRPr="0014025A">
        <w:rPr>
          <w:rFonts w:ascii="Calibri" w:hAnsi="Calibri" w:cs="Calibri"/>
          <w:sz w:val="20"/>
          <w:szCs w:val="20"/>
          <w:lang w:val="en-IE"/>
        </w:rPr>
        <w:t xml:space="preserve">Occupiers Liability Act 1995 – amendments were signed into law in July as part of the Courts and Civil Law (Miscellaneous Provisions) Bill 2022. </w:t>
      </w:r>
      <w:r w:rsidRPr="0014025A">
        <w:rPr>
          <w:rFonts w:cstheme="minorHAnsi"/>
          <w:sz w:val="20"/>
          <w:szCs w:val="20"/>
        </w:rPr>
        <w:t xml:space="preserve">This introduces the concept of “Voluntary Assumption of Risk”, which seeks to broaden the circumstances in which an occupier may be relieved of liability. </w:t>
      </w:r>
      <w:r w:rsidR="0014025A">
        <w:rPr>
          <w:rFonts w:cstheme="minorHAnsi"/>
          <w:sz w:val="20"/>
          <w:szCs w:val="20"/>
        </w:rPr>
        <w:t xml:space="preserve">An amendment </w:t>
      </w:r>
      <w:r w:rsidR="0014025A" w:rsidRPr="0014025A">
        <w:rPr>
          <w:rFonts w:cs="Gill Sans MT"/>
          <w:sz w:val="20"/>
          <w:szCs w:val="20"/>
        </w:rPr>
        <w:t>to the Act</w:t>
      </w:r>
      <w:r w:rsidR="0014025A">
        <w:rPr>
          <w:sz w:val="20"/>
          <w:szCs w:val="20"/>
        </w:rPr>
        <w:t xml:space="preserve"> ch</w:t>
      </w:r>
      <w:r w:rsidR="0014025A" w:rsidRPr="0014025A">
        <w:rPr>
          <w:sz w:val="20"/>
          <w:szCs w:val="20"/>
        </w:rPr>
        <w:t>anges the “common duty of care” provisions.</w:t>
      </w:r>
    </w:p>
    <w:p w14:paraId="14A8A5C3" w14:textId="426E1164" w:rsidR="00A1498A" w:rsidRPr="005B12AE" w:rsidRDefault="00A1498A" w:rsidP="00A1498A">
      <w:pPr>
        <w:pStyle w:val="NoSpacing"/>
        <w:numPr>
          <w:ilvl w:val="0"/>
          <w:numId w:val="34"/>
        </w:numPr>
        <w:jc w:val="both"/>
        <w:rPr>
          <w:rFonts w:cs="Gill Sans MT"/>
          <w:sz w:val="20"/>
          <w:szCs w:val="20"/>
        </w:rPr>
      </w:pPr>
      <w:r w:rsidRPr="005B12AE">
        <w:rPr>
          <w:rFonts w:cs="Gill Sans MT"/>
          <w:sz w:val="20"/>
          <w:szCs w:val="20"/>
        </w:rPr>
        <w:t xml:space="preserve">Irish Motor Insurance Database (IMID) - The next phase of the previously named Motor Third Party Liability project (MTPL) requires sharing of additional data on insured vehicles and drivers with Regulatory Authorities. </w:t>
      </w:r>
    </w:p>
    <w:p w14:paraId="24EBD8AC" w14:textId="77777777" w:rsidR="00A1498A" w:rsidRPr="005B12AE" w:rsidRDefault="00A1498A" w:rsidP="00A1498A">
      <w:pPr>
        <w:pStyle w:val="NoSpacing"/>
        <w:numPr>
          <w:ilvl w:val="0"/>
          <w:numId w:val="34"/>
        </w:numPr>
        <w:jc w:val="both"/>
        <w:rPr>
          <w:rFonts w:cs="Gill Sans MT"/>
          <w:sz w:val="20"/>
          <w:szCs w:val="20"/>
        </w:rPr>
      </w:pPr>
      <w:r w:rsidRPr="005B12AE">
        <w:rPr>
          <w:rFonts w:cs="Gill Sans MT"/>
          <w:sz w:val="20"/>
          <w:szCs w:val="20"/>
        </w:rPr>
        <w:t xml:space="preserve">The Road Traffic Act (RTA) legislation has been extended to better regulate the use of scramblers/quads and e-bike/e-scooters. </w:t>
      </w:r>
    </w:p>
    <w:p w14:paraId="06E4061F" w14:textId="77777777" w:rsidR="00A1498A" w:rsidRPr="005B12AE" w:rsidRDefault="00A1498A" w:rsidP="00A1498A">
      <w:pPr>
        <w:pStyle w:val="NoSpacing"/>
        <w:numPr>
          <w:ilvl w:val="0"/>
          <w:numId w:val="34"/>
        </w:numPr>
        <w:jc w:val="both"/>
        <w:rPr>
          <w:rFonts w:cs="Gill Sans MT"/>
          <w:sz w:val="20"/>
          <w:szCs w:val="20"/>
        </w:rPr>
      </w:pPr>
      <w:r w:rsidRPr="005B12AE">
        <w:rPr>
          <w:sz w:val="20"/>
          <w:szCs w:val="20"/>
        </w:rPr>
        <w:t xml:space="preserve">Assisted Decision Making Act - The Act came into effect on the 26 April 2023. We are working on </w:t>
      </w:r>
      <w:proofErr w:type="gramStart"/>
      <w:r w:rsidRPr="005B12AE">
        <w:rPr>
          <w:sz w:val="20"/>
          <w:szCs w:val="20"/>
        </w:rPr>
        <w:t>a number of</w:t>
      </w:r>
      <w:proofErr w:type="gramEnd"/>
      <w:r w:rsidRPr="005B12AE">
        <w:rPr>
          <w:sz w:val="20"/>
          <w:szCs w:val="20"/>
        </w:rPr>
        <w:t xml:space="preserve"> changes including updating our Vulnerable Customer Policy, scenario testing, reviewing the customer journey and training. </w:t>
      </w:r>
    </w:p>
    <w:p w14:paraId="3CF7699C" w14:textId="77777777" w:rsidR="00A1498A" w:rsidRPr="005B12AE" w:rsidRDefault="00A1498A" w:rsidP="00A1498A">
      <w:pPr>
        <w:pStyle w:val="NoSpacing"/>
        <w:jc w:val="both"/>
        <w:rPr>
          <w:rFonts w:cs="Gill Sans MT"/>
          <w:b/>
          <w:sz w:val="20"/>
          <w:szCs w:val="20"/>
        </w:rPr>
      </w:pPr>
    </w:p>
    <w:p w14:paraId="7A9B6C18" w14:textId="77777777" w:rsidR="00A1498A" w:rsidRPr="005B12AE" w:rsidRDefault="00A1498A" w:rsidP="00A1498A">
      <w:pPr>
        <w:pStyle w:val="NoSpacing"/>
        <w:jc w:val="both"/>
        <w:rPr>
          <w:rFonts w:cs="Gill Sans MT"/>
          <w:sz w:val="20"/>
          <w:szCs w:val="20"/>
        </w:rPr>
      </w:pPr>
      <w:proofErr w:type="gramStart"/>
      <w:r w:rsidRPr="005B12AE">
        <w:rPr>
          <w:rFonts w:cs="Gill Sans MT"/>
          <w:sz w:val="20"/>
          <w:szCs w:val="20"/>
        </w:rPr>
        <w:t>A number of</w:t>
      </w:r>
      <w:proofErr w:type="gramEnd"/>
      <w:r w:rsidRPr="005B12AE">
        <w:rPr>
          <w:rFonts w:cs="Gill Sans MT"/>
          <w:sz w:val="20"/>
          <w:szCs w:val="20"/>
        </w:rPr>
        <w:t xml:space="preserve"> additional changes impacting insurance are progressing through the legislative process:</w:t>
      </w:r>
    </w:p>
    <w:p w14:paraId="378EE089" w14:textId="77777777" w:rsidR="00A1498A" w:rsidRPr="005B12AE" w:rsidRDefault="00A1498A" w:rsidP="00A1498A">
      <w:pPr>
        <w:pStyle w:val="NoSpacing"/>
        <w:jc w:val="both"/>
        <w:rPr>
          <w:rFonts w:cs="Gill Sans MT"/>
          <w:sz w:val="20"/>
          <w:szCs w:val="20"/>
        </w:rPr>
      </w:pPr>
    </w:p>
    <w:p w14:paraId="7F48BF82" w14:textId="78210714" w:rsidR="00A1498A" w:rsidRPr="005B12AE" w:rsidRDefault="00A1498A" w:rsidP="00A1498A">
      <w:pPr>
        <w:pStyle w:val="NoSpacing"/>
        <w:numPr>
          <w:ilvl w:val="0"/>
          <w:numId w:val="34"/>
        </w:numPr>
        <w:jc w:val="both"/>
        <w:rPr>
          <w:rFonts w:cs="Gill Sans MT"/>
          <w:sz w:val="20"/>
          <w:szCs w:val="20"/>
        </w:rPr>
      </w:pPr>
      <w:r w:rsidRPr="005B12AE">
        <w:rPr>
          <w:rFonts w:cs="Gill Sans MT"/>
          <w:sz w:val="20"/>
          <w:szCs w:val="20"/>
        </w:rPr>
        <w:t xml:space="preserve">The </w:t>
      </w:r>
      <w:r w:rsidRPr="005B12AE">
        <w:rPr>
          <w:rFonts w:cs="Gill Sans MT"/>
          <w:b/>
          <w:bCs/>
          <w:sz w:val="20"/>
          <w:szCs w:val="20"/>
        </w:rPr>
        <w:t xml:space="preserve">Motor Insurance Directive (MID) </w:t>
      </w:r>
      <w:r w:rsidRPr="005B12AE">
        <w:rPr>
          <w:rFonts w:cs="Gill Sans MT"/>
          <w:sz w:val="20"/>
          <w:szCs w:val="20"/>
        </w:rPr>
        <w:t xml:space="preserve">primarily deals with the scope of compulsory insurance broadening the potential scenarios where RTA cover will apply. </w:t>
      </w:r>
    </w:p>
    <w:p w14:paraId="24E7D2F8" w14:textId="3CE7AF15" w:rsidR="00A1498A" w:rsidRPr="005B12AE" w:rsidRDefault="00A1498A" w:rsidP="00A1498A">
      <w:pPr>
        <w:pStyle w:val="NoSpacing"/>
        <w:numPr>
          <w:ilvl w:val="0"/>
          <w:numId w:val="34"/>
        </w:numPr>
        <w:jc w:val="both"/>
        <w:rPr>
          <w:rFonts w:cs="Gill Sans MT"/>
          <w:sz w:val="20"/>
          <w:szCs w:val="20"/>
        </w:rPr>
      </w:pPr>
      <w:r w:rsidRPr="005B12AE">
        <w:rPr>
          <w:b/>
          <w:bCs/>
          <w:sz w:val="20"/>
          <w:szCs w:val="20"/>
        </w:rPr>
        <w:t>Flood Insurance Bill -</w:t>
      </w:r>
      <w:r w:rsidRPr="005B12AE">
        <w:rPr>
          <w:rFonts w:cs="Gill Sans MT"/>
          <w:sz w:val="20"/>
          <w:szCs w:val="20"/>
        </w:rPr>
        <w:t xml:space="preserve"> </w:t>
      </w:r>
      <w:r w:rsidR="00274D25" w:rsidRPr="005B12AE">
        <w:rPr>
          <w:sz w:val="20"/>
          <w:szCs w:val="20"/>
        </w:rPr>
        <w:t>T</w:t>
      </w:r>
      <w:r w:rsidRPr="005B12AE">
        <w:rPr>
          <w:sz w:val="20"/>
          <w:szCs w:val="20"/>
        </w:rPr>
        <w:t>he purpose of the bill is to provide for fairness in the market for property insurance, which will force insurers to offer flood cover to homes and businesses in flood affected areas.</w:t>
      </w:r>
    </w:p>
    <w:p w14:paraId="6C952791" w14:textId="5D72A19B" w:rsidR="00A1498A" w:rsidRPr="005B12AE" w:rsidRDefault="00A1498A" w:rsidP="00A1498A">
      <w:pPr>
        <w:pStyle w:val="NoSpacing"/>
        <w:numPr>
          <w:ilvl w:val="0"/>
          <w:numId w:val="34"/>
        </w:numPr>
        <w:jc w:val="both"/>
        <w:rPr>
          <w:rFonts w:cs="Gill Sans MT"/>
          <w:sz w:val="20"/>
          <w:szCs w:val="20"/>
        </w:rPr>
      </w:pPr>
      <w:r w:rsidRPr="005B12AE">
        <w:rPr>
          <w:b/>
          <w:bCs/>
          <w:sz w:val="20"/>
          <w:szCs w:val="20"/>
        </w:rPr>
        <w:t xml:space="preserve">Protection of the Collective Interests of Consumers Bill 2023 - </w:t>
      </w:r>
      <w:r w:rsidRPr="005B12AE">
        <w:rPr>
          <w:sz w:val="20"/>
          <w:szCs w:val="20"/>
        </w:rPr>
        <w:t xml:space="preserve">Proposed legislation transposes an EU directive and gives designated “Qualified Entities” the power to take enforcement action on behalf of a group of consumers whose rights have been breached in Ireland or in another EU country.  </w:t>
      </w:r>
    </w:p>
    <w:p w14:paraId="311BDDB6" w14:textId="139E141B" w:rsidR="00A1498A" w:rsidRPr="005B12AE" w:rsidRDefault="00A1498A" w:rsidP="00A1498A">
      <w:pPr>
        <w:pStyle w:val="NoSpacing"/>
        <w:numPr>
          <w:ilvl w:val="0"/>
          <w:numId w:val="34"/>
        </w:numPr>
        <w:jc w:val="both"/>
        <w:rPr>
          <w:rFonts w:cs="Gill Sans MT"/>
          <w:sz w:val="20"/>
          <w:szCs w:val="20"/>
        </w:rPr>
      </w:pPr>
      <w:r w:rsidRPr="005B12AE">
        <w:rPr>
          <w:b/>
          <w:bCs/>
          <w:sz w:val="20"/>
          <w:szCs w:val="20"/>
        </w:rPr>
        <w:t xml:space="preserve">Consumer Insurance Contracts (Amendment) Bill 2023 - </w:t>
      </w:r>
      <w:r w:rsidRPr="005B12AE">
        <w:rPr>
          <w:sz w:val="20"/>
          <w:szCs w:val="20"/>
        </w:rPr>
        <w:t xml:space="preserve">This Bill proposes to ban the use of “clauses of average” in non-life insurance contracts. </w:t>
      </w:r>
    </w:p>
    <w:p w14:paraId="151568A9" w14:textId="77777777" w:rsidR="00A1498A" w:rsidRPr="005B12AE" w:rsidRDefault="00A1498A" w:rsidP="00A1498A">
      <w:pPr>
        <w:pStyle w:val="NoSpacing"/>
        <w:rPr>
          <w:rFonts w:cs="Tahoma"/>
          <w:sz w:val="20"/>
          <w:szCs w:val="20"/>
        </w:rPr>
      </w:pPr>
    </w:p>
    <w:p w14:paraId="2E5A2282" w14:textId="77777777" w:rsidR="00955A1C" w:rsidRDefault="00955A1C" w:rsidP="008B2C1D">
      <w:pPr>
        <w:pStyle w:val="NoSpacing"/>
        <w:jc w:val="both"/>
        <w:rPr>
          <w:rFonts w:ascii="Calibri" w:hAnsi="Calibri" w:cs="Calibri"/>
          <w:b/>
          <w:sz w:val="20"/>
          <w:szCs w:val="20"/>
          <w:lang w:val="en-IE"/>
        </w:rPr>
      </w:pPr>
    </w:p>
    <w:p w14:paraId="0AFE34DA" w14:textId="6A2973BB" w:rsidR="008B2C1D" w:rsidRPr="00465E1A" w:rsidRDefault="008B2C1D" w:rsidP="008B2C1D">
      <w:pPr>
        <w:pStyle w:val="NoSpacing"/>
        <w:jc w:val="both"/>
        <w:rPr>
          <w:rFonts w:ascii="Calibri" w:hAnsi="Calibri" w:cs="Calibri"/>
          <w:b/>
          <w:sz w:val="20"/>
          <w:szCs w:val="20"/>
          <w:lang w:val="en-IE"/>
        </w:rPr>
      </w:pPr>
      <w:r w:rsidRPr="00465E1A">
        <w:rPr>
          <w:rFonts w:ascii="Calibri" w:hAnsi="Calibri" w:cs="Calibri"/>
          <w:b/>
          <w:sz w:val="20"/>
          <w:szCs w:val="20"/>
          <w:lang w:val="en-IE"/>
        </w:rPr>
        <w:t>GENERAL</w:t>
      </w:r>
    </w:p>
    <w:p w14:paraId="553E53FB" w14:textId="77777777" w:rsidR="008B2C1D" w:rsidRDefault="008B2C1D" w:rsidP="008B2C1D">
      <w:pPr>
        <w:pStyle w:val="NoSpacing"/>
        <w:jc w:val="both"/>
        <w:rPr>
          <w:rFonts w:ascii="Calibri" w:eastAsia="Times New Roman" w:hAnsi="Calibri" w:cs="Calibri"/>
          <w:sz w:val="20"/>
          <w:szCs w:val="20"/>
          <w:lang w:val="en-GB"/>
        </w:rPr>
      </w:pPr>
    </w:p>
    <w:p w14:paraId="0D183729" w14:textId="77777777" w:rsidR="00955A1C" w:rsidRPr="00EC78A7" w:rsidRDefault="00955A1C" w:rsidP="008B2C1D">
      <w:pPr>
        <w:pStyle w:val="NoSpacing"/>
        <w:jc w:val="both"/>
        <w:rPr>
          <w:rFonts w:ascii="Calibri" w:eastAsia="Times New Roman" w:hAnsi="Calibri" w:cs="Calibri"/>
          <w:sz w:val="20"/>
          <w:szCs w:val="20"/>
          <w:lang w:val="en-GB"/>
        </w:rPr>
      </w:pPr>
    </w:p>
    <w:p w14:paraId="53289448" w14:textId="79795BDD" w:rsidR="008B2C1D" w:rsidRPr="00E32F3C" w:rsidRDefault="008B2C1D" w:rsidP="008B2C1D">
      <w:pPr>
        <w:pStyle w:val="NoSpacing"/>
        <w:jc w:val="both"/>
        <w:rPr>
          <w:rFonts w:cstheme="minorHAnsi"/>
          <w:sz w:val="20"/>
          <w:szCs w:val="20"/>
        </w:rPr>
      </w:pPr>
      <w:r w:rsidRPr="00E32F3C">
        <w:rPr>
          <w:rFonts w:cstheme="minorHAnsi"/>
          <w:sz w:val="20"/>
          <w:szCs w:val="20"/>
        </w:rPr>
        <w:t>FBD’s Combined Operating Ratio (COR) was 8</w:t>
      </w:r>
      <w:r w:rsidR="00BE6073" w:rsidRPr="00E32F3C">
        <w:rPr>
          <w:rFonts w:cstheme="minorHAnsi"/>
          <w:sz w:val="20"/>
          <w:szCs w:val="20"/>
        </w:rPr>
        <w:t>0.9</w:t>
      </w:r>
      <w:r w:rsidRPr="00E32F3C">
        <w:rPr>
          <w:rFonts w:cstheme="minorHAnsi"/>
          <w:sz w:val="20"/>
          <w:szCs w:val="20"/>
        </w:rPr>
        <w:t xml:space="preserve">% (2022: </w:t>
      </w:r>
      <w:r w:rsidR="005E14F0" w:rsidRPr="00E32F3C">
        <w:rPr>
          <w:rFonts w:cstheme="minorHAnsi"/>
          <w:sz w:val="20"/>
          <w:szCs w:val="20"/>
        </w:rPr>
        <w:t>76.4</w:t>
      </w:r>
      <w:r w:rsidRPr="00E32F3C">
        <w:rPr>
          <w:rFonts w:cstheme="minorHAnsi"/>
          <w:sz w:val="20"/>
          <w:szCs w:val="20"/>
        </w:rPr>
        <w:t>%).</w:t>
      </w:r>
      <w:r w:rsidR="000111BE" w:rsidRPr="00E32F3C">
        <w:rPr>
          <w:rFonts w:cstheme="minorHAnsi"/>
          <w:sz w:val="20"/>
          <w:szCs w:val="20"/>
        </w:rPr>
        <w:t xml:space="preserve"> The undiscounted Combined Operating Ratio (COR) was 83.3% (2022: 79.1%). </w:t>
      </w:r>
      <w:r w:rsidRPr="00E32F3C">
        <w:rPr>
          <w:rFonts w:cstheme="minorHAnsi"/>
          <w:sz w:val="20"/>
          <w:szCs w:val="20"/>
        </w:rPr>
        <w:t xml:space="preserve">The calculation of COR has changed under IFRS 17 (see APMs). </w:t>
      </w:r>
    </w:p>
    <w:p w14:paraId="56CD6EAA" w14:textId="77777777" w:rsidR="008B2C1D" w:rsidRDefault="008B2C1D" w:rsidP="008B2C1D">
      <w:pPr>
        <w:jc w:val="both"/>
        <w:rPr>
          <w:rFonts w:ascii="Calibri" w:eastAsiaTheme="minorHAnsi" w:hAnsi="Calibri" w:cs="Calibri"/>
          <w:b/>
          <w:u w:val="single"/>
          <w:lang w:val="en-IE"/>
        </w:rPr>
      </w:pPr>
    </w:p>
    <w:p w14:paraId="32552A1F" w14:textId="4E64E2D2" w:rsidR="003F4E9E" w:rsidRPr="000079C9" w:rsidRDefault="003F4E9E" w:rsidP="003F4E9E">
      <w:pPr>
        <w:pStyle w:val="NoSpacing"/>
        <w:jc w:val="both"/>
        <w:rPr>
          <w:rFonts w:cstheme="minorHAnsi"/>
          <w:b/>
          <w:sz w:val="20"/>
          <w:szCs w:val="20"/>
          <w:u w:val="single"/>
          <w:lang w:val="en-IE"/>
        </w:rPr>
      </w:pPr>
      <w:bookmarkStart w:id="10" w:name="_Hlk156738858"/>
      <w:r w:rsidRPr="000079C9">
        <w:rPr>
          <w:rFonts w:cstheme="minorHAnsi"/>
          <w:b/>
          <w:sz w:val="20"/>
          <w:szCs w:val="20"/>
          <w:u w:val="single"/>
          <w:lang w:val="en-IE"/>
        </w:rPr>
        <w:t>Investment Return</w:t>
      </w:r>
    </w:p>
    <w:p w14:paraId="4DDFD8B1" w14:textId="77777777" w:rsidR="00D3045C" w:rsidRDefault="00D3045C" w:rsidP="00E935EE">
      <w:pPr>
        <w:pStyle w:val="NoSpacing"/>
        <w:jc w:val="both"/>
        <w:rPr>
          <w:rFonts w:cstheme="minorHAnsi"/>
          <w:sz w:val="20"/>
          <w:szCs w:val="20"/>
          <w:highlight w:val="yellow"/>
        </w:rPr>
      </w:pPr>
    </w:p>
    <w:p w14:paraId="280E12C5" w14:textId="737A43EC" w:rsidR="00EA7480" w:rsidRDefault="00D3045C" w:rsidP="00EA7480">
      <w:pPr>
        <w:pStyle w:val="NoSpacing"/>
        <w:jc w:val="both"/>
        <w:rPr>
          <w:sz w:val="20"/>
          <w:szCs w:val="20"/>
        </w:rPr>
      </w:pPr>
      <w:r w:rsidRPr="00D3045C">
        <w:rPr>
          <w:rFonts w:cstheme="minorHAnsi"/>
          <w:sz w:val="20"/>
          <w:szCs w:val="20"/>
        </w:rPr>
        <w:t xml:space="preserve">FBD’s total investment return for 2023 is +5.3% (2022: -8.6%). The investment return </w:t>
      </w:r>
      <w:proofErr w:type="spellStart"/>
      <w:r w:rsidRPr="00D3045C">
        <w:rPr>
          <w:rFonts w:cstheme="minorHAnsi"/>
          <w:sz w:val="20"/>
          <w:szCs w:val="20"/>
        </w:rPr>
        <w:t>recognised</w:t>
      </w:r>
      <w:proofErr w:type="spellEnd"/>
      <w:r w:rsidRPr="00D3045C">
        <w:rPr>
          <w:rFonts w:cstheme="minorHAnsi"/>
          <w:sz w:val="20"/>
          <w:szCs w:val="20"/>
        </w:rPr>
        <w:t xml:space="preserve"> in the Consolidated Income Statement is 1.7%</w:t>
      </w:r>
      <w:r w:rsidR="0068667B">
        <w:rPr>
          <w:rFonts w:cstheme="minorHAnsi"/>
          <w:sz w:val="20"/>
          <w:szCs w:val="20"/>
        </w:rPr>
        <w:t xml:space="preserve"> </w:t>
      </w:r>
      <w:r w:rsidRPr="00D3045C">
        <w:rPr>
          <w:rFonts w:cstheme="minorHAnsi"/>
          <w:sz w:val="20"/>
          <w:szCs w:val="20"/>
        </w:rPr>
        <w:t xml:space="preserve">(2022: -0.9%) and in the Consolidated Statement of </w:t>
      </w:r>
      <w:r w:rsidRPr="005B7E84">
        <w:rPr>
          <w:rFonts w:cstheme="minorHAnsi"/>
          <w:sz w:val="20"/>
          <w:szCs w:val="20"/>
        </w:rPr>
        <w:t>Other Comprehensive Income (OCI) is 3.6% (2022: -7.7%). Despite ongoing volatility, investment markets rebounded from the losses of 2022 with almost all asset classes ending the year</w:t>
      </w:r>
      <w:r w:rsidR="00720AF6" w:rsidRPr="005B7E84">
        <w:rPr>
          <w:rFonts w:cstheme="minorHAnsi"/>
          <w:sz w:val="20"/>
          <w:szCs w:val="20"/>
        </w:rPr>
        <w:t xml:space="preserve"> in a </w:t>
      </w:r>
      <w:r w:rsidRPr="005B7E84">
        <w:rPr>
          <w:rFonts w:cstheme="minorHAnsi"/>
          <w:sz w:val="20"/>
          <w:szCs w:val="20"/>
        </w:rPr>
        <w:t>positive</w:t>
      </w:r>
      <w:r w:rsidR="00720AF6" w:rsidRPr="005B7E84">
        <w:rPr>
          <w:rFonts w:cstheme="minorHAnsi"/>
          <w:sz w:val="20"/>
          <w:szCs w:val="20"/>
        </w:rPr>
        <w:t xml:space="preserve"> position</w:t>
      </w:r>
      <w:r w:rsidR="002222AE">
        <w:rPr>
          <w:rFonts w:cstheme="minorHAnsi"/>
          <w:sz w:val="20"/>
          <w:szCs w:val="20"/>
        </w:rPr>
        <w:t xml:space="preserve"> relative to the previous year</w:t>
      </w:r>
      <w:r w:rsidRPr="005B7E84">
        <w:rPr>
          <w:rFonts w:cstheme="minorHAnsi"/>
          <w:sz w:val="20"/>
          <w:szCs w:val="20"/>
        </w:rPr>
        <w:t xml:space="preserve">. </w:t>
      </w:r>
      <w:r w:rsidR="005F7C28" w:rsidRPr="005B7E84">
        <w:rPr>
          <w:rFonts w:cstheme="minorHAnsi"/>
          <w:sz w:val="20"/>
          <w:szCs w:val="20"/>
        </w:rPr>
        <w:t>Interest rate</w:t>
      </w:r>
      <w:r w:rsidR="00B87354">
        <w:rPr>
          <w:rFonts w:cstheme="minorHAnsi"/>
          <w:sz w:val="20"/>
          <w:szCs w:val="20"/>
        </w:rPr>
        <w:t xml:space="preserve"> changes</w:t>
      </w:r>
      <w:r w:rsidR="005F7C28" w:rsidRPr="005B7E84">
        <w:rPr>
          <w:rFonts w:cstheme="minorHAnsi"/>
          <w:sz w:val="20"/>
          <w:szCs w:val="20"/>
        </w:rPr>
        <w:t xml:space="preserve"> remained the dominant driver of market</w:t>
      </w:r>
      <w:r w:rsidR="00B87354">
        <w:rPr>
          <w:rFonts w:cstheme="minorHAnsi"/>
          <w:sz w:val="20"/>
          <w:szCs w:val="20"/>
        </w:rPr>
        <w:t xml:space="preserve"> movements</w:t>
      </w:r>
      <w:r w:rsidR="005F7C28" w:rsidRPr="005B7E84">
        <w:rPr>
          <w:rFonts w:cstheme="minorHAnsi"/>
          <w:sz w:val="20"/>
          <w:szCs w:val="20"/>
        </w:rPr>
        <w:t xml:space="preserve"> with </w:t>
      </w:r>
      <w:proofErr w:type="gramStart"/>
      <w:r w:rsidR="005F7C28" w:rsidRPr="005B7E84">
        <w:rPr>
          <w:rFonts w:cstheme="minorHAnsi"/>
          <w:sz w:val="20"/>
          <w:szCs w:val="20"/>
        </w:rPr>
        <w:t>the majority of</w:t>
      </w:r>
      <w:proofErr w:type="gramEnd"/>
      <w:r w:rsidR="005F7C28" w:rsidRPr="005B7E84">
        <w:rPr>
          <w:rFonts w:cstheme="minorHAnsi"/>
          <w:sz w:val="20"/>
          <w:szCs w:val="20"/>
        </w:rPr>
        <w:t xml:space="preserve"> the gains earned in the fourth quarter as signs of inflation abating and weakening </w:t>
      </w:r>
      <w:r w:rsidR="00EA7480" w:rsidRPr="005B7E84">
        <w:rPr>
          <w:sz w:val="20"/>
          <w:szCs w:val="20"/>
        </w:rPr>
        <w:t>growth projections led to markets pricing in a series</w:t>
      </w:r>
      <w:r w:rsidR="00EA7480" w:rsidRPr="005B12AE">
        <w:rPr>
          <w:sz w:val="20"/>
          <w:szCs w:val="20"/>
        </w:rPr>
        <w:t xml:space="preserve"> of interest rate cuts in major developed markets.</w:t>
      </w:r>
    </w:p>
    <w:p w14:paraId="2FBA4172" w14:textId="77777777" w:rsidR="0019686B" w:rsidRDefault="0019686B" w:rsidP="00EA7480">
      <w:pPr>
        <w:pStyle w:val="NoSpacing"/>
        <w:jc w:val="both"/>
        <w:rPr>
          <w:sz w:val="20"/>
          <w:szCs w:val="20"/>
          <w:lang w:val="en-IE"/>
        </w:rPr>
      </w:pPr>
    </w:p>
    <w:p w14:paraId="31F4D0AF" w14:textId="77777777" w:rsidR="0019686B" w:rsidRDefault="005F7C28" w:rsidP="0019686B">
      <w:pPr>
        <w:pStyle w:val="NoSpacing"/>
        <w:jc w:val="both"/>
        <w:rPr>
          <w:rFonts w:ascii="Arial" w:hAnsi="Arial" w:cs="Arial"/>
          <w:lang w:val="en-IE"/>
        </w:rPr>
      </w:pPr>
      <w:r w:rsidRPr="004C6E1E">
        <w:rPr>
          <w:rFonts w:cstheme="minorHAnsi"/>
          <w:sz w:val="20"/>
          <w:szCs w:val="20"/>
        </w:rPr>
        <w:t xml:space="preserve">While central banks remained cautious in their guidance, interest rates dropped since the start of the year. </w:t>
      </w:r>
      <w:r w:rsidR="0019686B" w:rsidRPr="0019686B">
        <w:rPr>
          <w:rFonts w:cstheme="minorHAnsi"/>
          <w:sz w:val="20"/>
          <w:szCs w:val="20"/>
        </w:rPr>
        <w:t xml:space="preserve">The yield on the benchmark German </w:t>
      </w:r>
      <w:proofErr w:type="gramStart"/>
      <w:r w:rsidR="0019686B" w:rsidRPr="0019686B">
        <w:rPr>
          <w:rFonts w:cstheme="minorHAnsi"/>
          <w:sz w:val="20"/>
          <w:szCs w:val="20"/>
        </w:rPr>
        <w:t>5 year</w:t>
      </w:r>
      <w:proofErr w:type="gramEnd"/>
      <w:r w:rsidR="0019686B" w:rsidRPr="0019686B">
        <w:rPr>
          <w:rFonts w:cstheme="minorHAnsi"/>
          <w:sz w:val="20"/>
          <w:szCs w:val="20"/>
        </w:rPr>
        <w:t xml:space="preserve"> Bund decreased from 2.5% to 1.9% during 2023 as the market focus turned to ECB interest rate cuts, while credit spreads also narrowed over the year. This resulted in the buy and </w:t>
      </w:r>
      <w:proofErr w:type="gramStart"/>
      <w:r w:rsidR="0019686B" w:rsidRPr="0019686B">
        <w:rPr>
          <w:rFonts w:cstheme="minorHAnsi"/>
          <w:sz w:val="20"/>
          <w:szCs w:val="20"/>
        </w:rPr>
        <w:t>maintain</w:t>
      </w:r>
      <w:proofErr w:type="gramEnd"/>
      <w:r w:rsidR="0019686B" w:rsidRPr="0019686B">
        <w:rPr>
          <w:rFonts w:cstheme="minorHAnsi"/>
          <w:sz w:val="20"/>
          <w:szCs w:val="20"/>
        </w:rPr>
        <w:t xml:space="preserve"> bond portfolios experiencing significant mark-to-market gains.</w:t>
      </w:r>
    </w:p>
    <w:p w14:paraId="6F1445CA" w14:textId="3FC62B9D" w:rsidR="008D465B" w:rsidRDefault="005F7C28" w:rsidP="00BA3D18">
      <w:pPr>
        <w:pStyle w:val="pf0"/>
        <w:jc w:val="both"/>
        <w:rPr>
          <w:rFonts w:asciiTheme="minorHAnsi" w:eastAsiaTheme="minorHAnsi" w:hAnsiTheme="minorHAnsi" w:cstheme="minorHAnsi"/>
          <w:sz w:val="20"/>
          <w:szCs w:val="20"/>
          <w:lang w:val="en-US" w:eastAsia="en-US"/>
        </w:rPr>
      </w:pPr>
      <w:r w:rsidRPr="004C6E1E">
        <w:rPr>
          <w:rFonts w:asciiTheme="minorHAnsi" w:eastAsiaTheme="minorHAnsi" w:hAnsiTheme="minorHAnsi" w:cstheme="minorHAnsi"/>
          <w:sz w:val="20"/>
          <w:szCs w:val="20"/>
          <w:lang w:val="en-US" w:eastAsia="en-US"/>
        </w:rPr>
        <w:t xml:space="preserve">The </w:t>
      </w:r>
      <w:r w:rsidR="00B87354">
        <w:rPr>
          <w:rFonts w:asciiTheme="minorHAnsi" w:eastAsiaTheme="minorHAnsi" w:hAnsiTheme="minorHAnsi" w:cstheme="minorHAnsi"/>
          <w:sz w:val="20"/>
          <w:szCs w:val="20"/>
          <w:lang w:val="en-US" w:eastAsia="en-US"/>
        </w:rPr>
        <w:t>higher</w:t>
      </w:r>
      <w:r w:rsidRPr="004C6E1E">
        <w:rPr>
          <w:rFonts w:asciiTheme="minorHAnsi" w:eastAsiaTheme="minorHAnsi" w:hAnsiTheme="minorHAnsi" w:cstheme="minorHAnsi"/>
          <w:sz w:val="20"/>
          <w:szCs w:val="20"/>
          <w:lang w:val="en-US" w:eastAsia="en-US"/>
        </w:rPr>
        <w:t xml:space="preserve"> </w:t>
      </w:r>
      <w:r w:rsidR="0019686B">
        <w:rPr>
          <w:rFonts w:asciiTheme="minorHAnsi" w:eastAsiaTheme="minorHAnsi" w:hAnsiTheme="minorHAnsi" w:cstheme="minorHAnsi"/>
          <w:sz w:val="20"/>
          <w:szCs w:val="20"/>
          <w:lang w:val="en-US" w:eastAsia="en-US"/>
        </w:rPr>
        <w:t xml:space="preserve">interest </w:t>
      </w:r>
      <w:r w:rsidRPr="004C6E1E">
        <w:rPr>
          <w:rFonts w:asciiTheme="minorHAnsi" w:eastAsiaTheme="minorHAnsi" w:hAnsiTheme="minorHAnsi" w:cstheme="minorHAnsi"/>
          <w:sz w:val="20"/>
          <w:szCs w:val="20"/>
          <w:lang w:val="en-US" w:eastAsia="en-US"/>
        </w:rPr>
        <w:t>rate</w:t>
      </w:r>
      <w:r w:rsidR="00B87354">
        <w:rPr>
          <w:rFonts w:asciiTheme="minorHAnsi" w:eastAsiaTheme="minorHAnsi" w:hAnsiTheme="minorHAnsi" w:cstheme="minorHAnsi"/>
          <w:sz w:val="20"/>
          <w:szCs w:val="20"/>
          <w:lang w:val="en-US" w:eastAsia="en-US"/>
        </w:rPr>
        <w:t xml:space="preserve"> environment</w:t>
      </w:r>
      <w:r w:rsidR="00C86631">
        <w:rPr>
          <w:rFonts w:asciiTheme="minorHAnsi" w:eastAsiaTheme="minorHAnsi" w:hAnsiTheme="minorHAnsi" w:cstheme="minorHAnsi"/>
          <w:sz w:val="20"/>
          <w:szCs w:val="20"/>
          <w:lang w:val="en-US" w:eastAsia="en-US"/>
        </w:rPr>
        <w:t xml:space="preserve"> experienced</w:t>
      </w:r>
      <w:r w:rsidR="0019686B">
        <w:rPr>
          <w:rFonts w:asciiTheme="minorHAnsi" w:eastAsiaTheme="minorHAnsi" w:hAnsiTheme="minorHAnsi" w:cstheme="minorHAnsi"/>
          <w:sz w:val="20"/>
          <w:szCs w:val="20"/>
          <w:lang w:val="en-US" w:eastAsia="en-US"/>
        </w:rPr>
        <w:t xml:space="preserve"> </w:t>
      </w:r>
      <w:r w:rsidR="0019686B" w:rsidRPr="0019686B">
        <w:rPr>
          <w:rFonts w:asciiTheme="minorHAnsi" w:eastAsiaTheme="minorHAnsi" w:hAnsiTheme="minorHAnsi" w:cstheme="minorHAnsi"/>
          <w:sz w:val="20"/>
          <w:szCs w:val="20"/>
          <w:lang w:val="en-US" w:eastAsia="en-US"/>
        </w:rPr>
        <w:t>since mid-2022 has led to a material increase in returns through the Income Statement from deposits and bonds</w:t>
      </w:r>
      <w:r w:rsidR="00B87354">
        <w:rPr>
          <w:rFonts w:asciiTheme="minorHAnsi" w:eastAsiaTheme="minorHAnsi" w:hAnsiTheme="minorHAnsi" w:cstheme="minorHAnsi"/>
          <w:sz w:val="20"/>
          <w:szCs w:val="20"/>
          <w:lang w:val="en-US" w:eastAsia="en-US"/>
        </w:rPr>
        <w:t xml:space="preserve"> in 2023</w:t>
      </w:r>
      <w:r w:rsidR="0019686B" w:rsidRPr="0019686B">
        <w:rPr>
          <w:rFonts w:asciiTheme="minorHAnsi" w:eastAsiaTheme="minorHAnsi" w:hAnsiTheme="minorHAnsi" w:cstheme="minorHAnsi"/>
          <w:sz w:val="20"/>
          <w:szCs w:val="20"/>
          <w:lang w:val="en-US" w:eastAsia="en-US"/>
        </w:rPr>
        <w:t>.</w:t>
      </w:r>
      <w:r w:rsidR="0019686B">
        <w:rPr>
          <w:rFonts w:asciiTheme="minorHAnsi" w:eastAsiaTheme="minorHAnsi" w:hAnsiTheme="minorHAnsi" w:cstheme="minorHAnsi"/>
          <w:sz w:val="20"/>
          <w:szCs w:val="20"/>
          <w:lang w:val="en-US" w:eastAsia="en-US"/>
        </w:rPr>
        <w:t xml:space="preserve"> </w:t>
      </w:r>
      <w:r w:rsidR="009341AE" w:rsidRPr="004C6E1E">
        <w:rPr>
          <w:rFonts w:asciiTheme="minorHAnsi" w:eastAsiaTheme="minorHAnsi" w:hAnsiTheme="minorHAnsi" w:cstheme="minorHAnsi"/>
          <w:sz w:val="20"/>
          <w:szCs w:val="20"/>
          <w:lang w:val="en-US" w:eastAsia="en-US"/>
        </w:rPr>
        <w:t>Bond maturities continue to be reinvested at higher interest rates, which is gradually increasing the income earned on these portfolios.</w:t>
      </w:r>
      <w:r w:rsidRPr="004C6E1E">
        <w:rPr>
          <w:rFonts w:asciiTheme="minorHAnsi" w:eastAsiaTheme="minorHAnsi" w:hAnsiTheme="minorHAnsi" w:cstheme="minorHAnsi"/>
          <w:sz w:val="20"/>
          <w:szCs w:val="20"/>
          <w:lang w:val="en-US" w:eastAsia="en-US"/>
        </w:rPr>
        <w:t xml:space="preserve"> </w:t>
      </w:r>
      <w:r w:rsidR="00B87354">
        <w:rPr>
          <w:rFonts w:asciiTheme="minorHAnsi" w:eastAsiaTheme="minorHAnsi" w:hAnsiTheme="minorHAnsi" w:cstheme="minorHAnsi"/>
          <w:sz w:val="20"/>
          <w:szCs w:val="20"/>
          <w:lang w:val="en-US" w:eastAsia="en-US"/>
        </w:rPr>
        <w:t>During the year</w:t>
      </w:r>
      <w:r w:rsidR="0019686B" w:rsidRPr="00144C65">
        <w:rPr>
          <w:rFonts w:asciiTheme="minorHAnsi" w:eastAsiaTheme="minorHAnsi" w:hAnsiTheme="minorHAnsi" w:cstheme="minorHAnsi"/>
          <w:sz w:val="20"/>
          <w:szCs w:val="20"/>
          <w:lang w:val="en-US" w:eastAsia="en-US"/>
        </w:rPr>
        <w:t>, some o</w:t>
      </w:r>
      <w:r w:rsidR="00B87354">
        <w:rPr>
          <w:rFonts w:asciiTheme="minorHAnsi" w:eastAsiaTheme="minorHAnsi" w:hAnsiTheme="minorHAnsi" w:cstheme="minorHAnsi"/>
          <w:sz w:val="20"/>
          <w:szCs w:val="20"/>
          <w:lang w:val="en-US" w:eastAsia="en-US"/>
        </w:rPr>
        <w:t>f this increased return</w:t>
      </w:r>
      <w:r w:rsidR="0019686B" w:rsidRPr="00144C65">
        <w:rPr>
          <w:rFonts w:asciiTheme="minorHAnsi" w:eastAsiaTheme="minorHAnsi" w:hAnsiTheme="minorHAnsi" w:cstheme="minorHAnsi"/>
          <w:sz w:val="20"/>
          <w:szCs w:val="20"/>
          <w:lang w:val="en-US" w:eastAsia="en-US"/>
        </w:rPr>
        <w:t xml:space="preserve"> </w:t>
      </w:r>
      <w:r w:rsidR="00B87354">
        <w:rPr>
          <w:rFonts w:asciiTheme="minorHAnsi" w:eastAsiaTheme="minorHAnsi" w:hAnsiTheme="minorHAnsi" w:cstheme="minorHAnsi"/>
          <w:sz w:val="20"/>
          <w:szCs w:val="20"/>
          <w:lang w:val="en-US" w:eastAsia="en-US"/>
        </w:rPr>
        <w:t>was</w:t>
      </w:r>
      <w:r w:rsidR="0019686B" w:rsidRPr="00144C65">
        <w:rPr>
          <w:rFonts w:asciiTheme="minorHAnsi" w:eastAsiaTheme="minorHAnsi" w:hAnsiTheme="minorHAnsi" w:cstheme="minorHAnsi"/>
          <w:sz w:val="20"/>
          <w:szCs w:val="20"/>
          <w:lang w:val="en-US" w:eastAsia="en-US"/>
        </w:rPr>
        <w:t xml:space="preserve"> offset by </w:t>
      </w:r>
      <w:proofErr w:type="spellStart"/>
      <w:r w:rsidR="0019686B" w:rsidRPr="00144C65">
        <w:rPr>
          <w:rFonts w:asciiTheme="minorHAnsi" w:eastAsiaTheme="minorHAnsi" w:hAnsiTheme="minorHAnsi" w:cstheme="minorHAnsi"/>
          <w:sz w:val="20"/>
          <w:szCs w:val="20"/>
          <w:lang w:val="en-US" w:eastAsia="en-US"/>
        </w:rPr>
        <w:t>realised</w:t>
      </w:r>
      <w:proofErr w:type="spellEnd"/>
      <w:r w:rsidR="0019686B" w:rsidRPr="00144C65">
        <w:rPr>
          <w:rFonts w:asciiTheme="minorHAnsi" w:eastAsiaTheme="minorHAnsi" w:hAnsiTheme="minorHAnsi" w:cstheme="minorHAnsi"/>
          <w:sz w:val="20"/>
          <w:szCs w:val="20"/>
          <w:lang w:val="en-US" w:eastAsia="en-US"/>
        </w:rPr>
        <w:t xml:space="preserve"> losses on bonds sold </w:t>
      </w:r>
      <w:r w:rsidR="00B87354">
        <w:rPr>
          <w:rFonts w:asciiTheme="minorHAnsi" w:eastAsiaTheme="minorHAnsi" w:hAnsiTheme="minorHAnsi" w:cstheme="minorHAnsi"/>
          <w:sz w:val="20"/>
          <w:szCs w:val="20"/>
          <w:lang w:val="en-US" w:eastAsia="en-US"/>
        </w:rPr>
        <w:t>to enhance longer</w:t>
      </w:r>
      <w:r w:rsidR="00A10605">
        <w:rPr>
          <w:rFonts w:asciiTheme="minorHAnsi" w:eastAsiaTheme="minorHAnsi" w:hAnsiTheme="minorHAnsi" w:cstheme="minorHAnsi"/>
          <w:sz w:val="20"/>
          <w:szCs w:val="20"/>
          <w:lang w:val="en-US" w:eastAsia="en-US"/>
        </w:rPr>
        <w:t>-</w:t>
      </w:r>
      <w:r w:rsidR="00B87354">
        <w:rPr>
          <w:rFonts w:asciiTheme="minorHAnsi" w:eastAsiaTheme="minorHAnsi" w:hAnsiTheme="minorHAnsi" w:cstheme="minorHAnsi"/>
          <w:sz w:val="20"/>
          <w:szCs w:val="20"/>
          <w:lang w:val="en-US" w:eastAsia="en-US"/>
        </w:rPr>
        <w:t>term yield and reduce risk</w:t>
      </w:r>
      <w:r w:rsidR="0019686B" w:rsidRPr="00144C65">
        <w:rPr>
          <w:rFonts w:asciiTheme="minorHAnsi" w:eastAsiaTheme="minorHAnsi" w:hAnsiTheme="minorHAnsi" w:cstheme="minorHAnsi"/>
          <w:sz w:val="20"/>
          <w:szCs w:val="20"/>
          <w:lang w:val="en-US" w:eastAsia="en-US"/>
        </w:rPr>
        <w:t xml:space="preserve">. </w:t>
      </w:r>
      <w:r w:rsidRPr="004C6E1E">
        <w:rPr>
          <w:rFonts w:asciiTheme="minorHAnsi" w:eastAsiaTheme="minorHAnsi" w:hAnsiTheme="minorHAnsi" w:cstheme="minorHAnsi"/>
          <w:sz w:val="20"/>
          <w:szCs w:val="20"/>
          <w:lang w:val="en-US" w:eastAsia="en-US"/>
        </w:rPr>
        <w:t xml:space="preserve">An increase in the duration of these portfolios should </w:t>
      </w:r>
      <w:r w:rsidR="00B87354">
        <w:rPr>
          <w:rFonts w:asciiTheme="minorHAnsi" w:eastAsiaTheme="minorHAnsi" w:hAnsiTheme="minorHAnsi" w:cstheme="minorHAnsi"/>
          <w:sz w:val="20"/>
          <w:szCs w:val="20"/>
          <w:lang w:val="en-US" w:eastAsia="en-US"/>
        </w:rPr>
        <w:t xml:space="preserve">lead to further </w:t>
      </w:r>
      <w:r w:rsidR="00C86631">
        <w:rPr>
          <w:rFonts w:asciiTheme="minorHAnsi" w:eastAsiaTheme="minorHAnsi" w:hAnsiTheme="minorHAnsi" w:cstheme="minorHAnsi"/>
          <w:sz w:val="20"/>
          <w:szCs w:val="20"/>
          <w:lang w:val="en-US" w:eastAsia="en-US"/>
        </w:rPr>
        <w:t xml:space="preserve">future </w:t>
      </w:r>
      <w:r w:rsidR="00B87354">
        <w:rPr>
          <w:rFonts w:asciiTheme="minorHAnsi" w:eastAsiaTheme="minorHAnsi" w:hAnsiTheme="minorHAnsi" w:cstheme="minorHAnsi"/>
          <w:sz w:val="20"/>
          <w:szCs w:val="20"/>
          <w:lang w:val="en-US" w:eastAsia="en-US"/>
        </w:rPr>
        <w:t xml:space="preserve">increases in returns through the </w:t>
      </w:r>
      <w:r w:rsidR="008F2A6B">
        <w:rPr>
          <w:rFonts w:asciiTheme="minorHAnsi" w:eastAsiaTheme="minorHAnsi" w:hAnsiTheme="minorHAnsi" w:cstheme="minorHAnsi"/>
          <w:sz w:val="20"/>
          <w:szCs w:val="20"/>
          <w:lang w:val="en-US" w:eastAsia="en-US"/>
        </w:rPr>
        <w:t xml:space="preserve">Consolidated </w:t>
      </w:r>
      <w:r w:rsidR="00B87354">
        <w:rPr>
          <w:rFonts w:asciiTheme="minorHAnsi" w:eastAsiaTheme="minorHAnsi" w:hAnsiTheme="minorHAnsi" w:cstheme="minorHAnsi"/>
          <w:sz w:val="20"/>
          <w:szCs w:val="20"/>
          <w:lang w:val="en-US" w:eastAsia="en-US"/>
        </w:rPr>
        <w:t xml:space="preserve">Income </w:t>
      </w:r>
      <w:r w:rsidR="008D246F">
        <w:rPr>
          <w:rFonts w:asciiTheme="minorHAnsi" w:eastAsiaTheme="minorHAnsi" w:hAnsiTheme="minorHAnsi" w:cstheme="minorHAnsi"/>
          <w:sz w:val="20"/>
          <w:szCs w:val="20"/>
          <w:lang w:val="en-US" w:eastAsia="en-US"/>
        </w:rPr>
        <w:t>S</w:t>
      </w:r>
      <w:r w:rsidR="00B87354">
        <w:rPr>
          <w:rFonts w:asciiTheme="minorHAnsi" w:eastAsiaTheme="minorHAnsi" w:hAnsiTheme="minorHAnsi" w:cstheme="minorHAnsi"/>
          <w:sz w:val="20"/>
          <w:szCs w:val="20"/>
          <w:lang w:val="en-US" w:eastAsia="en-US"/>
        </w:rPr>
        <w:t>tatement</w:t>
      </w:r>
      <w:r w:rsidRPr="004C6E1E">
        <w:rPr>
          <w:rFonts w:asciiTheme="minorHAnsi" w:eastAsiaTheme="minorHAnsi" w:hAnsiTheme="minorHAnsi" w:cstheme="minorHAnsi"/>
          <w:sz w:val="20"/>
          <w:szCs w:val="20"/>
          <w:lang w:val="en-US" w:eastAsia="en-US"/>
        </w:rPr>
        <w:t>. Risk assets contributed</w:t>
      </w:r>
      <w:r w:rsidR="00735C36" w:rsidRPr="004C6E1E">
        <w:rPr>
          <w:rFonts w:asciiTheme="minorHAnsi" w:eastAsiaTheme="minorHAnsi" w:hAnsiTheme="minorHAnsi" w:cstheme="minorHAnsi"/>
          <w:sz w:val="20"/>
          <w:szCs w:val="20"/>
          <w:lang w:val="en-US" w:eastAsia="en-US"/>
        </w:rPr>
        <w:t xml:space="preserve"> €12m </w:t>
      </w:r>
      <w:r w:rsidRPr="004C6E1E">
        <w:rPr>
          <w:rFonts w:asciiTheme="minorHAnsi" w:eastAsiaTheme="minorHAnsi" w:hAnsiTheme="minorHAnsi" w:cstheme="minorHAnsi"/>
          <w:sz w:val="20"/>
          <w:szCs w:val="20"/>
          <w:lang w:val="en-US" w:eastAsia="en-US"/>
        </w:rPr>
        <w:t>to the overall income return offset by a drop in the valuation of our investment property.</w:t>
      </w:r>
    </w:p>
    <w:bookmarkEnd w:id="10"/>
    <w:p w14:paraId="77C63A8F" w14:textId="7C3CE92E" w:rsidR="00657C89" w:rsidRPr="00FC6516" w:rsidRDefault="00864484" w:rsidP="003F4E9E">
      <w:pPr>
        <w:pStyle w:val="NoSpacing"/>
        <w:jc w:val="both"/>
        <w:rPr>
          <w:rFonts w:cstheme="minorHAnsi"/>
          <w:b/>
          <w:sz w:val="20"/>
          <w:szCs w:val="20"/>
          <w:u w:val="single"/>
          <w:lang w:val="en-IE"/>
        </w:rPr>
      </w:pPr>
      <w:r w:rsidRPr="00FC6516">
        <w:rPr>
          <w:rFonts w:cstheme="minorHAnsi"/>
          <w:b/>
          <w:sz w:val="20"/>
          <w:szCs w:val="20"/>
          <w:u w:val="single"/>
          <w:lang w:val="en-IE"/>
        </w:rPr>
        <w:t>Financial Services</w:t>
      </w:r>
      <w:r w:rsidR="006A0758" w:rsidRPr="00FC6516">
        <w:rPr>
          <w:rFonts w:cstheme="minorHAnsi"/>
          <w:b/>
          <w:sz w:val="20"/>
          <w:szCs w:val="20"/>
          <w:u w:val="single"/>
          <w:lang w:val="en-IE"/>
        </w:rPr>
        <w:t xml:space="preserve"> and O</w:t>
      </w:r>
      <w:r w:rsidR="00A77AC4" w:rsidRPr="00FC6516">
        <w:rPr>
          <w:rFonts w:cstheme="minorHAnsi"/>
          <w:b/>
          <w:sz w:val="20"/>
          <w:szCs w:val="20"/>
          <w:u w:val="single"/>
          <w:lang w:val="en-IE"/>
        </w:rPr>
        <w:t xml:space="preserve">ther </w:t>
      </w:r>
      <w:r w:rsidR="004C1589">
        <w:rPr>
          <w:rFonts w:cstheme="minorHAnsi"/>
          <w:b/>
          <w:sz w:val="20"/>
          <w:szCs w:val="20"/>
          <w:u w:val="single"/>
          <w:lang w:val="en-IE"/>
        </w:rPr>
        <w:t>Group activities</w:t>
      </w:r>
    </w:p>
    <w:p w14:paraId="10BA52CF" w14:textId="2ED4AE99" w:rsidR="004C1589" w:rsidRPr="005B7E84" w:rsidRDefault="008979C7" w:rsidP="004C1589">
      <w:pPr>
        <w:jc w:val="both"/>
        <w:rPr>
          <w:rFonts w:ascii="Calibri" w:eastAsiaTheme="minorHAnsi" w:hAnsi="Calibri" w:cs="Calibri"/>
          <w:lang w:val="en-IE"/>
        </w:rPr>
      </w:pPr>
      <w:r w:rsidRPr="005B7E84">
        <w:rPr>
          <w:rFonts w:asciiTheme="minorHAnsi" w:eastAsiaTheme="minorHAnsi" w:hAnsiTheme="minorHAnsi" w:cstheme="minorHAnsi"/>
          <w:lang w:val="en-IE"/>
        </w:rPr>
        <w:t>The Group’s financial services operations returned a</w:t>
      </w:r>
      <w:r w:rsidR="005F7C28" w:rsidRPr="005B7E84">
        <w:rPr>
          <w:rFonts w:asciiTheme="minorHAnsi" w:eastAsiaTheme="minorHAnsi" w:hAnsiTheme="minorHAnsi" w:cstheme="minorHAnsi"/>
          <w:lang w:val="en-IE"/>
        </w:rPr>
        <w:t xml:space="preserve"> loss</w:t>
      </w:r>
      <w:r w:rsidR="002562B4" w:rsidRPr="005B7E84">
        <w:rPr>
          <w:rFonts w:asciiTheme="minorHAnsi" w:eastAsiaTheme="minorHAnsi" w:hAnsiTheme="minorHAnsi" w:cstheme="minorHAnsi"/>
          <w:lang w:val="en-IE"/>
        </w:rPr>
        <w:t xml:space="preserve"> </w:t>
      </w:r>
      <w:r w:rsidRPr="005B7E84">
        <w:rPr>
          <w:rFonts w:asciiTheme="minorHAnsi" w:eastAsiaTheme="minorHAnsi" w:hAnsiTheme="minorHAnsi" w:cstheme="minorHAnsi"/>
          <w:lang w:val="en-IE"/>
        </w:rPr>
        <w:t>before tax of €</w:t>
      </w:r>
      <w:r w:rsidR="005F7C28" w:rsidRPr="005B7E84">
        <w:rPr>
          <w:rFonts w:asciiTheme="minorHAnsi" w:eastAsiaTheme="minorHAnsi" w:hAnsiTheme="minorHAnsi" w:cstheme="minorHAnsi"/>
          <w:lang w:val="en-IE"/>
        </w:rPr>
        <w:t>1</w:t>
      </w:r>
      <w:r w:rsidR="008A64B0" w:rsidRPr="005B7E84">
        <w:rPr>
          <w:rFonts w:asciiTheme="minorHAnsi" w:eastAsiaTheme="minorHAnsi" w:hAnsiTheme="minorHAnsi" w:cstheme="minorHAnsi"/>
          <w:lang w:val="en-IE"/>
        </w:rPr>
        <w:t>.1</w:t>
      </w:r>
      <w:r w:rsidRPr="005B7E84">
        <w:rPr>
          <w:rFonts w:asciiTheme="minorHAnsi" w:eastAsiaTheme="minorHAnsi" w:hAnsiTheme="minorHAnsi" w:cstheme="minorHAnsi"/>
          <w:lang w:val="en-IE"/>
        </w:rPr>
        <w:t>m for the period (202</w:t>
      </w:r>
      <w:r w:rsidR="008A64B0" w:rsidRPr="005B7E84">
        <w:rPr>
          <w:rFonts w:asciiTheme="minorHAnsi" w:eastAsiaTheme="minorHAnsi" w:hAnsiTheme="minorHAnsi" w:cstheme="minorHAnsi"/>
          <w:lang w:val="en-IE"/>
        </w:rPr>
        <w:t>2</w:t>
      </w:r>
      <w:r w:rsidRPr="005B7E84">
        <w:rPr>
          <w:rFonts w:asciiTheme="minorHAnsi" w:eastAsiaTheme="minorHAnsi" w:hAnsiTheme="minorHAnsi" w:cstheme="minorHAnsi"/>
          <w:lang w:val="en-IE"/>
        </w:rPr>
        <w:t xml:space="preserve">: </w:t>
      </w:r>
      <w:r w:rsidR="00FC6516" w:rsidRPr="005B7E84">
        <w:rPr>
          <w:rFonts w:asciiTheme="minorHAnsi" w:eastAsiaTheme="minorHAnsi" w:hAnsiTheme="minorHAnsi" w:cstheme="minorHAnsi"/>
          <w:lang w:val="en-IE"/>
        </w:rPr>
        <w:t>loss</w:t>
      </w:r>
      <w:r w:rsidRPr="005B7E84">
        <w:rPr>
          <w:rFonts w:asciiTheme="minorHAnsi" w:eastAsiaTheme="minorHAnsi" w:hAnsiTheme="minorHAnsi" w:cstheme="minorHAnsi"/>
          <w:lang w:val="en-IE"/>
        </w:rPr>
        <w:t xml:space="preserve"> €</w:t>
      </w:r>
      <w:r w:rsidR="00FC6516" w:rsidRPr="005B7E84">
        <w:rPr>
          <w:rFonts w:asciiTheme="minorHAnsi" w:eastAsiaTheme="minorHAnsi" w:hAnsiTheme="minorHAnsi" w:cstheme="minorHAnsi"/>
          <w:lang w:val="en-IE"/>
        </w:rPr>
        <w:t>0.1</w:t>
      </w:r>
      <w:r w:rsidR="000845A8" w:rsidRPr="005B7E84">
        <w:rPr>
          <w:rFonts w:asciiTheme="minorHAnsi" w:eastAsiaTheme="minorHAnsi" w:hAnsiTheme="minorHAnsi" w:cstheme="minorHAnsi"/>
          <w:lang w:val="en-IE"/>
        </w:rPr>
        <w:t>m)</w:t>
      </w:r>
      <w:r w:rsidR="00C96786" w:rsidRPr="005B7E84">
        <w:rPr>
          <w:rFonts w:asciiTheme="minorHAnsi" w:eastAsiaTheme="minorHAnsi" w:hAnsiTheme="minorHAnsi" w:cstheme="minorHAnsi"/>
          <w:lang w:val="en-IE"/>
        </w:rPr>
        <w:t xml:space="preserve"> as re</w:t>
      </w:r>
      <w:r w:rsidR="000845A8" w:rsidRPr="005B7E84">
        <w:rPr>
          <w:rFonts w:asciiTheme="minorHAnsi" w:eastAsiaTheme="minorHAnsi" w:hAnsiTheme="minorHAnsi" w:cstheme="minorHAnsi"/>
          <w:lang w:val="en-IE"/>
        </w:rPr>
        <w:t xml:space="preserve">venue </w:t>
      </w:r>
      <w:r w:rsidR="00FC6516" w:rsidRPr="005B7E84">
        <w:rPr>
          <w:rFonts w:asciiTheme="minorHAnsi" w:eastAsiaTheme="minorHAnsi" w:hAnsiTheme="minorHAnsi" w:cstheme="minorHAnsi"/>
          <w:lang w:val="en-IE"/>
        </w:rPr>
        <w:t>de</w:t>
      </w:r>
      <w:r w:rsidR="000845A8" w:rsidRPr="005B7E84">
        <w:rPr>
          <w:rFonts w:asciiTheme="minorHAnsi" w:eastAsiaTheme="minorHAnsi" w:hAnsiTheme="minorHAnsi" w:cstheme="minorHAnsi"/>
          <w:lang w:val="en-IE"/>
        </w:rPr>
        <w:t>creased</w:t>
      </w:r>
      <w:r w:rsidRPr="005B7E84">
        <w:rPr>
          <w:rFonts w:asciiTheme="minorHAnsi" w:eastAsiaTheme="minorHAnsi" w:hAnsiTheme="minorHAnsi" w:cstheme="minorHAnsi"/>
          <w:lang w:val="en-IE"/>
        </w:rPr>
        <w:t xml:space="preserve"> by €</w:t>
      </w:r>
      <w:r w:rsidR="005F7C28" w:rsidRPr="005B7E84">
        <w:rPr>
          <w:rFonts w:asciiTheme="minorHAnsi" w:eastAsiaTheme="minorHAnsi" w:hAnsiTheme="minorHAnsi" w:cstheme="minorHAnsi"/>
          <w:lang w:val="en-IE"/>
        </w:rPr>
        <w:t>0.</w:t>
      </w:r>
      <w:r w:rsidR="006A70D8">
        <w:rPr>
          <w:rFonts w:asciiTheme="minorHAnsi" w:eastAsiaTheme="minorHAnsi" w:hAnsiTheme="minorHAnsi" w:cstheme="minorHAnsi"/>
          <w:lang w:val="en-IE"/>
        </w:rPr>
        <w:t>7</w:t>
      </w:r>
      <w:r w:rsidRPr="005B7E84">
        <w:rPr>
          <w:rFonts w:asciiTheme="minorHAnsi" w:eastAsiaTheme="minorHAnsi" w:hAnsiTheme="minorHAnsi" w:cstheme="minorHAnsi"/>
          <w:lang w:val="en-IE"/>
        </w:rPr>
        <w:t>m</w:t>
      </w:r>
      <w:r w:rsidR="004C1589" w:rsidRPr="005B7E84">
        <w:rPr>
          <w:rFonts w:asciiTheme="minorHAnsi" w:eastAsiaTheme="minorHAnsi" w:hAnsiTheme="minorHAnsi" w:cstheme="minorHAnsi"/>
          <w:lang w:val="en-IE"/>
        </w:rPr>
        <w:t xml:space="preserve"> and </w:t>
      </w:r>
      <w:r w:rsidR="00C96786" w:rsidRPr="005B7E84">
        <w:rPr>
          <w:rFonts w:asciiTheme="minorHAnsi" w:eastAsiaTheme="minorHAnsi" w:hAnsiTheme="minorHAnsi" w:cstheme="minorHAnsi"/>
          <w:lang w:val="en-IE"/>
        </w:rPr>
        <w:t>c</w:t>
      </w:r>
      <w:r w:rsidRPr="005B7E84">
        <w:rPr>
          <w:rFonts w:asciiTheme="minorHAnsi" w:eastAsiaTheme="minorHAnsi" w:hAnsiTheme="minorHAnsi" w:cstheme="minorHAnsi"/>
          <w:lang w:val="en-IE"/>
        </w:rPr>
        <w:t>osts</w:t>
      </w:r>
      <w:r w:rsidR="002562B4" w:rsidRPr="005B7E84">
        <w:rPr>
          <w:rFonts w:asciiTheme="minorHAnsi" w:eastAsiaTheme="minorHAnsi" w:hAnsiTheme="minorHAnsi" w:cstheme="minorHAnsi"/>
          <w:lang w:val="en-IE"/>
        </w:rPr>
        <w:t xml:space="preserve"> </w:t>
      </w:r>
      <w:r w:rsidR="000845A8" w:rsidRPr="005B7E84">
        <w:rPr>
          <w:rFonts w:asciiTheme="minorHAnsi" w:eastAsiaTheme="minorHAnsi" w:hAnsiTheme="minorHAnsi" w:cstheme="minorHAnsi"/>
          <w:lang w:val="en-IE"/>
        </w:rPr>
        <w:t xml:space="preserve">increased by </w:t>
      </w:r>
      <w:r w:rsidR="002562B4" w:rsidRPr="005B7E84">
        <w:rPr>
          <w:rFonts w:asciiTheme="minorHAnsi" w:eastAsiaTheme="minorHAnsi" w:hAnsiTheme="minorHAnsi" w:cstheme="minorHAnsi"/>
          <w:lang w:val="en-IE"/>
        </w:rPr>
        <w:t>€</w:t>
      </w:r>
      <w:r w:rsidR="000845A8" w:rsidRPr="005B7E84">
        <w:rPr>
          <w:rFonts w:asciiTheme="minorHAnsi" w:eastAsiaTheme="minorHAnsi" w:hAnsiTheme="minorHAnsi" w:cstheme="minorHAnsi"/>
          <w:lang w:val="en-IE"/>
        </w:rPr>
        <w:t>0.</w:t>
      </w:r>
      <w:r w:rsidR="006A70D8">
        <w:rPr>
          <w:rFonts w:asciiTheme="minorHAnsi" w:eastAsiaTheme="minorHAnsi" w:hAnsiTheme="minorHAnsi" w:cstheme="minorHAnsi"/>
          <w:lang w:val="en-IE"/>
        </w:rPr>
        <w:t>4</w:t>
      </w:r>
      <w:r w:rsidRPr="005B7E84">
        <w:rPr>
          <w:rFonts w:asciiTheme="minorHAnsi" w:eastAsiaTheme="minorHAnsi" w:hAnsiTheme="minorHAnsi" w:cstheme="minorHAnsi"/>
          <w:lang w:val="en-IE"/>
        </w:rPr>
        <w:t xml:space="preserve">m due to </w:t>
      </w:r>
      <w:r w:rsidR="001C0BC1" w:rsidRPr="005B7E84">
        <w:rPr>
          <w:rFonts w:asciiTheme="minorHAnsi" w:eastAsiaTheme="minorHAnsi" w:hAnsiTheme="minorHAnsi" w:cstheme="minorHAnsi"/>
          <w:lang w:val="en-IE"/>
        </w:rPr>
        <w:t>inflationary increases</w:t>
      </w:r>
      <w:r w:rsidR="00817B3E" w:rsidRPr="005B7E84">
        <w:rPr>
          <w:rFonts w:asciiTheme="minorHAnsi" w:eastAsiaTheme="minorHAnsi" w:hAnsiTheme="minorHAnsi" w:cstheme="minorHAnsi"/>
          <w:lang w:val="en-IE"/>
        </w:rPr>
        <w:t xml:space="preserve"> </w:t>
      </w:r>
      <w:r w:rsidR="0079123A" w:rsidRPr="005B7E84">
        <w:rPr>
          <w:rFonts w:asciiTheme="minorHAnsi" w:eastAsiaTheme="minorHAnsi" w:hAnsiTheme="minorHAnsi" w:cstheme="minorHAnsi"/>
          <w:lang w:val="en-IE"/>
        </w:rPr>
        <w:t xml:space="preserve">and </w:t>
      </w:r>
      <w:r w:rsidR="00CD5312" w:rsidRPr="005B7E84">
        <w:rPr>
          <w:rFonts w:asciiTheme="minorHAnsi" w:eastAsiaTheme="minorHAnsi" w:hAnsiTheme="minorHAnsi" w:cstheme="minorHAnsi"/>
          <w:lang w:val="en-IE"/>
        </w:rPr>
        <w:t xml:space="preserve">one-off </w:t>
      </w:r>
      <w:r w:rsidR="00A5626B">
        <w:rPr>
          <w:rFonts w:asciiTheme="minorHAnsi" w:eastAsiaTheme="minorHAnsi" w:hAnsiTheme="minorHAnsi" w:cstheme="minorHAnsi"/>
          <w:lang w:val="en-IE"/>
        </w:rPr>
        <w:t>costs</w:t>
      </w:r>
      <w:r w:rsidR="004C1589" w:rsidRPr="005B7E84">
        <w:rPr>
          <w:rFonts w:asciiTheme="minorHAnsi" w:eastAsiaTheme="minorHAnsi" w:hAnsiTheme="minorHAnsi" w:cstheme="minorHAnsi"/>
          <w:lang w:val="en-IE"/>
        </w:rPr>
        <w:t>.</w:t>
      </w:r>
      <w:r w:rsidR="00D66451" w:rsidRPr="005B7E84">
        <w:rPr>
          <w:rFonts w:asciiTheme="minorHAnsi" w:eastAsiaTheme="minorHAnsi" w:hAnsiTheme="minorHAnsi" w:cstheme="minorHAnsi"/>
          <w:lang w:val="en-IE"/>
        </w:rPr>
        <w:t xml:space="preserve"> </w:t>
      </w:r>
      <w:r w:rsidR="00FC6516" w:rsidRPr="005B7E84">
        <w:rPr>
          <w:rFonts w:asciiTheme="minorHAnsi" w:eastAsiaTheme="minorHAnsi" w:hAnsiTheme="minorHAnsi" w:cstheme="minorHAnsi"/>
          <w:lang w:val="en-IE"/>
        </w:rPr>
        <w:t xml:space="preserve">Costs increased in </w:t>
      </w:r>
      <w:r w:rsidR="00BA3D18">
        <w:rPr>
          <w:rFonts w:asciiTheme="minorHAnsi" w:eastAsiaTheme="minorHAnsi" w:hAnsiTheme="minorHAnsi" w:cstheme="minorHAnsi"/>
          <w:lang w:val="en-IE"/>
        </w:rPr>
        <w:t xml:space="preserve">the </w:t>
      </w:r>
      <w:r w:rsidR="0079123A" w:rsidRPr="005B7E84">
        <w:rPr>
          <w:rFonts w:ascii="Calibri" w:eastAsiaTheme="minorHAnsi" w:hAnsi="Calibri" w:cs="Calibri"/>
          <w:lang w:val="en-IE"/>
        </w:rPr>
        <w:t xml:space="preserve">Holding Company </w:t>
      </w:r>
      <w:r w:rsidR="004C1589" w:rsidRPr="005B7E84">
        <w:rPr>
          <w:rFonts w:ascii="Calibri" w:eastAsiaTheme="minorHAnsi" w:hAnsi="Calibri" w:cs="Calibri"/>
          <w:lang w:val="en-IE"/>
        </w:rPr>
        <w:t xml:space="preserve">by €2.6m to €5.7m </w:t>
      </w:r>
      <w:r w:rsidR="0079123A" w:rsidRPr="005B7E84">
        <w:rPr>
          <w:rFonts w:ascii="Calibri" w:eastAsiaTheme="minorHAnsi" w:hAnsi="Calibri" w:cs="Calibri"/>
          <w:lang w:val="en-IE"/>
        </w:rPr>
        <w:t xml:space="preserve">primarily relating to </w:t>
      </w:r>
      <w:r w:rsidR="004C1589" w:rsidRPr="005B7E84">
        <w:rPr>
          <w:rFonts w:asciiTheme="minorHAnsi" w:eastAsiaTheme="minorHAnsi" w:hAnsiTheme="minorHAnsi" w:cstheme="minorHAnsi"/>
          <w:lang w:val="en-IE"/>
        </w:rPr>
        <w:t xml:space="preserve">the </w:t>
      </w:r>
      <w:r w:rsidR="0079123A" w:rsidRPr="005B7E84">
        <w:rPr>
          <w:rFonts w:asciiTheme="minorHAnsi" w:eastAsiaTheme="minorHAnsi" w:hAnsiTheme="minorHAnsi" w:cstheme="minorHAnsi"/>
          <w:lang w:val="en-IE"/>
        </w:rPr>
        <w:t xml:space="preserve">€2.5m </w:t>
      </w:r>
      <w:r w:rsidR="00E16138" w:rsidRPr="005B7E84">
        <w:rPr>
          <w:rFonts w:ascii="Calibri" w:eastAsiaTheme="minorHAnsi" w:hAnsi="Calibri" w:cs="Calibri"/>
          <w:lang w:val="en-IE"/>
        </w:rPr>
        <w:t xml:space="preserve">ESG initiative </w:t>
      </w:r>
      <w:r w:rsidR="00E16138" w:rsidRPr="005B7E84">
        <w:rPr>
          <w:rFonts w:asciiTheme="minorHAnsi" w:eastAsiaTheme="minorHAnsi" w:hAnsiTheme="minorHAnsi" w:cstheme="minorHAnsi"/>
          <w:lang w:val="en-IE"/>
        </w:rPr>
        <w:t xml:space="preserve">for </w:t>
      </w:r>
      <w:r w:rsidR="00E16138" w:rsidRPr="005B7E84">
        <w:rPr>
          <w:rFonts w:ascii="Calibri" w:hAnsi="Calibri" w:cs="Calibri"/>
        </w:rPr>
        <w:t>The Padraig Walshe Centre</w:t>
      </w:r>
      <w:r w:rsidR="00A5626B">
        <w:rPr>
          <w:rFonts w:ascii="Calibri" w:hAnsi="Calibri" w:cs="Calibri"/>
        </w:rPr>
        <w:t xml:space="preserve"> </w:t>
      </w:r>
      <w:r w:rsidR="00A5626B" w:rsidRPr="007F6B4B">
        <w:rPr>
          <w:rFonts w:asciiTheme="minorHAnsi" w:hAnsiTheme="minorHAnsi" w:cstheme="minorHAnsi"/>
          <w:lang w:val="en-IE"/>
        </w:rPr>
        <w:t>for Sustainable Animal and Grassland Research</w:t>
      </w:r>
      <w:r w:rsidR="004C1589" w:rsidRPr="005B7E84">
        <w:rPr>
          <w:rFonts w:ascii="Calibri" w:eastAsiaTheme="minorHAnsi" w:hAnsi="Calibri" w:cs="Calibri"/>
          <w:lang w:val="en-IE"/>
        </w:rPr>
        <w:t xml:space="preserve">. </w:t>
      </w:r>
    </w:p>
    <w:p w14:paraId="3DEB516A" w14:textId="77777777" w:rsidR="00740258" w:rsidRPr="005B7E84" w:rsidRDefault="00740258" w:rsidP="003F4E9E">
      <w:pPr>
        <w:pStyle w:val="NoSpacing"/>
        <w:jc w:val="both"/>
        <w:rPr>
          <w:rFonts w:cstheme="minorHAnsi"/>
          <w:b/>
          <w:u w:val="single"/>
          <w:lang w:val="en-IE"/>
        </w:rPr>
      </w:pPr>
    </w:p>
    <w:p w14:paraId="23203A75" w14:textId="628904DC" w:rsidR="003F4E9E" w:rsidRPr="008448B2" w:rsidRDefault="00D955A3" w:rsidP="003F4E9E">
      <w:pPr>
        <w:pStyle w:val="NoSpacing"/>
        <w:jc w:val="both"/>
        <w:rPr>
          <w:rFonts w:cstheme="minorHAnsi"/>
          <w:b/>
          <w:sz w:val="20"/>
          <w:szCs w:val="20"/>
          <w:u w:val="single"/>
          <w:lang w:val="en-IE"/>
        </w:rPr>
      </w:pPr>
      <w:r>
        <w:rPr>
          <w:rFonts w:cstheme="minorHAnsi"/>
          <w:b/>
          <w:sz w:val="20"/>
          <w:szCs w:val="20"/>
          <w:u w:val="single"/>
          <w:lang w:val="en-IE"/>
        </w:rPr>
        <w:t>Earnings</w:t>
      </w:r>
      <w:r w:rsidRPr="008448B2">
        <w:rPr>
          <w:rFonts w:cstheme="minorHAnsi"/>
          <w:b/>
          <w:sz w:val="20"/>
          <w:szCs w:val="20"/>
          <w:u w:val="single"/>
          <w:lang w:val="en-IE"/>
        </w:rPr>
        <w:t xml:space="preserve"> </w:t>
      </w:r>
      <w:r w:rsidR="003F4E9E" w:rsidRPr="008448B2">
        <w:rPr>
          <w:rFonts w:cstheme="minorHAnsi"/>
          <w:b/>
          <w:sz w:val="20"/>
          <w:szCs w:val="20"/>
          <w:u w:val="single"/>
          <w:lang w:val="en-IE"/>
        </w:rPr>
        <w:t>per share</w:t>
      </w:r>
    </w:p>
    <w:p w14:paraId="266F6F40" w14:textId="4DF4C69E" w:rsidR="003F4E9E" w:rsidRPr="008448B2" w:rsidRDefault="003F4E9E" w:rsidP="003F4E9E">
      <w:pPr>
        <w:jc w:val="both"/>
        <w:rPr>
          <w:rFonts w:asciiTheme="minorHAnsi" w:eastAsiaTheme="minorHAnsi" w:hAnsiTheme="minorHAnsi" w:cstheme="minorHAnsi"/>
          <w:lang w:val="en-IE"/>
        </w:rPr>
      </w:pPr>
      <w:r w:rsidRPr="005B7E84">
        <w:rPr>
          <w:rFonts w:asciiTheme="minorHAnsi" w:eastAsiaTheme="minorHAnsi" w:hAnsiTheme="minorHAnsi" w:cstheme="minorHAnsi"/>
          <w:lang w:val="en-IE"/>
        </w:rPr>
        <w:t>The diluted</w:t>
      </w:r>
      <w:r w:rsidR="00D955A3">
        <w:rPr>
          <w:rFonts w:asciiTheme="minorHAnsi" w:eastAsiaTheme="minorHAnsi" w:hAnsiTheme="minorHAnsi" w:cstheme="minorHAnsi"/>
          <w:lang w:val="en-IE"/>
        </w:rPr>
        <w:t xml:space="preserve"> earnings</w:t>
      </w:r>
      <w:r w:rsidR="00EA7E92" w:rsidRPr="005B7E84">
        <w:rPr>
          <w:rFonts w:asciiTheme="minorHAnsi" w:eastAsiaTheme="minorHAnsi" w:hAnsiTheme="minorHAnsi" w:cstheme="minorHAnsi"/>
          <w:lang w:val="en-IE"/>
        </w:rPr>
        <w:t xml:space="preserve"> </w:t>
      </w:r>
      <w:r w:rsidRPr="005B7E84">
        <w:rPr>
          <w:rFonts w:asciiTheme="minorHAnsi" w:eastAsiaTheme="minorHAnsi" w:hAnsiTheme="minorHAnsi" w:cstheme="minorHAnsi"/>
          <w:lang w:val="en-IE"/>
        </w:rPr>
        <w:t xml:space="preserve">per share was </w:t>
      </w:r>
      <w:r w:rsidR="00B87E67" w:rsidRPr="005B7E84">
        <w:rPr>
          <w:rFonts w:asciiTheme="minorHAnsi" w:eastAsiaTheme="minorHAnsi" w:hAnsiTheme="minorHAnsi" w:cstheme="minorHAnsi"/>
          <w:lang w:val="en-IE"/>
        </w:rPr>
        <w:t>1</w:t>
      </w:r>
      <w:r w:rsidR="00E31D02" w:rsidRPr="005B7E84">
        <w:rPr>
          <w:rFonts w:asciiTheme="minorHAnsi" w:eastAsiaTheme="minorHAnsi" w:hAnsiTheme="minorHAnsi" w:cstheme="minorHAnsi"/>
          <w:lang w:val="en-IE"/>
        </w:rPr>
        <w:t>90</w:t>
      </w:r>
      <w:r w:rsidR="002D67C7" w:rsidRPr="005B7E84">
        <w:rPr>
          <w:rFonts w:asciiTheme="minorHAnsi" w:eastAsiaTheme="minorHAnsi" w:hAnsiTheme="minorHAnsi" w:cstheme="minorHAnsi"/>
          <w:lang w:val="en-IE"/>
        </w:rPr>
        <w:t xml:space="preserve"> </w:t>
      </w:r>
      <w:r w:rsidRPr="005B7E84">
        <w:rPr>
          <w:rFonts w:asciiTheme="minorHAnsi" w:eastAsiaTheme="minorHAnsi" w:hAnsiTheme="minorHAnsi" w:cstheme="minorHAnsi"/>
          <w:lang w:val="en-IE"/>
        </w:rPr>
        <w:t>cent per ordinary share, compared to</w:t>
      </w:r>
      <w:r w:rsidR="0002158F" w:rsidRPr="005B7E84">
        <w:rPr>
          <w:rFonts w:asciiTheme="minorHAnsi" w:eastAsiaTheme="minorHAnsi" w:hAnsiTheme="minorHAnsi" w:cstheme="minorHAnsi"/>
          <w:lang w:val="en-IE"/>
        </w:rPr>
        <w:t xml:space="preserve"> </w:t>
      </w:r>
      <w:r w:rsidR="008448B2" w:rsidRPr="005B7E84">
        <w:rPr>
          <w:rFonts w:asciiTheme="minorHAnsi" w:eastAsiaTheme="minorHAnsi" w:hAnsiTheme="minorHAnsi" w:cstheme="minorHAnsi"/>
          <w:lang w:val="en-IE"/>
        </w:rPr>
        <w:t>1</w:t>
      </w:r>
      <w:r w:rsidR="00F55681" w:rsidRPr="005B7E84">
        <w:rPr>
          <w:rFonts w:asciiTheme="minorHAnsi" w:eastAsiaTheme="minorHAnsi" w:hAnsiTheme="minorHAnsi" w:cstheme="minorHAnsi"/>
          <w:lang w:val="en-IE"/>
        </w:rPr>
        <w:t>57</w:t>
      </w:r>
      <w:r w:rsidR="00C16EEB" w:rsidRPr="005B7E84">
        <w:rPr>
          <w:rFonts w:asciiTheme="minorHAnsi" w:eastAsiaTheme="minorHAnsi" w:hAnsiTheme="minorHAnsi" w:cstheme="minorHAnsi"/>
          <w:lang w:val="en-IE"/>
        </w:rPr>
        <w:t xml:space="preserve"> </w:t>
      </w:r>
      <w:r w:rsidRPr="005B7E84">
        <w:rPr>
          <w:rFonts w:asciiTheme="minorHAnsi" w:eastAsiaTheme="minorHAnsi" w:hAnsiTheme="minorHAnsi" w:cstheme="minorHAnsi"/>
          <w:lang w:val="en-IE"/>
        </w:rPr>
        <w:t>cent</w:t>
      </w:r>
      <w:r w:rsidR="002F5956" w:rsidRPr="005B7E84">
        <w:rPr>
          <w:rFonts w:asciiTheme="minorHAnsi" w:eastAsiaTheme="minorHAnsi" w:hAnsiTheme="minorHAnsi" w:cstheme="minorHAnsi"/>
          <w:lang w:val="en-IE"/>
        </w:rPr>
        <w:t xml:space="preserve"> (restated)</w:t>
      </w:r>
      <w:r w:rsidRPr="005B7E84">
        <w:rPr>
          <w:rFonts w:asciiTheme="minorHAnsi" w:eastAsiaTheme="minorHAnsi" w:hAnsiTheme="minorHAnsi" w:cstheme="minorHAnsi"/>
          <w:lang w:val="en-IE"/>
        </w:rPr>
        <w:t xml:space="preserve"> per ordinary shar</w:t>
      </w:r>
      <w:r w:rsidR="00D66451" w:rsidRPr="005B7E84">
        <w:rPr>
          <w:rFonts w:asciiTheme="minorHAnsi" w:eastAsiaTheme="minorHAnsi" w:hAnsiTheme="minorHAnsi" w:cstheme="minorHAnsi"/>
          <w:lang w:val="en-IE"/>
        </w:rPr>
        <w:t>e</w:t>
      </w:r>
      <w:r w:rsidR="00D66451" w:rsidRPr="008448B2">
        <w:rPr>
          <w:rFonts w:asciiTheme="minorHAnsi" w:eastAsiaTheme="minorHAnsi" w:hAnsiTheme="minorHAnsi" w:cstheme="minorHAnsi"/>
          <w:lang w:val="en-IE"/>
        </w:rPr>
        <w:t xml:space="preserve"> in 202</w:t>
      </w:r>
      <w:r w:rsidR="008448B2" w:rsidRPr="008448B2">
        <w:rPr>
          <w:rFonts w:asciiTheme="minorHAnsi" w:eastAsiaTheme="minorHAnsi" w:hAnsiTheme="minorHAnsi" w:cstheme="minorHAnsi"/>
          <w:lang w:val="en-IE"/>
        </w:rPr>
        <w:t>2</w:t>
      </w:r>
      <w:r w:rsidRPr="008448B2">
        <w:rPr>
          <w:rFonts w:asciiTheme="minorHAnsi" w:eastAsiaTheme="minorHAnsi" w:hAnsiTheme="minorHAnsi" w:cstheme="minorHAnsi"/>
          <w:lang w:val="en-IE"/>
        </w:rPr>
        <w:t xml:space="preserve">.  </w:t>
      </w:r>
    </w:p>
    <w:p w14:paraId="1C0BAE70" w14:textId="77777777" w:rsidR="00864484" w:rsidRPr="008448B2" w:rsidRDefault="00864484" w:rsidP="00BA3BE2">
      <w:pPr>
        <w:pStyle w:val="NoSpacing"/>
        <w:jc w:val="both"/>
        <w:rPr>
          <w:rFonts w:cstheme="minorHAnsi"/>
          <w:b/>
          <w:sz w:val="20"/>
          <w:szCs w:val="20"/>
          <w:u w:val="single"/>
          <w:lang w:val="en-IE"/>
        </w:rPr>
      </w:pPr>
    </w:p>
    <w:p w14:paraId="072FBD68" w14:textId="749BB15C" w:rsidR="00795EB0" w:rsidRPr="008A64B0" w:rsidRDefault="00054734" w:rsidP="00BA3BE2">
      <w:pPr>
        <w:pStyle w:val="NoSpacing"/>
        <w:jc w:val="both"/>
        <w:rPr>
          <w:rFonts w:cstheme="minorHAnsi"/>
          <w:b/>
          <w:sz w:val="20"/>
          <w:szCs w:val="20"/>
          <w:u w:val="single"/>
          <w:lang w:val="en-IE"/>
        </w:rPr>
      </w:pPr>
      <w:r>
        <w:rPr>
          <w:rFonts w:cstheme="minorHAnsi"/>
          <w:b/>
          <w:sz w:val="20"/>
          <w:szCs w:val="20"/>
          <w:u w:val="single"/>
          <w:lang w:val="en-IE"/>
        </w:rPr>
        <w:t xml:space="preserve">Capital </w:t>
      </w:r>
      <w:r w:rsidR="00FA6091">
        <w:rPr>
          <w:rFonts w:cstheme="minorHAnsi"/>
          <w:b/>
          <w:sz w:val="20"/>
          <w:szCs w:val="20"/>
          <w:u w:val="single"/>
          <w:lang w:val="en-IE"/>
        </w:rPr>
        <w:t>R</w:t>
      </w:r>
      <w:r>
        <w:rPr>
          <w:rFonts w:cstheme="minorHAnsi"/>
          <w:b/>
          <w:sz w:val="20"/>
          <w:szCs w:val="20"/>
          <w:u w:val="single"/>
          <w:lang w:val="en-IE"/>
        </w:rPr>
        <w:t>eturn</w:t>
      </w:r>
    </w:p>
    <w:p w14:paraId="59EF3949" w14:textId="77777777" w:rsidR="001348FD" w:rsidRDefault="008979C7" w:rsidP="004C6EC3">
      <w:pPr>
        <w:jc w:val="both"/>
        <w:rPr>
          <w:rFonts w:asciiTheme="minorHAnsi" w:eastAsiaTheme="minorHAnsi" w:hAnsiTheme="minorHAnsi" w:cstheme="minorHAnsi"/>
          <w:lang w:val="en-IE"/>
        </w:rPr>
      </w:pPr>
      <w:r w:rsidRPr="008A64B0">
        <w:rPr>
          <w:rFonts w:asciiTheme="minorHAnsi" w:eastAsiaTheme="minorHAnsi" w:hAnsiTheme="minorHAnsi" w:cstheme="minorHAnsi"/>
          <w:lang w:val="en-IE"/>
        </w:rPr>
        <w:t xml:space="preserve">The Group’s </w:t>
      </w:r>
      <w:r w:rsidR="004C6EC3" w:rsidRPr="008A64B0">
        <w:rPr>
          <w:rFonts w:asciiTheme="minorHAnsi" w:eastAsiaTheme="minorHAnsi" w:hAnsiTheme="minorHAnsi" w:cstheme="minorHAnsi"/>
          <w:lang w:val="en-IE"/>
        </w:rPr>
        <w:t>Dividend Policy</w:t>
      </w:r>
      <w:r w:rsidRPr="008A64B0">
        <w:rPr>
          <w:rFonts w:asciiTheme="minorHAnsi" w:eastAsiaTheme="minorHAnsi" w:hAnsiTheme="minorHAnsi" w:cstheme="minorHAnsi"/>
          <w:lang w:val="en-IE"/>
        </w:rPr>
        <w:t xml:space="preserve"> </w:t>
      </w:r>
      <w:r w:rsidR="001E221B" w:rsidRPr="008A64B0">
        <w:rPr>
          <w:rFonts w:asciiTheme="minorHAnsi" w:eastAsiaTheme="minorHAnsi" w:hAnsiTheme="minorHAnsi" w:cstheme="minorHAnsi"/>
          <w:lang w:val="en-IE"/>
        </w:rPr>
        <w:t xml:space="preserve">intends to reward </w:t>
      </w:r>
      <w:r w:rsidRPr="008A64B0">
        <w:rPr>
          <w:rFonts w:asciiTheme="minorHAnsi" w:eastAsiaTheme="minorHAnsi" w:hAnsiTheme="minorHAnsi" w:cstheme="minorHAnsi"/>
          <w:lang w:val="en-IE"/>
        </w:rPr>
        <w:t xml:space="preserve">shareholders through </w:t>
      </w:r>
      <w:r w:rsidR="001E221B" w:rsidRPr="008A64B0">
        <w:rPr>
          <w:rFonts w:asciiTheme="minorHAnsi" w:eastAsiaTheme="minorHAnsi" w:hAnsiTheme="minorHAnsi" w:cstheme="minorHAnsi"/>
          <w:lang w:val="en-IE"/>
        </w:rPr>
        <w:t xml:space="preserve">regular </w:t>
      </w:r>
      <w:r w:rsidR="00805B22" w:rsidRPr="008A64B0">
        <w:rPr>
          <w:rFonts w:asciiTheme="minorHAnsi" w:eastAsiaTheme="minorHAnsi" w:hAnsiTheme="minorHAnsi" w:cstheme="minorHAnsi"/>
          <w:lang w:val="en-IE"/>
        </w:rPr>
        <w:t xml:space="preserve">annual </w:t>
      </w:r>
      <w:r w:rsidRPr="008A64B0">
        <w:rPr>
          <w:rFonts w:asciiTheme="minorHAnsi" w:eastAsiaTheme="minorHAnsi" w:hAnsiTheme="minorHAnsi" w:cstheme="minorHAnsi"/>
          <w:lang w:val="en-IE"/>
        </w:rPr>
        <w:t xml:space="preserve">dividends </w:t>
      </w:r>
      <w:r w:rsidR="001E221B" w:rsidRPr="008A64B0">
        <w:rPr>
          <w:rFonts w:asciiTheme="minorHAnsi" w:eastAsiaTheme="minorHAnsi" w:hAnsiTheme="minorHAnsi" w:cstheme="minorHAnsi"/>
          <w:lang w:val="en-IE"/>
        </w:rPr>
        <w:t xml:space="preserve">while </w:t>
      </w:r>
      <w:r w:rsidRPr="008A64B0">
        <w:rPr>
          <w:rFonts w:asciiTheme="minorHAnsi" w:eastAsiaTheme="minorHAnsi" w:hAnsiTheme="minorHAnsi" w:cstheme="minorHAnsi"/>
          <w:lang w:val="en-IE"/>
        </w:rPr>
        <w:t xml:space="preserve">retaining </w:t>
      </w:r>
      <w:r w:rsidR="001E221B" w:rsidRPr="008A64B0">
        <w:rPr>
          <w:rFonts w:asciiTheme="minorHAnsi" w:eastAsiaTheme="minorHAnsi" w:hAnsiTheme="minorHAnsi" w:cstheme="minorHAnsi"/>
          <w:lang w:val="en-IE"/>
        </w:rPr>
        <w:t xml:space="preserve">sufficient </w:t>
      </w:r>
      <w:r w:rsidRPr="008A64B0">
        <w:rPr>
          <w:rFonts w:asciiTheme="minorHAnsi" w:eastAsiaTheme="minorHAnsi" w:hAnsiTheme="minorHAnsi" w:cstheme="minorHAnsi"/>
          <w:lang w:val="en-IE"/>
        </w:rPr>
        <w:t xml:space="preserve">capital </w:t>
      </w:r>
      <w:proofErr w:type="gramStart"/>
      <w:r w:rsidRPr="008A64B0">
        <w:rPr>
          <w:rFonts w:asciiTheme="minorHAnsi" w:eastAsiaTheme="minorHAnsi" w:hAnsiTheme="minorHAnsi" w:cstheme="minorHAnsi"/>
          <w:lang w:val="en-IE"/>
        </w:rPr>
        <w:t>in order to</w:t>
      </w:r>
      <w:proofErr w:type="gramEnd"/>
      <w:r w:rsidRPr="008A64B0">
        <w:rPr>
          <w:rFonts w:asciiTheme="minorHAnsi" w:eastAsiaTheme="minorHAnsi" w:hAnsiTheme="minorHAnsi" w:cstheme="minorHAnsi"/>
          <w:lang w:val="en-IE"/>
        </w:rPr>
        <w:t xml:space="preserve"> maintain a healthy</w:t>
      </w:r>
      <w:r w:rsidR="00B16857" w:rsidRPr="008A64B0">
        <w:rPr>
          <w:rFonts w:asciiTheme="minorHAnsi" w:eastAsiaTheme="minorHAnsi" w:hAnsiTheme="minorHAnsi" w:cstheme="minorHAnsi"/>
          <w:lang w:val="en-IE"/>
        </w:rPr>
        <w:t xml:space="preserve"> capital adequacy to support</w:t>
      </w:r>
      <w:r w:rsidRPr="008A64B0">
        <w:rPr>
          <w:rFonts w:asciiTheme="minorHAnsi" w:eastAsiaTheme="minorHAnsi" w:hAnsiTheme="minorHAnsi" w:cstheme="minorHAnsi"/>
          <w:lang w:val="en-IE"/>
        </w:rPr>
        <w:t xml:space="preserve"> future capital requirements. </w:t>
      </w:r>
      <w:r w:rsidR="004C6EC3" w:rsidRPr="008A64B0">
        <w:rPr>
          <w:rFonts w:asciiTheme="minorHAnsi" w:eastAsiaTheme="minorHAnsi" w:hAnsiTheme="minorHAnsi" w:cstheme="minorHAnsi"/>
          <w:lang w:val="en-IE"/>
        </w:rPr>
        <w:t>The Group has</w:t>
      </w:r>
      <w:r w:rsidR="001E221B" w:rsidRPr="008A64B0">
        <w:rPr>
          <w:rFonts w:asciiTheme="minorHAnsi" w:eastAsiaTheme="minorHAnsi" w:hAnsiTheme="minorHAnsi" w:cstheme="minorHAnsi"/>
          <w:lang w:val="en-IE"/>
        </w:rPr>
        <w:t xml:space="preserve"> a robust capital position</w:t>
      </w:r>
      <w:r w:rsidR="00A00BE4" w:rsidRPr="008A64B0">
        <w:rPr>
          <w:rFonts w:asciiTheme="minorHAnsi" w:eastAsiaTheme="minorHAnsi" w:hAnsiTheme="minorHAnsi" w:cstheme="minorHAnsi"/>
          <w:lang w:val="en-IE"/>
        </w:rPr>
        <w:t xml:space="preserve"> and</w:t>
      </w:r>
      <w:r w:rsidR="004C6EC3" w:rsidRPr="008A64B0">
        <w:rPr>
          <w:rFonts w:asciiTheme="minorHAnsi" w:eastAsiaTheme="minorHAnsi" w:hAnsiTheme="minorHAnsi" w:cstheme="minorHAnsi"/>
          <w:lang w:val="en-IE"/>
        </w:rPr>
        <w:t xml:space="preserve"> liquidity margins. Given the Gr</w:t>
      </w:r>
      <w:r w:rsidR="00EE42AB" w:rsidRPr="008A64B0">
        <w:rPr>
          <w:rFonts w:asciiTheme="minorHAnsi" w:eastAsiaTheme="minorHAnsi" w:hAnsiTheme="minorHAnsi" w:cstheme="minorHAnsi"/>
          <w:lang w:val="en-IE"/>
        </w:rPr>
        <w:t xml:space="preserve">oup’s </w:t>
      </w:r>
      <w:r w:rsidR="00557459" w:rsidRPr="008A64B0">
        <w:rPr>
          <w:rFonts w:asciiTheme="minorHAnsi" w:eastAsiaTheme="minorHAnsi" w:hAnsiTheme="minorHAnsi" w:cstheme="minorHAnsi"/>
          <w:lang w:val="en-IE"/>
        </w:rPr>
        <w:t>strong</w:t>
      </w:r>
      <w:r w:rsidR="004C6EC3" w:rsidRPr="008A64B0">
        <w:rPr>
          <w:rFonts w:asciiTheme="minorHAnsi" w:eastAsiaTheme="minorHAnsi" w:hAnsiTheme="minorHAnsi" w:cstheme="minorHAnsi"/>
          <w:lang w:val="en-IE"/>
        </w:rPr>
        <w:t xml:space="preserve"> financial performance in </w:t>
      </w:r>
      <w:r w:rsidR="004C6EC3" w:rsidRPr="00C33F6D">
        <w:rPr>
          <w:rFonts w:asciiTheme="minorHAnsi" w:eastAsiaTheme="minorHAnsi" w:hAnsiTheme="minorHAnsi" w:cstheme="minorHAnsi"/>
          <w:lang w:val="en-IE"/>
        </w:rPr>
        <w:t>20</w:t>
      </w:r>
      <w:r w:rsidR="00932C40" w:rsidRPr="00C33F6D">
        <w:rPr>
          <w:rFonts w:asciiTheme="minorHAnsi" w:eastAsiaTheme="minorHAnsi" w:hAnsiTheme="minorHAnsi" w:cstheme="minorHAnsi"/>
          <w:lang w:val="en-IE"/>
        </w:rPr>
        <w:t>2</w:t>
      </w:r>
      <w:r w:rsidR="008A64B0" w:rsidRPr="00C33F6D">
        <w:rPr>
          <w:rFonts w:asciiTheme="minorHAnsi" w:eastAsiaTheme="minorHAnsi" w:hAnsiTheme="minorHAnsi" w:cstheme="minorHAnsi"/>
          <w:lang w:val="en-IE"/>
        </w:rPr>
        <w:t>3</w:t>
      </w:r>
      <w:r w:rsidR="004C6EC3" w:rsidRPr="00C33F6D">
        <w:rPr>
          <w:rFonts w:asciiTheme="minorHAnsi" w:eastAsiaTheme="minorHAnsi" w:hAnsiTheme="minorHAnsi" w:cstheme="minorHAnsi"/>
          <w:lang w:val="en-IE"/>
        </w:rPr>
        <w:t xml:space="preserve"> the Board proposes to pay a </w:t>
      </w:r>
      <w:r w:rsidR="004C6EC3" w:rsidRPr="00D17BAD">
        <w:rPr>
          <w:rFonts w:asciiTheme="minorHAnsi" w:eastAsiaTheme="minorHAnsi" w:hAnsiTheme="minorHAnsi" w:cstheme="minorHAnsi"/>
          <w:lang w:val="en-IE"/>
        </w:rPr>
        <w:t xml:space="preserve">dividend of </w:t>
      </w:r>
      <w:r w:rsidR="00740258" w:rsidRPr="004C6E1E">
        <w:rPr>
          <w:rFonts w:asciiTheme="minorHAnsi" w:eastAsiaTheme="minorHAnsi" w:hAnsiTheme="minorHAnsi" w:cstheme="minorHAnsi"/>
          <w:lang w:val="en-IE"/>
        </w:rPr>
        <w:t>100</w:t>
      </w:r>
      <w:r w:rsidR="004C6EC3" w:rsidRPr="004C6E1E">
        <w:rPr>
          <w:rFonts w:asciiTheme="minorHAnsi" w:eastAsiaTheme="minorHAnsi" w:hAnsiTheme="minorHAnsi" w:cstheme="minorHAnsi"/>
          <w:lang w:val="en-IE"/>
        </w:rPr>
        <w:t xml:space="preserve"> cent per share</w:t>
      </w:r>
      <w:r w:rsidR="00C16EEB" w:rsidRPr="004C6E1E">
        <w:rPr>
          <w:rFonts w:asciiTheme="minorHAnsi" w:eastAsiaTheme="minorHAnsi" w:hAnsiTheme="minorHAnsi" w:cstheme="minorHAnsi"/>
          <w:lang w:val="en-IE"/>
        </w:rPr>
        <w:t xml:space="preserve"> </w:t>
      </w:r>
      <w:r w:rsidR="00C16EEB" w:rsidRPr="00D17BAD">
        <w:rPr>
          <w:rFonts w:asciiTheme="minorHAnsi" w:eastAsiaTheme="minorHAnsi" w:hAnsiTheme="minorHAnsi" w:cstheme="minorHAnsi"/>
          <w:lang w:val="en-IE"/>
        </w:rPr>
        <w:t>for the 202</w:t>
      </w:r>
      <w:r w:rsidR="008A64B0" w:rsidRPr="00D17BAD">
        <w:rPr>
          <w:rFonts w:asciiTheme="minorHAnsi" w:eastAsiaTheme="minorHAnsi" w:hAnsiTheme="minorHAnsi" w:cstheme="minorHAnsi"/>
          <w:lang w:val="en-IE"/>
        </w:rPr>
        <w:t>3</w:t>
      </w:r>
      <w:r w:rsidR="004C6EC3" w:rsidRPr="00D17BAD">
        <w:rPr>
          <w:rFonts w:asciiTheme="minorHAnsi" w:eastAsiaTheme="minorHAnsi" w:hAnsiTheme="minorHAnsi" w:cstheme="minorHAnsi"/>
          <w:lang w:val="en-IE"/>
        </w:rPr>
        <w:t xml:space="preserve"> financial year (20</w:t>
      </w:r>
      <w:r w:rsidR="00557459" w:rsidRPr="00D17BAD">
        <w:rPr>
          <w:rFonts w:asciiTheme="minorHAnsi" w:eastAsiaTheme="minorHAnsi" w:hAnsiTheme="minorHAnsi" w:cstheme="minorHAnsi"/>
          <w:lang w:val="en-IE"/>
        </w:rPr>
        <w:t>2</w:t>
      </w:r>
      <w:r w:rsidR="008A64B0" w:rsidRPr="00D17BAD">
        <w:rPr>
          <w:rFonts w:asciiTheme="minorHAnsi" w:eastAsiaTheme="minorHAnsi" w:hAnsiTheme="minorHAnsi" w:cstheme="minorHAnsi"/>
          <w:lang w:val="en-IE"/>
        </w:rPr>
        <w:t>2 Ordinary dividend</w:t>
      </w:r>
      <w:r w:rsidR="004C6EC3" w:rsidRPr="00D17BAD">
        <w:rPr>
          <w:rFonts w:asciiTheme="minorHAnsi" w:eastAsiaTheme="minorHAnsi" w:hAnsiTheme="minorHAnsi" w:cstheme="minorHAnsi"/>
          <w:lang w:val="en-IE"/>
        </w:rPr>
        <w:t xml:space="preserve">: </w:t>
      </w:r>
      <w:r w:rsidR="00557459" w:rsidRPr="00D17BAD">
        <w:rPr>
          <w:rFonts w:asciiTheme="minorHAnsi" w:eastAsiaTheme="minorHAnsi" w:hAnsiTheme="minorHAnsi" w:cstheme="minorHAnsi"/>
          <w:lang w:val="en-IE"/>
        </w:rPr>
        <w:t>100c</w:t>
      </w:r>
      <w:r w:rsidR="004C6EC3" w:rsidRPr="00D17BAD">
        <w:rPr>
          <w:rFonts w:asciiTheme="minorHAnsi" w:eastAsiaTheme="minorHAnsi" w:hAnsiTheme="minorHAnsi" w:cstheme="minorHAnsi"/>
          <w:lang w:val="en-IE"/>
        </w:rPr>
        <w:t>).</w:t>
      </w:r>
      <w:r w:rsidR="00AD4009" w:rsidRPr="00D17BAD">
        <w:rPr>
          <w:rFonts w:asciiTheme="minorHAnsi" w:eastAsiaTheme="minorHAnsi" w:hAnsiTheme="minorHAnsi" w:cstheme="minorHAnsi"/>
          <w:lang w:val="en-IE"/>
        </w:rPr>
        <w:t xml:space="preserve"> </w:t>
      </w:r>
      <w:r w:rsidR="004C6EC3" w:rsidRPr="00D17BAD">
        <w:rPr>
          <w:rFonts w:asciiTheme="minorHAnsi" w:eastAsiaTheme="minorHAnsi" w:hAnsiTheme="minorHAnsi" w:cstheme="minorHAnsi"/>
          <w:lang w:val="en-IE"/>
        </w:rPr>
        <w:t xml:space="preserve"> </w:t>
      </w:r>
    </w:p>
    <w:p w14:paraId="47FBFDE0" w14:textId="77777777" w:rsidR="001348FD" w:rsidRDefault="001348FD" w:rsidP="004C6EC3">
      <w:pPr>
        <w:jc w:val="both"/>
        <w:rPr>
          <w:rFonts w:asciiTheme="minorHAnsi" w:eastAsiaTheme="minorHAnsi" w:hAnsiTheme="minorHAnsi" w:cstheme="minorHAnsi"/>
          <w:lang w:val="en-IE"/>
        </w:rPr>
      </w:pPr>
    </w:p>
    <w:p w14:paraId="7E0EF772" w14:textId="28E3D8AC" w:rsidR="00327EA9" w:rsidRDefault="008A64B0" w:rsidP="004C6EC3">
      <w:pPr>
        <w:jc w:val="both"/>
        <w:rPr>
          <w:rFonts w:ascii="Calibri" w:eastAsiaTheme="minorHAnsi" w:hAnsi="Calibri" w:cs="Calibri"/>
          <w:lang w:val="en-IE"/>
        </w:rPr>
      </w:pPr>
      <w:r w:rsidRPr="00D17BAD">
        <w:rPr>
          <w:rFonts w:ascii="Calibri" w:eastAsiaTheme="minorHAnsi" w:hAnsi="Calibri" w:cs="Calibri"/>
          <w:lang w:val="en-IE"/>
        </w:rPr>
        <w:t>The Board also approved a special dividend of 100 cent per</w:t>
      </w:r>
      <w:r>
        <w:rPr>
          <w:rFonts w:ascii="Calibri" w:eastAsiaTheme="minorHAnsi" w:hAnsi="Calibri" w:cs="Calibri"/>
          <w:lang w:val="en-IE"/>
        </w:rPr>
        <w:t xml:space="preserve"> ordinary share returning a portion of the excess capital to shareholders, which was </w:t>
      </w:r>
      <w:r w:rsidRPr="001D5038">
        <w:rPr>
          <w:rFonts w:ascii="Calibri" w:eastAsiaTheme="minorHAnsi" w:hAnsi="Calibri" w:cs="Calibri"/>
          <w:lang w:val="en-IE"/>
        </w:rPr>
        <w:t xml:space="preserve">approved by the Board on 10 August 2023 </w:t>
      </w:r>
      <w:r>
        <w:rPr>
          <w:rFonts w:ascii="Calibri" w:eastAsiaTheme="minorHAnsi" w:hAnsi="Calibri" w:cs="Calibri"/>
          <w:lang w:val="en-IE"/>
        </w:rPr>
        <w:t>and</w:t>
      </w:r>
      <w:r w:rsidRPr="001D5038">
        <w:rPr>
          <w:rFonts w:ascii="Calibri" w:eastAsiaTheme="minorHAnsi" w:hAnsi="Calibri" w:cs="Calibri"/>
          <w:lang w:val="en-IE"/>
        </w:rPr>
        <w:t xml:space="preserve"> paid on 20 October 2023</w:t>
      </w:r>
      <w:r>
        <w:rPr>
          <w:rFonts w:ascii="Calibri" w:eastAsiaTheme="minorHAnsi" w:hAnsi="Calibri" w:cs="Calibri"/>
          <w:lang w:val="en-IE"/>
        </w:rPr>
        <w:t>.</w:t>
      </w:r>
      <w:r w:rsidR="00327EA9">
        <w:rPr>
          <w:rFonts w:ascii="Calibri" w:eastAsiaTheme="minorHAnsi" w:hAnsi="Calibri" w:cs="Calibri"/>
          <w:lang w:val="en-IE"/>
        </w:rPr>
        <w:t xml:space="preserve"> </w:t>
      </w:r>
    </w:p>
    <w:p w14:paraId="76F90E5E" w14:textId="77777777" w:rsidR="00327EA9" w:rsidRDefault="00327EA9" w:rsidP="004C6EC3">
      <w:pPr>
        <w:jc w:val="both"/>
        <w:rPr>
          <w:rFonts w:ascii="Calibri" w:eastAsiaTheme="minorHAnsi" w:hAnsi="Calibri" w:cs="Calibri"/>
          <w:lang w:val="en-IE"/>
        </w:rPr>
      </w:pPr>
    </w:p>
    <w:p w14:paraId="7AB098CF" w14:textId="2EBA54F6" w:rsidR="00054734" w:rsidRPr="00BA3D18" w:rsidRDefault="004C6EC3" w:rsidP="00A10605">
      <w:pPr>
        <w:jc w:val="both"/>
        <w:rPr>
          <w:rFonts w:asciiTheme="minorHAnsi" w:eastAsiaTheme="minorHAnsi" w:hAnsiTheme="minorHAnsi" w:cstheme="minorHAnsi"/>
          <w:lang w:val="en-IE"/>
        </w:rPr>
      </w:pPr>
      <w:r w:rsidRPr="004C6E1E">
        <w:rPr>
          <w:rFonts w:ascii="Calibri" w:eastAsiaTheme="minorHAnsi" w:hAnsi="Calibri" w:cs="Calibri"/>
          <w:lang w:val="en-IE"/>
        </w:rPr>
        <w:t xml:space="preserve">Subject to the approval of shareholders at the Annual General Meeting to be held on </w:t>
      </w:r>
      <w:r w:rsidR="008448B2" w:rsidRPr="004C6E1E">
        <w:rPr>
          <w:rFonts w:ascii="Calibri" w:eastAsiaTheme="minorHAnsi" w:hAnsi="Calibri" w:cs="Calibri"/>
          <w:lang w:val="en-IE"/>
        </w:rPr>
        <w:t>9</w:t>
      </w:r>
      <w:r w:rsidRPr="004C6E1E">
        <w:rPr>
          <w:rFonts w:ascii="Calibri" w:eastAsiaTheme="minorHAnsi" w:hAnsi="Calibri" w:cs="Calibri"/>
          <w:lang w:val="en-IE"/>
        </w:rPr>
        <w:t xml:space="preserve"> May 202</w:t>
      </w:r>
      <w:r w:rsidR="008448B2" w:rsidRPr="004C6E1E">
        <w:rPr>
          <w:rFonts w:ascii="Calibri" w:eastAsiaTheme="minorHAnsi" w:hAnsi="Calibri" w:cs="Calibri"/>
          <w:lang w:val="en-IE"/>
        </w:rPr>
        <w:t>4</w:t>
      </w:r>
      <w:r w:rsidRPr="004C6E1E">
        <w:rPr>
          <w:rFonts w:ascii="Calibri" w:eastAsiaTheme="minorHAnsi" w:hAnsi="Calibri" w:cs="Calibri"/>
          <w:lang w:val="en-IE"/>
        </w:rPr>
        <w:t xml:space="preserve">, the final </w:t>
      </w:r>
      <w:r w:rsidRPr="00BA3D18">
        <w:rPr>
          <w:rFonts w:asciiTheme="minorHAnsi" w:eastAsiaTheme="minorHAnsi" w:hAnsiTheme="minorHAnsi" w:cstheme="minorHAnsi"/>
          <w:lang w:val="en-IE"/>
        </w:rPr>
        <w:t>dividend for 20</w:t>
      </w:r>
      <w:r w:rsidR="00196BE0" w:rsidRPr="00BA3D18">
        <w:rPr>
          <w:rFonts w:asciiTheme="minorHAnsi" w:eastAsiaTheme="minorHAnsi" w:hAnsiTheme="minorHAnsi" w:cstheme="minorHAnsi"/>
          <w:lang w:val="en-IE"/>
        </w:rPr>
        <w:t>2</w:t>
      </w:r>
      <w:r w:rsidR="008A64B0" w:rsidRPr="00BA3D18">
        <w:rPr>
          <w:rFonts w:asciiTheme="minorHAnsi" w:eastAsiaTheme="minorHAnsi" w:hAnsiTheme="minorHAnsi" w:cstheme="minorHAnsi"/>
          <w:lang w:val="en-IE"/>
        </w:rPr>
        <w:t>3</w:t>
      </w:r>
      <w:r w:rsidRPr="00BA3D18">
        <w:rPr>
          <w:rFonts w:asciiTheme="minorHAnsi" w:eastAsiaTheme="minorHAnsi" w:hAnsiTheme="minorHAnsi" w:cstheme="minorHAnsi"/>
          <w:lang w:val="en-IE"/>
        </w:rPr>
        <w:t xml:space="preserve"> will be paid on </w:t>
      </w:r>
      <w:r w:rsidR="007334D4">
        <w:rPr>
          <w:rFonts w:asciiTheme="minorHAnsi" w:eastAsiaTheme="minorHAnsi" w:hAnsiTheme="minorHAnsi" w:cstheme="minorHAnsi"/>
          <w:lang w:val="en-IE"/>
        </w:rPr>
        <w:t>7 June</w:t>
      </w:r>
      <w:r w:rsidRPr="00BA3D18">
        <w:rPr>
          <w:rFonts w:asciiTheme="minorHAnsi" w:eastAsiaTheme="minorHAnsi" w:hAnsiTheme="minorHAnsi" w:cstheme="minorHAnsi"/>
          <w:lang w:val="en-IE"/>
        </w:rPr>
        <w:t xml:space="preserve"> 202</w:t>
      </w:r>
      <w:r w:rsidR="00D54292" w:rsidRPr="00BA3D18">
        <w:rPr>
          <w:rFonts w:asciiTheme="minorHAnsi" w:eastAsiaTheme="minorHAnsi" w:hAnsiTheme="minorHAnsi" w:cstheme="minorHAnsi"/>
          <w:lang w:val="en-IE"/>
        </w:rPr>
        <w:t>4</w:t>
      </w:r>
      <w:r w:rsidRPr="00BA3D18">
        <w:rPr>
          <w:rFonts w:asciiTheme="minorHAnsi" w:eastAsiaTheme="minorHAnsi" w:hAnsiTheme="minorHAnsi" w:cstheme="minorHAnsi"/>
          <w:lang w:val="en-IE"/>
        </w:rPr>
        <w:t xml:space="preserve"> to the holders of shares on the register on </w:t>
      </w:r>
      <w:r w:rsidR="007334D4">
        <w:rPr>
          <w:rFonts w:asciiTheme="minorHAnsi" w:eastAsiaTheme="minorHAnsi" w:hAnsiTheme="minorHAnsi" w:cstheme="minorHAnsi"/>
          <w:lang w:val="en-IE"/>
        </w:rPr>
        <w:t>3 May</w:t>
      </w:r>
      <w:r w:rsidRPr="00BA3D18">
        <w:rPr>
          <w:rFonts w:asciiTheme="minorHAnsi" w:eastAsiaTheme="minorHAnsi" w:hAnsiTheme="minorHAnsi" w:cstheme="minorHAnsi"/>
          <w:lang w:val="en-IE"/>
        </w:rPr>
        <w:t xml:space="preserve"> 202</w:t>
      </w:r>
      <w:r w:rsidR="00D54292" w:rsidRPr="00BA3D18">
        <w:rPr>
          <w:rFonts w:asciiTheme="minorHAnsi" w:eastAsiaTheme="minorHAnsi" w:hAnsiTheme="minorHAnsi" w:cstheme="minorHAnsi"/>
          <w:lang w:val="en-IE"/>
        </w:rPr>
        <w:t>4</w:t>
      </w:r>
      <w:r w:rsidRPr="00BA3D18">
        <w:rPr>
          <w:rFonts w:asciiTheme="minorHAnsi" w:eastAsiaTheme="minorHAnsi" w:hAnsiTheme="minorHAnsi" w:cstheme="minorHAnsi"/>
          <w:lang w:val="en-IE"/>
        </w:rPr>
        <w:t xml:space="preserve">. The dividend is subject to </w:t>
      </w:r>
      <w:r w:rsidR="00004047">
        <w:rPr>
          <w:rFonts w:asciiTheme="minorHAnsi" w:eastAsiaTheme="minorHAnsi" w:hAnsiTheme="minorHAnsi" w:cstheme="minorHAnsi"/>
          <w:lang w:val="en-IE"/>
        </w:rPr>
        <w:t xml:space="preserve">dividend </w:t>
      </w:r>
      <w:r w:rsidRPr="00BA3D18">
        <w:rPr>
          <w:rFonts w:asciiTheme="minorHAnsi" w:eastAsiaTheme="minorHAnsi" w:hAnsiTheme="minorHAnsi" w:cstheme="minorHAnsi"/>
          <w:lang w:val="en-IE"/>
        </w:rPr>
        <w:t>withholding tax (“DWT”) except for shareholders who are exempt from DWT and who have furnished a properly completed declaration of exemption to the Company’s Registrar from whom further details may be obtained</w:t>
      </w:r>
      <w:r w:rsidR="009341AE" w:rsidRPr="00BA3D18">
        <w:rPr>
          <w:rFonts w:asciiTheme="minorHAnsi" w:eastAsiaTheme="minorHAnsi" w:hAnsiTheme="minorHAnsi" w:cstheme="minorHAnsi"/>
          <w:lang w:val="en-IE"/>
        </w:rPr>
        <w:t>.</w:t>
      </w:r>
      <w:r w:rsidR="00327EA9" w:rsidRPr="00BA3D18">
        <w:rPr>
          <w:rFonts w:asciiTheme="minorHAnsi" w:eastAsiaTheme="minorHAnsi" w:hAnsiTheme="minorHAnsi" w:cstheme="minorHAnsi"/>
          <w:lang w:val="en-IE"/>
        </w:rPr>
        <w:t xml:space="preserve"> </w:t>
      </w:r>
    </w:p>
    <w:p w14:paraId="4CDFDC3F" w14:textId="77777777" w:rsidR="00054734" w:rsidRPr="00BA3D18" w:rsidRDefault="00054734" w:rsidP="00A10605">
      <w:pPr>
        <w:jc w:val="both"/>
        <w:rPr>
          <w:rFonts w:asciiTheme="minorHAnsi" w:eastAsiaTheme="minorHAnsi" w:hAnsiTheme="minorHAnsi" w:cstheme="minorHAnsi"/>
          <w:lang w:val="en-IE"/>
        </w:rPr>
      </w:pPr>
    </w:p>
    <w:p w14:paraId="7174E6B2" w14:textId="7CC71AE9" w:rsidR="002C3A8E" w:rsidRPr="00BA3D18" w:rsidRDefault="002C3A8E" w:rsidP="00C979D8">
      <w:pPr>
        <w:jc w:val="both"/>
        <w:rPr>
          <w:rFonts w:asciiTheme="minorHAnsi" w:eastAsiaTheme="minorHAnsi" w:hAnsiTheme="minorHAnsi" w:cstheme="minorHAnsi"/>
          <w:lang w:val="en-IE"/>
        </w:rPr>
      </w:pPr>
      <w:r w:rsidRPr="00BA3D18">
        <w:rPr>
          <w:rFonts w:asciiTheme="minorHAnsi" w:eastAsiaTheme="minorHAnsi" w:hAnsiTheme="minorHAnsi" w:cstheme="minorHAnsi"/>
          <w:lang w:val="en-IE"/>
        </w:rPr>
        <w:t>The Company may deploy up to €</w:t>
      </w:r>
      <w:r w:rsidR="00440E76" w:rsidRPr="00BA3D18">
        <w:rPr>
          <w:rFonts w:asciiTheme="minorHAnsi" w:eastAsiaTheme="minorHAnsi" w:hAnsiTheme="minorHAnsi" w:cstheme="minorHAnsi"/>
          <w:lang w:val="en-IE"/>
        </w:rPr>
        <w:t>4</w:t>
      </w:r>
      <w:r w:rsidRPr="00BA3D18">
        <w:rPr>
          <w:rFonts w:asciiTheme="minorHAnsi" w:eastAsiaTheme="minorHAnsi" w:hAnsiTheme="minorHAnsi" w:cstheme="minorHAnsi"/>
          <w:lang w:val="en-IE"/>
        </w:rPr>
        <w:t xml:space="preserve"> million of capital to buy back shares in the market within the authorities granted by shareholders. The purpose of any share repurchases would be to offset dilution from the vesting of awards under the employee share schemes. </w:t>
      </w:r>
    </w:p>
    <w:p w14:paraId="5ADEF734" w14:textId="77777777" w:rsidR="0050393B" w:rsidRPr="009772B1" w:rsidRDefault="0050393B" w:rsidP="005B7E84">
      <w:pPr>
        <w:pStyle w:val="NoSpacing"/>
        <w:jc w:val="both"/>
        <w:rPr>
          <w:rFonts w:ascii="Calibri" w:hAnsi="Calibri" w:cs="Calibri"/>
          <w:sz w:val="20"/>
          <w:szCs w:val="20"/>
          <w:lang w:val="en-IE"/>
        </w:rPr>
      </w:pPr>
    </w:p>
    <w:p w14:paraId="25E367C0" w14:textId="77777777" w:rsidR="00955A1C" w:rsidRDefault="00955A1C" w:rsidP="00054734">
      <w:pPr>
        <w:jc w:val="both"/>
        <w:rPr>
          <w:rFonts w:asciiTheme="minorHAnsi" w:hAnsiTheme="minorHAnsi" w:cstheme="minorHAnsi"/>
          <w:b/>
          <w:color w:val="000000"/>
        </w:rPr>
      </w:pPr>
    </w:p>
    <w:p w14:paraId="39D1F1EE" w14:textId="316C6174" w:rsidR="003F4E9E" w:rsidRPr="00E62CC5" w:rsidRDefault="003F4E9E" w:rsidP="00054734">
      <w:pPr>
        <w:jc w:val="both"/>
        <w:rPr>
          <w:rFonts w:asciiTheme="minorHAnsi" w:hAnsiTheme="minorHAnsi" w:cstheme="minorHAnsi"/>
          <w:b/>
          <w:color w:val="000000"/>
        </w:rPr>
      </w:pPr>
      <w:r w:rsidRPr="00E62CC5">
        <w:rPr>
          <w:rFonts w:asciiTheme="minorHAnsi" w:hAnsiTheme="minorHAnsi" w:cstheme="minorHAnsi"/>
          <w:b/>
          <w:color w:val="000000"/>
        </w:rPr>
        <w:t>STATEMENT OF FINANCIAL POSITION</w:t>
      </w:r>
    </w:p>
    <w:p w14:paraId="463B0563" w14:textId="77777777" w:rsidR="003F4E9E" w:rsidRDefault="003F4E9E" w:rsidP="00054734">
      <w:pPr>
        <w:jc w:val="both"/>
        <w:rPr>
          <w:rFonts w:asciiTheme="minorHAnsi" w:hAnsiTheme="minorHAnsi" w:cstheme="minorHAnsi"/>
          <w:color w:val="000000"/>
          <w:highlight w:val="yellow"/>
        </w:rPr>
      </w:pPr>
    </w:p>
    <w:p w14:paraId="22E523E6" w14:textId="77777777" w:rsidR="00955A1C" w:rsidRPr="00E62CC5" w:rsidRDefault="00955A1C" w:rsidP="00054734">
      <w:pPr>
        <w:jc w:val="both"/>
        <w:rPr>
          <w:rFonts w:asciiTheme="minorHAnsi" w:hAnsiTheme="minorHAnsi" w:cstheme="minorHAnsi"/>
          <w:color w:val="000000"/>
          <w:highlight w:val="yellow"/>
        </w:rPr>
      </w:pPr>
    </w:p>
    <w:p w14:paraId="614A7D35" w14:textId="3D5A3DD4" w:rsidR="003F4E9E" w:rsidRPr="008B2C89" w:rsidRDefault="003F4E9E" w:rsidP="00054734">
      <w:pPr>
        <w:pStyle w:val="NoSpacing"/>
        <w:jc w:val="both"/>
        <w:rPr>
          <w:rFonts w:cstheme="minorHAnsi"/>
          <w:b/>
          <w:sz w:val="20"/>
          <w:szCs w:val="20"/>
          <w:u w:val="single"/>
          <w:lang w:val="en-IE"/>
        </w:rPr>
      </w:pPr>
      <w:bookmarkStart w:id="11" w:name="_Hlk158300973"/>
      <w:r w:rsidRPr="008B2C89">
        <w:rPr>
          <w:rFonts w:cstheme="minorHAnsi"/>
          <w:b/>
          <w:sz w:val="20"/>
          <w:szCs w:val="20"/>
          <w:u w:val="single"/>
          <w:lang w:val="en-IE"/>
        </w:rPr>
        <w:t xml:space="preserve">Capital </w:t>
      </w:r>
      <w:r w:rsidR="00FA6091">
        <w:rPr>
          <w:rFonts w:cstheme="minorHAnsi"/>
          <w:b/>
          <w:sz w:val="20"/>
          <w:szCs w:val="20"/>
          <w:u w:val="single"/>
          <w:lang w:val="en-IE"/>
        </w:rPr>
        <w:t>P</w:t>
      </w:r>
      <w:r w:rsidRPr="008B2C89">
        <w:rPr>
          <w:rFonts w:cstheme="minorHAnsi"/>
          <w:b/>
          <w:sz w:val="20"/>
          <w:szCs w:val="20"/>
          <w:u w:val="single"/>
          <w:lang w:val="en-IE"/>
        </w:rPr>
        <w:t>osition</w:t>
      </w:r>
    </w:p>
    <w:p w14:paraId="01B236B8" w14:textId="4A02CD66" w:rsidR="003F4E9E" w:rsidRPr="005E14F0" w:rsidRDefault="00DC6E6A" w:rsidP="003F4E9E">
      <w:pPr>
        <w:jc w:val="both"/>
        <w:rPr>
          <w:rFonts w:asciiTheme="minorHAnsi" w:eastAsiaTheme="minorHAnsi" w:hAnsiTheme="minorHAnsi" w:cstheme="minorHAnsi"/>
          <w:lang w:val="en-IE"/>
        </w:rPr>
      </w:pPr>
      <w:bookmarkStart w:id="12" w:name="_Hlk160187325"/>
      <w:r w:rsidRPr="005E14F0">
        <w:rPr>
          <w:rFonts w:asciiTheme="minorHAnsi" w:eastAsiaTheme="minorHAnsi" w:hAnsiTheme="minorHAnsi" w:cstheme="minorHAnsi"/>
          <w:lang w:val="en-IE"/>
        </w:rPr>
        <w:t xml:space="preserve">Ordinary shareholders’ funds </w:t>
      </w:r>
      <w:proofErr w:type="gramStart"/>
      <w:r w:rsidRPr="005E14F0">
        <w:rPr>
          <w:rFonts w:asciiTheme="minorHAnsi" w:eastAsiaTheme="minorHAnsi" w:hAnsiTheme="minorHAnsi" w:cstheme="minorHAnsi"/>
          <w:lang w:val="en-IE"/>
        </w:rPr>
        <w:t>at</w:t>
      </w:r>
      <w:proofErr w:type="gramEnd"/>
      <w:r w:rsidR="0002158F" w:rsidRPr="005E14F0">
        <w:rPr>
          <w:rFonts w:asciiTheme="minorHAnsi" w:eastAsiaTheme="minorHAnsi" w:hAnsiTheme="minorHAnsi" w:cstheme="minorHAnsi"/>
          <w:lang w:val="en-IE"/>
        </w:rPr>
        <w:t xml:space="preserve"> 31 December 202</w:t>
      </w:r>
      <w:r w:rsidR="008448B2" w:rsidRPr="005E14F0">
        <w:rPr>
          <w:rFonts w:asciiTheme="minorHAnsi" w:eastAsiaTheme="minorHAnsi" w:hAnsiTheme="minorHAnsi" w:cstheme="minorHAnsi"/>
          <w:lang w:val="en-IE"/>
        </w:rPr>
        <w:t>3</w:t>
      </w:r>
      <w:r w:rsidR="001A7B3B" w:rsidRPr="005E14F0">
        <w:rPr>
          <w:rFonts w:asciiTheme="minorHAnsi" w:eastAsiaTheme="minorHAnsi" w:hAnsiTheme="minorHAnsi" w:cstheme="minorHAnsi"/>
          <w:lang w:val="en-IE"/>
        </w:rPr>
        <w:t xml:space="preserve"> amounted to €</w:t>
      </w:r>
      <w:r w:rsidR="001E2DA9" w:rsidRPr="005E14F0">
        <w:rPr>
          <w:rFonts w:asciiTheme="minorHAnsi" w:eastAsiaTheme="minorHAnsi" w:hAnsiTheme="minorHAnsi" w:cstheme="minorHAnsi"/>
          <w:lang w:val="en-IE"/>
        </w:rPr>
        <w:t>4</w:t>
      </w:r>
      <w:r w:rsidR="008B2C89" w:rsidRPr="005E14F0">
        <w:rPr>
          <w:rFonts w:asciiTheme="minorHAnsi" w:eastAsiaTheme="minorHAnsi" w:hAnsiTheme="minorHAnsi" w:cstheme="minorHAnsi"/>
          <w:lang w:val="en-IE"/>
        </w:rPr>
        <w:t>77.0</w:t>
      </w:r>
      <w:r w:rsidR="00833F88" w:rsidRPr="005E14F0">
        <w:rPr>
          <w:rFonts w:asciiTheme="minorHAnsi" w:eastAsiaTheme="minorHAnsi" w:hAnsiTheme="minorHAnsi" w:cstheme="minorHAnsi"/>
          <w:lang w:val="en-IE"/>
        </w:rPr>
        <w:t>m</w:t>
      </w:r>
      <w:r w:rsidRPr="005E14F0">
        <w:rPr>
          <w:rFonts w:asciiTheme="minorHAnsi" w:eastAsiaTheme="minorHAnsi" w:hAnsiTheme="minorHAnsi" w:cstheme="minorHAnsi"/>
          <w:lang w:val="en-IE"/>
        </w:rPr>
        <w:t xml:space="preserve"> (20</w:t>
      </w:r>
      <w:r w:rsidR="00C16EEB" w:rsidRPr="005E14F0">
        <w:rPr>
          <w:rFonts w:asciiTheme="minorHAnsi" w:eastAsiaTheme="minorHAnsi" w:hAnsiTheme="minorHAnsi" w:cstheme="minorHAnsi"/>
          <w:lang w:val="en-IE"/>
        </w:rPr>
        <w:t>2</w:t>
      </w:r>
      <w:r w:rsidR="008448B2" w:rsidRPr="005E14F0">
        <w:rPr>
          <w:rFonts w:asciiTheme="minorHAnsi" w:eastAsiaTheme="minorHAnsi" w:hAnsiTheme="minorHAnsi" w:cstheme="minorHAnsi"/>
          <w:lang w:val="en-IE"/>
        </w:rPr>
        <w:t xml:space="preserve">2 </w:t>
      </w:r>
      <w:r w:rsidR="00AF7D14">
        <w:rPr>
          <w:rFonts w:asciiTheme="minorHAnsi" w:eastAsiaTheme="minorHAnsi" w:hAnsiTheme="minorHAnsi" w:cstheme="minorHAnsi"/>
          <w:lang w:val="en-IE"/>
        </w:rPr>
        <w:t>r</w:t>
      </w:r>
      <w:r w:rsidR="008448B2" w:rsidRPr="005E14F0">
        <w:rPr>
          <w:rFonts w:asciiTheme="minorHAnsi" w:eastAsiaTheme="minorHAnsi" w:hAnsiTheme="minorHAnsi" w:cstheme="minorHAnsi"/>
          <w:lang w:val="en-IE"/>
        </w:rPr>
        <w:t>estated</w:t>
      </w:r>
      <w:r w:rsidRPr="005E14F0">
        <w:rPr>
          <w:rFonts w:asciiTheme="minorHAnsi" w:eastAsiaTheme="minorHAnsi" w:hAnsiTheme="minorHAnsi" w:cstheme="minorHAnsi"/>
          <w:lang w:val="en-IE"/>
        </w:rPr>
        <w:t xml:space="preserve">: </w:t>
      </w:r>
      <w:r w:rsidR="00FC7BF4" w:rsidRPr="005E14F0">
        <w:rPr>
          <w:rFonts w:asciiTheme="minorHAnsi" w:eastAsiaTheme="minorHAnsi" w:hAnsiTheme="minorHAnsi" w:cstheme="minorHAnsi"/>
          <w:lang w:val="en-IE"/>
        </w:rPr>
        <w:t>€</w:t>
      </w:r>
      <w:r w:rsidR="00557459" w:rsidRPr="005E14F0">
        <w:rPr>
          <w:rFonts w:asciiTheme="minorHAnsi" w:eastAsiaTheme="minorHAnsi" w:hAnsiTheme="minorHAnsi" w:cstheme="minorHAnsi"/>
          <w:lang w:val="en-IE"/>
        </w:rPr>
        <w:t>4</w:t>
      </w:r>
      <w:r w:rsidR="008448B2" w:rsidRPr="005E14F0">
        <w:rPr>
          <w:rFonts w:asciiTheme="minorHAnsi" w:eastAsiaTheme="minorHAnsi" w:hAnsiTheme="minorHAnsi" w:cstheme="minorHAnsi"/>
          <w:lang w:val="en-IE"/>
        </w:rPr>
        <w:t>5</w:t>
      </w:r>
      <w:r w:rsidR="008B2C89" w:rsidRPr="005E14F0">
        <w:rPr>
          <w:rFonts w:asciiTheme="minorHAnsi" w:eastAsiaTheme="minorHAnsi" w:hAnsiTheme="minorHAnsi" w:cstheme="minorHAnsi"/>
          <w:lang w:val="en-IE"/>
        </w:rPr>
        <w:t>4.0</w:t>
      </w:r>
      <w:r w:rsidRPr="005E14F0">
        <w:rPr>
          <w:rFonts w:asciiTheme="minorHAnsi" w:eastAsiaTheme="minorHAnsi" w:hAnsiTheme="minorHAnsi" w:cstheme="minorHAnsi"/>
          <w:lang w:val="en-IE"/>
        </w:rPr>
        <w:t>m).</w:t>
      </w:r>
      <w:r w:rsidR="003F4E9E" w:rsidRPr="005E14F0">
        <w:rPr>
          <w:rFonts w:asciiTheme="minorHAnsi" w:eastAsiaTheme="minorHAnsi" w:hAnsiTheme="minorHAnsi" w:cstheme="minorHAnsi"/>
          <w:lang w:val="en-IE"/>
        </w:rPr>
        <w:t xml:space="preserve"> The </w:t>
      </w:r>
      <w:r w:rsidR="008B2C89" w:rsidRPr="005E14F0">
        <w:rPr>
          <w:rFonts w:asciiTheme="minorHAnsi" w:eastAsiaTheme="minorHAnsi" w:hAnsiTheme="minorHAnsi" w:cstheme="minorHAnsi"/>
          <w:lang w:val="en-IE"/>
        </w:rPr>
        <w:t>in</w:t>
      </w:r>
      <w:r w:rsidR="00EA7E92" w:rsidRPr="005E14F0">
        <w:rPr>
          <w:rFonts w:asciiTheme="minorHAnsi" w:eastAsiaTheme="minorHAnsi" w:hAnsiTheme="minorHAnsi" w:cstheme="minorHAnsi"/>
          <w:lang w:val="en-IE"/>
        </w:rPr>
        <w:t xml:space="preserve">crease </w:t>
      </w:r>
      <w:r w:rsidR="003F4E9E" w:rsidRPr="005E14F0">
        <w:rPr>
          <w:rFonts w:asciiTheme="minorHAnsi" w:eastAsiaTheme="minorHAnsi" w:hAnsiTheme="minorHAnsi" w:cstheme="minorHAnsi"/>
          <w:lang w:val="en-IE"/>
        </w:rPr>
        <w:t xml:space="preserve">in shareholders’ funds is mainly attributable to the following: </w:t>
      </w:r>
    </w:p>
    <w:p w14:paraId="4B7BBE51" w14:textId="77777777" w:rsidR="00F430C0" w:rsidRPr="005E14F0" w:rsidRDefault="00F430C0" w:rsidP="00F430C0">
      <w:pPr>
        <w:pStyle w:val="ListParagraph"/>
        <w:numPr>
          <w:ilvl w:val="0"/>
          <w:numId w:val="3"/>
        </w:numPr>
        <w:jc w:val="both"/>
        <w:rPr>
          <w:rFonts w:asciiTheme="minorHAnsi" w:hAnsiTheme="minorHAnsi" w:cstheme="minorHAnsi"/>
          <w:sz w:val="20"/>
          <w:szCs w:val="20"/>
          <w:lang w:val="en-IE"/>
        </w:rPr>
      </w:pPr>
      <w:r w:rsidRPr="005E14F0">
        <w:rPr>
          <w:rFonts w:asciiTheme="minorHAnsi" w:hAnsiTheme="minorHAnsi" w:cstheme="minorHAnsi"/>
          <w:sz w:val="20"/>
          <w:szCs w:val="20"/>
          <w:lang w:val="en-IE"/>
        </w:rPr>
        <w:t>Profit after tax for the year of €69.</w:t>
      </w:r>
      <w:proofErr w:type="gramStart"/>
      <w:r w:rsidRPr="005E14F0">
        <w:rPr>
          <w:rFonts w:asciiTheme="minorHAnsi" w:hAnsiTheme="minorHAnsi" w:cstheme="minorHAnsi"/>
          <w:sz w:val="20"/>
          <w:szCs w:val="20"/>
          <w:lang w:val="en-IE"/>
        </w:rPr>
        <w:t>5m;</w:t>
      </w:r>
      <w:proofErr w:type="gramEnd"/>
      <w:r w:rsidRPr="005E14F0">
        <w:rPr>
          <w:rFonts w:asciiTheme="minorHAnsi" w:hAnsiTheme="minorHAnsi" w:cstheme="minorHAnsi"/>
          <w:sz w:val="20"/>
          <w:szCs w:val="20"/>
          <w:lang w:val="en-IE"/>
        </w:rPr>
        <w:t xml:space="preserve"> </w:t>
      </w:r>
    </w:p>
    <w:p w14:paraId="22583EE8" w14:textId="688EA4A8" w:rsidR="000B540D" w:rsidRDefault="000B540D" w:rsidP="000B540D">
      <w:pPr>
        <w:pStyle w:val="ListParagraph"/>
        <w:numPr>
          <w:ilvl w:val="0"/>
          <w:numId w:val="3"/>
        </w:numPr>
        <w:jc w:val="both"/>
        <w:rPr>
          <w:rFonts w:asciiTheme="minorHAnsi" w:hAnsiTheme="minorHAnsi" w:cstheme="minorHAnsi"/>
          <w:sz w:val="20"/>
          <w:szCs w:val="20"/>
          <w:lang w:val="en-IE"/>
        </w:rPr>
      </w:pPr>
      <w:r>
        <w:rPr>
          <w:rFonts w:asciiTheme="minorHAnsi" w:hAnsiTheme="minorHAnsi" w:cstheme="minorHAnsi"/>
          <w:sz w:val="20"/>
          <w:szCs w:val="20"/>
          <w:lang w:val="en-IE"/>
        </w:rPr>
        <w:t xml:space="preserve">Reduced by </w:t>
      </w:r>
      <w:r w:rsidR="00A10605">
        <w:rPr>
          <w:rFonts w:asciiTheme="minorHAnsi" w:hAnsiTheme="minorHAnsi" w:cstheme="minorHAnsi"/>
          <w:sz w:val="20"/>
          <w:szCs w:val="20"/>
          <w:lang w:val="en-IE"/>
        </w:rPr>
        <w:t>o</w:t>
      </w:r>
      <w:r>
        <w:rPr>
          <w:rFonts w:asciiTheme="minorHAnsi" w:hAnsiTheme="minorHAnsi" w:cstheme="minorHAnsi"/>
          <w:sz w:val="20"/>
          <w:szCs w:val="20"/>
          <w:lang w:val="en-IE"/>
        </w:rPr>
        <w:t>rdinary and</w:t>
      </w:r>
      <w:r w:rsidRPr="005E14F0">
        <w:rPr>
          <w:rFonts w:asciiTheme="minorHAnsi" w:hAnsiTheme="minorHAnsi" w:cstheme="minorHAnsi"/>
          <w:sz w:val="20"/>
          <w:szCs w:val="20"/>
          <w:lang w:val="en-IE"/>
        </w:rPr>
        <w:t xml:space="preserve"> </w:t>
      </w:r>
      <w:r>
        <w:rPr>
          <w:rFonts w:asciiTheme="minorHAnsi" w:hAnsiTheme="minorHAnsi" w:cstheme="minorHAnsi"/>
          <w:sz w:val="20"/>
          <w:szCs w:val="20"/>
          <w:lang w:val="en-IE"/>
        </w:rPr>
        <w:t xml:space="preserve">special </w:t>
      </w:r>
      <w:r w:rsidRPr="005E14F0">
        <w:rPr>
          <w:rFonts w:asciiTheme="minorHAnsi" w:hAnsiTheme="minorHAnsi" w:cstheme="minorHAnsi"/>
          <w:sz w:val="20"/>
          <w:szCs w:val="20"/>
          <w:lang w:val="en-IE"/>
        </w:rPr>
        <w:t xml:space="preserve">dividend payments </w:t>
      </w:r>
      <w:r>
        <w:rPr>
          <w:rFonts w:asciiTheme="minorHAnsi" w:hAnsiTheme="minorHAnsi" w:cstheme="minorHAnsi"/>
          <w:sz w:val="20"/>
          <w:szCs w:val="20"/>
          <w:lang w:val="en-IE"/>
        </w:rPr>
        <w:t xml:space="preserve">related to the 2022 financial performance </w:t>
      </w:r>
      <w:r w:rsidRPr="005E14F0">
        <w:rPr>
          <w:rFonts w:asciiTheme="minorHAnsi" w:hAnsiTheme="minorHAnsi" w:cstheme="minorHAnsi"/>
          <w:sz w:val="20"/>
          <w:szCs w:val="20"/>
          <w:lang w:val="en-IE"/>
        </w:rPr>
        <w:t>totalling €72.0m</w:t>
      </w:r>
    </w:p>
    <w:p w14:paraId="1FCB949D" w14:textId="4A4B897B" w:rsidR="000B540D" w:rsidRDefault="000B540D" w:rsidP="00F430C0">
      <w:pPr>
        <w:pStyle w:val="ListParagraph"/>
        <w:numPr>
          <w:ilvl w:val="0"/>
          <w:numId w:val="3"/>
        </w:numPr>
        <w:jc w:val="both"/>
        <w:rPr>
          <w:rFonts w:asciiTheme="minorHAnsi" w:hAnsiTheme="minorHAnsi" w:cstheme="minorHAnsi"/>
          <w:sz w:val="20"/>
          <w:szCs w:val="20"/>
          <w:lang w:val="en-IE"/>
        </w:rPr>
      </w:pPr>
      <w:r>
        <w:rPr>
          <w:rFonts w:asciiTheme="minorHAnsi" w:hAnsiTheme="minorHAnsi" w:cstheme="minorHAnsi"/>
          <w:sz w:val="20"/>
          <w:szCs w:val="20"/>
          <w:lang w:val="en-IE"/>
        </w:rPr>
        <w:t>OCI Profit after tax for the year of €22.9m made up of:</w:t>
      </w:r>
    </w:p>
    <w:p w14:paraId="0A693667" w14:textId="434FC2BB" w:rsidR="00F430C0" w:rsidRPr="0079657D" w:rsidRDefault="00F430C0" w:rsidP="000B540D">
      <w:pPr>
        <w:pStyle w:val="ListParagraph"/>
        <w:numPr>
          <w:ilvl w:val="1"/>
          <w:numId w:val="3"/>
        </w:numPr>
        <w:jc w:val="both"/>
        <w:rPr>
          <w:rFonts w:asciiTheme="minorHAnsi" w:hAnsiTheme="minorHAnsi" w:cstheme="minorHAnsi"/>
          <w:sz w:val="20"/>
          <w:szCs w:val="20"/>
          <w:lang w:val="en-IE"/>
        </w:rPr>
      </w:pPr>
      <w:r w:rsidRPr="005E14F0">
        <w:rPr>
          <w:rFonts w:asciiTheme="minorHAnsi" w:hAnsiTheme="minorHAnsi" w:cstheme="minorHAnsi"/>
          <w:sz w:val="20"/>
          <w:szCs w:val="20"/>
          <w:lang w:val="en-IE"/>
        </w:rPr>
        <w:t xml:space="preserve">Mark to </w:t>
      </w:r>
      <w:r w:rsidR="00A10605">
        <w:rPr>
          <w:rFonts w:asciiTheme="minorHAnsi" w:hAnsiTheme="minorHAnsi" w:cstheme="minorHAnsi"/>
          <w:sz w:val="20"/>
          <w:szCs w:val="20"/>
          <w:lang w:val="en-IE"/>
        </w:rPr>
        <w:t>m</w:t>
      </w:r>
      <w:r w:rsidRPr="005E14F0">
        <w:rPr>
          <w:rFonts w:asciiTheme="minorHAnsi" w:hAnsiTheme="minorHAnsi" w:cstheme="minorHAnsi"/>
          <w:sz w:val="20"/>
          <w:szCs w:val="20"/>
          <w:lang w:val="en-IE"/>
        </w:rPr>
        <w:t xml:space="preserve">arket </w:t>
      </w:r>
      <w:r>
        <w:rPr>
          <w:rFonts w:asciiTheme="minorHAnsi" w:hAnsiTheme="minorHAnsi" w:cstheme="minorHAnsi"/>
          <w:sz w:val="20"/>
          <w:szCs w:val="20"/>
          <w:lang w:val="en-IE"/>
        </w:rPr>
        <w:t>gain</w:t>
      </w:r>
      <w:r w:rsidRPr="005E14F0">
        <w:rPr>
          <w:rFonts w:asciiTheme="minorHAnsi" w:hAnsiTheme="minorHAnsi" w:cstheme="minorHAnsi"/>
          <w:sz w:val="20"/>
          <w:szCs w:val="20"/>
          <w:lang w:val="en-IE"/>
        </w:rPr>
        <w:t>s on our Bond portfolio of €</w:t>
      </w:r>
      <w:r>
        <w:rPr>
          <w:rFonts w:asciiTheme="minorHAnsi" w:hAnsiTheme="minorHAnsi" w:cstheme="minorHAnsi"/>
          <w:sz w:val="20"/>
          <w:szCs w:val="20"/>
          <w:lang w:val="en-IE"/>
        </w:rPr>
        <w:t>41.</w:t>
      </w:r>
      <w:proofErr w:type="gramStart"/>
      <w:r>
        <w:rPr>
          <w:rFonts w:asciiTheme="minorHAnsi" w:hAnsiTheme="minorHAnsi" w:cstheme="minorHAnsi"/>
          <w:sz w:val="20"/>
          <w:szCs w:val="20"/>
          <w:lang w:val="en-IE"/>
        </w:rPr>
        <w:t>4</w:t>
      </w:r>
      <w:r w:rsidRPr="005E14F0">
        <w:rPr>
          <w:rFonts w:asciiTheme="minorHAnsi" w:hAnsiTheme="minorHAnsi" w:cstheme="minorHAnsi"/>
          <w:sz w:val="20"/>
          <w:szCs w:val="20"/>
          <w:lang w:val="en-IE"/>
        </w:rPr>
        <w:t>m</w:t>
      </w:r>
      <w:r w:rsidR="000B540D">
        <w:rPr>
          <w:rFonts w:asciiTheme="minorHAnsi" w:hAnsiTheme="minorHAnsi" w:cstheme="minorHAnsi"/>
          <w:lang w:val="en-IE"/>
        </w:rPr>
        <w:t>;</w:t>
      </w:r>
      <w:proofErr w:type="gramEnd"/>
    </w:p>
    <w:p w14:paraId="3EF6B824" w14:textId="5D511197" w:rsidR="000B540D" w:rsidRPr="0079657D" w:rsidRDefault="000B540D" w:rsidP="000B540D">
      <w:pPr>
        <w:pStyle w:val="ListParagraph"/>
        <w:numPr>
          <w:ilvl w:val="1"/>
          <w:numId w:val="3"/>
        </w:numPr>
        <w:jc w:val="both"/>
        <w:rPr>
          <w:rFonts w:asciiTheme="minorHAnsi" w:hAnsiTheme="minorHAnsi" w:cstheme="minorHAnsi"/>
          <w:sz w:val="20"/>
          <w:szCs w:val="20"/>
          <w:lang w:val="en-IE"/>
        </w:rPr>
      </w:pPr>
      <w:r w:rsidRPr="0079657D">
        <w:rPr>
          <w:rFonts w:asciiTheme="minorHAnsi" w:hAnsiTheme="minorHAnsi" w:cstheme="minorHAnsi"/>
          <w:sz w:val="20"/>
          <w:szCs w:val="20"/>
          <w:lang w:val="en-IE"/>
        </w:rPr>
        <w:t xml:space="preserve">Offset by </w:t>
      </w:r>
    </w:p>
    <w:p w14:paraId="248763A9" w14:textId="47B19910" w:rsidR="000B540D" w:rsidRPr="0079657D" w:rsidRDefault="000B540D" w:rsidP="0079657D">
      <w:pPr>
        <w:pStyle w:val="ListParagraph"/>
        <w:numPr>
          <w:ilvl w:val="2"/>
          <w:numId w:val="36"/>
        </w:numPr>
        <w:spacing w:before="0" w:after="0"/>
        <w:contextualSpacing w:val="0"/>
        <w:rPr>
          <w:rFonts w:asciiTheme="minorHAnsi" w:hAnsiTheme="minorHAnsi" w:cstheme="minorHAnsi"/>
          <w:sz w:val="20"/>
          <w:szCs w:val="20"/>
          <w:lang w:val="en-IE"/>
        </w:rPr>
      </w:pPr>
      <w:r w:rsidRPr="0079657D">
        <w:rPr>
          <w:rFonts w:asciiTheme="minorHAnsi" w:hAnsiTheme="minorHAnsi" w:cstheme="minorHAnsi"/>
          <w:sz w:val="20"/>
          <w:szCs w:val="20"/>
          <w:lang w:val="en-IE"/>
        </w:rPr>
        <w:t>Insurance finance expense for insurance and reinsurance contracts issued €13.</w:t>
      </w:r>
      <w:proofErr w:type="gramStart"/>
      <w:r w:rsidRPr="0079657D">
        <w:rPr>
          <w:rFonts w:asciiTheme="minorHAnsi" w:hAnsiTheme="minorHAnsi" w:cstheme="minorHAnsi"/>
          <w:sz w:val="20"/>
          <w:szCs w:val="20"/>
          <w:lang w:val="en-IE"/>
        </w:rPr>
        <w:t>6m;</w:t>
      </w:r>
      <w:proofErr w:type="gramEnd"/>
    </w:p>
    <w:p w14:paraId="790720B5" w14:textId="77777777" w:rsidR="000B540D" w:rsidRPr="0079657D" w:rsidRDefault="000B540D" w:rsidP="0079657D">
      <w:pPr>
        <w:pStyle w:val="ListParagraph"/>
        <w:numPr>
          <w:ilvl w:val="2"/>
          <w:numId w:val="36"/>
        </w:numPr>
        <w:spacing w:before="0" w:after="0"/>
        <w:contextualSpacing w:val="0"/>
        <w:rPr>
          <w:rFonts w:asciiTheme="minorHAnsi" w:hAnsiTheme="minorHAnsi" w:cstheme="minorHAnsi"/>
          <w:sz w:val="20"/>
          <w:szCs w:val="20"/>
          <w:lang w:val="en-IE"/>
        </w:rPr>
      </w:pPr>
      <w:r w:rsidRPr="0079657D">
        <w:rPr>
          <w:rFonts w:asciiTheme="minorHAnsi" w:hAnsiTheme="minorHAnsi" w:cstheme="minorHAnsi"/>
          <w:sz w:val="20"/>
          <w:szCs w:val="20"/>
          <w:lang w:val="en-IE"/>
        </w:rPr>
        <w:t>A reduction in the Retirement benefit surplus of €1.6m; and</w:t>
      </w:r>
    </w:p>
    <w:p w14:paraId="7337A315" w14:textId="0660D6CD" w:rsidR="000B540D" w:rsidRPr="0079657D" w:rsidRDefault="000B540D" w:rsidP="0079657D">
      <w:pPr>
        <w:pStyle w:val="ListParagraph"/>
        <w:numPr>
          <w:ilvl w:val="2"/>
          <w:numId w:val="36"/>
        </w:numPr>
        <w:spacing w:before="0" w:after="0"/>
        <w:contextualSpacing w:val="0"/>
        <w:rPr>
          <w:rFonts w:asciiTheme="minorHAnsi" w:hAnsiTheme="minorHAnsi" w:cstheme="minorHAnsi"/>
          <w:sz w:val="20"/>
          <w:szCs w:val="20"/>
          <w:lang w:val="en-IE"/>
        </w:rPr>
      </w:pPr>
      <w:r w:rsidRPr="0079657D">
        <w:rPr>
          <w:rFonts w:asciiTheme="minorHAnsi" w:hAnsiTheme="minorHAnsi" w:cstheme="minorHAnsi"/>
          <w:sz w:val="20"/>
          <w:szCs w:val="20"/>
          <w:lang w:val="en-IE"/>
        </w:rPr>
        <w:t>€3.3m of tax through Other Comprehensive Income.</w:t>
      </w:r>
    </w:p>
    <w:p w14:paraId="0158D4C1" w14:textId="0AA5C411" w:rsidR="00F430C0" w:rsidRPr="005E14F0" w:rsidRDefault="001C61D9" w:rsidP="00F430C0">
      <w:pPr>
        <w:pStyle w:val="ListParagraph"/>
        <w:numPr>
          <w:ilvl w:val="0"/>
          <w:numId w:val="3"/>
        </w:numPr>
        <w:jc w:val="both"/>
        <w:rPr>
          <w:rFonts w:asciiTheme="minorHAnsi" w:hAnsiTheme="minorHAnsi" w:cstheme="minorHAnsi"/>
          <w:sz w:val="20"/>
          <w:szCs w:val="20"/>
          <w:lang w:val="en-IE"/>
        </w:rPr>
      </w:pPr>
      <w:r>
        <w:rPr>
          <w:rFonts w:asciiTheme="minorHAnsi" w:hAnsiTheme="minorHAnsi" w:cstheme="minorHAnsi"/>
          <w:sz w:val="20"/>
          <w:szCs w:val="20"/>
          <w:lang w:val="en-IE"/>
        </w:rPr>
        <w:t xml:space="preserve">Movement in capital reserves of </w:t>
      </w:r>
      <w:r w:rsidR="00F430C0" w:rsidRPr="005E14F0">
        <w:rPr>
          <w:rFonts w:asciiTheme="minorHAnsi" w:hAnsiTheme="minorHAnsi" w:cstheme="minorHAnsi"/>
          <w:sz w:val="20"/>
          <w:szCs w:val="20"/>
          <w:lang w:val="en-IE"/>
        </w:rPr>
        <w:t>€2.6m.</w:t>
      </w:r>
    </w:p>
    <w:bookmarkEnd w:id="12"/>
    <w:bookmarkEnd w:id="11"/>
    <w:p w14:paraId="15A8C60B" w14:textId="1E1713C7" w:rsidR="003F4E9E" w:rsidRPr="005E14F0" w:rsidRDefault="003F4E9E" w:rsidP="003F4E9E">
      <w:pPr>
        <w:jc w:val="both"/>
        <w:rPr>
          <w:rFonts w:asciiTheme="minorHAnsi" w:eastAsiaTheme="minorHAnsi" w:hAnsiTheme="minorHAnsi" w:cstheme="minorHAnsi"/>
          <w:lang w:val="en-IE"/>
        </w:rPr>
      </w:pPr>
      <w:r w:rsidRPr="00326EA3">
        <w:rPr>
          <w:rFonts w:asciiTheme="minorHAnsi" w:eastAsiaTheme="minorHAnsi" w:hAnsiTheme="minorHAnsi" w:cstheme="minorHAnsi"/>
          <w:lang w:val="en-IE"/>
        </w:rPr>
        <w:t xml:space="preserve">Net assets per ordinary share </w:t>
      </w:r>
      <w:r w:rsidRPr="002972F1">
        <w:rPr>
          <w:rFonts w:asciiTheme="minorHAnsi" w:eastAsiaTheme="minorHAnsi" w:hAnsiTheme="minorHAnsi" w:cstheme="minorHAnsi"/>
          <w:lang w:val="en-IE"/>
        </w:rPr>
        <w:t xml:space="preserve">are </w:t>
      </w:r>
      <w:r w:rsidR="0075367C" w:rsidRPr="002972F1">
        <w:rPr>
          <w:rFonts w:asciiTheme="minorHAnsi" w:eastAsiaTheme="minorHAnsi" w:hAnsiTheme="minorHAnsi" w:cstheme="minorHAnsi"/>
          <w:lang w:val="en-IE"/>
        </w:rPr>
        <w:t>1</w:t>
      </w:r>
      <w:r w:rsidR="001E2DA9" w:rsidRPr="002972F1">
        <w:rPr>
          <w:rFonts w:asciiTheme="minorHAnsi" w:eastAsiaTheme="minorHAnsi" w:hAnsiTheme="minorHAnsi" w:cstheme="minorHAnsi"/>
          <w:lang w:val="en-IE"/>
        </w:rPr>
        <w:t>,</w:t>
      </w:r>
      <w:r w:rsidR="005E14F0" w:rsidRPr="002972F1">
        <w:rPr>
          <w:rFonts w:asciiTheme="minorHAnsi" w:eastAsiaTheme="minorHAnsi" w:hAnsiTheme="minorHAnsi" w:cstheme="minorHAnsi"/>
          <w:lang w:val="en-IE"/>
        </w:rPr>
        <w:t>330</w:t>
      </w:r>
      <w:r w:rsidR="00DC6E6A" w:rsidRPr="002972F1">
        <w:rPr>
          <w:rFonts w:asciiTheme="minorHAnsi" w:eastAsiaTheme="minorHAnsi" w:hAnsiTheme="minorHAnsi" w:cstheme="minorHAnsi"/>
          <w:lang w:val="en-IE"/>
        </w:rPr>
        <w:t xml:space="preserve"> </w:t>
      </w:r>
      <w:proofErr w:type="gramStart"/>
      <w:r w:rsidR="0002158F" w:rsidRPr="002972F1">
        <w:rPr>
          <w:rFonts w:asciiTheme="minorHAnsi" w:eastAsiaTheme="minorHAnsi" w:hAnsiTheme="minorHAnsi" w:cstheme="minorHAnsi"/>
          <w:lang w:val="en-IE"/>
        </w:rPr>
        <w:t>cent</w:t>
      </w:r>
      <w:proofErr w:type="gramEnd"/>
      <w:r w:rsidR="0002158F" w:rsidRPr="002972F1">
        <w:rPr>
          <w:rFonts w:asciiTheme="minorHAnsi" w:eastAsiaTheme="minorHAnsi" w:hAnsiTheme="minorHAnsi" w:cstheme="minorHAnsi"/>
          <w:lang w:val="en-IE"/>
        </w:rPr>
        <w:t xml:space="preserve">, </w:t>
      </w:r>
      <w:r w:rsidR="0002158F" w:rsidRPr="00326EA3">
        <w:rPr>
          <w:rFonts w:asciiTheme="minorHAnsi" w:eastAsiaTheme="minorHAnsi" w:hAnsiTheme="minorHAnsi" w:cstheme="minorHAnsi"/>
          <w:lang w:val="en-IE"/>
        </w:rPr>
        <w:t>compared to 1</w:t>
      </w:r>
      <w:r w:rsidR="005E14F0" w:rsidRPr="00326EA3">
        <w:rPr>
          <w:rFonts w:asciiTheme="minorHAnsi" w:eastAsiaTheme="minorHAnsi" w:hAnsiTheme="minorHAnsi" w:cstheme="minorHAnsi"/>
          <w:lang w:val="en-IE"/>
        </w:rPr>
        <w:t>,276</w:t>
      </w:r>
      <w:r w:rsidR="00DC6E6A" w:rsidRPr="00326EA3">
        <w:rPr>
          <w:rFonts w:asciiTheme="minorHAnsi" w:eastAsiaTheme="minorHAnsi" w:hAnsiTheme="minorHAnsi" w:cstheme="minorHAnsi"/>
          <w:lang w:val="en-IE"/>
        </w:rPr>
        <w:t xml:space="preserve"> ce</w:t>
      </w:r>
      <w:r w:rsidR="001A7B3B" w:rsidRPr="00326EA3">
        <w:rPr>
          <w:rFonts w:asciiTheme="minorHAnsi" w:eastAsiaTheme="minorHAnsi" w:hAnsiTheme="minorHAnsi" w:cstheme="minorHAnsi"/>
          <w:lang w:val="en-IE"/>
        </w:rPr>
        <w:t xml:space="preserve">nt per share </w:t>
      </w:r>
      <w:r w:rsidR="006A70D8">
        <w:rPr>
          <w:rFonts w:asciiTheme="minorHAnsi" w:eastAsiaTheme="minorHAnsi" w:hAnsiTheme="minorHAnsi" w:cstheme="minorHAnsi"/>
          <w:lang w:val="en-IE"/>
        </w:rPr>
        <w:t xml:space="preserve">(restated) </w:t>
      </w:r>
      <w:r w:rsidR="001A7B3B" w:rsidRPr="00326EA3">
        <w:rPr>
          <w:rFonts w:asciiTheme="minorHAnsi" w:eastAsiaTheme="minorHAnsi" w:hAnsiTheme="minorHAnsi" w:cstheme="minorHAnsi"/>
          <w:lang w:val="en-IE"/>
        </w:rPr>
        <w:t>at 31 December 20</w:t>
      </w:r>
      <w:r w:rsidR="003C1A44" w:rsidRPr="00326EA3">
        <w:rPr>
          <w:rFonts w:asciiTheme="minorHAnsi" w:eastAsiaTheme="minorHAnsi" w:hAnsiTheme="minorHAnsi" w:cstheme="minorHAnsi"/>
          <w:lang w:val="en-IE"/>
        </w:rPr>
        <w:t>2</w:t>
      </w:r>
      <w:r w:rsidR="005E14F0" w:rsidRPr="00326EA3">
        <w:rPr>
          <w:rFonts w:asciiTheme="minorHAnsi" w:eastAsiaTheme="minorHAnsi" w:hAnsiTheme="minorHAnsi" w:cstheme="minorHAnsi"/>
          <w:lang w:val="en-IE"/>
        </w:rPr>
        <w:t>2</w:t>
      </w:r>
      <w:r w:rsidR="00080C13" w:rsidRPr="00326EA3">
        <w:rPr>
          <w:rFonts w:asciiTheme="minorHAnsi" w:eastAsiaTheme="minorHAnsi" w:hAnsiTheme="minorHAnsi" w:cstheme="minorHAnsi"/>
          <w:lang w:val="en-IE"/>
        </w:rPr>
        <w:t>.</w:t>
      </w:r>
      <w:r w:rsidR="00080C13" w:rsidRPr="005E14F0">
        <w:rPr>
          <w:rFonts w:asciiTheme="minorHAnsi" w:eastAsiaTheme="minorHAnsi" w:hAnsiTheme="minorHAnsi" w:cstheme="minorHAnsi"/>
          <w:lang w:val="en-IE"/>
        </w:rPr>
        <w:t xml:space="preserve"> </w:t>
      </w:r>
    </w:p>
    <w:p w14:paraId="264B51D6" w14:textId="77777777" w:rsidR="003E252D" w:rsidRDefault="003E252D" w:rsidP="003F4E9E">
      <w:pPr>
        <w:pStyle w:val="NoSpacing"/>
        <w:jc w:val="both"/>
        <w:rPr>
          <w:rFonts w:cstheme="minorHAnsi"/>
          <w:b/>
          <w:sz w:val="20"/>
          <w:szCs w:val="20"/>
          <w:highlight w:val="yellow"/>
          <w:u w:val="single"/>
          <w:lang w:val="en-IE"/>
        </w:rPr>
      </w:pPr>
    </w:p>
    <w:p w14:paraId="674DD257" w14:textId="77777777" w:rsidR="003F4E9E" w:rsidRPr="00642DA0" w:rsidRDefault="003F4E9E" w:rsidP="003F4E9E">
      <w:pPr>
        <w:pStyle w:val="NoSpacing"/>
        <w:jc w:val="both"/>
        <w:rPr>
          <w:rFonts w:cstheme="minorHAnsi"/>
          <w:b/>
          <w:sz w:val="20"/>
          <w:szCs w:val="20"/>
          <w:u w:val="single"/>
          <w:lang w:val="en-IE"/>
        </w:rPr>
      </w:pPr>
      <w:bookmarkStart w:id="13" w:name="_Hlk156738876"/>
      <w:r w:rsidRPr="00642DA0">
        <w:rPr>
          <w:rFonts w:cstheme="minorHAnsi"/>
          <w:b/>
          <w:sz w:val="20"/>
          <w:szCs w:val="20"/>
          <w:u w:val="single"/>
          <w:lang w:val="en-IE"/>
        </w:rPr>
        <w:t>Investment Allocation</w:t>
      </w:r>
    </w:p>
    <w:p w14:paraId="1C599272" w14:textId="7563AC9B" w:rsidR="00642DA0" w:rsidRPr="00642DA0" w:rsidRDefault="00E935EE" w:rsidP="00642DA0">
      <w:pPr>
        <w:jc w:val="both"/>
        <w:rPr>
          <w:rFonts w:asciiTheme="minorHAnsi" w:eastAsiaTheme="minorHAnsi" w:hAnsiTheme="minorHAnsi" w:cstheme="minorHAnsi"/>
          <w:lang w:val="en-IE"/>
        </w:rPr>
      </w:pPr>
      <w:r w:rsidRPr="00642DA0">
        <w:rPr>
          <w:rFonts w:asciiTheme="minorHAnsi" w:eastAsiaTheme="minorHAnsi" w:hAnsiTheme="minorHAnsi" w:cstheme="minorHAnsi"/>
          <w:lang w:val="en-IE"/>
        </w:rPr>
        <w:t xml:space="preserve">The Group adopts a conservative investment strategy </w:t>
      </w:r>
      <w:r w:rsidR="001B3FC0" w:rsidRPr="00642DA0">
        <w:rPr>
          <w:rFonts w:asciiTheme="minorHAnsi" w:eastAsiaTheme="minorHAnsi" w:hAnsiTheme="minorHAnsi" w:cstheme="minorHAnsi"/>
          <w:lang w:val="en-IE"/>
        </w:rPr>
        <w:t xml:space="preserve">to </w:t>
      </w:r>
      <w:r w:rsidRPr="00642DA0">
        <w:rPr>
          <w:rFonts w:asciiTheme="minorHAnsi" w:eastAsiaTheme="minorHAnsi" w:hAnsiTheme="minorHAnsi" w:cstheme="minorHAnsi"/>
          <w:lang w:val="en-IE"/>
        </w:rPr>
        <w:t>ensure that its</w:t>
      </w:r>
      <w:r w:rsidR="00DE0C98">
        <w:rPr>
          <w:rFonts w:asciiTheme="minorHAnsi" w:eastAsiaTheme="minorHAnsi" w:hAnsiTheme="minorHAnsi" w:cstheme="minorHAnsi"/>
          <w:lang w:val="en-IE"/>
        </w:rPr>
        <w:t xml:space="preserve"> insurance contract liabilities</w:t>
      </w:r>
      <w:r w:rsidRPr="00642DA0">
        <w:rPr>
          <w:rFonts w:asciiTheme="minorHAnsi" w:eastAsiaTheme="minorHAnsi" w:hAnsiTheme="minorHAnsi" w:cstheme="minorHAnsi"/>
          <w:lang w:val="en-IE"/>
        </w:rPr>
        <w:t xml:space="preserve"> are matched by cash and fixed interest securities of </w:t>
      </w:r>
      <w:r w:rsidR="00A77AC4" w:rsidRPr="00642DA0">
        <w:rPr>
          <w:rFonts w:asciiTheme="minorHAnsi" w:eastAsiaTheme="minorHAnsi" w:hAnsiTheme="minorHAnsi" w:cstheme="minorHAnsi"/>
          <w:lang w:val="en-IE"/>
        </w:rPr>
        <w:t>low risk</w:t>
      </w:r>
      <w:r w:rsidRPr="00642DA0">
        <w:rPr>
          <w:rFonts w:asciiTheme="minorHAnsi" w:eastAsiaTheme="minorHAnsi" w:hAnsiTheme="minorHAnsi" w:cstheme="minorHAnsi"/>
          <w:lang w:val="en-IE"/>
        </w:rPr>
        <w:t xml:space="preserve"> and </w:t>
      </w:r>
      <w:r w:rsidR="00A77AC4" w:rsidRPr="00642DA0">
        <w:rPr>
          <w:rFonts w:asciiTheme="minorHAnsi" w:eastAsiaTheme="minorHAnsi" w:hAnsiTheme="minorHAnsi" w:cstheme="minorHAnsi"/>
          <w:lang w:val="en-IE"/>
        </w:rPr>
        <w:t xml:space="preserve">similar </w:t>
      </w:r>
      <w:r w:rsidRPr="00642DA0">
        <w:rPr>
          <w:rFonts w:asciiTheme="minorHAnsi" w:eastAsiaTheme="minorHAnsi" w:hAnsiTheme="minorHAnsi" w:cstheme="minorHAnsi"/>
          <w:lang w:val="en-IE"/>
        </w:rPr>
        <w:t>duration</w:t>
      </w:r>
      <w:r w:rsidR="00BC2E35" w:rsidRPr="00642DA0">
        <w:rPr>
          <w:rFonts w:asciiTheme="minorHAnsi" w:eastAsiaTheme="minorHAnsi" w:hAnsiTheme="minorHAnsi" w:cstheme="minorHAnsi"/>
          <w:lang w:val="en-IE"/>
        </w:rPr>
        <w:t xml:space="preserve">. </w:t>
      </w:r>
      <w:r w:rsidR="00642DA0" w:rsidRPr="00642DA0">
        <w:rPr>
          <w:rFonts w:asciiTheme="minorHAnsi" w:eastAsiaTheme="minorHAnsi" w:hAnsiTheme="minorHAnsi" w:cstheme="minorHAnsi"/>
          <w:lang w:val="en-IE"/>
        </w:rPr>
        <w:t xml:space="preserve">Cash allocations fell and the Company divested €32m from its bond portfolios to fund dividend payments although mark-to-market gains saw the overall bond allocations increase. The average credit quality of the corporate bond portfolio has remained at A- and has seen a lower allocation to BBB rated bonds (38% vs 42% </w:t>
      </w:r>
      <w:proofErr w:type="gramStart"/>
      <w:r w:rsidR="00642DA0" w:rsidRPr="00642DA0">
        <w:rPr>
          <w:rFonts w:asciiTheme="minorHAnsi" w:eastAsiaTheme="minorHAnsi" w:hAnsiTheme="minorHAnsi" w:cstheme="minorHAnsi"/>
          <w:lang w:val="en-IE"/>
        </w:rPr>
        <w:t>at</w:t>
      </w:r>
      <w:proofErr w:type="gramEnd"/>
      <w:r w:rsidR="00642DA0" w:rsidRPr="00642DA0">
        <w:rPr>
          <w:rFonts w:asciiTheme="minorHAnsi" w:eastAsiaTheme="minorHAnsi" w:hAnsiTheme="minorHAnsi" w:cstheme="minorHAnsi"/>
          <w:lang w:val="en-IE"/>
        </w:rPr>
        <w:t xml:space="preserve"> 31 December 2022). An additional €15m was invested in Risk Assets although we remain underweight the target allocation while the investment property allocation </w:t>
      </w:r>
      <w:r w:rsidR="001D4A51">
        <w:rPr>
          <w:rFonts w:asciiTheme="minorHAnsi" w:eastAsiaTheme="minorHAnsi" w:hAnsiTheme="minorHAnsi" w:cstheme="minorHAnsi"/>
          <w:lang w:val="en-IE"/>
        </w:rPr>
        <w:t>reduced</w:t>
      </w:r>
      <w:r w:rsidR="00642DA0" w:rsidRPr="00642DA0">
        <w:rPr>
          <w:rFonts w:asciiTheme="minorHAnsi" w:eastAsiaTheme="minorHAnsi" w:hAnsiTheme="minorHAnsi" w:cstheme="minorHAnsi"/>
          <w:lang w:val="en-IE"/>
        </w:rPr>
        <w:t xml:space="preserve"> due to valuation decreases.  </w:t>
      </w:r>
    </w:p>
    <w:p w14:paraId="44D9ACB0" w14:textId="77777777" w:rsidR="00327EA9" w:rsidRDefault="00327EA9" w:rsidP="00642DA0">
      <w:pPr>
        <w:jc w:val="both"/>
        <w:rPr>
          <w:rFonts w:asciiTheme="minorHAnsi" w:eastAsiaTheme="minorHAnsi" w:hAnsiTheme="minorHAnsi" w:cstheme="minorHAnsi"/>
          <w:lang w:val="en-IE"/>
        </w:rPr>
      </w:pPr>
    </w:p>
    <w:p w14:paraId="440510E8" w14:textId="7ADF23AD" w:rsidR="00642DA0" w:rsidRPr="00004A0F" w:rsidRDefault="00DC6E6A" w:rsidP="003F4E9E">
      <w:pPr>
        <w:jc w:val="both"/>
        <w:rPr>
          <w:rFonts w:asciiTheme="minorHAnsi" w:hAnsiTheme="minorHAnsi" w:cstheme="minorHAnsi"/>
          <w:color w:val="000000"/>
        </w:rPr>
      </w:pPr>
      <w:r w:rsidRPr="00004A0F">
        <w:rPr>
          <w:rFonts w:asciiTheme="minorHAnsi" w:hAnsiTheme="minorHAnsi" w:cstheme="minorHAnsi"/>
          <w:color w:val="000000"/>
        </w:rPr>
        <w:t xml:space="preserve">The allocation of the Group’s investment assets is as follows: </w:t>
      </w:r>
    </w:p>
    <w:tbl>
      <w:tblPr>
        <w:tblW w:w="4880" w:type="pct"/>
        <w:tblLook w:val="01E0" w:firstRow="1" w:lastRow="1" w:firstColumn="1" w:lastColumn="1" w:noHBand="0" w:noVBand="0"/>
      </w:tblPr>
      <w:tblGrid>
        <w:gridCol w:w="3175"/>
        <w:gridCol w:w="1450"/>
        <w:gridCol w:w="1455"/>
        <w:gridCol w:w="1469"/>
        <w:gridCol w:w="1260"/>
      </w:tblGrid>
      <w:tr w:rsidR="00004A0F" w:rsidRPr="00E62CC5" w14:paraId="25121651" w14:textId="77777777" w:rsidTr="00642DA0">
        <w:trPr>
          <w:trHeight w:val="267"/>
        </w:trPr>
        <w:tc>
          <w:tcPr>
            <w:tcW w:w="1802" w:type="pct"/>
          </w:tcPr>
          <w:p w14:paraId="76E5D022" w14:textId="77777777" w:rsidR="00004A0F" w:rsidRPr="00E62CC5" w:rsidRDefault="00004A0F" w:rsidP="00004A0F">
            <w:pPr>
              <w:ind w:left="567"/>
              <w:jc w:val="both"/>
              <w:rPr>
                <w:rFonts w:asciiTheme="minorHAnsi" w:hAnsiTheme="minorHAnsi" w:cstheme="minorHAnsi"/>
                <w:color w:val="000000"/>
                <w:highlight w:val="yellow"/>
              </w:rPr>
            </w:pPr>
          </w:p>
        </w:tc>
        <w:tc>
          <w:tcPr>
            <w:tcW w:w="1649" w:type="pct"/>
            <w:gridSpan w:val="2"/>
            <w:vAlign w:val="center"/>
          </w:tcPr>
          <w:p w14:paraId="4A847FE1" w14:textId="77777777" w:rsidR="00004A0F" w:rsidRDefault="00004A0F" w:rsidP="00004A0F">
            <w:pPr>
              <w:ind w:left="567"/>
              <w:jc w:val="both"/>
              <w:rPr>
                <w:rFonts w:asciiTheme="minorHAnsi" w:hAnsiTheme="minorHAnsi" w:cstheme="minorHAnsi"/>
                <w:b/>
                <w:color w:val="000000"/>
              </w:rPr>
            </w:pPr>
            <w:r w:rsidRPr="00642DA0">
              <w:rPr>
                <w:rFonts w:asciiTheme="minorHAnsi" w:hAnsiTheme="minorHAnsi" w:cstheme="minorHAnsi"/>
                <w:b/>
                <w:color w:val="000000"/>
              </w:rPr>
              <w:t>31 December 2023</w:t>
            </w:r>
          </w:p>
          <w:p w14:paraId="696EA1BC" w14:textId="57AD68A3" w:rsidR="00671853" w:rsidRPr="00642DA0" w:rsidRDefault="00671853" w:rsidP="00004A0F">
            <w:pPr>
              <w:ind w:left="567"/>
              <w:jc w:val="both"/>
              <w:rPr>
                <w:rFonts w:asciiTheme="minorHAnsi" w:hAnsiTheme="minorHAnsi" w:cstheme="minorHAnsi"/>
                <w:b/>
                <w:color w:val="000000"/>
              </w:rPr>
            </w:pPr>
          </w:p>
        </w:tc>
        <w:tc>
          <w:tcPr>
            <w:tcW w:w="1549" w:type="pct"/>
            <w:gridSpan w:val="2"/>
            <w:vAlign w:val="center"/>
          </w:tcPr>
          <w:p w14:paraId="543F8D07" w14:textId="39A2C10F" w:rsidR="00004A0F" w:rsidRPr="00004A0F" w:rsidRDefault="00004A0F" w:rsidP="00957C52">
            <w:pPr>
              <w:ind w:left="567"/>
              <w:jc w:val="center"/>
              <w:rPr>
                <w:rFonts w:asciiTheme="minorHAnsi" w:hAnsiTheme="minorHAnsi" w:cstheme="minorHAnsi"/>
                <w:b/>
                <w:color w:val="000000"/>
              </w:rPr>
            </w:pPr>
            <w:r w:rsidRPr="00004A0F">
              <w:rPr>
                <w:rFonts w:asciiTheme="minorHAnsi" w:hAnsiTheme="minorHAnsi" w:cstheme="minorHAnsi"/>
                <w:b/>
                <w:color w:val="000000"/>
              </w:rPr>
              <w:t>31 December 2022</w:t>
            </w:r>
            <w:r w:rsidR="00957C52">
              <w:rPr>
                <w:rFonts w:asciiTheme="minorHAnsi" w:hAnsiTheme="minorHAnsi" w:cstheme="minorHAnsi"/>
                <w:b/>
                <w:color w:val="000000"/>
              </w:rPr>
              <w:t xml:space="preserve"> (restated)</w:t>
            </w:r>
          </w:p>
        </w:tc>
      </w:tr>
      <w:tr w:rsidR="00004A0F" w:rsidRPr="00E62CC5" w14:paraId="3D32E621" w14:textId="77777777" w:rsidTr="00642DA0">
        <w:trPr>
          <w:trHeight w:val="267"/>
        </w:trPr>
        <w:tc>
          <w:tcPr>
            <w:tcW w:w="1802" w:type="pct"/>
          </w:tcPr>
          <w:p w14:paraId="41EEF3EC" w14:textId="77777777" w:rsidR="00004A0F" w:rsidRPr="00642DA0" w:rsidRDefault="00004A0F" w:rsidP="00004A0F">
            <w:pPr>
              <w:ind w:left="567"/>
              <w:rPr>
                <w:rFonts w:asciiTheme="minorHAnsi" w:hAnsiTheme="minorHAnsi" w:cstheme="minorHAnsi"/>
                <w:b/>
                <w:color w:val="000000"/>
              </w:rPr>
            </w:pPr>
          </w:p>
        </w:tc>
        <w:tc>
          <w:tcPr>
            <w:tcW w:w="823" w:type="pct"/>
          </w:tcPr>
          <w:p w14:paraId="07107E0D" w14:textId="77777777" w:rsidR="00004A0F" w:rsidRPr="00642DA0" w:rsidRDefault="00004A0F" w:rsidP="00731344">
            <w:pPr>
              <w:ind w:left="567"/>
              <w:jc w:val="right"/>
              <w:rPr>
                <w:rFonts w:asciiTheme="minorHAnsi" w:hAnsiTheme="minorHAnsi" w:cstheme="minorHAnsi"/>
                <w:b/>
                <w:color w:val="000000"/>
              </w:rPr>
            </w:pPr>
            <w:r w:rsidRPr="00642DA0">
              <w:rPr>
                <w:rFonts w:asciiTheme="minorHAnsi" w:hAnsiTheme="minorHAnsi" w:cstheme="minorHAnsi"/>
                <w:b/>
                <w:color w:val="000000"/>
              </w:rPr>
              <w:t>€m</w:t>
            </w:r>
          </w:p>
        </w:tc>
        <w:tc>
          <w:tcPr>
            <w:tcW w:w="826" w:type="pct"/>
          </w:tcPr>
          <w:p w14:paraId="1EC07FFB" w14:textId="7997B5DB" w:rsidR="00004A0F" w:rsidRPr="00642DA0" w:rsidRDefault="009C1C62" w:rsidP="00731344">
            <w:pPr>
              <w:ind w:left="567"/>
              <w:jc w:val="right"/>
              <w:rPr>
                <w:rFonts w:asciiTheme="minorHAnsi" w:hAnsiTheme="minorHAnsi" w:cstheme="minorHAnsi"/>
                <w:b/>
                <w:color w:val="000000"/>
              </w:rPr>
            </w:pPr>
            <w:r>
              <w:rPr>
                <w:rFonts w:asciiTheme="minorHAnsi" w:hAnsiTheme="minorHAnsi" w:cstheme="minorHAnsi"/>
                <w:b/>
                <w:color w:val="000000"/>
              </w:rPr>
              <w:t>%</w:t>
            </w:r>
          </w:p>
        </w:tc>
        <w:tc>
          <w:tcPr>
            <w:tcW w:w="834" w:type="pct"/>
          </w:tcPr>
          <w:p w14:paraId="59FA900E" w14:textId="160486B6" w:rsidR="00004A0F" w:rsidRPr="00642DA0" w:rsidRDefault="00004A0F" w:rsidP="00731344">
            <w:pPr>
              <w:ind w:left="567"/>
              <w:jc w:val="right"/>
              <w:rPr>
                <w:rFonts w:asciiTheme="minorHAnsi" w:hAnsiTheme="minorHAnsi" w:cstheme="minorHAnsi"/>
                <w:b/>
                <w:color w:val="000000"/>
              </w:rPr>
            </w:pPr>
            <w:r w:rsidRPr="00642DA0">
              <w:rPr>
                <w:rFonts w:asciiTheme="minorHAnsi" w:hAnsiTheme="minorHAnsi" w:cstheme="minorHAnsi"/>
                <w:b/>
                <w:color w:val="000000"/>
              </w:rPr>
              <w:t>€m</w:t>
            </w:r>
          </w:p>
        </w:tc>
        <w:tc>
          <w:tcPr>
            <w:tcW w:w="715" w:type="pct"/>
          </w:tcPr>
          <w:p w14:paraId="7C755B0C" w14:textId="77777777" w:rsidR="00004A0F" w:rsidRPr="00004A0F" w:rsidRDefault="00004A0F" w:rsidP="00731344">
            <w:pPr>
              <w:ind w:left="567"/>
              <w:jc w:val="right"/>
              <w:rPr>
                <w:rFonts w:asciiTheme="minorHAnsi" w:hAnsiTheme="minorHAnsi" w:cstheme="minorHAnsi"/>
                <w:b/>
                <w:color w:val="000000"/>
              </w:rPr>
            </w:pPr>
            <w:r w:rsidRPr="00642DA0">
              <w:rPr>
                <w:rFonts w:asciiTheme="minorHAnsi" w:hAnsiTheme="minorHAnsi" w:cstheme="minorHAnsi"/>
                <w:b/>
                <w:color w:val="000000"/>
              </w:rPr>
              <w:t>%</w:t>
            </w:r>
          </w:p>
        </w:tc>
      </w:tr>
      <w:tr w:rsidR="00642DA0" w:rsidRPr="0096521C" w14:paraId="146D4F2A" w14:textId="77777777" w:rsidTr="00642DA0">
        <w:trPr>
          <w:trHeight w:val="267"/>
        </w:trPr>
        <w:tc>
          <w:tcPr>
            <w:tcW w:w="1802" w:type="pct"/>
          </w:tcPr>
          <w:p w14:paraId="64B342BF" w14:textId="77777777" w:rsidR="00642DA0" w:rsidRPr="0096521C" w:rsidRDefault="00642DA0" w:rsidP="00642DA0">
            <w:pPr>
              <w:ind w:left="567"/>
              <w:rPr>
                <w:rFonts w:asciiTheme="minorHAnsi" w:hAnsiTheme="minorHAnsi" w:cstheme="minorHAnsi"/>
                <w:color w:val="000000"/>
              </w:rPr>
            </w:pPr>
            <w:r w:rsidRPr="0096521C">
              <w:rPr>
                <w:rFonts w:asciiTheme="minorHAnsi" w:hAnsiTheme="minorHAnsi" w:cstheme="minorHAnsi"/>
                <w:color w:val="000000"/>
              </w:rPr>
              <w:t>Corporate bonds</w:t>
            </w:r>
          </w:p>
        </w:tc>
        <w:tc>
          <w:tcPr>
            <w:tcW w:w="823" w:type="pct"/>
          </w:tcPr>
          <w:p w14:paraId="4C149385" w14:textId="2C4DCA1E" w:rsidR="00642DA0" w:rsidRPr="0096521C" w:rsidRDefault="00642DA0" w:rsidP="00642DA0">
            <w:pPr>
              <w:ind w:left="567"/>
              <w:jc w:val="right"/>
              <w:rPr>
                <w:rFonts w:asciiTheme="minorHAnsi" w:hAnsiTheme="minorHAnsi" w:cstheme="minorHAnsi"/>
                <w:color w:val="000000"/>
              </w:rPr>
            </w:pPr>
            <w:r w:rsidRPr="0096521C">
              <w:rPr>
                <w:rFonts w:asciiTheme="minorHAnsi" w:hAnsiTheme="minorHAnsi" w:cstheme="minorHAnsi"/>
                <w:color w:val="000000"/>
              </w:rPr>
              <w:t>575</w:t>
            </w:r>
          </w:p>
        </w:tc>
        <w:tc>
          <w:tcPr>
            <w:tcW w:w="826" w:type="pct"/>
            <w:vAlign w:val="center"/>
          </w:tcPr>
          <w:p w14:paraId="4C6C3201" w14:textId="52D5EE46" w:rsidR="00642DA0" w:rsidRPr="0096521C" w:rsidRDefault="00642DA0" w:rsidP="00642DA0">
            <w:pPr>
              <w:ind w:left="567"/>
              <w:jc w:val="right"/>
              <w:rPr>
                <w:rFonts w:asciiTheme="minorHAnsi" w:hAnsiTheme="minorHAnsi" w:cstheme="minorHAnsi"/>
                <w:color w:val="000000"/>
              </w:rPr>
            </w:pPr>
            <w:r w:rsidRPr="0096521C">
              <w:rPr>
                <w:rFonts w:asciiTheme="minorHAnsi" w:hAnsiTheme="minorHAnsi" w:cstheme="minorHAnsi"/>
                <w:color w:val="000000"/>
              </w:rPr>
              <w:t>49%</w:t>
            </w:r>
          </w:p>
        </w:tc>
        <w:tc>
          <w:tcPr>
            <w:tcW w:w="834" w:type="pct"/>
          </w:tcPr>
          <w:p w14:paraId="6DC71E49" w14:textId="021A43E5" w:rsidR="00642DA0" w:rsidRPr="0096521C" w:rsidRDefault="00642DA0" w:rsidP="00642DA0">
            <w:pPr>
              <w:ind w:left="567"/>
              <w:jc w:val="right"/>
              <w:rPr>
                <w:rFonts w:asciiTheme="minorHAnsi" w:hAnsiTheme="minorHAnsi" w:cstheme="minorHAnsi"/>
                <w:color w:val="000000"/>
              </w:rPr>
            </w:pPr>
            <w:r w:rsidRPr="0096521C">
              <w:rPr>
                <w:rFonts w:asciiTheme="minorHAnsi" w:hAnsiTheme="minorHAnsi" w:cstheme="minorHAnsi"/>
                <w:color w:val="000000"/>
              </w:rPr>
              <w:t>563</w:t>
            </w:r>
          </w:p>
        </w:tc>
        <w:tc>
          <w:tcPr>
            <w:tcW w:w="715" w:type="pct"/>
            <w:vAlign w:val="center"/>
          </w:tcPr>
          <w:p w14:paraId="0AE1D321" w14:textId="3C466FDC" w:rsidR="00642DA0" w:rsidRPr="0096521C" w:rsidRDefault="00642DA0" w:rsidP="00642DA0">
            <w:pPr>
              <w:ind w:left="567"/>
              <w:jc w:val="right"/>
              <w:rPr>
                <w:rFonts w:asciiTheme="minorHAnsi" w:hAnsiTheme="minorHAnsi" w:cstheme="minorHAnsi"/>
                <w:color w:val="000000"/>
              </w:rPr>
            </w:pPr>
            <w:r w:rsidRPr="0096521C">
              <w:rPr>
                <w:rFonts w:asciiTheme="minorHAnsi" w:hAnsiTheme="minorHAnsi" w:cstheme="minorHAnsi"/>
                <w:color w:val="000000"/>
              </w:rPr>
              <w:t>49%</w:t>
            </w:r>
          </w:p>
        </w:tc>
      </w:tr>
      <w:tr w:rsidR="00642DA0" w:rsidRPr="0096521C" w14:paraId="555E356D" w14:textId="77777777" w:rsidTr="00642DA0">
        <w:trPr>
          <w:trHeight w:val="252"/>
        </w:trPr>
        <w:tc>
          <w:tcPr>
            <w:tcW w:w="1802" w:type="pct"/>
          </w:tcPr>
          <w:p w14:paraId="4082BE3F" w14:textId="77777777" w:rsidR="00642DA0" w:rsidRPr="0096521C" w:rsidRDefault="00642DA0" w:rsidP="00642DA0">
            <w:pPr>
              <w:ind w:left="567"/>
              <w:rPr>
                <w:rFonts w:asciiTheme="minorHAnsi" w:hAnsiTheme="minorHAnsi" w:cstheme="minorHAnsi"/>
                <w:color w:val="000000"/>
              </w:rPr>
            </w:pPr>
            <w:r w:rsidRPr="0096521C">
              <w:rPr>
                <w:rFonts w:asciiTheme="minorHAnsi" w:hAnsiTheme="minorHAnsi" w:cstheme="minorHAnsi"/>
                <w:color w:val="000000"/>
              </w:rPr>
              <w:t xml:space="preserve">Government bonds </w:t>
            </w:r>
          </w:p>
        </w:tc>
        <w:tc>
          <w:tcPr>
            <w:tcW w:w="823" w:type="pct"/>
          </w:tcPr>
          <w:p w14:paraId="72C9555E" w14:textId="69889085" w:rsidR="00642DA0" w:rsidRPr="0096521C" w:rsidRDefault="00642DA0" w:rsidP="00642DA0">
            <w:pPr>
              <w:ind w:left="567"/>
              <w:jc w:val="right"/>
              <w:rPr>
                <w:rFonts w:asciiTheme="minorHAnsi" w:hAnsiTheme="minorHAnsi" w:cstheme="minorHAnsi"/>
                <w:color w:val="000000"/>
              </w:rPr>
            </w:pPr>
            <w:r w:rsidRPr="0096521C">
              <w:rPr>
                <w:rFonts w:asciiTheme="minorHAnsi" w:hAnsiTheme="minorHAnsi" w:cstheme="minorHAnsi"/>
                <w:color w:val="000000"/>
              </w:rPr>
              <w:t>281</w:t>
            </w:r>
          </w:p>
        </w:tc>
        <w:tc>
          <w:tcPr>
            <w:tcW w:w="826" w:type="pct"/>
            <w:vAlign w:val="center"/>
          </w:tcPr>
          <w:p w14:paraId="30DCF93A" w14:textId="389983BD" w:rsidR="00642DA0" w:rsidRPr="0096521C" w:rsidRDefault="00642DA0" w:rsidP="00642DA0">
            <w:pPr>
              <w:ind w:left="567"/>
              <w:jc w:val="right"/>
              <w:rPr>
                <w:rFonts w:asciiTheme="minorHAnsi" w:hAnsiTheme="minorHAnsi" w:cstheme="minorHAnsi"/>
                <w:color w:val="000000"/>
              </w:rPr>
            </w:pPr>
            <w:r w:rsidRPr="0096521C">
              <w:rPr>
                <w:rFonts w:asciiTheme="minorHAnsi" w:hAnsiTheme="minorHAnsi" w:cstheme="minorHAnsi"/>
                <w:color w:val="000000"/>
              </w:rPr>
              <w:t>24%</w:t>
            </w:r>
          </w:p>
        </w:tc>
        <w:tc>
          <w:tcPr>
            <w:tcW w:w="834" w:type="pct"/>
          </w:tcPr>
          <w:p w14:paraId="2851E623" w14:textId="7CD74191" w:rsidR="00642DA0" w:rsidRPr="0096521C" w:rsidRDefault="00642DA0" w:rsidP="00642DA0">
            <w:pPr>
              <w:ind w:left="567"/>
              <w:jc w:val="right"/>
              <w:rPr>
                <w:rFonts w:asciiTheme="minorHAnsi" w:hAnsiTheme="minorHAnsi" w:cstheme="minorHAnsi"/>
                <w:color w:val="000000"/>
              </w:rPr>
            </w:pPr>
            <w:r w:rsidRPr="0096521C">
              <w:rPr>
                <w:rFonts w:asciiTheme="minorHAnsi" w:hAnsiTheme="minorHAnsi" w:cstheme="minorHAnsi"/>
                <w:color w:val="000000"/>
              </w:rPr>
              <w:t>271</w:t>
            </w:r>
          </w:p>
        </w:tc>
        <w:tc>
          <w:tcPr>
            <w:tcW w:w="715" w:type="pct"/>
            <w:vAlign w:val="center"/>
          </w:tcPr>
          <w:p w14:paraId="68F68BCD" w14:textId="68C65EC7" w:rsidR="00642DA0" w:rsidRPr="0096521C" w:rsidRDefault="00642DA0" w:rsidP="00642DA0">
            <w:pPr>
              <w:ind w:left="567"/>
              <w:jc w:val="right"/>
              <w:rPr>
                <w:rFonts w:asciiTheme="minorHAnsi" w:hAnsiTheme="minorHAnsi" w:cstheme="minorHAnsi"/>
                <w:color w:val="000000"/>
              </w:rPr>
            </w:pPr>
            <w:r w:rsidRPr="0096521C">
              <w:rPr>
                <w:rFonts w:asciiTheme="minorHAnsi" w:hAnsiTheme="minorHAnsi" w:cstheme="minorHAnsi"/>
                <w:color w:val="000000"/>
              </w:rPr>
              <w:t>2</w:t>
            </w:r>
            <w:r w:rsidR="00DA6447">
              <w:rPr>
                <w:rFonts w:asciiTheme="minorHAnsi" w:hAnsiTheme="minorHAnsi" w:cstheme="minorHAnsi"/>
                <w:color w:val="000000"/>
              </w:rPr>
              <w:t>3</w:t>
            </w:r>
            <w:r w:rsidRPr="0096521C">
              <w:rPr>
                <w:rFonts w:asciiTheme="minorHAnsi" w:hAnsiTheme="minorHAnsi" w:cstheme="minorHAnsi"/>
                <w:color w:val="000000"/>
              </w:rPr>
              <w:t>%</w:t>
            </w:r>
          </w:p>
        </w:tc>
      </w:tr>
      <w:tr w:rsidR="00642DA0" w:rsidRPr="007E2598" w14:paraId="6BB58381" w14:textId="77777777" w:rsidTr="00642DA0">
        <w:trPr>
          <w:trHeight w:val="267"/>
        </w:trPr>
        <w:tc>
          <w:tcPr>
            <w:tcW w:w="1802" w:type="pct"/>
          </w:tcPr>
          <w:p w14:paraId="1A347D67" w14:textId="77777777" w:rsidR="00642DA0" w:rsidRPr="007E2598" w:rsidRDefault="00642DA0" w:rsidP="00642DA0">
            <w:pPr>
              <w:ind w:left="567"/>
              <w:rPr>
                <w:rFonts w:asciiTheme="minorHAnsi" w:hAnsiTheme="minorHAnsi" w:cstheme="minorHAnsi"/>
                <w:color w:val="000000"/>
              </w:rPr>
            </w:pPr>
            <w:r w:rsidRPr="007E2598">
              <w:rPr>
                <w:rFonts w:asciiTheme="minorHAnsi" w:hAnsiTheme="minorHAnsi" w:cstheme="minorHAnsi"/>
                <w:color w:val="000000"/>
              </w:rPr>
              <w:t>Deposits and cash</w:t>
            </w:r>
          </w:p>
        </w:tc>
        <w:tc>
          <w:tcPr>
            <w:tcW w:w="823" w:type="pct"/>
          </w:tcPr>
          <w:p w14:paraId="6ABB93FC" w14:textId="432AE111" w:rsidR="00642DA0" w:rsidRPr="007E2598" w:rsidRDefault="00642DA0" w:rsidP="00642DA0">
            <w:pPr>
              <w:ind w:left="567"/>
              <w:jc w:val="right"/>
              <w:rPr>
                <w:rFonts w:asciiTheme="minorHAnsi" w:hAnsiTheme="minorHAnsi" w:cstheme="minorHAnsi"/>
                <w:color w:val="000000"/>
              </w:rPr>
            </w:pPr>
            <w:r w:rsidRPr="007E2598">
              <w:rPr>
                <w:rFonts w:asciiTheme="minorHAnsi" w:hAnsiTheme="minorHAnsi" w:cstheme="minorHAnsi"/>
                <w:color w:val="000000"/>
              </w:rPr>
              <w:t>145</w:t>
            </w:r>
          </w:p>
        </w:tc>
        <w:tc>
          <w:tcPr>
            <w:tcW w:w="826" w:type="pct"/>
            <w:vAlign w:val="center"/>
          </w:tcPr>
          <w:p w14:paraId="392913E6" w14:textId="151BC25F" w:rsidR="00642DA0" w:rsidRPr="007E2598" w:rsidRDefault="00642DA0" w:rsidP="00642DA0">
            <w:pPr>
              <w:ind w:left="567"/>
              <w:jc w:val="right"/>
              <w:rPr>
                <w:rFonts w:asciiTheme="minorHAnsi" w:hAnsiTheme="minorHAnsi" w:cstheme="minorHAnsi"/>
                <w:color w:val="000000"/>
              </w:rPr>
            </w:pPr>
            <w:r w:rsidRPr="007E2598">
              <w:rPr>
                <w:rFonts w:asciiTheme="minorHAnsi" w:hAnsiTheme="minorHAnsi" w:cstheme="minorHAnsi"/>
                <w:color w:val="000000"/>
              </w:rPr>
              <w:t>12%</w:t>
            </w:r>
          </w:p>
        </w:tc>
        <w:tc>
          <w:tcPr>
            <w:tcW w:w="834" w:type="pct"/>
          </w:tcPr>
          <w:p w14:paraId="77ED20DD" w14:textId="525813E4" w:rsidR="00642DA0" w:rsidRPr="007E2598" w:rsidRDefault="00642DA0" w:rsidP="00642DA0">
            <w:pPr>
              <w:ind w:left="567"/>
              <w:jc w:val="right"/>
              <w:rPr>
                <w:rFonts w:asciiTheme="minorHAnsi" w:hAnsiTheme="minorHAnsi" w:cstheme="minorHAnsi"/>
                <w:color w:val="000000"/>
              </w:rPr>
            </w:pPr>
            <w:r w:rsidRPr="007E2598">
              <w:rPr>
                <w:rFonts w:asciiTheme="minorHAnsi" w:hAnsiTheme="minorHAnsi" w:cstheme="minorHAnsi"/>
                <w:color w:val="000000"/>
              </w:rPr>
              <w:t>17</w:t>
            </w:r>
            <w:r w:rsidR="00963833" w:rsidRPr="007E2598">
              <w:rPr>
                <w:rFonts w:asciiTheme="minorHAnsi" w:hAnsiTheme="minorHAnsi" w:cstheme="minorHAnsi"/>
                <w:color w:val="000000"/>
              </w:rPr>
              <w:t>5</w:t>
            </w:r>
          </w:p>
        </w:tc>
        <w:tc>
          <w:tcPr>
            <w:tcW w:w="715" w:type="pct"/>
            <w:vAlign w:val="center"/>
          </w:tcPr>
          <w:p w14:paraId="5F12B4F8" w14:textId="1D2EF3A1" w:rsidR="00642DA0" w:rsidRPr="007E2598" w:rsidRDefault="00642DA0" w:rsidP="00642DA0">
            <w:pPr>
              <w:ind w:left="567"/>
              <w:jc w:val="right"/>
              <w:rPr>
                <w:rFonts w:asciiTheme="minorHAnsi" w:hAnsiTheme="minorHAnsi" w:cstheme="minorHAnsi"/>
                <w:color w:val="000000"/>
              </w:rPr>
            </w:pPr>
            <w:r w:rsidRPr="007E2598">
              <w:rPr>
                <w:rFonts w:asciiTheme="minorHAnsi" w:hAnsiTheme="minorHAnsi" w:cstheme="minorHAnsi"/>
                <w:color w:val="000000"/>
              </w:rPr>
              <w:t>1</w:t>
            </w:r>
            <w:r w:rsidR="00DA6447">
              <w:rPr>
                <w:rFonts w:asciiTheme="minorHAnsi" w:hAnsiTheme="minorHAnsi" w:cstheme="minorHAnsi"/>
                <w:color w:val="000000"/>
              </w:rPr>
              <w:t>5</w:t>
            </w:r>
            <w:r w:rsidRPr="007E2598">
              <w:rPr>
                <w:rFonts w:asciiTheme="minorHAnsi" w:hAnsiTheme="minorHAnsi" w:cstheme="minorHAnsi"/>
                <w:color w:val="000000"/>
              </w:rPr>
              <w:t>%</w:t>
            </w:r>
          </w:p>
        </w:tc>
      </w:tr>
      <w:tr w:rsidR="00642DA0" w:rsidRPr="007E2598" w14:paraId="033D462B" w14:textId="77777777" w:rsidTr="00642DA0">
        <w:trPr>
          <w:trHeight w:val="267"/>
        </w:trPr>
        <w:tc>
          <w:tcPr>
            <w:tcW w:w="1802" w:type="pct"/>
          </w:tcPr>
          <w:p w14:paraId="2D82DDE8" w14:textId="50478D62" w:rsidR="00642DA0" w:rsidRPr="007E2598" w:rsidRDefault="00642DA0" w:rsidP="00642DA0">
            <w:pPr>
              <w:ind w:left="567"/>
              <w:rPr>
                <w:rFonts w:asciiTheme="minorHAnsi" w:hAnsiTheme="minorHAnsi" w:cstheme="minorHAnsi"/>
                <w:color w:val="000000"/>
              </w:rPr>
            </w:pPr>
            <w:r w:rsidRPr="007E2598">
              <w:rPr>
                <w:rFonts w:asciiTheme="minorHAnsi" w:hAnsiTheme="minorHAnsi" w:cstheme="minorHAnsi"/>
                <w:color w:val="000000"/>
              </w:rPr>
              <w:t>Risk assets</w:t>
            </w:r>
          </w:p>
        </w:tc>
        <w:tc>
          <w:tcPr>
            <w:tcW w:w="823" w:type="pct"/>
          </w:tcPr>
          <w:p w14:paraId="1087D271" w14:textId="19E233C1" w:rsidR="00642DA0" w:rsidRPr="007E2598" w:rsidRDefault="00642DA0" w:rsidP="00642DA0">
            <w:pPr>
              <w:ind w:left="567"/>
              <w:jc w:val="right"/>
              <w:rPr>
                <w:rFonts w:asciiTheme="minorHAnsi" w:hAnsiTheme="minorHAnsi" w:cstheme="minorHAnsi"/>
                <w:color w:val="000000"/>
              </w:rPr>
            </w:pPr>
            <w:r w:rsidRPr="007E2598">
              <w:rPr>
                <w:rFonts w:asciiTheme="minorHAnsi" w:hAnsiTheme="minorHAnsi" w:cstheme="minorHAnsi"/>
                <w:color w:val="000000"/>
              </w:rPr>
              <w:t>161</w:t>
            </w:r>
          </w:p>
        </w:tc>
        <w:tc>
          <w:tcPr>
            <w:tcW w:w="826" w:type="pct"/>
            <w:vAlign w:val="center"/>
          </w:tcPr>
          <w:p w14:paraId="45A105A1" w14:textId="34526CF4" w:rsidR="00642DA0" w:rsidRPr="007E2598" w:rsidRDefault="00642DA0" w:rsidP="00642DA0">
            <w:pPr>
              <w:ind w:left="567"/>
              <w:jc w:val="right"/>
              <w:rPr>
                <w:rFonts w:asciiTheme="minorHAnsi" w:hAnsiTheme="minorHAnsi" w:cstheme="minorHAnsi"/>
                <w:color w:val="000000"/>
              </w:rPr>
            </w:pPr>
            <w:r w:rsidRPr="007E2598">
              <w:rPr>
                <w:rFonts w:asciiTheme="minorHAnsi" w:hAnsiTheme="minorHAnsi" w:cstheme="minorHAnsi"/>
                <w:color w:val="000000"/>
              </w:rPr>
              <w:t>14%</w:t>
            </w:r>
          </w:p>
        </w:tc>
        <w:tc>
          <w:tcPr>
            <w:tcW w:w="834" w:type="pct"/>
          </w:tcPr>
          <w:p w14:paraId="4D61BD64" w14:textId="2D451A37" w:rsidR="00642DA0" w:rsidRPr="007E2598" w:rsidRDefault="00642DA0" w:rsidP="00642DA0">
            <w:pPr>
              <w:ind w:left="567"/>
              <w:jc w:val="right"/>
              <w:rPr>
                <w:rFonts w:asciiTheme="minorHAnsi" w:hAnsiTheme="minorHAnsi" w:cstheme="minorHAnsi"/>
                <w:color w:val="000000"/>
              </w:rPr>
            </w:pPr>
            <w:r w:rsidRPr="007E2598">
              <w:rPr>
                <w:rFonts w:asciiTheme="minorHAnsi" w:hAnsiTheme="minorHAnsi" w:cstheme="minorHAnsi"/>
                <w:color w:val="000000"/>
              </w:rPr>
              <w:t>13</w:t>
            </w:r>
            <w:r w:rsidR="007F152D" w:rsidRPr="007E2598">
              <w:rPr>
                <w:rFonts w:asciiTheme="minorHAnsi" w:hAnsiTheme="minorHAnsi" w:cstheme="minorHAnsi"/>
                <w:color w:val="000000"/>
              </w:rPr>
              <w:t>4</w:t>
            </w:r>
          </w:p>
        </w:tc>
        <w:tc>
          <w:tcPr>
            <w:tcW w:w="715" w:type="pct"/>
            <w:vAlign w:val="center"/>
          </w:tcPr>
          <w:p w14:paraId="39AB7F3E" w14:textId="4F0B88B2" w:rsidR="00642DA0" w:rsidRPr="007E2598" w:rsidRDefault="00642DA0" w:rsidP="00642DA0">
            <w:pPr>
              <w:ind w:left="567"/>
              <w:jc w:val="right"/>
              <w:rPr>
                <w:rFonts w:asciiTheme="minorHAnsi" w:hAnsiTheme="minorHAnsi" w:cstheme="minorHAnsi"/>
                <w:color w:val="000000"/>
              </w:rPr>
            </w:pPr>
            <w:r w:rsidRPr="007E2598">
              <w:rPr>
                <w:rFonts w:asciiTheme="minorHAnsi" w:hAnsiTheme="minorHAnsi" w:cstheme="minorHAnsi"/>
                <w:color w:val="000000"/>
              </w:rPr>
              <w:t>1</w:t>
            </w:r>
            <w:r w:rsidR="00DA6447">
              <w:rPr>
                <w:rFonts w:asciiTheme="minorHAnsi" w:hAnsiTheme="minorHAnsi" w:cstheme="minorHAnsi"/>
                <w:color w:val="000000"/>
              </w:rPr>
              <w:t>2</w:t>
            </w:r>
            <w:r w:rsidRPr="007E2598">
              <w:rPr>
                <w:rFonts w:asciiTheme="minorHAnsi" w:hAnsiTheme="minorHAnsi" w:cstheme="minorHAnsi"/>
                <w:color w:val="000000"/>
              </w:rPr>
              <w:t>%</w:t>
            </w:r>
          </w:p>
        </w:tc>
      </w:tr>
      <w:tr w:rsidR="00642DA0" w:rsidRPr="007E2598" w14:paraId="3953BC1B" w14:textId="77777777" w:rsidTr="00642DA0">
        <w:trPr>
          <w:trHeight w:val="267"/>
        </w:trPr>
        <w:tc>
          <w:tcPr>
            <w:tcW w:w="1802" w:type="pct"/>
          </w:tcPr>
          <w:p w14:paraId="60B98E86" w14:textId="77777777" w:rsidR="00642DA0" w:rsidRPr="007E2598" w:rsidRDefault="00642DA0" w:rsidP="00642DA0">
            <w:pPr>
              <w:ind w:left="567"/>
              <w:rPr>
                <w:rFonts w:asciiTheme="minorHAnsi" w:hAnsiTheme="minorHAnsi" w:cstheme="minorHAnsi"/>
                <w:color w:val="000000"/>
              </w:rPr>
            </w:pPr>
            <w:r w:rsidRPr="007E2598">
              <w:rPr>
                <w:rFonts w:asciiTheme="minorHAnsi" w:hAnsiTheme="minorHAnsi" w:cstheme="minorHAnsi"/>
                <w:color w:val="000000"/>
              </w:rPr>
              <w:t>Investment property</w:t>
            </w:r>
          </w:p>
        </w:tc>
        <w:tc>
          <w:tcPr>
            <w:tcW w:w="823" w:type="pct"/>
          </w:tcPr>
          <w:p w14:paraId="499D9FA5" w14:textId="0460F0B6" w:rsidR="00642DA0" w:rsidRPr="007E2598" w:rsidRDefault="00642DA0" w:rsidP="00642DA0">
            <w:pPr>
              <w:ind w:left="567"/>
              <w:jc w:val="right"/>
              <w:rPr>
                <w:rFonts w:asciiTheme="minorHAnsi" w:hAnsiTheme="minorHAnsi" w:cstheme="minorHAnsi"/>
                <w:color w:val="000000"/>
              </w:rPr>
            </w:pPr>
            <w:r w:rsidRPr="007E2598">
              <w:rPr>
                <w:rFonts w:asciiTheme="minorHAnsi" w:hAnsiTheme="minorHAnsi" w:cstheme="minorHAnsi"/>
                <w:color w:val="000000"/>
              </w:rPr>
              <w:t>1</w:t>
            </w:r>
            <w:r w:rsidR="00994B13" w:rsidRPr="007E2598">
              <w:rPr>
                <w:rFonts w:asciiTheme="minorHAnsi" w:hAnsiTheme="minorHAnsi" w:cstheme="minorHAnsi"/>
                <w:color w:val="000000"/>
              </w:rPr>
              <w:t>2</w:t>
            </w:r>
          </w:p>
        </w:tc>
        <w:tc>
          <w:tcPr>
            <w:tcW w:w="826" w:type="pct"/>
            <w:vAlign w:val="center"/>
          </w:tcPr>
          <w:p w14:paraId="3F025C2D" w14:textId="1AC12FFD" w:rsidR="00642DA0" w:rsidRPr="007E2598" w:rsidRDefault="00642DA0" w:rsidP="00642DA0">
            <w:pPr>
              <w:ind w:left="567"/>
              <w:jc w:val="right"/>
              <w:rPr>
                <w:rFonts w:asciiTheme="minorHAnsi" w:hAnsiTheme="minorHAnsi" w:cstheme="minorHAnsi"/>
                <w:color w:val="000000"/>
              </w:rPr>
            </w:pPr>
            <w:r w:rsidRPr="007E2598">
              <w:rPr>
                <w:rFonts w:asciiTheme="minorHAnsi" w:hAnsiTheme="minorHAnsi" w:cstheme="minorHAnsi"/>
                <w:color w:val="000000"/>
              </w:rPr>
              <w:t>1%</w:t>
            </w:r>
          </w:p>
        </w:tc>
        <w:tc>
          <w:tcPr>
            <w:tcW w:w="834" w:type="pct"/>
          </w:tcPr>
          <w:p w14:paraId="5896FF04" w14:textId="5A9FB405" w:rsidR="00642DA0" w:rsidRPr="007E2598" w:rsidRDefault="00642DA0" w:rsidP="00642DA0">
            <w:pPr>
              <w:ind w:left="567"/>
              <w:jc w:val="right"/>
              <w:rPr>
                <w:rFonts w:asciiTheme="minorHAnsi" w:hAnsiTheme="minorHAnsi" w:cstheme="minorHAnsi"/>
                <w:color w:val="000000"/>
              </w:rPr>
            </w:pPr>
            <w:r w:rsidRPr="007E2598">
              <w:rPr>
                <w:rFonts w:asciiTheme="minorHAnsi" w:hAnsiTheme="minorHAnsi" w:cstheme="minorHAnsi"/>
                <w:color w:val="000000"/>
              </w:rPr>
              <w:t>15</w:t>
            </w:r>
          </w:p>
        </w:tc>
        <w:tc>
          <w:tcPr>
            <w:tcW w:w="715" w:type="pct"/>
            <w:vAlign w:val="center"/>
          </w:tcPr>
          <w:p w14:paraId="33C22009" w14:textId="558E3816" w:rsidR="00642DA0" w:rsidRPr="007E2598" w:rsidRDefault="00642DA0" w:rsidP="00642DA0">
            <w:pPr>
              <w:ind w:left="567"/>
              <w:jc w:val="right"/>
              <w:rPr>
                <w:rFonts w:asciiTheme="minorHAnsi" w:hAnsiTheme="minorHAnsi" w:cstheme="minorHAnsi"/>
                <w:color w:val="000000"/>
              </w:rPr>
            </w:pPr>
            <w:r w:rsidRPr="007E2598">
              <w:rPr>
                <w:rFonts w:asciiTheme="minorHAnsi" w:hAnsiTheme="minorHAnsi" w:cstheme="minorHAnsi"/>
                <w:color w:val="000000"/>
              </w:rPr>
              <w:t>1%</w:t>
            </w:r>
          </w:p>
        </w:tc>
      </w:tr>
      <w:tr w:rsidR="00642DA0" w:rsidRPr="007E2598" w14:paraId="307A15D4" w14:textId="77777777" w:rsidTr="00642DA0">
        <w:trPr>
          <w:trHeight w:val="303"/>
        </w:trPr>
        <w:tc>
          <w:tcPr>
            <w:tcW w:w="1802" w:type="pct"/>
          </w:tcPr>
          <w:p w14:paraId="4736951A" w14:textId="77777777" w:rsidR="00642DA0" w:rsidRPr="007E2598" w:rsidRDefault="00642DA0" w:rsidP="00642DA0">
            <w:pPr>
              <w:ind w:left="567"/>
              <w:rPr>
                <w:rFonts w:asciiTheme="minorHAnsi" w:hAnsiTheme="minorHAnsi" w:cstheme="minorHAnsi"/>
                <w:b/>
                <w:color w:val="000000"/>
              </w:rPr>
            </w:pPr>
          </w:p>
        </w:tc>
        <w:tc>
          <w:tcPr>
            <w:tcW w:w="823" w:type="pct"/>
            <w:tcBorders>
              <w:top w:val="single" w:sz="4" w:space="0" w:color="auto"/>
              <w:bottom w:val="single" w:sz="12" w:space="0" w:color="auto"/>
            </w:tcBorders>
          </w:tcPr>
          <w:p w14:paraId="1402D366" w14:textId="0275835A" w:rsidR="00642DA0" w:rsidRPr="007E2598" w:rsidRDefault="00642DA0" w:rsidP="00642DA0">
            <w:pPr>
              <w:ind w:left="567"/>
              <w:jc w:val="right"/>
              <w:rPr>
                <w:rFonts w:asciiTheme="minorHAnsi" w:hAnsiTheme="minorHAnsi" w:cstheme="minorHAnsi"/>
                <w:color w:val="000000"/>
              </w:rPr>
            </w:pPr>
            <w:r w:rsidRPr="007E2598">
              <w:rPr>
                <w:rFonts w:asciiTheme="minorHAnsi" w:hAnsiTheme="minorHAnsi" w:cstheme="minorHAnsi"/>
                <w:color w:val="000000"/>
              </w:rPr>
              <w:t>1,174</w:t>
            </w:r>
          </w:p>
        </w:tc>
        <w:tc>
          <w:tcPr>
            <w:tcW w:w="826" w:type="pct"/>
            <w:tcBorders>
              <w:top w:val="single" w:sz="4" w:space="0" w:color="auto"/>
              <w:bottom w:val="single" w:sz="12" w:space="0" w:color="auto"/>
            </w:tcBorders>
          </w:tcPr>
          <w:p w14:paraId="4B74B86F" w14:textId="330DCD8D" w:rsidR="00642DA0" w:rsidRPr="007E2598" w:rsidRDefault="00642DA0" w:rsidP="00642DA0">
            <w:pPr>
              <w:ind w:left="567"/>
              <w:jc w:val="right"/>
              <w:rPr>
                <w:rFonts w:asciiTheme="minorHAnsi" w:hAnsiTheme="minorHAnsi" w:cstheme="minorHAnsi"/>
                <w:color w:val="000000"/>
              </w:rPr>
            </w:pPr>
            <w:r w:rsidRPr="007E2598">
              <w:rPr>
                <w:rFonts w:asciiTheme="minorHAnsi" w:hAnsiTheme="minorHAnsi" w:cstheme="minorHAnsi"/>
                <w:color w:val="000000"/>
              </w:rPr>
              <w:t>100%</w:t>
            </w:r>
          </w:p>
        </w:tc>
        <w:tc>
          <w:tcPr>
            <w:tcW w:w="834" w:type="pct"/>
            <w:tcBorders>
              <w:top w:val="single" w:sz="4" w:space="0" w:color="auto"/>
              <w:bottom w:val="single" w:sz="12" w:space="0" w:color="auto"/>
            </w:tcBorders>
          </w:tcPr>
          <w:p w14:paraId="57D465FF" w14:textId="0887F0E8" w:rsidR="00642DA0" w:rsidRPr="007E2598" w:rsidRDefault="00642DA0" w:rsidP="00642DA0">
            <w:pPr>
              <w:ind w:left="567"/>
              <w:jc w:val="right"/>
              <w:rPr>
                <w:rFonts w:asciiTheme="minorHAnsi" w:hAnsiTheme="minorHAnsi" w:cstheme="minorHAnsi"/>
                <w:color w:val="000000"/>
              </w:rPr>
            </w:pPr>
            <w:r w:rsidRPr="007E2598">
              <w:rPr>
                <w:rFonts w:asciiTheme="minorHAnsi" w:hAnsiTheme="minorHAnsi" w:cstheme="minorHAnsi"/>
                <w:color w:val="000000"/>
              </w:rPr>
              <w:t>1,15</w:t>
            </w:r>
            <w:r w:rsidR="007F152D" w:rsidRPr="007E2598">
              <w:rPr>
                <w:rFonts w:asciiTheme="minorHAnsi" w:hAnsiTheme="minorHAnsi" w:cstheme="minorHAnsi"/>
                <w:color w:val="000000"/>
              </w:rPr>
              <w:t>8</w:t>
            </w:r>
          </w:p>
        </w:tc>
        <w:tc>
          <w:tcPr>
            <w:tcW w:w="715" w:type="pct"/>
            <w:tcBorders>
              <w:top w:val="single" w:sz="4" w:space="0" w:color="auto"/>
              <w:bottom w:val="single" w:sz="12" w:space="0" w:color="auto"/>
            </w:tcBorders>
          </w:tcPr>
          <w:p w14:paraId="0A59C227" w14:textId="2E7845D3" w:rsidR="00642DA0" w:rsidRPr="007E2598" w:rsidRDefault="00642DA0" w:rsidP="00642DA0">
            <w:pPr>
              <w:ind w:left="567"/>
              <w:jc w:val="right"/>
              <w:rPr>
                <w:rFonts w:asciiTheme="minorHAnsi" w:hAnsiTheme="minorHAnsi" w:cstheme="minorHAnsi"/>
                <w:color w:val="000000"/>
              </w:rPr>
            </w:pPr>
            <w:r w:rsidRPr="007E2598">
              <w:rPr>
                <w:rFonts w:asciiTheme="minorHAnsi" w:hAnsiTheme="minorHAnsi" w:cstheme="minorHAnsi"/>
                <w:color w:val="000000"/>
              </w:rPr>
              <w:t>100%</w:t>
            </w:r>
          </w:p>
        </w:tc>
      </w:tr>
      <w:bookmarkEnd w:id="13"/>
    </w:tbl>
    <w:p w14:paraId="56A440AE" w14:textId="77777777" w:rsidR="00DD6DBC" w:rsidRPr="007E2598" w:rsidRDefault="00DD6DBC" w:rsidP="003F4E9E">
      <w:pPr>
        <w:jc w:val="both"/>
        <w:rPr>
          <w:rFonts w:asciiTheme="minorHAnsi" w:eastAsiaTheme="minorHAnsi" w:hAnsiTheme="minorHAnsi" w:cstheme="minorHAnsi"/>
          <w:lang w:val="en-IE"/>
        </w:rPr>
      </w:pPr>
    </w:p>
    <w:p w14:paraId="765224CE" w14:textId="0F14C44C" w:rsidR="00EC69F3" w:rsidRPr="007E2598" w:rsidRDefault="00EC69F3" w:rsidP="00EC69F3">
      <w:pPr>
        <w:pStyle w:val="NoSpacing"/>
        <w:jc w:val="both"/>
        <w:rPr>
          <w:rFonts w:cstheme="minorHAnsi"/>
          <w:b/>
          <w:sz w:val="20"/>
          <w:szCs w:val="20"/>
          <w:u w:val="single"/>
          <w:lang w:val="en-IE"/>
        </w:rPr>
      </w:pPr>
      <w:bookmarkStart w:id="14" w:name="_Hlk160363045"/>
      <w:r w:rsidRPr="007E2598">
        <w:rPr>
          <w:rFonts w:cstheme="minorHAnsi"/>
          <w:b/>
          <w:sz w:val="20"/>
          <w:szCs w:val="20"/>
          <w:u w:val="single"/>
          <w:lang w:val="en-IE"/>
        </w:rPr>
        <w:t>Solvency</w:t>
      </w:r>
      <w:r w:rsidR="00327EA9" w:rsidRPr="007E2598">
        <w:rPr>
          <w:rFonts w:cstheme="minorHAnsi"/>
          <w:b/>
          <w:sz w:val="20"/>
          <w:szCs w:val="20"/>
          <w:u w:val="single"/>
          <w:lang w:val="en-IE"/>
        </w:rPr>
        <w:t xml:space="preserve"> II </w:t>
      </w:r>
    </w:p>
    <w:p w14:paraId="485AEB9F" w14:textId="73CE6567" w:rsidR="00EC69F3" w:rsidRPr="007E2598" w:rsidRDefault="00033184" w:rsidP="00923F6E">
      <w:pPr>
        <w:pStyle w:val="Default"/>
        <w:jc w:val="both"/>
        <w:rPr>
          <w:rFonts w:asciiTheme="minorHAnsi" w:hAnsiTheme="minorHAnsi" w:cstheme="minorHAnsi"/>
          <w:sz w:val="20"/>
          <w:szCs w:val="20"/>
          <w:lang w:eastAsia="en-IE"/>
        </w:rPr>
      </w:pPr>
      <w:r w:rsidRPr="007E2598">
        <w:rPr>
          <w:rFonts w:asciiTheme="minorHAnsi" w:hAnsiTheme="minorHAnsi" w:cstheme="minorHAnsi"/>
          <w:sz w:val="20"/>
          <w:szCs w:val="20"/>
          <w:lang w:eastAsia="en-IE"/>
        </w:rPr>
        <w:t xml:space="preserve">The </w:t>
      </w:r>
      <w:r w:rsidR="002602BE" w:rsidRPr="007E2598">
        <w:rPr>
          <w:rFonts w:asciiTheme="minorHAnsi" w:hAnsiTheme="minorHAnsi" w:cstheme="minorHAnsi"/>
          <w:sz w:val="20"/>
          <w:szCs w:val="20"/>
          <w:lang w:eastAsia="en-IE"/>
        </w:rPr>
        <w:t xml:space="preserve">latest </w:t>
      </w:r>
      <w:r w:rsidRPr="007E2598">
        <w:rPr>
          <w:rFonts w:asciiTheme="minorHAnsi" w:hAnsiTheme="minorHAnsi" w:cstheme="minorHAnsi"/>
          <w:sz w:val="20"/>
          <w:szCs w:val="20"/>
          <w:lang w:eastAsia="en-IE"/>
        </w:rPr>
        <w:t xml:space="preserve">Solvency </w:t>
      </w:r>
      <w:r w:rsidR="00DD7F7A" w:rsidRPr="007E2598">
        <w:rPr>
          <w:rFonts w:asciiTheme="minorHAnsi" w:hAnsiTheme="minorHAnsi" w:cstheme="minorHAnsi"/>
          <w:sz w:val="20"/>
          <w:szCs w:val="20"/>
          <w:lang w:eastAsia="en-IE"/>
        </w:rPr>
        <w:t>Capital R</w:t>
      </w:r>
      <w:r w:rsidR="0053119C" w:rsidRPr="007E2598">
        <w:rPr>
          <w:rFonts w:asciiTheme="minorHAnsi" w:hAnsiTheme="minorHAnsi" w:cstheme="minorHAnsi"/>
          <w:sz w:val="20"/>
          <w:szCs w:val="20"/>
          <w:lang w:eastAsia="en-IE"/>
        </w:rPr>
        <w:t>atio</w:t>
      </w:r>
      <w:r w:rsidR="00313E9D" w:rsidRPr="007E2598">
        <w:rPr>
          <w:rFonts w:asciiTheme="minorHAnsi" w:hAnsiTheme="minorHAnsi" w:cstheme="minorHAnsi"/>
          <w:sz w:val="20"/>
          <w:szCs w:val="20"/>
          <w:lang w:eastAsia="en-IE"/>
        </w:rPr>
        <w:t xml:space="preserve"> (SCR)</w:t>
      </w:r>
      <w:r w:rsidR="008B17BE" w:rsidRPr="007E2598">
        <w:rPr>
          <w:rFonts w:asciiTheme="minorHAnsi" w:hAnsiTheme="minorHAnsi" w:cstheme="minorHAnsi"/>
          <w:sz w:val="20"/>
          <w:szCs w:val="20"/>
          <w:lang w:eastAsia="en-IE"/>
        </w:rPr>
        <w:t xml:space="preserve"> </w:t>
      </w:r>
      <w:r w:rsidR="00313E9D" w:rsidRPr="007E2598">
        <w:rPr>
          <w:rFonts w:asciiTheme="minorHAnsi" w:hAnsiTheme="minorHAnsi" w:cstheme="minorHAnsi"/>
          <w:sz w:val="20"/>
          <w:szCs w:val="20"/>
          <w:lang w:eastAsia="en-IE"/>
        </w:rPr>
        <w:t xml:space="preserve">is </w:t>
      </w:r>
      <w:r w:rsidR="00872EE5" w:rsidRPr="007E2598">
        <w:rPr>
          <w:rFonts w:asciiTheme="minorHAnsi" w:hAnsiTheme="minorHAnsi" w:cstheme="minorHAnsi"/>
          <w:sz w:val="20"/>
          <w:szCs w:val="20"/>
          <w:lang w:eastAsia="en-IE"/>
        </w:rPr>
        <w:t>2</w:t>
      </w:r>
      <w:r w:rsidR="007E2598" w:rsidRPr="007E2598">
        <w:rPr>
          <w:rFonts w:asciiTheme="minorHAnsi" w:hAnsiTheme="minorHAnsi" w:cstheme="minorHAnsi"/>
          <w:sz w:val="20"/>
          <w:szCs w:val="20"/>
          <w:lang w:eastAsia="en-IE"/>
        </w:rPr>
        <w:t>13</w:t>
      </w:r>
      <w:r w:rsidR="00313E9D" w:rsidRPr="007E2598">
        <w:rPr>
          <w:rFonts w:asciiTheme="minorHAnsi" w:hAnsiTheme="minorHAnsi" w:cstheme="minorHAnsi"/>
          <w:sz w:val="20"/>
          <w:szCs w:val="20"/>
          <w:lang w:eastAsia="en-IE"/>
        </w:rPr>
        <w:t>%</w:t>
      </w:r>
      <w:r w:rsidR="00E42B0B">
        <w:rPr>
          <w:rFonts w:asciiTheme="minorHAnsi" w:hAnsiTheme="minorHAnsi" w:cstheme="minorHAnsi"/>
          <w:sz w:val="20"/>
          <w:szCs w:val="20"/>
          <w:lang w:eastAsia="en-IE"/>
        </w:rPr>
        <w:t xml:space="preserve"> </w:t>
      </w:r>
      <w:r w:rsidR="00E42B0B" w:rsidRPr="007E2598">
        <w:rPr>
          <w:rFonts w:asciiTheme="minorHAnsi" w:hAnsiTheme="minorHAnsi" w:cstheme="minorHAnsi"/>
          <w:sz w:val="20"/>
          <w:szCs w:val="20"/>
          <w:lang w:eastAsia="en-IE"/>
        </w:rPr>
        <w:t xml:space="preserve">(unaudited) </w:t>
      </w:r>
      <w:r w:rsidR="007334D4" w:rsidRPr="00DE68CB">
        <w:rPr>
          <w:rFonts w:asciiTheme="minorHAnsi" w:hAnsiTheme="minorHAnsi" w:cstheme="minorHAnsi"/>
          <w:sz w:val="20"/>
          <w:szCs w:val="20"/>
          <w:lang w:eastAsia="en-IE"/>
        </w:rPr>
        <w:t>after ordinary dividend and</w:t>
      </w:r>
      <w:r w:rsidR="00BF51FB">
        <w:rPr>
          <w:rFonts w:asciiTheme="minorHAnsi" w:hAnsiTheme="minorHAnsi" w:cstheme="minorHAnsi"/>
          <w:sz w:val="20"/>
          <w:szCs w:val="20"/>
          <w:lang w:eastAsia="en-IE"/>
        </w:rPr>
        <w:t xml:space="preserve"> share repurchase</w:t>
      </w:r>
      <w:r w:rsidR="007334D4" w:rsidRPr="00DE68CB">
        <w:rPr>
          <w:rFonts w:asciiTheme="minorHAnsi" w:hAnsiTheme="minorHAnsi" w:cstheme="minorHAnsi"/>
          <w:sz w:val="20"/>
          <w:szCs w:val="20"/>
          <w:lang w:eastAsia="en-IE"/>
        </w:rPr>
        <w:t>,</w:t>
      </w:r>
      <w:r w:rsidR="007334D4">
        <w:rPr>
          <w:rFonts w:cstheme="minorHAnsi"/>
          <w:sz w:val="20"/>
          <w:szCs w:val="20"/>
          <w:lang w:val="en-IE"/>
        </w:rPr>
        <w:t xml:space="preserve"> </w:t>
      </w:r>
      <w:r w:rsidR="00D85FCD">
        <w:rPr>
          <w:rFonts w:asciiTheme="minorHAnsi" w:hAnsiTheme="minorHAnsi" w:cstheme="minorHAnsi"/>
          <w:sz w:val="20"/>
          <w:szCs w:val="20"/>
          <w:lang w:eastAsia="en-IE"/>
        </w:rPr>
        <w:t xml:space="preserve">which reduced from 226% in </w:t>
      </w:r>
      <w:r w:rsidR="00880F27" w:rsidRPr="007E2598">
        <w:rPr>
          <w:rFonts w:asciiTheme="minorHAnsi" w:hAnsiTheme="minorHAnsi" w:cstheme="minorHAnsi"/>
          <w:sz w:val="20"/>
          <w:szCs w:val="20"/>
          <w:lang w:eastAsia="en-IE"/>
        </w:rPr>
        <w:t>20</w:t>
      </w:r>
      <w:r w:rsidR="00D87A27" w:rsidRPr="007E2598">
        <w:rPr>
          <w:rFonts w:asciiTheme="minorHAnsi" w:hAnsiTheme="minorHAnsi" w:cstheme="minorHAnsi"/>
          <w:sz w:val="20"/>
          <w:szCs w:val="20"/>
          <w:lang w:eastAsia="en-IE"/>
        </w:rPr>
        <w:t>2</w:t>
      </w:r>
      <w:r w:rsidR="00004A0F" w:rsidRPr="007E2598">
        <w:rPr>
          <w:rFonts w:asciiTheme="minorHAnsi" w:hAnsiTheme="minorHAnsi" w:cstheme="minorHAnsi"/>
          <w:sz w:val="20"/>
          <w:szCs w:val="20"/>
          <w:lang w:eastAsia="en-IE"/>
        </w:rPr>
        <w:t>2</w:t>
      </w:r>
      <w:r w:rsidR="00DE68CB">
        <w:rPr>
          <w:rFonts w:asciiTheme="minorHAnsi" w:hAnsiTheme="minorHAnsi" w:cstheme="minorHAnsi"/>
          <w:sz w:val="20"/>
          <w:szCs w:val="20"/>
          <w:lang w:eastAsia="en-IE"/>
        </w:rPr>
        <w:t>. P</w:t>
      </w:r>
      <w:r w:rsidR="00D85FCD">
        <w:rPr>
          <w:rFonts w:asciiTheme="minorHAnsi" w:hAnsiTheme="minorHAnsi" w:cstheme="minorHAnsi"/>
          <w:sz w:val="20"/>
          <w:szCs w:val="20"/>
          <w:lang w:eastAsia="en-IE"/>
        </w:rPr>
        <w:t>rofit</w:t>
      </w:r>
      <w:r w:rsidR="00DE68CB">
        <w:rPr>
          <w:rFonts w:asciiTheme="minorHAnsi" w:hAnsiTheme="minorHAnsi" w:cstheme="minorHAnsi"/>
          <w:sz w:val="20"/>
          <w:szCs w:val="20"/>
          <w:lang w:eastAsia="en-IE"/>
        </w:rPr>
        <w:t>s</w:t>
      </w:r>
      <w:r w:rsidR="00D85FCD">
        <w:rPr>
          <w:rFonts w:asciiTheme="minorHAnsi" w:hAnsiTheme="minorHAnsi" w:cstheme="minorHAnsi"/>
          <w:sz w:val="20"/>
          <w:szCs w:val="20"/>
          <w:lang w:eastAsia="en-IE"/>
        </w:rPr>
        <w:t xml:space="preserve"> generated </w:t>
      </w:r>
      <w:r w:rsidR="00DE68CB">
        <w:rPr>
          <w:rFonts w:asciiTheme="minorHAnsi" w:hAnsiTheme="minorHAnsi" w:cstheme="minorHAnsi"/>
          <w:sz w:val="20"/>
          <w:szCs w:val="20"/>
          <w:lang w:eastAsia="en-IE"/>
        </w:rPr>
        <w:t>have been</w:t>
      </w:r>
      <w:r w:rsidR="00D85FCD">
        <w:rPr>
          <w:rFonts w:asciiTheme="minorHAnsi" w:hAnsiTheme="minorHAnsi" w:cstheme="minorHAnsi"/>
          <w:sz w:val="20"/>
          <w:szCs w:val="20"/>
          <w:lang w:eastAsia="en-IE"/>
        </w:rPr>
        <w:t xml:space="preserve"> </w:t>
      </w:r>
      <w:r w:rsidR="00571344">
        <w:rPr>
          <w:rFonts w:asciiTheme="minorHAnsi" w:hAnsiTheme="minorHAnsi" w:cstheme="minorHAnsi"/>
          <w:sz w:val="20"/>
          <w:szCs w:val="20"/>
          <w:lang w:eastAsia="en-IE"/>
        </w:rPr>
        <w:t xml:space="preserve">offset </w:t>
      </w:r>
      <w:r w:rsidR="00D85FCD">
        <w:rPr>
          <w:rFonts w:asciiTheme="minorHAnsi" w:hAnsiTheme="minorHAnsi" w:cstheme="minorHAnsi"/>
          <w:sz w:val="20"/>
          <w:szCs w:val="20"/>
          <w:lang w:eastAsia="en-IE"/>
        </w:rPr>
        <w:t xml:space="preserve">by </w:t>
      </w:r>
      <w:r w:rsidR="00DE68CB">
        <w:rPr>
          <w:rFonts w:asciiTheme="minorHAnsi" w:hAnsiTheme="minorHAnsi" w:cstheme="minorHAnsi"/>
          <w:sz w:val="20"/>
          <w:szCs w:val="20"/>
          <w:lang w:eastAsia="en-IE"/>
        </w:rPr>
        <w:t>distribution of capital and increased capital requirements related to</w:t>
      </w:r>
      <w:r w:rsidR="00AF7D14">
        <w:rPr>
          <w:rFonts w:asciiTheme="minorHAnsi" w:hAnsiTheme="minorHAnsi" w:cstheme="minorHAnsi"/>
          <w:sz w:val="20"/>
          <w:szCs w:val="20"/>
          <w:lang w:eastAsia="en-IE"/>
        </w:rPr>
        <w:t xml:space="preserve"> greater</w:t>
      </w:r>
      <w:r w:rsidR="00DE68CB">
        <w:rPr>
          <w:rFonts w:asciiTheme="minorHAnsi" w:hAnsiTheme="minorHAnsi" w:cstheme="minorHAnsi"/>
          <w:sz w:val="20"/>
          <w:szCs w:val="20"/>
          <w:lang w:eastAsia="en-IE"/>
        </w:rPr>
        <w:t xml:space="preserve"> insurance exposure and </w:t>
      </w:r>
      <w:r w:rsidR="00AF7D14">
        <w:rPr>
          <w:rFonts w:asciiTheme="minorHAnsi" w:hAnsiTheme="minorHAnsi" w:cstheme="minorHAnsi"/>
          <w:sz w:val="20"/>
          <w:szCs w:val="20"/>
          <w:lang w:eastAsia="en-IE"/>
        </w:rPr>
        <w:t>market risk</w:t>
      </w:r>
      <w:r w:rsidR="00E563F6" w:rsidRPr="007E2598">
        <w:rPr>
          <w:rFonts w:asciiTheme="minorHAnsi" w:hAnsiTheme="minorHAnsi" w:cstheme="minorHAnsi"/>
          <w:sz w:val="20"/>
          <w:szCs w:val="20"/>
          <w:lang w:eastAsia="en-IE"/>
        </w:rPr>
        <w:t xml:space="preserve">. </w:t>
      </w:r>
    </w:p>
    <w:p w14:paraId="630E051B" w14:textId="444DC213" w:rsidR="00EC69F3" w:rsidRPr="007E2598" w:rsidRDefault="00EC69F3" w:rsidP="003F4E9E">
      <w:pPr>
        <w:jc w:val="both"/>
        <w:rPr>
          <w:rFonts w:asciiTheme="minorHAnsi" w:hAnsiTheme="minorHAnsi" w:cstheme="minorHAnsi"/>
          <w:b/>
          <w:color w:val="000000"/>
        </w:rPr>
      </w:pPr>
    </w:p>
    <w:bookmarkEnd w:id="14"/>
    <w:p w14:paraId="5DE89D53" w14:textId="77777777" w:rsidR="00955A1C" w:rsidRDefault="00955A1C" w:rsidP="001A376F">
      <w:pPr>
        <w:jc w:val="both"/>
        <w:rPr>
          <w:rFonts w:asciiTheme="minorHAnsi" w:hAnsiTheme="minorHAnsi" w:cstheme="minorHAnsi"/>
          <w:b/>
          <w:color w:val="000000"/>
        </w:rPr>
      </w:pPr>
    </w:p>
    <w:p w14:paraId="127860C6" w14:textId="60BD6C17" w:rsidR="001A376F" w:rsidRPr="00942390" w:rsidRDefault="001A376F" w:rsidP="001A376F">
      <w:pPr>
        <w:jc w:val="both"/>
        <w:rPr>
          <w:rFonts w:asciiTheme="minorHAnsi" w:hAnsiTheme="minorHAnsi" w:cstheme="minorHAnsi"/>
          <w:b/>
          <w:color w:val="000000"/>
        </w:rPr>
      </w:pPr>
      <w:r w:rsidRPr="007E2598">
        <w:rPr>
          <w:rFonts w:asciiTheme="minorHAnsi" w:hAnsiTheme="minorHAnsi" w:cstheme="minorHAnsi"/>
          <w:b/>
          <w:color w:val="000000"/>
        </w:rPr>
        <w:t>RISKS AND UNCERTAINTIES</w:t>
      </w:r>
      <w:r w:rsidR="00323EFA" w:rsidRPr="00942390">
        <w:rPr>
          <w:rFonts w:asciiTheme="minorHAnsi" w:hAnsiTheme="minorHAnsi" w:cstheme="minorHAnsi"/>
          <w:b/>
          <w:color w:val="000000"/>
        </w:rPr>
        <w:t xml:space="preserve"> </w:t>
      </w:r>
    </w:p>
    <w:p w14:paraId="081AC799" w14:textId="22DC4792" w:rsidR="001A376F" w:rsidRDefault="001A376F" w:rsidP="001A376F">
      <w:pPr>
        <w:rPr>
          <w:rFonts w:asciiTheme="minorHAnsi" w:eastAsiaTheme="minorHAnsi" w:hAnsiTheme="minorHAnsi" w:cstheme="minorHAnsi"/>
          <w:highlight w:val="yellow"/>
          <w:lang w:val="en-IE"/>
        </w:rPr>
      </w:pPr>
    </w:p>
    <w:p w14:paraId="5F696C75" w14:textId="77777777" w:rsidR="00955A1C" w:rsidRPr="00E62CC5" w:rsidRDefault="00955A1C" w:rsidP="001A376F">
      <w:pPr>
        <w:rPr>
          <w:rFonts w:asciiTheme="minorHAnsi" w:eastAsiaTheme="minorHAnsi" w:hAnsiTheme="minorHAnsi" w:cstheme="minorHAnsi"/>
          <w:highlight w:val="yellow"/>
          <w:lang w:val="en-IE"/>
        </w:rPr>
      </w:pPr>
    </w:p>
    <w:p w14:paraId="65A75440" w14:textId="747054ED" w:rsidR="00FC64FC" w:rsidRPr="00D42C20" w:rsidRDefault="003D2677" w:rsidP="004A6C45">
      <w:pPr>
        <w:jc w:val="both"/>
        <w:rPr>
          <w:rFonts w:asciiTheme="minorHAnsi" w:eastAsiaTheme="minorHAnsi" w:hAnsiTheme="minorHAnsi" w:cstheme="minorHAnsi"/>
          <w:lang w:val="en-IE"/>
        </w:rPr>
      </w:pPr>
      <w:r w:rsidRPr="00D42C20">
        <w:rPr>
          <w:rFonts w:asciiTheme="minorHAnsi" w:eastAsiaTheme="minorHAnsi" w:hAnsiTheme="minorHAnsi" w:cstheme="minorHAnsi"/>
          <w:lang w:val="en-IE"/>
        </w:rPr>
        <w:t xml:space="preserve">The principal risks and uncertainties faced by the Group are outlined </w:t>
      </w:r>
      <w:r w:rsidRPr="00731344">
        <w:rPr>
          <w:rFonts w:asciiTheme="minorHAnsi" w:eastAsiaTheme="minorHAnsi" w:hAnsiTheme="minorHAnsi" w:cstheme="minorHAnsi"/>
          <w:lang w:val="en-IE"/>
        </w:rPr>
        <w:t xml:space="preserve">on </w:t>
      </w:r>
      <w:r w:rsidRPr="00A10605">
        <w:rPr>
          <w:rFonts w:asciiTheme="minorHAnsi" w:eastAsiaTheme="minorHAnsi" w:hAnsiTheme="minorHAnsi" w:cstheme="minorHAnsi"/>
          <w:lang w:val="en-IE"/>
        </w:rPr>
        <w:t xml:space="preserve">pages </w:t>
      </w:r>
      <w:r w:rsidR="00565608" w:rsidRPr="00C979D8">
        <w:rPr>
          <w:rFonts w:asciiTheme="minorHAnsi" w:eastAsiaTheme="minorHAnsi" w:hAnsiTheme="minorHAnsi" w:cstheme="minorHAnsi"/>
          <w:lang w:val="en-IE"/>
        </w:rPr>
        <w:t>2</w:t>
      </w:r>
      <w:r w:rsidR="00D36DD2">
        <w:rPr>
          <w:rFonts w:asciiTheme="minorHAnsi" w:eastAsiaTheme="minorHAnsi" w:hAnsiTheme="minorHAnsi" w:cstheme="minorHAnsi"/>
          <w:lang w:val="en-IE"/>
        </w:rPr>
        <w:t>0</w:t>
      </w:r>
      <w:r w:rsidRPr="00C979D8">
        <w:rPr>
          <w:rFonts w:asciiTheme="minorHAnsi" w:eastAsiaTheme="minorHAnsi" w:hAnsiTheme="minorHAnsi" w:cstheme="minorHAnsi"/>
          <w:lang w:val="en-IE"/>
        </w:rPr>
        <w:t xml:space="preserve"> to </w:t>
      </w:r>
      <w:r w:rsidR="00C769B8" w:rsidRPr="00C979D8">
        <w:rPr>
          <w:rFonts w:asciiTheme="minorHAnsi" w:eastAsiaTheme="minorHAnsi" w:hAnsiTheme="minorHAnsi" w:cstheme="minorHAnsi"/>
          <w:lang w:val="en-IE"/>
        </w:rPr>
        <w:t>2</w:t>
      </w:r>
      <w:r w:rsidR="00D36DD2">
        <w:rPr>
          <w:rFonts w:asciiTheme="minorHAnsi" w:eastAsiaTheme="minorHAnsi" w:hAnsiTheme="minorHAnsi" w:cstheme="minorHAnsi"/>
          <w:lang w:val="en-IE"/>
        </w:rPr>
        <w:t>8</w:t>
      </w:r>
      <w:r w:rsidRPr="00731344">
        <w:rPr>
          <w:rFonts w:asciiTheme="minorHAnsi" w:eastAsiaTheme="minorHAnsi" w:hAnsiTheme="minorHAnsi" w:cstheme="minorHAnsi"/>
          <w:lang w:val="en-IE"/>
        </w:rPr>
        <w:t xml:space="preserve"> of the</w:t>
      </w:r>
      <w:r w:rsidRPr="00D42C20">
        <w:rPr>
          <w:rFonts w:asciiTheme="minorHAnsi" w:eastAsiaTheme="minorHAnsi" w:hAnsiTheme="minorHAnsi" w:cstheme="minorHAnsi"/>
          <w:lang w:val="en-IE"/>
        </w:rPr>
        <w:t xml:space="preserve"> Group’s Annual Report for the year ended 31 December 202</w:t>
      </w:r>
      <w:r w:rsidR="007957C7" w:rsidRPr="00D42C20">
        <w:rPr>
          <w:rFonts w:asciiTheme="minorHAnsi" w:eastAsiaTheme="minorHAnsi" w:hAnsiTheme="minorHAnsi" w:cstheme="minorHAnsi"/>
          <w:lang w:val="en-IE"/>
        </w:rPr>
        <w:t>3</w:t>
      </w:r>
      <w:r w:rsidRPr="00D42C20">
        <w:rPr>
          <w:rFonts w:asciiTheme="minorHAnsi" w:eastAsiaTheme="minorHAnsi" w:hAnsiTheme="minorHAnsi" w:cstheme="minorHAnsi"/>
          <w:lang w:val="en-IE"/>
        </w:rPr>
        <w:t xml:space="preserve">. </w:t>
      </w:r>
    </w:p>
    <w:p w14:paraId="36035EEA" w14:textId="77777777" w:rsidR="00FC64FC" w:rsidRPr="00D42C20" w:rsidRDefault="00FC64FC" w:rsidP="004A6C45">
      <w:pPr>
        <w:jc w:val="both"/>
        <w:rPr>
          <w:rFonts w:asciiTheme="minorHAnsi" w:eastAsiaTheme="minorHAnsi" w:hAnsiTheme="minorHAnsi" w:cstheme="minorHAnsi"/>
          <w:lang w:val="en-IE"/>
        </w:rPr>
      </w:pPr>
    </w:p>
    <w:p w14:paraId="3C50DC6F" w14:textId="77777777" w:rsidR="00FC64FC" w:rsidRPr="00D42C20" w:rsidRDefault="00FC64FC" w:rsidP="00FC64FC">
      <w:pPr>
        <w:jc w:val="both"/>
        <w:rPr>
          <w:rFonts w:asciiTheme="minorHAnsi" w:eastAsiaTheme="minorHAnsi" w:hAnsiTheme="minorHAnsi" w:cstheme="minorHAnsi"/>
          <w:lang w:val="en-IE"/>
        </w:rPr>
      </w:pPr>
      <w:r w:rsidRPr="00D42C20">
        <w:rPr>
          <w:rFonts w:asciiTheme="minorHAnsi" w:eastAsiaTheme="minorHAnsi" w:hAnsiTheme="minorHAnsi" w:cstheme="minorHAnsi"/>
          <w:lang w:val="en-IE"/>
        </w:rPr>
        <w:t xml:space="preserve">Inflation has moderated as energy price reductions flow through, and interest rates are projected to reduce while </w:t>
      </w:r>
      <w:proofErr w:type="gramStart"/>
      <w:r w:rsidRPr="00D42C20">
        <w:rPr>
          <w:rFonts w:asciiTheme="minorHAnsi" w:eastAsiaTheme="minorHAnsi" w:hAnsiTheme="minorHAnsi" w:cstheme="minorHAnsi"/>
          <w:lang w:val="en-IE"/>
        </w:rPr>
        <w:t>still remaining</w:t>
      </w:r>
      <w:proofErr w:type="gramEnd"/>
      <w:r w:rsidRPr="00D42C20">
        <w:rPr>
          <w:rFonts w:asciiTheme="minorHAnsi" w:eastAsiaTheme="minorHAnsi" w:hAnsiTheme="minorHAnsi" w:cstheme="minorHAnsi"/>
          <w:lang w:val="en-IE"/>
        </w:rPr>
        <w:t xml:space="preserve"> at a relatively high level. Risks to this outlook remain with wage demands being a potential driver of continued above trend inflation while geopolitical tensions could cause another spike in energy prices. Medium-term growth forecasts remain weak which increases the risk of the stagflation (high inflation, low growth) scenario. If rates do not come down as expected it risks causing further imbalances in the global economic system as evidenced by the banking failures in 2023. Geopolitical risk is also elevated due to ongoing conflicts while the US Presidential election has the potential to cause volatility. </w:t>
      </w:r>
    </w:p>
    <w:p w14:paraId="05255FC6" w14:textId="77777777" w:rsidR="00FC64FC" w:rsidRPr="00D42C20" w:rsidRDefault="00FC64FC" w:rsidP="00FC64FC">
      <w:pPr>
        <w:jc w:val="both"/>
        <w:rPr>
          <w:rFonts w:asciiTheme="minorHAnsi" w:eastAsiaTheme="minorHAnsi" w:hAnsiTheme="minorHAnsi" w:cstheme="minorHAnsi"/>
          <w:lang w:val="en-IE"/>
        </w:rPr>
      </w:pPr>
    </w:p>
    <w:p w14:paraId="05D7F36B" w14:textId="77777777" w:rsidR="00FC64FC" w:rsidRPr="00D42C20" w:rsidRDefault="00FC64FC" w:rsidP="00FC64FC">
      <w:pPr>
        <w:jc w:val="both"/>
        <w:rPr>
          <w:rFonts w:asciiTheme="minorHAnsi" w:eastAsiaTheme="minorHAnsi" w:hAnsiTheme="minorHAnsi" w:cstheme="minorHAnsi"/>
          <w:lang w:val="en-IE"/>
        </w:rPr>
      </w:pPr>
      <w:bookmarkStart w:id="15" w:name="_Hlk157769531"/>
      <w:r w:rsidRPr="00D42C20">
        <w:rPr>
          <w:rFonts w:asciiTheme="minorHAnsi" w:eastAsiaTheme="minorHAnsi" w:hAnsiTheme="minorHAnsi" w:cstheme="minorHAnsi"/>
          <w:lang w:val="en-IE"/>
        </w:rPr>
        <w:t xml:space="preserve">Inflation continues to impact materials and labour costs in the Motor and the Construction industries which has a knock-on effect on claims costs. There is a risk of continually increasing settlement costs in future years and potentially higher injury claims costs </w:t>
      </w:r>
      <w:proofErr w:type="gramStart"/>
      <w:r w:rsidRPr="00D42C20">
        <w:rPr>
          <w:rFonts w:asciiTheme="minorHAnsi" w:eastAsiaTheme="minorHAnsi" w:hAnsiTheme="minorHAnsi" w:cstheme="minorHAnsi"/>
          <w:lang w:val="en-IE"/>
        </w:rPr>
        <w:t>in the near future</w:t>
      </w:r>
      <w:proofErr w:type="gramEnd"/>
      <w:r w:rsidRPr="00D42C20">
        <w:rPr>
          <w:rFonts w:asciiTheme="minorHAnsi" w:eastAsiaTheme="minorHAnsi" w:hAnsiTheme="minorHAnsi" w:cstheme="minorHAnsi"/>
          <w:lang w:val="en-IE"/>
        </w:rPr>
        <w:t xml:space="preserve"> as pressure mounts on salary inflation. </w:t>
      </w:r>
    </w:p>
    <w:bookmarkEnd w:id="15"/>
    <w:p w14:paraId="48A20419" w14:textId="77777777" w:rsidR="00FC64FC" w:rsidRPr="00D42C20" w:rsidRDefault="00FC64FC" w:rsidP="00FC64FC">
      <w:pPr>
        <w:jc w:val="both"/>
        <w:rPr>
          <w:rFonts w:asciiTheme="minorHAnsi" w:eastAsiaTheme="minorHAnsi" w:hAnsiTheme="minorHAnsi" w:cstheme="minorHAnsi"/>
          <w:lang w:val="en-IE"/>
        </w:rPr>
      </w:pPr>
    </w:p>
    <w:p w14:paraId="0A83FDB7" w14:textId="68A2FE5E" w:rsidR="00FC64FC" w:rsidRPr="00D42C20" w:rsidRDefault="00FC64FC" w:rsidP="00FC64FC">
      <w:pPr>
        <w:jc w:val="both"/>
        <w:rPr>
          <w:rFonts w:asciiTheme="minorHAnsi" w:eastAsiaTheme="minorHAnsi" w:hAnsiTheme="minorHAnsi" w:cstheme="minorHAnsi"/>
          <w:lang w:val="en-IE"/>
        </w:rPr>
      </w:pPr>
      <w:r w:rsidRPr="00D42C20">
        <w:rPr>
          <w:rFonts w:asciiTheme="minorHAnsi" w:eastAsiaTheme="minorHAnsi" w:hAnsiTheme="minorHAnsi" w:cstheme="minorHAnsi"/>
          <w:lang w:val="en-IE"/>
        </w:rPr>
        <w:t>The Personal Injury Guidelines are positively impacting the claims environment although continuing challenges have resulted in delayed settlements</w:t>
      </w:r>
      <w:r w:rsidR="00D85FCD">
        <w:rPr>
          <w:rFonts w:asciiTheme="minorHAnsi" w:eastAsiaTheme="minorHAnsi" w:hAnsiTheme="minorHAnsi" w:cstheme="minorHAnsi"/>
          <w:lang w:val="en-IE"/>
        </w:rPr>
        <w:t>, as well as additional inflation,</w:t>
      </w:r>
      <w:r w:rsidRPr="00D42C20">
        <w:rPr>
          <w:rFonts w:asciiTheme="minorHAnsi" w:eastAsiaTheme="minorHAnsi" w:hAnsiTheme="minorHAnsi" w:cstheme="minorHAnsi"/>
          <w:lang w:val="en-IE"/>
        </w:rPr>
        <w:t xml:space="preserve"> that may result in increased legal costs. A higher degree of uncertainty still exists in the environment as the </w:t>
      </w:r>
      <w:proofErr w:type="gramStart"/>
      <w:r w:rsidRPr="00D42C20">
        <w:rPr>
          <w:rFonts w:asciiTheme="minorHAnsi" w:eastAsiaTheme="minorHAnsi" w:hAnsiTheme="minorHAnsi" w:cstheme="minorHAnsi"/>
          <w:lang w:val="en-IE"/>
        </w:rPr>
        <w:t>claims</w:t>
      </w:r>
      <w:proofErr w:type="gramEnd"/>
      <w:r w:rsidRPr="00D42C20">
        <w:rPr>
          <w:rFonts w:asciiTheme="minorHAnsi" w:eastAsiaTheme="minorHAnsi" w:hAnsiTheme="minorHAnsi" w:cstheme="minorHAnsi"/>
          <w:lang w:val="en-IE"/>
        </w:rPr>
        <w:t xml:space="preserve"> payment patterns and average settlement costs of more recent years are a less reliable future indicator and must be carefully considered by the Actuarial function when arriving at claims projections. </w:t>
      </w:r>
    </w:p>
    <w:p w14:paraId="04A905AA" w14:textId="77777777" w:rsidR="00FC64FC" w:rsidRPr="00D42C20" w:rsidRDefault="00FC64FC" w:rsidP="00FC64FC">
      <w:pPr>
        <w:pStyle w:val="NoSpacing"/>
        <w:jc w:val="both"/>
        <w:rPr>
          <w:rFonts w:cstheme="minorHAnsi"/>
          <w:sz w:val="20"/>
          <w:szCs w:val="20"/>
          <w:lang w:val="en-IE"/>
        </w:rPr>
      </w:pPr>
    </w:p>
    <w:p w14:paraId="634AF65D" w14:textId="77777777" w:rsidR="00FC64FC" w:rsidRPr="00D42C20" w:rsidRDefault="00FC64FC" w:rsidP="00FC64FC">
      <w:pPr>
        <w:jc w:val="both"/>
        <w:rPr>
          <w:rFonts w:asciiTheme="minorHAnsi" w:eastAsiaTheme="minorHAnsi" w:hAnsiTheme="minorHAnsi" w:cstheme="minorHAnsi"/>
          <w:lang w:val="en-IE"/>
        </w:rPr>
      </w:pPr>
      <w:r w:rsidRPr="00D42C20">
        <w:rPr>
          <w:rFonts w:asciiTheme="minorHAnsi" w:eastAsiaTheme="minorHAnsi" w:hAnsiTheme="minorHAnsi" w:cstheme="minorHAnsi"/>
          <w:lang w:val="en-IE"/>
        </w:rPr>
        <w:t xml:space="preserve">The expectations that central banks now have the flexibility to cut interest rates to mitigate a growth slowdown has led to a fall in bond yields. Equity valuations improved based on the change in interest rate forecasts and are susceptible to further increases in inflation as well as a sustained slowdown in growth or a recession. Future financial market movements and their impact on balance sheet valuations, pension surplus and investment income are unknown and market risk is expected to remain high for the foreseeable future. The Group’s Investment Policy, which defines investment limits and rules and ensures there is an optimum allocation of investments, is being continuously monitored. </w:t>
      </w:r>
    </w:p>
    <w:p w14:paraId="4DDA430C" w14:textId="77777777" w:rsidR="00FC64FC" w:rsidRPr="00D42C20" w:rsidRDefault="00FC64FC" w:rsidP="00FC64FC">
      <w:pPr>
        <w:jc w:val="both"/>
        <w:rPr>
          <w:rFonts w:asciiTheme="minorHAnsi" w:eastAsiaTheme="minorHAnsi" w:hAnsiTheme="minorHAnsi" w:cstheme="minorHAnsi"/>
          <w:lang w:val="en-IE"/>
        </w:rPr>
      </w:pPr>
    </w:p>
    <w:p w14:paraId="494B0777" w14:textId="147703CF" w:rsidR="00FC64FC" w:rsidRPr="00D42C20" w:rsidRDefault="00FC64FC" w:rsidP="00FC64FC">
      <w:pPr>
        <w:jc w:val="both"/>
        <w:rPr>
          <w:rFonts w:asciiTheme="minorHAnsi" w:eastAsiaTheme="minorHAnsi" w:hAnsiTheme="minorHAnsi" w:cstheme="minorHAnsi"/>
          <w:lang w:val="en-IE"/>
        </w:rPr>
      </w:pPr>
      <w:r w:rsidRPr="00D42C20">
        <w:rPr>
          <w:rFonts w:asciiTheme="minorHAnsi" w:eastAsiaTheme="minorHAnsi" w:hAnsiTheme="minorHAnsi" w:cstheme="minorHAnsi"/>
          <w:lang w:val="en-IE"/>
        </w:rPr>
        <w:t xml:space="preserve">The Group continues to manage liquidity risk through ongoing monitoring of forecast and actual cash flows. The Group’s cash flow projections from its financial assets are well matched to the cash flow projections of its liabilities. The Group holds cash resources significantly higher than its minimum liquidity requirement </w:t>
      </w:r>
      <w:proofErr w:type="gramStart"/>
      <w:r w:rsidRPr="00D42C20">
        <w:rPr>
          <w:rFonts w:asciiTheme="minorHAnsi" w:eastAsiaTheme="minorHAnsi" w:hAnsiTheme="minorHAnsi" w:cstheme="minorHAnsi"/>
          <w:lang w:val="en-IE"/>
        </w:rPr>
        <w:t>in order to</w:t>
      </w:r>
      <w:proofErr w:type="gramEnd"/>
      <w:r w:rsidRPr="00D42C20">
        <w:rPr>
          <w:rFonts w:asciiTheme="minorHAnsi" w:eastAsiaTheme="minorHAnsi" w:hAnsiTheme="minorHAnsi" w:cstheme="minorHAnsi"/>
          <w:lang w:val="en-IE"/>
        </w:rPr>
        <w:t xml:space="preserve"> mitigate any liquidity stress events. </w:t>
      </w:r>
      <w:proofErr w:type="gramStart"/>
      <w:r w:rsidRPr="00D42C20">
        <w:rPr>
          <w:rFonts w:asciiTheme="minorHAnsi" w:eastAsiaTheme="minorHAnsi" w:hAnsiTheme="minorHAnsi" w:cstheme="minorHAnsi"/>
          <w:lang w:val="en-IE"/>
        </w:rPr>
        <w:t>All of</w:t>
      </w:r>
      <w:proofErr w:type="gramEnd"/>
      <w:r w:rsidRPr="00D42C20">
        <w:rPr>
          <w:rFonts w:asciiTheme="minorHAnsi" w:eastAsiaTheme="minorHAnsi" w:hAnsiTheme="minorHAnsi" w:cstheme="minorHAnsi"/>
          <w:lang w:val="en-IE"/>
        </w:rPr>
        <w:t xml:space="preserve"> the Group’s fixed term deposits are with financial institutions which have a minimum A- rating. The Group’s asset allocation is outlined </w:t>
      </w:r>
      <w:r w:rsidR="00E42B0B">
        <w:rPr>
          <w:rFonts w:asciiTheme="minorHAnsi" w:eastAsiaTheme="minorHAnsi" w:hAnsiTheme="minorHAnsi" w:cstheme="minorHAnsi"/>
          <w:lang w:val="en-IE"/>
        </w:rPr>
        <w:t xml:space="preserve">on page </w:t>
      </w:r>
      <w:r w:rsidR="00E42B0B" w:rsidRPr="00E42B0B">
        <w:rPr>
          <w:rFonts w:asciiTheme="minorHAnsi" w:eastAsiaTheme="minorHAnsi" w:hAnsiTheme="minorHAnsi" w:cstheme="minorHAnsi"/>
          <w:lang w:val="en-IE"/>
        </w:rPr>
        <w:t>8</w:t>
      </w:r>
      <w:r w:rsidRPr="006E7C54">
        <w:rPr>
          <w:rFonts w:asciiTheme="minorHAnsi" w:eastAsiaTheme="minorHAnsi" w:hAnsiTheme="minorHAnsi" w:cstheme="minorHAnsi"/>
          <w:lang w:val="en-IE"/>
        </w:rPr>
        <w:t>.</w:t>
      </w:r>
    </w:p>
    <w:p w14:paraId="5E6A2D7B" w14:textId="77777777" w:rsidR="00FC64FC" w:rsidRPr="00D42C20" w:rsidRDefault="00FC64FC" w:rsidP="00FC64FC">
      <w:pPr>
        <w:jc w:val="both"/>
        <w:rPr>
          <w:rFonts w:asciiTheme="minorHAnsi" w:eastAsiaTheme="minorHAnsi" w:hAnsiTheme="minorHAnsi" w:cstheme="minorHAnsi"/>
          <w:lang w:val="en-IE"/>
        </w:rPr>
      </w:pPr>
    </w:p>
    <w:p w14:paraId="2A5FABF0" w14:textId="068F4BD0" w:rsidR="00FC64FC" w:rsidRPr="00D42C20" w:rsidRDefault="00FC64FC" w:rsidP="00FC64FC">
      <w:pPr>
        <w:jc w:val="both"/>
        <w:rPr>
          <w:rFonts w:asciiTheme="minorHAnsi" w:eastAsiaTheme="minorHAnsi" w:hAnsiTheme="minorHAnsi" w:cstheme="minorHAnsi"/>
          <w:lang w:val="en-IE"/>
        </w:rPr>
      </w:pPr>
      <w:r w:rsidRPr="00D42C20">
        <w:rPr>
          <w:rFonts w:asciiTheme="minorHAnsi" w:eastAsiaTheme="minorHAnsi" w:hAnsiTheme="minorHAnsi" w:cstheme="minorHAnsi"/>
          <w:lang w:val="en-IE"/>
        </w:rPr>
        <w:t xml:space="preserve">Reinsurance is becoming more expensive as the cost of climate change is being felt across the insurance industry with some risks being reassessed. Delaying the transition to a greener economy will accelerate the effects of climate change that could drive further increases in reinsurance and insurance costs. Regular review of the Group’s </w:t>
      </w:r>
      <w:r w:rsidRPr="00B26DE0">
        <w:rPr>
          <w:rFonts w:asciiTheme="minorHAnsi" w:eastAsiaTheme="minorHAnsi" w:hAnsiTheme="minorHAnsi" w:cstheme="minorHAnsi"/>
          <w:lang w:val="en-IE"/>
        </w:rPr>
        <w:t xml:space="preserve">reinsurers’ credit ratings and </w:t>
      </w:r>
      <w:r w:rsidR="00B26DE0" w:rsidRPr="00B26DE0">
        <w:rPr>
          <w:rFonts w:asciiTheme="minorHAnsi" w:eastAsiaTheme="minorHAnsi" w:hAnsiTheme="minorHAnsi" w:cstheme="minorHAnsi"/>
          <w:lang w:val="en-IE"/>
        </w:rPr>
        <w:t>reinsurer</w:t>
      </w:r>
      <w:r w:rsidR="00BE43BA">
        <w:rPr>
          <w:rFonts w:asciiTheme="minorHAnsi" w:eastAsiaTheme="minorHAnsi" w:hAnsiTheme="minorHAnsi" w:cstheme="minorHAnsi"/>
          <w:lang w:val="en-IE"/>
        </w:rPr>
        <w:t>’</w:t>
      </w:r>
      <w:r w:rsidR="00B26DE0" w:rsidRPr="00B26DE0">
        <w:rPr>
          <w:rFonts w:asciiTheme="minorHAnsi" w:eastAsiaTheme="minorHAnsi" w:hAnsiTheme="minorHAnsi" w:cstheme="minorHAnsi"/>
          <w:lang w:val="en-IE"/>
        </w:rPr>
        <w:t xml:space="preserve">s </w:t>
      </w:r>
      <w:r w:rsidRPr="00B26DE0">
        <w:rPr>
          <w:rFonts w:asciiTheme="minorHAnsi" w:eastAsiaTheme="minorHAnsi" w:hAnsiTheme="minorHAnsi" w:cstheme="minorHAnsi"/>
          <w:lang w:val="en-IE"/>
        </w:rPr>
        <w:t xml:space="preserve">outstanding balances is in place. </w:t>
      </w:r>
      <w:proofErr w:type="gramStart"/>
      <w:r w:rsidRPr="00B26DE0">
        <w:rPr>
          <w:rFonts w:asciiTheme="minorHAnsi" w:eastAsiaTheme="minorHAnsi" w:hAnsiTheme="minorHAnsi" w:cstheme="minorHAnsi"/>
          <w:lang w:val="en-IE"/>
        </w:rPr>
        <w:t>All of</w:t>
      </w:r>
      <w:proofErr w:type="gramEnd"/>
      <w:r w:rsidRPr="00D42C20">
        <w:rPr>
          <w:rFonts w:asciiTheme="minorHAnsi" w:eastAsiaTheme="minorHAnsi" w:hAnsiTheme="minorHAnsi" w:cstheme="minorHAnsi"/>
          <w:lang w:val="en-IE"/>
        </w:rPr>
        <w:t xml:space="preserve"> the Group’s reinsurers have a credit rating of A- or better. </w:t>
      </w:r>
    </w:p>
    <w:p w14:paraId="3353F160" w14:textId="77777777" w:rsidR="00FC64FC" w:rsidRDefault="00FC64FC" w:rsidP="00FC64FC">
      <w:pPr>
        <w:jc w:val="both"/>
      </w:pPr>
    </w:p>
    <w:p w14:paraId="365FCBE3" w14:textId="77777777" w:rsidR="00FC64FC" w:rsidRPr="00D42C20" w:rsidRDefault="00FC64FC" w:rsidP="00FC64FC">
      <w:pPr>
        <w:jc w:val="both"/>
        <w:rPr>
          <w:rFonts w:asciiTheme="minorHAnsi" w:eastAsiaTheme="minorHAnsi" w:hAnsiTheme="minorHAnsi" w:cstheme="minorHAnsi"/>
          <w:lang w:val="en-IE"/>
        </w:rPr>
      </w:pPr>
      <w:r w:rsidRPr="00D42C20">
        <w:rPr>
          <w:rFonts w:asciiTheme="minorHAnsi" w:eastAsiaTheme="minorHAnsi" w:hAnsiTheme="minorHAnsi" w:cstheme="minorHAnsi"/>
          <w:lang w:val="en-IE"/>
        </w:rPr>
        <w:t xml:space="preserve">We continue to face a tightening employment market with shortages of skills in some areas. An attractive and broader employee proposition is key to retaining a talented workforce in this challenging environment. We offer flexible working and continue to enhance professional and skills development opportunities as well as investing in well-being initiatives to ensure our employees feel supported and valued. </w:t>
      </w:r>
    </w:p>
    <w:p w14:paraId="141D9F68" w14:textId="77777777" w:rsidR="00FC64FC" w:rsidRPr="00D42C20" w:rsidRDefault="00FC64FC" w:rsidP="00FC64FC">
      <w:pPr>
        <w:jc w:val="both"/>
        <w:rPr>
          <w:rFonts w:asciiTheme="minorHAnsi" w:eastAsiaTheme="minorHAnsi" w:hAnsiTheme="minorHAnsi" w:cstheme="minorHAnsi"/>
          <w:lang w:val="en-IE"/>
        </w:rPr>
      </w:pPr>
    </w:p>
    <w:p w14:paraId="4F790763" w14:textId="126A3943" w:rsidR="00FC64FC" w:rsidRPr="00D42C20" w:rsidRDefault="00FC64FC" w:rsidP="00D42C20">
      <w:pPr>
        <w:jc w:val="both"/>
        <w:rPr>
          <w:rFonts w:asciiTheme="minorHAnsi" w:eastAsiaTheme="minorHAnsi" w:hAnsiTheme="minorHAnsi" w:cstheme="minorHAnsi"/>
          <w:lang w:val="en-IE"/>
        </w:rPr>
      </w:pPr>
      <w:r w:rsidRPr="00D42C20">
        <w:rPr>
          <w:rFonts w:asciiTheme="minorHAnsi" w:eastAsiaTheme="minorHAnsi" w:hAnsiTheme="minorHAnsi" w:cstheme="minorHAnsi"/>
          <w:lang w:val="en-IE"/>
        </w:rPr>
        <w:t xml:space="preserve">FBD model forward looking projections of key financial metrics on a periodic basis based on an assessment of the likely operating environment over the next number of years. The projections reflect changes of which we are aware and other uncertainties that may impact future business plans and includes assumptions on the potential impact on revenue, expenses, claims frequency, claims severity, investment market movements and solvency. The output of the modelling demonstrates that the Group is projected to be profitable and remain in a strong capital position. However, the situation can </w:t>
      </w:r>
      <w:proofErr w:type="gramStart"/>
      <w:r w:rsidRPr="00D42C20">
        <w:rPr>
          <w:rFonts w:asciiTheme="minorHAnsi" w:eastAsiaTheme="minorHAnsi" w:hAnsiTheme="minorHAnsi" w:cstheme="minorHAnsi"/>
          <w:lang w:val="en-IE"/>
        </w:rPr>
        <w:t>change</w:t>
      </w:r>
      <w:proofErr w:type="gramEnd"/>
      <w:r w:rsidRPr="00D42C20">
        <w:rPr>
          <w:rFonts w:asciiTheme="minorHAnsi" w:eastAsiaTheme="minorHAnsi" w:hAnsiTheme="minorHAnsi" w:cstheme="minorHAnsi"/>
          <w:lang w:val="en-IE"/>
        </w:rPr>
        <w:t xml:space="preserve"> and unforeseen challenges and events could occur. The solvency of the Group remains solid and is currently </w:t>
      </w:r>
      <w:r w:rsidRPr="00004047">
        <w:rPr>
          <w:rFonts w:asciiTheme="minorHAnsi" w:eastAsiaTheme="minorHAnsi" w:hAnsiTheme="minorHAnsi" w:cstheme="minorHAnsi"/>
          <w:lang w:val="en-IE"/>
        </w:rPr>
        <w:t>at 2</w:t>
      </w:r>
      <w:r w:rsidR="00004047" w:rsidRPr="00004047">
        <w:rPr>
          <w:rFonts w:asciiTheme="minorHAnsi" w:eastAsiaTheme="minorHAnsi" w:hAnsiTheme="minorHAnsi" w:cstheme="minorHAnsi"/>
          <w:lang w:val="en-IE"/>
        </w:rPr>
        <w:t>13</w:t>
      </w:r>
      <w:r w:rsidRPr="00004047">
        <w:rPr>
          <w:rFonts w:asciiTheme="minorHAnsi" w:eastAsiaTheme="minorHAnsi" w:hAnsiTheme="minorHAnsi" w:cstheme="minorHAnsi"/>
          <w:lang w:val="en-IE"/>
        </w:rPr>
        <w:t>%</w:t>
      </w:r>
      <w:r w:rsidR="00893909">
        <w:rPr>
          <w:rFonts w:asciiTheme="minorHAnsi" w:eastAsiaTheme="minorHAnsi" w:hAnsiTheme="minorHAnsi" w:cstheme="minorHAnsi"/>
          <w:lang w:val="en-IE"/>
        </w:rPr>
        <w:t xml:space="preserve"> (unaudited)</w:t>
      </w:r>
      <w:r w:rsidRPr="00004047">
        <w:rPr>
          <w:rFonts w:asciiTheme="minorHAnsi" w:eastAsiaTheme="minorHAnsi" w:hAnsiTheme="minorHAnsi" w:cstheme="minorHAnsi"/>
          <w:lang w:val="en-IE"/>
        </w:rPr>
        <w:t xml:space="preserve"> (31</w:t>
      </w:r>
      <w:r w:rsidRPr="00D42C20">
        <w:rPr>
          <w:rFonts w:asciiTheme="minorHAnsi" w:eastAsiaTheme="minorHAnsi" w:hAnsiTheme="minorHAnsi" w:cstheme="minorHAnsi"/>
          <w:lang w:val="en-IE"/>
        </w:rPr>
        <w:t xml:space="preserve"> December 2022: 226%). </w:t>
      </w:r>
    </w:p>
    <w:p w14:paraId="1BE4A95E" w14:textId="77777777" w:rsidR="00FC64FC" w:rsidRPr="00A06132" w:rsidRDefault="00FC64FC" w:rsidP="004A6C45">
      <w:pPr>
        <w:jc w:val="both"/>
        <w:rPr>
          <w:rFonts w:asciiTheme="minorHAnsi" w:hAnsiTheme="minorHAnsi" w:cstheme="minorHAnsi"/>
          <w:sz w:val="19"/>
          <w:szCs w:val="19"/>
          <w:lang w:eastAsia="en-IE"/>
        </w:rPr>
      </w:pPr>
    </w:p>
    <w:p w14:paraId="2828CAD2" w14:textId="77777777" w:rsidR="00955A1C" w:rsidRDefault="00955A1C" w:rsidP="001A376F">
      <w:pPr>
        <w:jc w:val="both"/>
        <w:rPr>
          <w:rFonts w:asciiTheme="minorHAnsi" w:hAnsiTheme="minorHAnsi" w:cstheme="minorHAnsi"/>
          <w:b/>
          <w:color w:val="000000"/>
          <w:sz w:val="22"/>
          <w:szCs w:val="22"/>
        </w:rPr>
      </w:pPr>
      <w:bookmarkStart w:id="16" w:name="_Hlk156738957"/>
    </w:p>
    <w:p w14:paraId="0667FA73" w14:textId="52C69AAD" w:rsidR="001A376F" w:rsidRPr="00FF4851" w:rsidRDefault="001A376F" w:rsidP="001A376F">
      <w:pPr>
        <w:jc w:val="both"/>
        <w:rPr>
          <w:rFonts w:asciiTheme="minorHAnsi" w:hAnsiTheme="minorHAnsi" w:cstheme="minorHAnsi"/>
          <w:b/>
          <w:color w:val="000000"/>
          <w:sz w:val="22"/>
          <w:szCs w:val="22"/>
        </w:rPr>
      </w:pPr>
      <w:r w:rsidRPr="00FF4851">
        <w:rPr>
          <w:rFonts w:asciiTheme="minorHAnsi" w:hAnsiTheme="minorHAnsi" w:cstheme="minorHAnsi"/>
          <w:b/>
          <w:color w:val="000000"/>
          <w:sz w:val="22"/>
          <w:szCs w:val="22"/>
        </w:rPr>
        <w:t>OUTLOOK</w:t>
      </w:r>
    </w:p>
    <w:p w14:paraId="5DFFB44A" w14:textId="77777777" w:rsidR="001A376F" w:rsidRDefault="001A376F" w:rsidP="001A376F">
      <w:pPr>
        <w:jc w:val="both"/>
        <w:rPr>
          <w:rFonts w:asciiTheme="minorHAnsi" w:eastAsiaTheme="minorHAnsi" w:hAnsiTheme="minorHAnsi" w:cstheme="minorHAnsi"/>
          <w:sz w:val="19"/>
          <w:szCs w:val="19"/>
          <w:highlight w:val="green"/>
          <w:lang w:val="en-IE"/>
        </w:rPr>
      </w:pPr>
    </w:p>
    <w:p w14:paraId="30829140" w14:textId="77777777" w:rsidR="00955A1C" w:rsidRPr="00A06132" w:rsidRDefault="00955A1C" w:rsidP="001A376F">
      <w:pPr>
        <w:jc w:val="both"/>
        <w:rPr>
          <w:rFonts w:asciiTheme="minorHAnsi" w:eastAsiaTheme="minorHAnsi" w:hAnsiTheme="minorHAnsi" w:cstheme="minorHAnsi"/>
          <w:sz w:val="19"/>
          <w:szCs w:val="19"/>
          <w:highlight w:val="green"/>
          <w:lang w:val="en-IE"/>
        </w:rPr>
      </w:pPr>
    </w:p>
    <w:bookmarkEnd w:id="16"/>
    <w:p w14:paraId="72101FE7" w14:textId="5C064754" w:rsidR="008B16CC" w:rsidRPr="00D42C20" w:rsidRDefault="008B16CC" w:rsidP="008B16CC">
      <w:pPr>
        <w:jc w:val="both"/>
        <w:rPr>
          <w:rFonts w:asciiTheme="minorHAnsi" w:eastAsiaTheme="minorHAnsi" w:hAnsiTheme="minorHAnsi" w:cstheme="minorHAnsi"/>
          <w:lang w:val="en-IE"/>
        </w:rPr>
      </w:pPr>
      <w:r w:rsidRPr="00D42C20">
        <w:rPr>
          <w:rFonts w:asciiTheme="minorHAnsi" w:eastAsiaTheme="minorHAnsi" w:hAnsiTheme="minorHAnsi" w:cstheme="minorHAnsi"/>
          <w:lang w:val="en-IE"/>
        </w:rPr>
        <w:t xml:space="preserve">The economic outlook for 2024 is positive with more modest growth expectations despite a slowdown in global demand and global trade complexities. Tighter monetary policy since 2022 appears to be slowly impacting inflation, although in 2024 inflation is expected to be impacted more by higher house and food prices which means continuing financial pressure on households. The labour market is expected to remain tight and may hold back growth expectations. </w:t>
      </w:r>
    </w:p>
    <w:p w14:paraId="3709D404" w14:textId="77777777" w:rsidR="008131DB" w:rsidRPr="00A06132" w:rsidRDefault="008131DB" w:rsidP="008131DB">
      <w:pPr>
        <w:jc w:val="both"/>
        <w:rPr>
          <w:rFonts w:asciiTheme="minorHAnsi" w:eastAsiaTheme="minorHAnsi" w:hAnsiTheme="minorHAnsi" w:cstheme="minorHAnsi"/>
          <w:sz w:val="19"/>
          <w:szCs w:val="19"/>
          <w:lang w:val="en-IE"/>
        </w:rPr>
      </w:pPr>
    </w:p>
    <w:p w14:paraId="245A28A1" w14:textId="130362C4" w:rsidR="008B16CC" w:rsidRPr="00D42C20" w:rsidRDefault="008B16CC" w:rsidP="008B16CC">
      <w:pPr>
        <w:jc w:val="both"/>
        <w:rPr>
          <w:rFonts w:asciiTheme="minorHAnsi" w:eastAsiaTheme="minorHAnsi" w:hAnsiTheme="minorHAnsi" w:cstheme="minorHAnsi"/>
          <w:lang w:val="en-IE"/>
        </w:rPr>
      </w:pPr>
      <w:r w:rsidRPr="00D42C20">
        <w:rPr>
          <w:rFonts w:asciiTheme="minorHAnsi" w:eastAsiaTheme="minorHAnsi" w:hAnsiTheme="minorHAnsi" w:cstheme="minorHAnsi"/>
          <w:lang w:val="en-IE"/>
        </w:rPr>
        <w:t xml:space="preserve">Challenges to the Personal Injury Guidelines are making their way through the courts and although increased acceptance rates of awards from the </w:t>
      </w:r>
      <w:r w:rsidR="00F86580">
        <w:rPr>
          <w:rFonts w:asciiTheme="minorHAnsi" w:eastAsiaTheme="minorHAnsi" w:hAnsiTheme="minorHAnsi" w:cstheme="minorHAnsi"/>
          <w:lang w:val="en-IE"/>
        </w:rPr>
        <w:t xml:space="preserve">Injuries Resolution Board </w:t>
      </w:r>
      <w:r w:rsidRPr="00D42C20">
        <w:rPr>
          <w:rFonts w:asciiTheme="minorHAnsi" w:eastAsiaTheme="minorHAnsi" w:hAnsiTheme="minorHAnsi" w:cstheme="minorHAnsi"/>
          <w:lang w:val="en-IE"/>
        </w:rPr>
        <w:t>may indicate they are gaining more acceptance</w:t>
      </w:r>
      <w:r w:rsidR="00FF4851" w:rsidRPr="00D42C20">
        <w:rPr>
          <w:rFonts w:asciiTheme="minorHAnsi" w:eastAsiaTheme="minorHAnsi" w:hAnsiTheme="minorHAnsi" w:cstheme="minorHAnsi"/>
          <w:lang w:val="en-IE"/>
        </w:rPr>
        <w:t>;</w:t>
      </w:r>
      <w:r w:rsidRPr="00D42C20">
        <w:rPr>
          <w:rFonts w:asciiTheme="minorHAnsi" w:eastAsiaTheme="minorHAnsi" w:hAnsiTheme="minorHAnsi" w:cstheme="minorHAnsi"/>
          <w:lang w:val="en-IE"/>
        </w:rPr>
        <w:t xml:space="preserve"> the ultimate impact is still unknown. </w:t>
      </w:r>
      <w:r w:rsidR="00361477">
        <w:rPr>
          <w:rFonts w:asciiTheme="minorHAnsi" w:eastAsiaTheme="minorHAnsi" w:hAnsiTheme="minorHAnsi" w:cstheme="minorHAnsi"/>
          <w:lang w:val="en-IE"/>
        </w:rPr>
        <w:t xml:space="preserve">The average cost of </w:t>
      </w:r>
      <w:r w:rsidR="005B26A3" w:rsidRPr="00D42C20">
        <w:rPr>
          <w:rFonts w:asciiTheme="minorHAnsi" w:eastAsiaTheme="minorHAnsi" w:hAnsiTheme="minorHAnsi" w:cstheme="minorHAnsi"/>
          <w:lang w:val="en-IE"/>
        </w:rPr>
        <w:t xml:space="preserve">Motor Damage </w:t>
      </w:r>
      <w:r w:rsidR="00361477">
        <w:rPr>
          <w:rFonts w:asciiTheme="minorHAnsi" w:eastAsiaTheme="minorHAnsi" w:hAnsiTheme="minorHAnsi" w:cstheme="minorHAnsi"/>
          <w:lang w:val="en-IE"/>
        </w:rPr>
        <w:t xml:space="preserve">claims will continue </w:t>
      </w:r>
      <w:r w:rsidR="005B26A3" w:rsidRPr="00D42C20">
        <w:rPr>
          <w:rFonts w:asciiTheme="minorHAnsi" w:eastAsiaTheme="minorHAnsi" w:hAnsiTheme="minorHAnsi" w:cstheme="minorHAnsi"/>
          <w:lang w:val="en-IE"/>
        </w:rPr>
        <w:t>to increase with more electric</w:t>
      </w:r>
      <w:r w:rsidR="001D4A51">
        <w:rPr>
          <w:rFonts w:asciiTheme="minorHAnsi" w:eastAsiaTheme="minorHAnsi" w:hAnsiTheme="minorHAnsi" w:cstheme="minorHAnsi"/>
          <w:lang w:val="en-IE"/>
        </w:rPr>
        <w:t xml:space="preserve"> and hybrid</w:t>
      </w:r>
      <w:r w:rsidR="005B26A3" w:rsidRPr="00D42C20">
        <w:rPr>
          <w:rFonts w:asciiTheme="minorHAnsi" w:eastAsiaTheme="minorHAnsi" w:hAnsiTheme="minorHAnsi" w:cstheme="minorHAnsi"/>
          <w:lang w:val="en-IE"/>
        </w:rPr>
        <w:t xml:space="preserve"> vehicles as a proportion of the national fleet, leading to higher cost of repairs. </w:t>
      </w:r>
    </w:p>
    <w:p w14:paraId="23BB23EF" w14:textId="77777777" w:rsidR="008B16CC" w:rsidRPr="00A06132" w:rsidRDefault="008B16CC" w:rsidP="008B16CC">
      <w:pPr>
        <w:jc w:val="both"/>
        <w:rPr>
          <w:rFonts w:asciiTheme="minorHAnsi" w:eastAsiaTheme="minorHAnsi" w:hAnsiTheme="minorHAnsi" w:cstheme="minorHAnsi"/>
          <w:sz w:val="19"/>
          <w:szCs w:val="19"/>
          <w:lang w:val="en-IE"/>
        </w:rPr>
      </w:pPr>
    </w:p>
    <w:p w14:paraId="079D8EAC" w14:textId="77777777" w:rsidR="008131DB" w:rsidRPr="00D42C20" w:rsidRDefault="008131DB" w:rsidP="008131DB">
      <w:pPr>
        <w:pStyle w:val="ar"/>
        <w:spacing w:before="0" w:beforeAutospacing="0" w:after="0" w:afterAutospacing="0"/>
        <w:jc w:val="both"/>
        <w:rPr>
          <w:rFonts w:asciiTheme="minorHAnsi" w:hAnsiTheme="minorHAnsi" w:cstheme="minorHAnsi"/>
          <w:sz w:val="20"/>
          <w:szCs w:val="20"/>
          <w:lang w:eastAsia="en-US"/>
        </w:rPr>
      </w:pPr>
      <w:r w:rsidRPr="00D42C20">
        <w:rPr>
          <w:rFonts w:asciiTheme="minorHAnsi" w:hAnsiTheme="minorHAnsi" w:cstheme="minorHAnsi"/>
          <w:sz w:val="20"/>
          <w:szCs w:val="20"/>
          <w:lang w:eastAsia="en-US"/>
        </w:rPr>
        <w:t xml:space="preserve">Income projections on our bond portfolios have increased in the years ahead due to the impact of higher reinvestment rates as existing bonds mature.  </w:t>
      </w:r>
    </w:p>
    <w:p w14:paraId="4111C0FB" w14:textId="6AF93BA5" w:rsidR="00E83177" w:rsidRPr="00A06132" w:rsidRDefault="00E83177" w:rsidP="008131DB">
      <w:pPr>
        <w:pStyle w:val="ar"/>
        <w:spacing w:before="0" w:beforeAutospacing="0" w:after="0" w:afterAutospacing="0"/>
        <w:jc w:val="both"/>
        <w:rPr>
          <w:rFonts w:asciiTheme="minorHAnsi" w:hAnsiTheme="minorHAnsi" w:cstheme="minorHAnsi"/>
          <w:sz w:val="19"/>
          <w:szCs w:val="19"/>
          <w:lang w:eastAsia="en-US"/>
        </w:rPr>
      </w:pPr>
    </w:p>
    <w:p w14:paraId="70B8FF96" w14:textId="2B2E84C0" w:rsidR="00E83177" w:rsidRPr="00D42C20" w:rsidRDefault="00A903EC" w:rsidP="008131DB">
      <w:pPr>
        <w:pStyle w:val="ar"/>
        <w:spacing w:before="0" w:beforeAutospacing="0" w:after="0" w:afterAutospacing="0"/>
        <w:jc w:val="both"/>
        <w:rPr>
          <w:rFonts w:asciiTheme="minorHAnsi" w:hAnsiTheme="minorHAnsi" w:cstheme="minorHAnsi"/>
          <w:sz w:val="20"/>
          <w:szCs w:val="20"/>
          <w:lang w:eastAsia="en-US"/>
        </w:rPr>
      </w:pPr>
      <w:bookmarkStart w:id="17" w:name="_Hlk157151737"/>
      <w:r w:rsidRPr="00D42C20">
        <w:rPr>
          <w:rFonts w:asciiTheme="minorHAnsi" w:hAnsiTheme="minorHAnsi" w:cstheme="minorHAnsi"/>
          <w:sz w:val="20"/>
          <w:szCs w:val="20"/>
          <w:lang w:eastAsia="en-US"/>
        </w:rPr>
        <w:t>Our sustainability journey continues. In December 2023 we announced our commitment to a</w:t>
      </w:r>
      <w:r w:rsidR="00A10605">
        <w:rPr>
          <w:rFonts w:asciiTheme="minorHAnsi" w:hAnsiTheme="minorHAnsi" w:cstheme="minorHAnsi"/>
          <w:sz w:val="20"/>
          <w:szCs w:val="20"/>
          <w:lang w:eastAsia="en-US"/>
        </w:rPr>
        <w:t>n</w:t>
      </w:r>
      <w:r w:rsidRPr="00D42C20">
        <w:rPr>
          <w:rFonts w:asciiTheme="minorHAnsi" w:hAnsiTheme="minorHAnsi" w:cstheme="minorHAnsi"/>
          <w:sz w:val="20"/>
          <w:szCs w:val="20"/>
          <w:lang w:eastAsia="en-US"/>
        </w:rPr>
        <w:t xml:space="preserve"> </w:t>
      </w:r>
      <w:r w:rsidR="00E16138" w:rsidRPr="00D42C20">
        <w:rPr>
          <w:rFonts w:asciiTheme="minorHAnsi" w:hAnsiTheme="minorHAnsi" w:cstheme="minorHAnsi"/>
          <w:sz w:val="20"/>
          <w:szCs w:val="20"/>
          <w:lang w:eastAsia="en-US"/>
        </w:rPr>
        <w:t xml:space="preserve">ESG initiative for The Padraig Walshe Centre </w:t>
      </w:r>
      <w:r w:rsidR="00A5626B" w:rsidRPr="00D42C20">
        <w:rPr>
          <w:rFonts w:asciiTheme="minorHAnsi" w:hAnsiTheme="minorHAnsi" w:cstheme="minorHAnsi"/>
          <w:sz w:val="20"/>
          <w:szCs w:val="20"/>
          <w:lang w:eastAsia="en-US"/>
        </w:rPr>
        <w:t>for Sustainable Animal and Grassland Research</w:t>
      </w:r>
      <w:r w:rsidR="00A5626B" w:rsidRPr="00A5626B">
        <w:rPr>
          <w:rFonts w:asciiTheme="minorHAnsi" w:hAnsiTheme="minorHAnsi" w:cstheme="minorHAnsi"/>
          <w:sz w:val="20"/>
          <w:szCs w:val="20"/>
          <w:lang w:eastAsia="en-US"/>
        </w:rPr>
        <w:t xml:space="preserve"> </w:t>
      </w:r>
      <w:r w:rsidR="00E82CCE" w:rsidRPr="00D42C20">
        <w:rPr>
          <w:rFonts w:asciiTheme="minorHAnsi" w:hAnsiTheme="minorHAnsi" w:cstheme="minorHAnsi"/>
          <w:sz w:val="20"/>
          <w:szCs w:val="20"/>
          <w:lang w:eastAsia="en-US"/>
        </w:rPr>
        <w:t>based</w:t>
      </w:r>
      <w:r w:rsidR="00E83177" w:rsidRPr="00D42C20">
        <w:rPr>
          <w:rFonts w:asciiTheme="minorHAnsi" w:hAnsiTheme="minorHAnsi" w:cstheme="minorHAnsi"/>
          <w:sz w:val="20"/>
          <w:szCs w:val="20"/>
          <w:lang w:eastAsia="en-US"/>
        </w:rPr>
        <w:t xml:space="preserve"> in </w:t>
      </w:r>
      <w:r w:rsidR="00E82CCE" w:rsidRPr="00D42C20">
        <w:rPr>
          <w:rFonts w:asciiTheme="minorHAnsi" w:hAnsiTheme="minorHAnsi" w:cstheme="minorHAnsi"/>
          <w:sz w:val="20"/>
          <w:szCs w:val="20"/>
          <w:lang w:eastAsia="en-US"/>
        </w:rPr>
        <w:t xml:space="preserve">Teagasc </w:t>
      </w:r>
      <w:proofErr w:type="spellStart"/>
      <w:r w:rsidR="00E83177" w:rsidRPr="00D42C20">
        <w:rPr>
          <w:rFonts w:asciiTheme="minorHAnsi" w:hAnsiTheme="minorHAnsi" w:cstheme="minorHAnsi"/>
          <w:sz w:val="20"/>
          <w:szCs w:val="20"/>
          <w:lang w:eastAsia="en-US"/>
        </w:rPr>
        <w:t>Moorepark</w:t>
      </w:r>
      <w:proofErr w:type="spellEnd"/>
      <w:r w:rsidR="00E82CCE" w:rsidRPr="00D42C20">
        <w:rPr>
          <w:rFonts w:asciiTheme="minorHAnsi" w:hAnsiTheme="minorHAnsi" w:cstheme="minorHAnsi"/>
          <w:sz w:val="20"/>
          <w:szCs w:val="20"/>
          <w:lang w:eastAsia="en-US"/>
        </w:rPr>
        <w:t>, Fermoy, Co Cork</w:t>
      </w:r>
      <w:r w:rsidR="00E83177" w:rsidRPr="00D42C20">
        <w:rPr>
          <w:rFonts w:asciiTheme="minorHAnsi" w:hAnsiTheme="minorHAnsi" w:cstheme="minorHAnsi"/>
          <w:sz w:val="20"/>
          <w:szCs w:val="20"/>
          <w:lang w:eastAsia="en-US"/>
        </w:rPr>
        <w:t>.</w:t>
      </w:r>
      <w:r w:rsidR="00FF4851" w:rsidRPr="00D42C20">
        <w:rPr>
          <w:rFonts w:asciiTheme="minorHAnsi" w:hAnsiTheme="minorHAnsi" w:cstheme="minorHAnsi"/>
          <w:sz w:val="20"/>
          <w:szCs w:val="20"/>
          <w:lang w:eastAsia="en-US"/>
        </w:rPr>
        <w:t xml:space="preserve"> R</w:t>
      </w:r>
      <w:r w:rsidR="00E83177" w:rsidRPr="00D42C20">
        <w:rPr>
          <w:rFonts w:asciiTheme="minorHAnsi" w:hAnsiTheme="minorHAnsi" w:cstheme="minorHAnsi"/>
          <w:sz w:val="20"/>
          <w:szCs w:val="20"/>
          <w:lang w:eastAsia="en-US"/>
        </w:rPr>
        <w:t xml:space="preserve">esearch and innovation </w:t>
      </w:r>
      <w:r w:rsidR="00E16138" w:rsidRPr="00D42C20">
        <w:rPr>
          <w:rFonts w:asciiTheme="minorHAnsi" w:hAnsiTheme="minorHAnsi" w:cstheme="minorHAnsi"/>
          <w:sz w:val="20"/>
          <w:szCs w:val="20"/>
          <w:lang w:eastAsia="en-US"/>
        </w:rPr>
        <w:t>are</w:t>
      </w:r>
      <w:r w:rsidR="00E83177" w:rsidRPr="00D42C20">
        <w:rPr>
          <w:rFonts w:asciiTheme="minorHAnsi" w:hAnsiTheme="minorHAnsi" w:cstheme="minorHAnsi"/>
          <w:sz w:val="20"/>
          <w:szCs w:val="20"/>
          <w:lang w:eastAsia="en-US"/>
        </w:rPr>
        <w:t xml:space="preserve"> essential to reducing </w:t>
      </w:r>
      <w:r w:rsidR="00E201B7" w:rsidRPr="00D42C20">
        <w:rPr>
          <w:rFonts w:asciiTheme="minorHAnsi" w:hAnsiTheme="minorHAnsi" w:cstheme="minorHAnsi"/>
          <w:sz w:val="20"/>
          <w:szCs w:val="20"/>
          <w:lang w:eastAsia="en-US"/>
        </w:rPr>
        <w:t>greenhouse</w:t>
      </w:r>
      <w:r w:rsidR="00E83177" w:rsidRPr="00D42C20">
        <w:rPr>
          <w:rFonts w:asciiTheme="minorHAnsi" w:hAnsiTheme="minorHAnsi" w:cstheme="minorHAnsi"/>
          <w:sz w:val="20"/>
          <w:szCs w:val="20"/>
          <w:lang w:eastAsia="en-US"/>
        </w:rPr>
        <w:t xml:space="preserve"> </w:t>
      </w:r>
      <w:r w:rsidR="00E82CCE" w:rsidRPr="00D42C20">
        <w:rPr>
          <w:rFonts w:asciiTheme="minorHAnsi" w:hAnsiTheme="minorHAnsi" w:cstheme="minorHAnsi"/>
          <w:sz w:val="20"/>
          <w:szCs w:val="20"/>
          <w:lang w:eastAsia="en-US"/>
        </w:rPr>
        <w:t xml:space="preserve">gas (GHG) </w:t>
      </w:r>
      <w:r w:rsidR="00E83177" w:rsidRPr="00D42C20">
        <w:rPr>
          <w:rFonts w:asciiTheme="minorHAnsi" w:hAnsiTheme="minorHAnsi" w:cstheme="minorHAnsi"/>
          <w:sz w:val="20"/>
          <w:szCs w:val="20"/>
          <w:lang w:eastAsia="en-US"/>
        </w:rPr>
        <w:t>emissions</w:t>
      </w:r>
      <w:r w:rsidR="00E82CCE" w:rsidRPr="00D42C20">
        <w:rPr>
          <w:rFonts w:asciiTheme="minorHAnsi" w:hAnsiTheme="minorHAnsi" w:cstheme="minorHAnsi"/>
          <w:sz w:val="20"/>
          <w:szCs w:val="20"/>
          <w:lang w:eastAsia="en-US"/>
        </w:rPr>
        <w:t>, as Ireland strives to achieve c</w:t>
      </w:r>
      <w:r w:rsidR="00E83177" w:rsidRPr="00D42C20">
        <w:rPr>
          <w:rFonts w:asciiTheme="minorHAnsi" w:hAnsiTheme="minorHAnsi" w:cstheme="minorHAnsi"/>
          <w:sz w:val="20"/>
          <w:szCs w:val="20"/>
          <w:lang w:eastAsia="en-US"/>
        </w:rPr>
        <w:t>limate neutrality</w:t>
      </w:r>
      <w:r w:rsidR="00E82CCE" w:rsidRPr="00D42C20">
        <w:rPr>
          <w:rFonts w:asciiTheme="minorHAnsi" w:hAnsiTheme="minorHAnsi" w:cstheme="minorHAnsi"/>
          <w:sz w:val="20"/>
          <w:szCs w:val="20"/>
          <w:lang w:eastAsia="en-US"/>
        </w:rPr>
        <w:t xml:space="preserve"> by 2050</w:t>
      </w:r>
      <w:r w:rsidR="00E83177" w:rsidRPr="00D42C20">
        <w:rPr>
          <w:rFonts w:asciiTheme="minorHAnsi" w:hAnsiTheme="minorHAnsi" w:cstheme="minorHAnsi"/>
          <w:sz w:val="20"/>
          <w:szCs w:val="20"/>
          <w:lang w:eastAsia="en-US"/>
        </w:rPr>
        <w:t xml:space="preserve">. </w:t>
      </w:r>
    </w:p>
    <w:p w14:paraId="0E03D185" w14:textId="77777777" w:rsidR="00E83177" w:rsidRPr="00A06132" w:rsidRDefault="00E83177" w:rsidP="008131DB">
      <w:pPr>
        <w:pStyle w:val="ar"/>
        <w:spacing w:before="0" w:beforeAutospacing="0" w:after="0" w:afterAutospacing="0"/>
        <w:jc w:val="both"/>
        <w:rPr>
          <w:rFonts w:ascii="Calibri" w:hAnsi="Calibri" w:cs="Calibri"/>
          <w:sz w:val="19"/>
          <w:szCs w:val="19"/>
          <w:lang w:val="en-US" w:eastAsia="en-US"/>
        </w:rPr>
      </w:pPr>
    </w:p>
    <w:p w14:paraId="5CFD8AAC" w14:textId="56D72AD4" w:rsidR="00FF4851" w:rsidRDefault="00A903EC" w:rsidP="00E82CCE">
      <w:pPr>
        <w:pStyle w:val="ar"/>
        <w:spacing w:before="0" w:beforeAutospacing="0" w:after="0" w:afterAutospacing="0"/>
        <w:jc w:val="both"/>
        <w:rPr>
          <w:rFonts w:ascii="Calibri" w:hAnsi="Calibri" w:cs="Calibri"/>
          <w:sz w:val="20"/>
          <w:szCs w:val="20"/>
          <w:lang w:val="en-US" w:eastAsia="en-US"/>
        </w:rPr>
      </w:pPr>
      <w:r>
        <w:rPr>
          <w:rFonts w:ascii="Calibri" w:hAnsi="Calibri" w:cs="Calibri"/>
          <w:sz w:val="20"/>
          <w:szCs w:val="20"/>
          <w:lang w:val="en-US" w:eastAsia="en-US"/>
        </w:rPr>
        <w:t xml:space="preserve">FBD is resourcing and planning for additional disclosure requirements associated with CSRD. </w:t>
      </w:r>
      <w:r w:rsidR="00FF4851">
        <w:rPr>
          <w:rFonts w:ascii="Calibri" w:hAnsi="Calibri" w:cs="Calibri"/>
          <w:sz w:val="20"/>
          <w:szCs w:val="20"/>
          <w:lang w:val="en-US" w:eastAsia="en-US"/>
        </w:rPr>
        <w:t xml:space="preserve">FBD </w:t>
      </w:r>
      <w:r w:rsidR="00FF4851" w:rsidRPr="00373384">
        <w:rPr>
          <w:rFonts w:ascii="Calibri" w:hAnsi="Calibri" w:cs="Calibri"/>
          <w:sz w:val="20"/>
          <w:szCs w:val="20"/>
          <w:lang w:val="en-US" w:eastAsia="en-US"/>
        </w:rPr>
        <w:t>sign</w:t>
      </w:r>
      <w:r w:rsidR="00FF4851">
        <w:rPr>
          <w:rFonts w:ascii="Calibri" w:hAnsi="Calibri" w:cs="Calibri"/>
          <w:sz w:val="20"/>
          <w:szCs w:val="20"/>
          <w:lang w:val="en-US" w:eastAsia="en-US"/>
        </w:rPr>
        <w:t>ed</w:t>
      </w:r>
      <w:r w:rsidR="00FF4851" w:rsidRPr="00373384">
        <w:rPr>
          <w:rFonts w:ascii="Calibri" w:hAnsi="Calibri" w:cs="Calibri"/>
          <w:sz w:val="20"/>
          <w:szCs w:val="20"/>
          <w:lang w:val="en-US" w:eastAsia="en-US"/>
        </w:rPr>
        <w:t xml:space="preserve"> up to the UN Principles for Sustainable Insurance</w:t>
      </w:r>
      <w:r w:rsidR="00FF4851">
        <w:rPr>
          <w:rFonts w:ascii="Calibri" w:hAnsi="Calibri" w:cs="Calibri"/>
          <w:sz w:val="20"/>
          <w:szCs w:val="20"/>
          <w:lang w:val="en-US" w:eastAsia="en-US"/>
        </w:rPr>
        <w:t xml:space="preserve"> as we commit to the challenging journey ahead of reporting under </w:t>
      </w:r>
      <w:r w:rsidR="00FF4851" w:rsidRPr="00326EA3">
        <w:rPr>
          <w:rFonts w:ascii="Calibri" w:hAnsi="Calibri" w:cs="Calibri"/>
          <w:sz w:val="20"/>
          <w:szCs w:val="20"/>
          <w:lang w:val="en-US" w:eastAsia="en-US"/>
        </w:rPr>
        <w:t xml:space="preserve">the CSRD in early 2025. </w:t>
      </w:r>
      <w:r w:rsidR="00E82CCE" w:rsidRPr="002972F1">
        <w:rPr>
          <w:rFonts w:ascii="Calibri" w:hAnsi="Calibri" w:cs="Calibri"/>
          <w:sz w:val="20"/>
          <w:szCs w:val="20"/>
          <w:lang w:val="en-US" w:eastAsia="en-US"/>
        </w:rPr>
        <w:t xml:space="preserve">We </w:t>
      </w:r>
      <w:r w:rsidR="00D774A3" w:rsidRPr="002972F1">
        <w:rPr>
          <w:rFonts w:ascii="Calibri" w:hAnsi="Calibri" w:cs="Calibri"/>
          <w:sz w:val="20"/>
          <w:szCs w:val="20"/>
          <w:lang w:val="en-US" w:eastAsia="en-US"/>
        </w:rPr>
        <w:t xml:space="preserve">are </w:t>
      </w:r>
      <w:r w:rsidR="00F05A79" w:rsidRPr="002972F1">
        <w:rPr>
          <w:rFonts w:ascii="Calibri" w:hAnsi="Calibri" w:cs="Calibri"/>
          <w:sz w:val="20"/>
          <w:szCs w:val="20"/>
          <w:lang w:val="en-US" w:eastAsia="en-US"/>
        </w:rPr>
        <w:t>prepar</w:t>
      </w:r>
      <w:r w:rsidR="00D774A3" w:rsidRPr="002972F1">
        <w:rPr>
          <w:rFonts w:ascii="Calibri" w:hAnsi="Calibri" w:cs="Calibri"/>
          <w:sz w:val="20"/>
          <w:szCs w:val="20"/>
          <w:lang w:val="en-US" w:eastAsia="en-US"/>
        </w:rPr>
        <w:t>ing</w:t>
      </w:r>
      <w:r w:rsidR="00F05A79" w:rsidRPr="002972F1">
        <w:rPr>
          <w:rFonts w:ascii="Calibri" w:hAnsi="Calibri" w:cs="Calibri"/>
          <w:sz w:val="20"/>
          <w:szCs w:val="20"/>
          <w:lang w:val="en-US" w:eastAsia="en-US"/>
        </w:rPr>
        <w:t xml:space="preserve"> </w:t>
      </w:r>
      <w:r w:rsidR="00E82CCE" w:rsidRPr="002972F1">
        <w:rPr>
          <w:rFonts w:ascii="Calibri" w:hAnsi="Calibri" w:cs="Calibri"/>
          <w:sz w:val="20"/>
          <w:szCs w:val="20"/>
          <w:lang w:val="en-US" w:eastAsia="en-US"/>
        </w:rPr>
        <w:t>our Science Based Targets</w:t>
      </w:r>
      <w:r w:rsidR="00F05A79" w:rsidRPr="002972F1">
        <w:rPr>
          <w:rFonts w:ascii="Calibri" w:hAnsi="Calibri" w:cs="Calibri"/>
          <w:sz w:val="20"/>
          <w:szCs w:val="20"/>
          <w:lang w:val="en-US" w:eastAsia="en-US"/>
        </w:rPr>
        <w:t xml:space="preserve"> for submission</w:t>
      </w:r>
      <w:r w:rsidR="00E82CCE" w:rsidRPr="002972F1">
        <w:rPr>
          <w:rFonts w:ascii="Calibri" w:hAnsi="Calibri" w:cs="Calibri"/>
          <w:sz w:val="20"/>
          <w:szCs w:val="20"/>
          <w:lang w:val="en-US" w:eastAsia="en-US"/>
        </w:rPr>
        <w:t xml:space="preserve"> to provide a benchmark for future </w:t>
      </w:r>
      <w:proofErr w:type="spellStart"/>
      <w:r w:rsidR="00E82CCE" w:rsidRPr="002972F1">
        <w:rPr>
          <w:rFonts w:ascii="Calibri" w:hAnsi="Calibri" w:cs="Calibri"/>
          <w:sz w:val="20"/>
          <w:szCs w:val="20"/>
          <w:lang w:val="en-US" w:eastAsia="en-US"/>
        </w:rPr>
        <w:t>decarbonisation</w:t>
      </w:r>
      <w:proofErr w:type="spellEnd"/>
      <w:r w:rsidR="00E82CCE" w:rsidRPr="002972F1">
        <w:rPr>
          <w:rFonts w:ascii="Calibri" w:hAnsi="Calibri" w:cs="Calibri"/>
          <w:sz w:val="20"/>
          <w:szCs w:val="20"/>
          <w:lang w:val="en-US" w:eastAsia="en-US"/>
        </w:rPr>
        <w:t xml:space="preserve"> improvements.</w:t>
      </w:r>
    </w:p>
    <w:p w14:paraId="6F91686B" w14:textId="2C7D4645" w:rsidR="00E82CCE" w:rsidRPr="00A06132" w:rsidRDefault="00E82CCE" w:rsidP="00E82CCE">
      <w:pPr>
        <w:pStyle w:val="ar"/>
        <w:spacing w:before="0" w:beforeAutospacing="0" w:after="0" w:afterAutospacing="0"/>
        <w:jc w:val="both"/>
        <w:rPr>
          <w:rFonts w:ascii="Calibri" w:hAnsi="Calibri" w:cs="Calibri"/>
          <w:sz w:val="19"/>
          <w:szCs w:val="19"/>
          <w:lang w:val="en-US" w:eastAsia="en-US"/>
        </w:rPr>
      </w:pPr>
      <w:r>
        <w:rPr>
          <w:rFonts w:ascii="Calibri" w:hAnsi="Calibri" w:cs="Calibri"/>
          <w:sz w:val="20"/>
          <w:szCs w:val="20"/>
          <w:lang w:val="en-US" w:eastAsia="en-US"/>
        </w:rPr>
        <w:t xml:space="preserve"> </w:t>
      </w:r>
      <w:bookmarkEnd w:id="17"/>
    </w:p>
    <w:p w14:paraId="5CCD3634" w14:textId="5CDCB81D" w:rsidR="008C3FEE" w:rsidRPr="008C3FEE" w:rsidRDefault="003A13E6" w:rsidP="008C3FEE">
      <w:pPr>
        <w:pStyle w:val="ar"/>
        <w:spacing w:before="0" w:beforeAutospacing="0" w:after="0" w:afterAutospacing="0"/>
        <w:jc w:val="both"/>
        <w:rPr>
          <w:rFonts w:ascii="Calibri" w:hAnsi="Calibri" w:cs="Calibri"/>
          <w:sz w:val="20"/>
          <w:szCs w:val="20"/>
          <w:lang w:val="en-US" w:eastAsia="en-US"/>
        </w:rPr>
      </w:pPr>
      <w:r w:rsidRPr="004C6E1E">
        <w:rPr>
          <w:rFonts w:ascii="Calibri" w:hAnsi="Calibri" w:cs="Calibri"/>
          <w:sz w:val="20"/>
          <w:szCs w:val="20"/>
          <w:lang w:val="en-US" w:eastAsia="en-US"/>
        </w:rPr>
        <w:t xml:space="preserve">Relationships are at the heart of </w:t>
      </w:r>
      <w:r w:rsidR="00BA7445" w:rsidRPr="004C6E1E">
        <w:rPr>
          <w:rFonts w:ascii="Calibri" w:hAnsi="Calibri" w:cs="Calibri"/>
          <w:sz w:val="20"/>
          <w:szCs w:val="20"/>
          <w:lang w:val="en-US" w:eastAsia="en-US"/>
        </w:rPr>
        <w:t xml:space="preserve">what we do </w:t>
      </w:r>
      <w:r w:rsidR="008C3FEE" w:rsidRPr="004C6E1E">
        <w:rPr>
          <w:rFonts w:ascii="Calibri" w:hAnsi="Calibri" w:cs="Calibri"/>
          <w:sz w:val="20"/>
          <w:szCs w:val="20"/>
          <w:lang w:val="en-US" w:eastAsia="en-US"/>
        </w:rPr>
        <w:t>as</w:t>
      </w:r>
      <w:r w:rsidR="0068143F" w:rsidRPr="004C6E1E">
        <w:rPr>
          <w:rFonts w:ascii="Calibri" w:hAnsi="Calibri" w:cs="Calibri"/>
          <w:sz w:val="20"/>
          <w:szCs w:val="20"/>
          <w:lang w:val="en-US" w:eastAsia="en-US"/>
        </w:rPr>
        <w:t xml:space="preserve"> a </w:t>
      </w:r>
      <w:r w:rsidR="00FF4851" w:rsidRPr="004C6E1E">
        <w:rPr>
          <w:rFonts w:ascii="Calibri" w:hAnsi="Calibri" w:cs="Calibri"/>
          <w:sz w:val="20"/>
          <w:szCs w:val="20"/>
          <w:lang w:val="en-US" w:eastAsia="en-US"/>
        </w:rPr>
        <w:t>people-centric</w:t>
      </w:r>
      <w:r w:rsidR="0068143F" w:rsidRPr="004C6E1E">
        <w:rPr>
          <w:rFonts w:ascii="Calibri" w:hAnsi="Calibri" w:cs="Calibri"/>
          <w:sz w:val="20"/>
          <w:szCs w:val="20"/>
          <w:lang w:val="en-US" w:eastAsia="en-US"/>
        </w:rPr>
        <w:t xml:space="preserve"> business</w:t>
      </w:r>
      <w:r w:rsidR="00BA7445" w:rsidRPr="004C6E1E">
        <w:rPr>
          <w:rFonts w:ascii="Calibri" w:hAnsi="Calibri" w:cs="Calibri"/>
          <w:sz w:val="20"/>
          <w:szCs w:val="20"/>
          <w:lang w:val="en-US" w:eastAsia="en-US"/>
        </w:rPr>
        <w:t xml:space="preserve"> and</w:t>
      </w:r>
      <w:r w:rsidR="0068143F" w:rsidRPr="004C6E1E">
        <w:rPr>
          <w:rFonts w:ascii="Calibri" w:hAnsi="Calibri" w:cs="Calibri"/>
          <w:sz w:val="20"/>
          <w:szCs w:val="20"/>
          <w:lang w:val="en-US" w:eastAsia="en-US"/>
        </w:rPr>
        <w:t xml:space="preserve"> customers stay with us </w:t>
      </w:r>
      <w:r w:rsidR="00FF4851" w:rsidRPr="004C6E1E">
        <w:rPr>
          <w:rFonts w:ascii="Calibri" w:hAnsi="Calibri" w:cs="Calibri"/>
          <w:sz w:val="20"/>
          <w:szCs w:val="20"/>
          <w:lang w:val="en-US" w:eastAsia="en-US"/>
        </w:rPr>
        <w:t xml:space="preserve">for the </w:t>
      </w:r>
      <w:r w:rsidR="008B16CC" w:rsidRPr="004C6E1E">
        <w:rPr>
          <w:rFonts w:ascii="Calibri" w:hAnsi="Calibri" w:cs="Calibri"/>
          <w:sz w:val="20"/>
          <w:szCs w:val="20"/>
          <w:lang w:val="en-US" w:eastAsia="en-US"/>
        </w:rPr>
        <w:t>value</w:t>
      </w:r>
      <w:r w:rsidR="00FF4851" w:rsidRPr="004C6E1E">
        <w:rPr>
          <w:rFonts w:ascii="Calibri" w:hAnsi="Calibri" w:cs="Calibri"/>
          <w:sz w:val="20"/>
          <w:szCs w:val="20"/>
          <w:lang w:val="en-US" w:eastAsia="en-US"/>
        </w:rPr>
        <w:t xml:space="preserve"> they receive</w:t>
      </w:r>
      <w:r w:rsidR="0068143F" w:rsidRPr="004C6E1E">
        <w:rPr>
          <w:rFonts w:ascii="Calibri" w:hAnsi="Calibri" w:cs="Calibri"/>
          <w:sz w:val="20"/>
          <w:szCs w:val="20"/>
          <w:lang w:val="en-US" w:eastAsia="en-US"/>
        </w:rPr>
        <w:t xml:space="preserve">. </w:t>
      </w:r>
      <w:r w:rsidR="008C3FEE" w:rsidRPr="004C6E1E">
        <w:rPr>
          <w:rFonts w:ascii="Calibri" w:hAnsi="Calibri" w:cs="Calibri"/>
          <w:sz w:val="20"/>
          <w:szCs w:val="20"/>
          <w:lang w:val="en-US" w:eastAsia="en-US"/>
        </w:rPr>
        <w:t>We continue to invest in our customer and employee proposition</w:t>
      </w:r>
      <w:r w:rsidR="00BA7445" w:rsidRPr="004C6E1E">
        <w:rPr>
          <w:rFonts w:ascii="Calibri" w:hAnsi="Calibri" w:cs="Calibri"/>
          <w:sz w:val="20"/>
          <w:szCs w:val="20"/>
          <w:lang w:val="en-US" w:eastAsia="en-US"/>
        </w:rPr>
        <w:t>s</w:t>
      </w:r>
      <w:r w:rsidR="008C3FEE" w:rsidRPr="004C6E1E">
        <w:rPr>
          <w:rFonts w:ascii="Calibri" w:hAnsi="Calibri" w:cs="Calibri"/>
          <w:sz w:val="20"/>
          <w:szCs w:val="20"/>
          <w:lang w:val="en-US" w:eastAsia="en-US"/>
        </w:rPr>
        <w:t>, making us a more digitally</w:t>
      </w:r>
      <w:r w:rsidR="008C3FEE" w:rsidRPr="008C3FEE">
        <w:rPr>
          <w:rFonts w:ascii="Calibri" w:hAnsi="Calibri" w:cs="Calibri"/>
          <w:sz w:val="20"/>
          <w:szCs w:val="20"/>
          <w:lang w:val="en-US" w:eastAsia="en-US"/>
        </w:rPr>
        <w:t xml:space="preserve"> enabled </w:t>
      </w:r>
      <w:proofErr w:type="spellStart"/>
      <w:r w:rsidR="008C3FEE" w:rsidRPr="008C3FEE">
        <w:rPr>
          <w:rFonts w:ascii="Calibri" w:hAnsi="Calibri" w:cs="Calibri"/>
          <w:sz w:val="20"/>
          <w:szCs w:val="20"/>
          <w:lang w:val="en-US" w:eastAsia="en-US"/>
        </w:rPr>
        <w:t>organisation</w:t>
      </w:r>
      <w:proofErr w:type="spellEnd"/>
      <w:r w:rsidR="008C3FEE" w:rsidRPr="008C3FEE">
        <w:rPr>
          <w:rFonts w:ascii="Calibri" w:hAnsi="Calibri" w:cs="Calibri"/>
          <w:sz w:val="20"/>
          <w:szCs w:val="20"/>
          <w:lang w:val="en-US" w:eastAsia="en-US"/>
        </w:rPr>
        <w:t xml:space="preserve">, while continuing to deliver excellent service to our </w:t>
      </w:r>
      <w:r w:rsidR="008B16CC" w:rsidRPr="008C3FEE">
        <w:rPr>
          <w:rFonts w:ascii="Calibri" w:hAnsi="Calibri" w:cs="Calibri"/>
          <w:sz w:val="20"/>
          <w:szCs w:val="20"/>
          <w:lang w:val="en-US" w:eastAsia="en-US"/>
        </w:rPr>
        <w:t>ever-increasing</w:t>
      </w:r>
      <w:r w:rsidR="008C3FEE" w:rsidRPr="008C3FEE">
        <w:rPr>
          <w:rFonts w:ascii="Calibri" w:hAnsi="Calibri" w:cs="Calibri"/>
          <w:sz w:val="20"/>
          <w:szCs w:val="20"/>
          <w:lang w:val="en-US" w:eastAsia="en-US"/>
        </w:rPr>
        <w:t xml:space="preserve"> number of customers.</w:t>
      </w:r>
      <w:r w:rsidR="00BA7445">
        <w:rPr>
          <w:rFonts w:ascii="Calibri" w:hAnsi="Calibri" w:cs="Calibri"/>
          <w:sz w:val="20"/>
          <w:szCs w:val="20"/>
          <w:lang w:val="en-US" w:eastAsia="en-US"/>
        </w:rPr>
        <w:t xml:space="preserve"> </w:t>
      </w:r>
      <w:r w:rsidR="008C3FEE" w:rsidRPr="008C3FEE">
        <w:rPr>
          <w:rFonts w:ascii="Calibri" w:hAnsi="Calibri" w:cs="Calibri"/>
          <w:sz w:val="20"/>
          <w:szCs w:val="20"/>
          <w:lang w:val="en-US" w:eastAsia="en-US"/>
        </w:rPr>
        <w:t xml:space="preserve">The global economic environment affects all </w:t>
      </w:r>
      <w:r w:rsidR="00BA7445">
        <w:rPr>
          <w:rFonts w:ascii="Calibri" w:hAnsi="Calibri" w:cs="Calibri"/>
          <w:sz w:val="20"/>
          <w:szCs w:val="20"/>
          <w:lang w:val="en-US" w:eastAsia="en-US"/>
        </w:rPr>
        <w:t xml:space="preserve">our </w:t>
      </w:r>
      <w:r w:rsidR="008C3FEE" w:rsidRPr="008C3FEE">
        <w:rPr>
          <w:rFonts w:ascii="Calibri" w:hAnsi="Calibri" w:cs="Calibri"/>
          <w:sz w:val="20"/>
          <w:szCs w:val="20"/>
          <w:lang w:val="en-US" w:eastAsia="en-US"/>
        </w:rPr>
        <w:t xml:space="preserve">customers, employees and businesses </w:t>
      </w:r>
      <w:r w:rsidR="00BA7445">
        <w:rPr>
          <w:rFonts w:ascii="Calibri" w:hAnsi="Calibri" w:cs="Calibri"/>
          <w:sz w:val="20"/>
          <w:szCs w:val="20"/>
          <w:lang w:val="en-US" w:eastAsia="en-US"/>
        </w:rPr>
        <w:t xml:space="preserve">as inflation and interest rates increase </w:t>
      </w:r>
      <w:r w:rsidR="008B16CC">
        <w:rPr>
          <w:rFonts w:ascii="Calibri" w:hAnsi="Calibri" w:cs="Calibri"/>
          <w:sz w:val="20"/>
          <w:szCs w:val="20"/>
          <w:lang w:val="en-US" w:eastAsia="en-US"/>
        </w:rPr>
        <w:t>costs</w:t>
      </w:r>
      <w:r w:rsidR="00BA7445">
        <w:rPr>
          <w:rFonts w:ascii="Calibri" w:hAnsi="Calibri" w:cs="Calibri"/>
          <w:sz w:val="20"/>
          <w:szCs w:val="20"/>
          <w:lang w:val="en-US" w:eastAsia="en-US"/>
        </w:rPr>
        <w:t xml:space="preserve">. This requires us to </w:t>
      </w:r>
      <w:r w:rsidR="008B16CC">
        <w:rPr>
          <w:rFonts w:ascii="Calibri" w:hAnsi="Calibri" w:cs="Calibri"/>
          <w:sz w:val="20"/>
          <w:szCs w:val="20"/>
          <w:lang w:val="en-US" w:eastAsia="en-US"/>
        </w:rPr>
        <w:t xml:space="preserve">adapt and </w:t>
      </w:r>
      <w:r w:rsidR="00BA7445">
        <w:rPr>
          <w:rFonts w:ascii="Calibri" w:hAnsi="Calibri" w:cs="Calibri"/>
          <w:sz w:val="20"/>
          <w:szCs w:val="20"/>
          <w:lang w:val="en-US" w:eastAsia="en-US"/>
        </w:rPr>
        <w:t>work h</w:t>
      </w:r>
      <w:r w:rsidR="008C3FEE" w:rsidRPr="008C3FEE">
        <w:rPr>
          <w:rFonts w:ascii="Calibri" w:hAnsi="Calibri" w:cs="Calibri"/>
          <w:sz w:val="20"/>
          <w:szCs w:val="20"/>
          <w:lang w:val="en-US" w:eastAsia="en-US"/>
        </w:rPr>
        <w:t xml:space="preserve">arder to drive </w:t>
      </w:r>
      <w:r w:rsidR="002950C1">
        <w:rPr>
          <w:rFonts w:ascii="Calibri" w:hAnsi="Calibri" w:cs="Calibri"/>
          <w:sz w:val="20"/>
          <w:szCs w:val="20"/>
          <w:lang w:val="en-US" w:eastAsia="en-US"/>
        </w:rPr>
        <w:t>sustainable</w:t>
      </w:r>
      <w:r w:rsidR="008C3FEE" w:rsidRPr="008C3FEE">
        <w:rPr>
          <w:rFonts w:ascii="Calibri" w:hAnsi="Calibri" w:cs="Calibri"/>
          <w:sz w:val="20"/>
          <w:szCs w:val="20"/>
          <w:lang w:val="en-US" w:eastAsia="en-US"/>
        </w:rPr>
        <w:t xml:space="preserve"> profitable growth, </w:t>
      </w:r>
      <w:r w:rsidR="008C3FEE" w:rsidRPr="008B16CC">
        <w:rPr>
          <w:rFonts w:ascii="Calibri" w:hAnsi="Calibri" w:cs="Calibri"/>
          <w:sz w:val="20"/>
          <w:szCs w:val="20"/>
          <w:lang w:val="en-US" w:eastAsia="en-US"/>
        </w:rPr>
        <w:t xml:space="preserve">while remaining disciplined around underwriting </w:t>
      </w:r>
      <w:r w:rsidR="000D6E59">
        <w:rPr>
          <w:rFonts w:ascii="Calibri" w:hAnsi="Calibri" w:cs="Calibri"/>
          <w:sz w:val="20"/>
          <w:szCs w:val="20"/>
          <w:lang w:val="en-US" w:eastAsia="en-US"/>
        </w:rPr>
        <w:t xml:space="preserve">and costs </w:t>
      </w:r>
      <w:r w:rsidR="008B16CC">
        <w:rPr>
          <w:rFonts w:ascii="Calibri" w:hAnsi="Calibri" w:cs="Calibri"/>
          <w:sz w:val="20"/>
          <w:szCs w:val="20"/>
          <w:lang w:val="en-US" w:eastAsia="en-US"/>
        </w:rPr>
        <w:t xml:space="preserve">to ensure we continue to </w:t>
      </w:r>
      <w:r w:rsidR="008C3FEE" w:rsidRPr="008B16CC">
        <w:rPr>
          <w:rFonts w:ascii="Calibri" w:hAnsi="Calibri" w:cs="Calibri"/>
          <w:sz w:val="20"/>
          <w:szCs w:val="20"/>
          <w:lang w:val="en-US" w:eastAsia="en-US"/>
        </w:rPr>
        <w:t>deliver</w:t>
      </w:r>
      <w:r w:rsidR="008B16CC">
        <w:rPr>
          <w:rFonts w:ascii="Calibri" w:hAnsi="Calibri" w:cs="Calibri"/>
          <w:sz w:val="20"/>
          <w:szCs w:val="20"/>
          <w:lang w:val="en-US" w:eastAsia="en-US"/>
        </w:rPr>
        <w:t xml:space="preserve"> </w:t>
      </w:r>
      <w:r w:rsidR="008C3FEE" w:rsidRPr="008B16CC">
        <w:rPr>
          <w:rFonts w:ascii="Calibri" w:hAnsi="Calibri" w:cs="Calibri"/>
          <w:sz w:val="20"/>
          <w:szCs w:val="20"/>
          <w:lang w:val="en-US" w:eastAsia="en-US"/>
        </w:rPr>
        <w:t>for all our stakeholders.</w:t>
      </w:r>
    </w:p>
    <w:p w14:paraId="70D05EF5" w14:textId="77777777" w:rsidR="008131DB" w:rsidRPr="00A06132" w:rsidRDefault="008131DB" w:rsidP="008131DB">
      <w:pPr>
        <w:pStyle w:val="ar"/>
        <w:spacing w:before="0" w:beforeAutospacing="0" w:after="0" w:afterAutospacing="0"/>
        <w:jc w:val="both"/>
        <w:rPr>
          <w:rFonts w:ascii="Calibri" w:hAnsi="Calibri" w:cs="Calibri"/>
          <w:sz w:val="19"/>
          <w:szCs w:val="19"/>
          <w:lang w:val="en-US" w:eastAsia="en-US"/>
        </w:rPr>
      </w:pPr>
    </w:p>
    <w:p w14:paraId="5D604C63" w14:textId="1A901218" w:rsidR="00C979D8" w:rsidRDefault="00E50907" w:rsidP="001A376F">
      <w:pPr>
        <w:jc w:val="both"/>
        <w:rPr>
          <w:rFonts w:ascii="Calibri" w:eastAsiaTheme="minorHAnsi" w:hAnsi="Calibri" w:cs="Calibri"/>
          <w:lang w:val="en-US"/>
        </w:rPr>
      </w:pPr>
      <w:r w:rsidRPr="008131DB">
        <w:rPr>
          <w:rFonts w:ascii="Calibri" w:eastAsiaTheme="minorHAnsi" w:hAnsi="Calibri" w:cs="Calibri"/>
          <w:lang w:val="en-US"/>
        </w:rPr>
        <w:t>FBD</w:t>
      </w:r>
      <w:r w:rsidR="005B26A3">
        <w:rPr>
          <w:rFonts w:ascii="Calibri" w:eastAsiaTheme="minorHAnsi" w:hAnsi="Calibri" w:cs="Calibri"/>
          <w:lang w:val="en-US"/>
        </w:rPr>
        <w:t xml:space="preserve"> is profitable and growing and believes</w:t>
      </w:r>
      <w:r w:rsidR="000C6440" w:rsidRPr="008131DB">
        <w:rPr>
          <w:rFonts w:ascii="Calibri" w:eastAsiaTheme="minorHAnsi" w:hAnsi="Calibri" w:cs="Calibri"/>
          <w:lang w:val="en-US"/>
        </w:rPr>
        <w:t xml:space="preserve"> </w:t>
      </w:r>
      <w:r w:rsidR="005B26A3">
        <w:rPr>
          <w:rFonts w:ascii="Calibri" w:eastAsiaTheme="minorHAnsi" w:hAnsi="Calibri" w:cs="Calibri"/>
          <w:lang w:val="en-US"/>
        </w:rPr>
        <w:t xml:space="preserve">that this will </w:t>
      </w:r>
      <w:r w:rsidRPr="008131DB">
        <w:rPr>
          <w:rFonts w:ascii="Calibri" w:eastAsiaTheme="minorHAnsi" w:hAnsi="Calibri" w:cs="Calibri"/>
          <w:lang w:val="en-US"/>
        </w:rPr>
        <w:t>continu</w:t>
      </w:r>
      <w:r w:rsidR="005B26A3">
        <w:rPr>
          <w:rFonts w:ascii="Calibri" w:eastAsiaTheme="minorHAnsi" w:hAnsi="Calibri" w:cs="Calibri"/>
          <w:lang w:val="en-US"/>
        </w:rPr>
        <w:t xml:space="preserve">e, with a </w:t>
      </w:r>
      <w:r w:rsidR="00F44584" w:rsidRPr="008131DB">
        <w:rPr>
          <w:rFonts w:ascii="Calibri" w:eastAsiaTheme="minorHAnsi" w:hAnsi="Calibri" w:cs="Calibri"/>
          <w:lang w:val="en-US"/>
        </w:rPr>
        <w:t>Combined Operating Ratio*</w:t>
      </w:r>
      <w:r w:rsidR="00E701A2" w:rsidRPr="008131DB">
        <w:rPr>
          <w:rFonts w:ascii="Calibri" w:eastAsiaTheme="minorHAnsi" w:hAnsi="Calibri" w:cs="Calibri"/>
          <w:lang w:val="en-US"/>
        </w:rPr>
        <w:t xml:space="preserve"> of low</w:t>
      </w:r>
      <w:r w:rsidR="00F44584" w:rsidRPr="008131DB">
        <w:rPr>
          <w:rFonts w:ascii="Calibri" w:eastAsiaTheme="minorHAnsi" w:hAnsi="Calibri" w:cs="Calibri"/>
          <w:lang w:val="en-US"/>
        </w:rPr>
        <w:t xml:space="preserve"> 90s be</w:t>
      </w:r>
      <w:r w:rsidR="005B26A3">
        <w:rPr>
          <w:rFonts w:ascii="Calibri" w:eastAsiaTheme="minorHAnsi" w:hAnsi="Calibri" w:cs="Calibri"/>
          <w:lang w:val="en-US"/>
        </w:rPr>
        <w:t>ing</w:t>
      </w:r>
      <w:r w:rsidR="00F44584" w:rsidRPr="008131DB">
        <w:rPr>
          <w:rFonts w:ascii="Calibri" w:eastAsiaTheme="minorHAnsi" w:hAnsi="Calibri" w:cs="Calibri"/>
          <w:lang w:val="en-US"/>
        </w:rPr>
        <w:t xml:space="preserve"> achievable</w:t>
      </w:r>
      <w:r w:rsidR="005B26A3">
        <w:rPr>
          <w:rFonts w:ascii="Calibri" w:eastAsiaTheme="minorHAnsi" w:hAnsi="Calibri" w:cs="Calibri"/>
          <w:lang w:val="en-US"/>
        </w:rPr>
        <w:t xml:space="preserve"> in 2024</w:t>
      </w:r>
      <w:r w:rsidR="00F44584" w:rsidRPr="008131DB">
        <w:rPr>
          <w:rFonts w:ascii="Calibri" w:eastAsiaTheme="minorHAnsi" w:hAnsi="Calibri" w:cs="Calibri"/>
          <w:lang w:val="en-US"/>
        </w:rPr>
        <w:t xml:space="preserve">. </w:t>
      </w:r>
    </w:p>
    <w:p w14:paraId="13372481" w14:textId="77777777" w:rsidR="00955A1C" w:rsidRPr="008131DB" w:rsidRDefault="00955A1C" w:rsidP="001A376F">
      <w:pPr>
        <w:jc w:val="both"/>
        <w:rPr>
          <w:rFonts w:ascii="Calibri" w:eastAsiaTheme="minorHAnsi" w:hAnsi="Calibri" w:cs="Calibri"/>
          <w:lang w:val="en-US"/>
        </w:rPr>
      </w:pPr>
    </w:p>
    <w:p w14:paraId="6AC78FC1" w14:textId="06FC85B9" w:rsidR="00740926" w:rsidRPr="004C6E1E" w:rsidRDefault="00F44584" w:rsidP="00630453">
      <w:pPr>
        <w:jc w:val="both"/>
        <w:rPr>
          <w:rFonts w:ascii="Calibri" w:eastAsiaTheme="minorHAnsi" w:hAnsi="Calibri" w:cs="Calibri"/>
          <w:sz w:val="18"/>
          <w:szCs w:val="18"/>
          <w:lang w:val="en-US"/>
        </w:rPr>
      </w:pPr>
      <w:r w:rsidRPr="004C6E1E">
        <w:rPr>
          <w:rFonts w:ascii="Calibri" w:eastAsiaTheme="minorHAnsi" w:hAnsi="Calibri" w:cs="Calibri"/>
          <w:sz w:val="18"/>
          <w:szCs w:val="18"/>
          <w:lang w:val="en-US"/>
        </w:rPr>
        <w:t xml:space="preserve">*Please see the </w:t>
      </w:r>
      <w:r w:rsidR="00F05A79" w:rsidRPr="004C6E1E">
        <w:rPr>
          <w:rFonts w:ascii="Calibri" w:eastAsiaTheme="minorHAnsi" w:hAnsi="Calibri" w:cs="Calibri"/>
          <w:sz w:val="18"/>
          <w:szCs w:val="18"/>
          <w:lang w:val="en-US"/>
        </w:rPr>
        <w:t xml:space="preserve">Alternative Performance </w:t>
      </w:r>
      <w:r w:rsidR="00F05A79" w:rsidRPr="00507B1C">
        <w:rPr>
          <w:rFonts w:ascii="Calibri" w:eastAsiaTheme="minorHAnsi" w:hAnsi="Calibri" w:cs="Calibri"/>
          <w:sz w:val="18"/>
          <w:szCs w:val="18"/>
          <w:lang w:val="en-US"/>
        </w:rPr>
        <w:t>Measures</w:t>
      </w:r>
      <w:r w:rsidRPr="00507B1C">
        <w:rPr>
          <w:rFonts w:ascii="Calibri" w:eastAsiaTheme="minorHAnsi" w:hAnsi="Calibri" w:cs="Calibri"/>
          <w:sz w:val="18"/>
          <w:szCs w:val="18"/>
          <w:lang w:val="en-US"/>
        </w:rPr>
        <w:t xml:space="preserve"> </w:t>
      </w:r>
      <w:r w:rsidR="00F537C1" w:rsidRPr="00507B1C">
        <w:rPr>
          <w:rFonts w:ascii="Calibri" w:eastAsiaTheme="minorHAnsi" w:hAnsi="Calibri" w:cs="Calibri"/>
          <w:sz w:val="18"/>
          <w:szCs w:val="18"/>
          <w:lang w:val="en-US"/>
        </w:rPr>
        <w:t xml:space="preserve">on </w:t>
      </w:r>
      <w:r w:rsidR="00F05A79" w:rsidRPr="00507B1C">
        <w:rPr>
          <w:rFonts w:ascii="Calibri" w:eastAsiaTheme="minorHAnsi" w:hAnsi="Calibri" w:cs="Calibri"/>
          <w:sz w:val="18"/>
          <w:szCs w:val="18"/>
          <w:lang w:val="en-US"/>
        </w:rPr>
        <w:t>page</w:t>
      </w:r>
      <w:r w:rsidR="00F537C1" w:rsidRPr="00A06132">
        <w:rPr>
          <w:rFonts w:ascii="Calibri" w:eastAsiaTheme="minorHAnsi" w:hAnsi="Calibri" w:cs="Calibri"/>
          <w:sz w:val="18"/>
          <w:szCs w:val="18"/>
          <w:lang w:val="en-US"/>
        </w:rPr>
        <w:t>s 23 to</w:t>
      </w:r>
      <w:r w:rsidR="00F05A79" w:rsidRPr="00507B1C">
        <w:rPr>
          <w:rFonts w:ascii="Calibri" w:eastAsiaTheme="minorHAnsi" w:hAnsi="Calibri" w:cs="Calibri"/>
          <w:sz w:val="18"/>
          <w:szCs w:val="18"/>
          <w:lang w:val="en-US"/>
        </w:rPr>
        <w:t xml:space="preserve"> 2</w:t>
      </w:r>
      <w:r w:rsidR="00F537C1" w:rsidRPr="00A06132">
        <w:rPr>
          <w:rFonts w:ascii="Calibri" w:eastAsiaTheme="minorHAnsi" w:hAnsi="Calibri" w:cs="Calibri"/>
          <w:sz w:val="18"/>
          <w:szCs w:val="18"/>
          <w:lang w:val="en-US"/>
        </w:rPr>
        <w:t>6</w:t>
      </w:r>
      <w:r w:rsidR="00F05A79" w:rsidRPr="00507B1C">
        <w:rPr>
          <w:rFonts w:ascii="Calibri" w:eastAsiaTheme="minorHAnsi" w:hAnsi="Calibri" w:cs="Calibri"/>
          <w:sz w:val="18"/>
          <w:szCs w:val="18"/>
          <w:lang w:val="en-US"/>
        </w:rPr>
        <w:t xml:space="preserve"> </w:t>
      </w:r>
      <w:r w:rsidRPr="00507B1C">
        <w:rPr>
          <w:rFonts w:ascii="Calibri" w:eastAsiaTheme="minorHAnsi" w:hAnsi="Calibri" w:cs="Calibri"/>
          <w:sz w:val="18"/>
          <w:szCs w:val="18"/>
          <w:lang w:val="en-US"/>
        </w:rPr>
        <w:t xml:space="preserve">for </w:t>
      </w:r>
      <w:r w:rsidR="00F05A79" w:rsidRPr="00507B1C">
        <w:rPr>
          <w:rFonts w:ascii="Calibri" w:eastAsiaTheme="minorHAnsi" w:hAnsi="Calibri" w:cs="Calibri"/>
          <w:sz w:val="18"/>
          <w:szCs w:val="18"/>
          <w:lang w:val="en-US"/>
        </w:rPr>
        <w:t>the</w:t>
      </w:r>
      <w:r w:rsidR="00F05A79" w:rsidRPr="004C6E1E">
        <w:rPr>
          <w:rFonts w:ascii="Calibri" w:eastAsiaTheme="minorHAnsi" w:hAnsi="Calibri" w:cs="Calibri"/>
          <w:sz w:val="18"/>
          <w:szCs w:val="18"/>
          <w:lang w:val="en-US"/>
        </w:rPr>
        <w:t xml:space="preserve"> </w:t>
      </w:r>
      <w:r w:rsidRPr="004C6E1E">
        <w:rPr>
          <w:rFonts w:ascii="Calibri" w:eastAsiaTheme="minorHAnsi" w:hAnsi="Calibri" w:cs="Calibri"/>
          <w:sz w:val="18"/>
          <w:szCs w:val="18"/>
          <w:lang w:val="en-US"/>
        </w:rPr>
        <w:t>definition of Combined Operating Ratio</w:t>
      </w:r>
      <w:r w:rsidR="00955A1C">
        <w:rPr>
          <w:rFonts w:ascii="Calibri" w:eastAsiaTheme="minorHAnsi" w:hAnsi="Calibri" w:cs="Calibri"/>
          <w:sz w:val="18"/>
          <w:szCs w:val="18"/>
          <w:lang w:val="en-US"/>
        </w:rPr>
        <w:t>.</w:t>
      </w:r>
      <w:r w:rsidRPr="004C6E1E">
        <w:rPr>
          <w:rFonts w:ascii="Calibri" w:eastAsiaTheme="minorHAnsi" w:hAnsi="Calibri" w:cs="Calibri"/>
          <w:sz w:val="18"/>
          <w:szCs w:val="18"/>
          <w:lang w:val="en-US"/>
        </w:rPr>
        <w:t xml:space="preserve"> </w:t>
      </w:r>
      <w:r w:rsidR="00740926" w:rsidRPr="004C6E1E">
        <w:rPr>
          <w:rFonts w:ascii="Calibri" w:eastAsiaTheme="minorHAnsi" w:hAnsi="Calibri" w:cs="Calibri"/>
          <w:sz w:val="18"/>
          <w:szCs w:val="18"/>
          <w:lang w:val="en-US"/>
        </w:rPr>
        <w:br w:type="page"/>
      </w:r>
    </w:p>
    <w:p w14:paraId="3AE059F5" w14:textId="77777777" w:rsidR="000C7AE0" w:rsidRDefault="000C7AE0" w:rsidP="000C7AE0">
      <w:pPr>
        <w:ind w:right="114"/>
        <w:jc w:val="center"/>
        <w:rPr>
          <w:rFonts w:ascii="Calibri" w:hAnsi="Calibri" w:cs="Calibri"/>
          <w:b/>
          <w:sz w:val="18"/>
          <w:szCs w:val="18"/>
        </w:rPr>
      </w:pPr>
      <w:r w:rsidRPr="00880EF3">
        <w:rPr>
          <w:rFonts w:ascii="Calibri" w:hAnsi="Calibri" w:cs="Calibri"/>
          <w:b/>
          <w:sz w:val="18"/>
          <w:szCs w:val="18"/>
        </w:rPr>
        <w:t xml:space="preserve">FBD HOLDINGS PLC </w:t>
      </w:r>
    </w:p>
    <w:p w14:paraId="16DFE9E2" w14:textId="18C7B430" w:rsidR="000C7AE0" w:rsidRPr="00465E1A" w:rsidRDefault="000C7AE0" w:rsidP="000C7AE0">
      <w:pPr>
        <w:ind w:right="114"/>
        <w:jc w:val="center"/>
        <w:rPr>
          <w:rFonts w:ascii="Calibri" w:hAnsi="Calibri" w:cs="Calibri"/>
          <w:b/>
          <w:sz w:val="18"/>
          <w:szCs w:val="18"/>
        </w:rPr>
      </w:pPr>
      <w:r w:rsidRPr="00465E1A">
        <w:rPr>
          <w:rFonts w:ascii="Calibri" w:hAnsi="Calibri" w:cs="Calibri"/>
          <w:b/>
          <w:sz w:val="18"/>
          <w:szCs w:val="18"/>
        </w:rPr>
        <w:t>C</w:t>
      </w:r>
      <w:r>
        <w:rPr>
          <w:rFonts w:ascii="Calibri" w:hAnsi="Calibri" w:cs="Calibri"/>
          <w:b/>
          <w:sz w:val="18"/>
          <w:szCs w:val="18"/>
        </w:rPr>
        <w:t>ONSOLIDATED</w:t>
      </w:r>
      <w:r w:rsidRPr="00465E1A">
        <w:rPr>
          <w:rFonts w:ascii="Calibri" w:hAnsi="Calibri" w:cs="Calibri"/>
          <w:b/>
          <w:sz w:val="18"/>
          <w:szCs w:val="18"/>
        </w:rPr>
        <w:t xml:space="preserve"> I</w:t>
      </w:r>
      <w:r>
        <w:rPr>
          <w:rFonts w:ascii="Calibri" w:hAnsi="Calibri" w:cs="Calibri"/>
          <w:b/>
          <w:sz w:val="18"/>
          <w:szCs w:val="18"/>
        </w:rPr>
        <w:t>NCOME</w:t>
      </w:r>
      <w:r w:rsidRPr="00465E1A">
        <w:rPr>
          <w:rFonts w:ascii="Calibri" w:hAnsi="Calibri" w:cs="Calibri"/>
          <w:b/>
          <w:sz w:val="18"/>
          <w:szCs w:val="18"/>
        </w:rPr>
        <w:t xml:space="preserve"> S</w:t>
      </w:r>
      <w:r>
        <w:rPr>
          <w:rFonts w:ascii="Calibri" w:hAnsi="Calibri" w:cs="Calibri"/>
          <w:b/>
          <w:sz w:val="18"/>
          <w:szCs w:val="18"/>
        </w:rPr>
        <w:t>TATEMENT</w:t>
      </w:r>
    </w:p>
    <w:p w14:paraId="271C2FE9" w14:textId="4E3E00CB" w:rsidR="000C7AE0" w:rsidRPr="00465E1A" w:rsidRDefault="000C7AE0" w:rsidP="000C7AE0">
      <w:pPr>
        <w:ind w:right="114"/>
        <w:jc w:val="center"/>
        <w:rPr>
          <w:rFonts w:ascii="Calibri" w:hAnsi="Calibri" w:cs="Calibri"/>
          <w:b/>
          <w:sz w:val="18"/>
          <w:szCs w:val="18"/>
        </w:rPr>
      </w:pPr>
      <w:r w:rsidRPr="00465E1A">
        <w:rPr>
          <w:rFonts w:ascii="Calibri" w:hAnsi="Calibri" w:cs="Calibri"/>
          <w:b/>
          <w:sz w:val="18"/>
          <w:szCs w:val="18"/>
        </w:rPr>
        <w:t xml:space="preserve">For the </w:t>
      </w:r>
      <w:r>
        <w:rPr>
          <w:rFonts w:ascii="Calibri" w:hAnsi="Calibri" w:cs="Calibri"/>
          <w:b/>
          <w:sz w:val="18"/>
          <w:szCs w:val="18"/>
        </w:rPr>
        <w:t xml:space="preserve">financial </w:t>
      </w:r>
      <w:r w:rsidRPr="00465E1A">
        <w:rPr>
          <w:rFonts w:ascii="Calibri" w:hAnsi="Calibri" w:cs="Calibri"/>
          <w:b/>
          <w:sz w:val="18"/>
          <w:szCs w:val="18"/>
        </w:rPr>
        <w:t>year ended 3</w:t>
      </w:r>
      <w:r>
        <w:rPr>
          <w:rFonts w:ascii="Calibri" w:hAnsi="Calibri" w:cs="Calibri"/>
          <w:b/>
          <w:sz w:val="18"/>
          <w:szCs w:val="18"/>
        </w:rPr>
        <w:t>1 December</w:t>
      </w:r>
      <w:r w:rsidRPr="00465E1A">
        <w:rPr>
          <w:rFonts w:ascii="Calibri" w:hAnsi="Calibri" w:cs="Calibri"/>
          <w:b/>
          <w:sz w:val="18"/>
          <w:szCs w:val="18"/>
        </w:rPr>
        <w:t xml:space="preserve"> 2023</w:t>
      </w:r>
      <w:r>
        <w:rPr>
          <w:rFonts w:ascii="Calibri" w:hAnsi="Calibri" w:cs="Calibri"/>
          <w:b/>
          <w:sz w:val="18"/>
          <w:szCs w:val="18"/>
        </w:rPr>
        <w:t xml:space="preserve"> </w:t>
      </w:r>
    </w:p>
    <w:p w14:paraId="6F99AB2D" w14:textId="77777777" w:rsidR="004969ED" w:rsidRPr="001D5AED" w:rsidRDefault="004969ED" w:rsidP="004969ED">
      <w:pPr>
        <w:pStyle w:val="BlockText"/>
        <w:tabs>
          <w:tab w:val="left" w:pos="8080"/>
        </w:tabs>
        <w:ind w:left="0" w:right="-28"/>
        <w:rPr>
          <w:rFonts w:asciiTheme="minorHAnsi" w:hAnsiTheme="minorHAnsi" w:cstheme="minorHAnsi"/>
          <w:b/>
          <w:color w:val="000000"/>
          <w:sz w:val="22"/>
        </w:rPr>
      </w:pPr>
    </w:p>
    <w:tbl>
      <w:tblPr>
        <w:tblW w:w="9424" w:type="dxa"/>
        <w:tblInd w:w="78" w:type="dxa"/>
        <w:tblLook w:val="01E0" w:firstRow="1" w:lastRow="1" w:firstColumn="1" w:lastColumn="1" w:noHBand="0" w:noVBand="0"/>
      </w:tblPr>
      <w:tblGrid>
        <w:gridCol w:w="9147"/>
        <w:gridCol w:w="277"/>
      </w:tblGrid>
      <w:tr w:rsidR="00757E4A" w:rsidRPr="001D5AED" w14:paraId="3760B308" w14:textId="77777777" w:rsidTr="00757E4A">
        <w:trPr>
          <w:trHeight w:val="424"/>
        </w:trPr>
        <w:tc>
          <w:tcPr>
            <w:tcW w:w="9147" w:type="dxa"/>
          </w:tcPr>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851"/>
              <w:gridCol w:w="1134"/>
              <w:gridCol w:w="1276"/>
            </w:tblGrid>
            <w:tr w:rsidR="00757E4A" w:rsidRPr="008901A5" w14:paraId="7572AFA3" w14:textId="77777777" w:rsidTr="000C7AE0">
              <w:trPr>
                <w:trHeight w:val="496"/>
              </w:trPr>
              <w:tc>
                <w:tcPr>
                  <w:tcW w:w="5670" w:type="dxa"/>
                </w:tcPr>
                <w:p w14:paraId="23C1E852" w14:textId="77777777" w:rsidR="00757E4A" w:rsidRPr="00880EF3" w:rsidRDefault="00757E4A" w:rsidP="000C7AE0">
                  <w:pPr>
                    <w:rPr>
                      <w:rFonts w:ascii="Calibri" w:hAnsi="Calibri" w:cs="Calibri"/>
                      <w:sz w:val="18"/>
                      <w:szCs w:val="18"/>
                      <w:vertAlign w:val="superscript"/>
                    </w:rPr>
                  </w:pPr>
                </w:p>
              </w:tc>
              <w:tc>
                <w:tcPr>
                  <w:tcW w:w="851" w:type="dxa"/>
                </w:tcPr>
                <w:p w14:paraId="000A3476" w14:textId="1D736F31" w:rsidR="00757E4A" w:rsidRPr="00880EF3" w:rsidRDefault="00757E4A" w:rsidP="000C7AE0">
                  <w:pPr>
                    <w:rPr>
                      <w:rFonts w:ascii="Calibri" w:hAnsi="Calibri" w:cs="Calibri"/>
                      <w:i/>
                      <w:sz w:val="18"/>
                      <w:szCs w:val="18"/>
                      <w:vertAlign w:val="superscript"/>
                    </w:rPr>
                  </w:pPr>
                </w:p>
              </w:tc>
              <w:tc>
                <w:tcPr>
                  <w:tcW w:w="1134" w:type="dxa"/>
                </w:tcPr>
                <w:p w14:paraId="228B34D0" w14:textId="76DB6AEF" w:rsidR="00757E4A" w:rsidRPr="00880EF3" w:rsidRDefault="00757E4A" w:rsidP="000C7AE0">
                  <w:pPr>
                    <w:autoSpaceDE w:val="0"/>
                    <w:autoSpaceDN w:val="0"/>
                    <w:adjustRightInd w:val="0"/>
                    <w:jc w:val="right"/>
                    <w:rPr>
                      <w:rFonts w:ascii="Calibri" w:hAnsi="Calibri" w:cs="Calibri"/>
                      <w:b/>
                      <w:color w:val="000000"/>
                      <w:sz w:val="18"/>
                      <w:szCs w:val="18"/>
                    </w:rPr>
                  </w:pPr>
                  <w:r>
                    <w:rPr>
                      <w:rFonts w:ascii="Calibri" w:hAnsi="Calibri" w:cs="Calibri"/>
                      <w:b/>
                      <w:color w:val="000000"/>
                      <w:sz w:val="18"/>
                      <w:szCs w:val="18"/>
                    </w:rPr>
                    <w:t>2023</w:t>
                  </w:r>
                </w:p>
                <w:p w14:paraId="5175CDE7" w14:textId="77777777" w:rsidR="00757E4A" w:rsidRPr="00880EF3" w:rsidRDefault="00757E4A" w:rsidP="000C7AE0">
                  <w:pPr>
                    <w:jc w:val="right"/>
                    <w:rPr>
                      <w:rFonts w:ascii="Calibri" w:hAnsi="Calibri" w:cs="Calibri"/>
                      <w:i/>
                      <w:sz w:val="18"/>
                      <w:szCs w:val="18"/>
                      <w:vertAlign w:val="superscript"/>
                    </w:rPr>
                  </w:pPr>
                </w:p>
              </w:tc>
              <w:tc>
                <w:tcPr>
                  <w:tcW w:w="1276" w:type="dxa"/>
                </w:tcPr>
                <w:p w14:paraId="5FFA84D6" w14:textId="6035466B" w:rsidR="00757E4A" w:rsidRPr="00880EF3" w:rsidRDefault="00757E4A" w:rsidP="000C7AE0">
                  <w:pPr>
                    <w:autoSpaceDE w:val="0"/>
                    <w:autoSpaceDN w:val="0"/>
                    <w:adjustRightInd w:val="0"/>
                    <w:ind w:left="33"/>
                    <w:jc w:val="right"/>
                    <w:rPr>
                      <w:rFonts w:ascii="Calibri" w:hAnsi="Calibri" w:cs="Calibri"/>
                      <w:color w:val="000000"/>
                      <w:sz w:val="18"/>
                      <w:szCs w:val="18"/>
                    </w:rPr>
                  </w:pPr>
                  <w:r>
                    <w:rPr>
                      <w:rFonts w:ascii="Calibri" w:hAnsi="Calibri" w:cs="Calibri"/>
                      <w:color w:val="000000"/>
                      <w:sz w:val="18"/>
                      <w:szCs w:val="18"/>
                    </w:rPr>
                    <w:t xml:space="preserve">  2022</w:t>
                  </w:r>
                </w:p>
                <w:p w14:paraId="28C700B4" w14:textId="77777777" w:rsidR="00757E4A" w:rsidRPr="00465E1A" w:rsidRDefault="00757E4A" w:rsidP="000C7AE0">
                  <w:pPr>
                    <w:autoSpaceDE w:val="0"/>
                    <w:autoSpaceDN w:val="0"/>
                    <w:adjustRightInd w:val="0"/>
                    <w:jc w:val="right"/>
                    <w:rPr>
                      <w:rFonts w:ascii="Calibri" w:hAnsi="Calibri" w:cs="Calibri"/>
                      <w:color w:val="000000"/>
                      <w:sz w:val="18"/>
                      <w:szCs w:val="18"/>
                    </w:rPr>
                  </w:pPr>
                  <w:r>
                    <w:rPr>
                      <w:rFonts w:ascii="Calibri" w:hAnsi="Calibri" w:cs="Calibri"/>
                      <w:color w:val="000000"/>
                      <w:sz w:val="18"/>
                      <w:szCs w:val="18"/>
                    </w:rPr>
                    <w:t>(restated</w:t>
                  </w:r>
                  <w:r w:rsidRPr="00880EF3">
                    <w:rPr>
                      <w:rFonts w:ascii="Calibri" w:hAnsi="Calibri" w:cs="Calibri"/>
                      <w:color w:val="000000"/>
                      <w:sz w:val="18"/>
                      <w:szCs w:val="18"/>
                    </w:rPr>
                    <w:t>)</w:t>
                  </w:r>
                  <w:r>
                    <w:rPr>
                      <w:rFonts w:ascii="Calibri" w:hAnsi="Calibri" w:cs="Calibri"/>
                      <w:color w:val="000000"/>
                      <w:sz w:val="18"/>
                      <w:szCs w:val="18"/>
                      <w:vertAlign w:val="superscript"/>
                    </w:rPr>
                    <w:t>1</w:t>
                  </w:r>
                </w:p>
              </w:tc>
            </w:tr>
            <w:tr w:rsidR="00757E4A" w:rsidRPr="008901A5" w14:paraId="34FDBACB" w14:textId="77777777" w:rsidTr="000C7AE0">
              <w:trPr>
                <w:trHeight w:val="253"/>
              </w:trPr>
              <w:tc>
                <w:tcPr>
                  <w:tcW w:w="5670" w:type="dxa"/>
                </w:tcPr>
                <w:p w14:paraId="4BC8ED89" w14:textId="77777777" w:rsidR="00757E4A" w:rsidRPr="00880EF3" w:rsidRDefault="00757E4A" w:rsidP="000C7AE0">
                  <w:pPr>
                    <w:rPr>
                      <w:rFonts w:ascii="Calibri" w:hAnsi="Calibri" w:cs="Calibri"/>
                      <w:i/>
                      <w:sz w:val="18"/>
                      <w:szCs w:val="18"/>
                      <w:vertAlign w:val="superscript"/>
                    </w:rPr>
                  </w:pPr>
                </w:p>
              </w:tc>
              <w:tc>
                <w:tcPr>
                  <w:tcW w:w="851" w:type="dxa"/>
                </w:tcPr>
                <w:p w14:paraId="764D7B34" w14:textId="77777777" w:rsidR="00757E4A" w:rsidRPr="00880EF3" w:rsidRDefault="00757E4A" w:rsidP="000C7AE0">
                  <w:pPr>
                    <w:rPr>
                      <w:rFonts w:ascii="Calibri" w:hAnsi="Calibri" w:cs="Calibri"/>
                      <w:i/>
                      <w:sz w:val="18"/>
                      <w:szCs w:val="18"/>
                      <w:vertAlign w:val="superscript"/>
                    </w:rPr>
                  </w:pPr>
                </w:p>
              </w:tc>
              <w:tc>
                <w:tcPr>
                  <w:tcW w:w="1134" w:type="dxa"/>
                </w:tcPr>
                <w:p w14:paraId="157C8350" w14:textId="77777777" w:rsidR="00757E4A" w:rsidRPr="00880EF3" w:rsidRDefault="00757E4A" w:rsidP="000C7AE0">
                  <w:pPr>
                    <w:jc w:val="right"/>
                    <w:rPr>
                      <w:rFonts w:ascii="Calibri" w:hAnsi="Calibri" w:cs="Calibri"/>
                      <w:i/>
                      <w:sz w:val="18"/>
                      <w:szCs w:val="18"/>
                      <w:vertAlign w:val="superscript"/>
                    </w:rPr>
                  </w:pPr>
                  <w:r w:rsidRPr="00880EF3">
                    <w:rPr>
                      <w:rFonts w:ascii="Calibri" w:hAnsi="Calibri" w:cs="Calibri"/>
                      <w:b/>
                      <w:bCs/>
                      <w:color w:val="000000"/>
                      <w:sz w:val="18"/>
                      <w:szCs w:val="18"/>
                    </w:rPr>
                    <w:t>€000s</w:t>
                  </w:r>
                </w:p>
              </w:tc>
              <w:tc>
                <w:tcPr>
                  <w:tcW w:w="1276" w:type="dxa"/>
                </w:tcPr>
                <w:p w14:paraId="2676C203" w14:textId="77777777" w:rsidR="00757E4A" w:rsidRPr="00880EF3" w:rsidRDefault="00757E4A" w:rsidP="000C7AE0">
                  <w:pPr>
                    <w:jc w:val="right"/>
                    <w:rPr>
                      <w:rFonts w:ascii="Calibri" w:hAnsi="Calibri" w:cs="Calibri"/>
                      <w:i/>
                      <w:sz w:val="18"/>
                      <w:szCs w:val="18"/>
                      <w:vertAlign w:val="superscript"/>
                    </w:rPr>
                  </w:pPr>
                  <w:r w:rsidRPr="00880EF3">
                    <w:rPr>
                      <w:rFonts w:ascii="Calibri" w:hAnsi="Calibri" w:cs="Calibri"/>
                      <w:bCs/>
                      <w:color w:val="000000"/>
                      <w:sz w:val="18"/>
                      <w:szCs w:val="18"/>
                    </w:rPr>
                    <w:t>€000s</w:t>
                  </w:r>
                </w:p>
              </w:tc>
            </w:tr>
            <w:tr w:rsidR="00757E4A" w:rsidRPr="008901A5" w14:paraId="28C13C78" w14:textId="77777777" w:rsidTr="000C7AE0">
              <w:trPr>
                <w:trHeight w:val="253"/>
              </w:trPr>
              <w:tc>
                <w:tcPr>
                  <w:tcW w:w="5670" w:type="dxa"/>
                </w:tcPr>
                <w:p w14:paraId="04F3BF16" w14:textId="77777777" w:rsidR="00757E4A" w:rsidRPr="00880EF3" w:rsidRDefault="00757E4A" w:rsidP="000C7AE0">
                  <w:pPr>
                    <w:rPr>
                      <w:rFonts w:ascii="Calibri" w:hAnsi="Calibri" w:cs="Calibri"/>
                      <w:i/>
                      <w:sz w:val="18"/>
                      <w:szCs w:val="18"/>
                      <w:vertAlign w:val="superscript"/>
                    </w:rPr>
                  </w:pPr>
                </w:p>
              </w:tc>
              <w:tc>
                <w:tcPr>
                  <w:tcW w:w="851" w:type="dxa"/>
                </w:tcPr>
                <w:p w14:paraId="15F67175" w14:textId="77777777" w:rsidR="00757E4A" w:rsidRPr="00880EF3" w:rsidRDefault="00757E4A" w:rsidP="000C7AE0">
                  <w:pPr>
                    <w:rPr>
                      <w:rFonts w:ascii="Calibri" w:hAnsi="Calibri" w:cs="Calibri"/>
                      <w:i/>
                      <w:sz w:val="18"/>
                      <w:szCs w:val="18"/>
                      <w:vertAlign w:val="superscript"/>
                    </w:rPr>
                  </w:pPr>
                </w:p>
              </w:tc>
              <w:tc>
                <w:tcPr>
                  <w:tcW w:w="1134" w:type="dxa"/>
                </w:tcPr>
                <w:p w14:paraId="2A6B4D67" w14:textId="77777777" w:rsidR="00757E4A" w:rsidRPr="007C18DE" w:rsidRDefault="00757E4A" w:rsidP="000C7AE0">
                  <w:pPr>
                    <w:jc w:val="right"/>
                    <w:rPr>
                      <w:rFonts w:ascii="Calibri" w:hAnsi="Calibri" w:cs="Calibri"/>
                      <w:b/>
                      <w:bCs/>
                      <w:i/>
                      <w:sz w:val="18"/>
                      <w:szCs w:val="18"/>
                      <w:vertAlign w:val="superscript"/>
                    </w:rPr>
                  </w:pPr>
                </w:p>
              </w:tc>
              <w:tc>
                <w:tcPr>
                  <w:tcW w:w="1276" w:type="dxa"/>
                </w:tcPr>
                <w:p w14:paraId="1D719080" w14:textId="77777777" w:rsidR="00757E4A" w:rsidRPr="00880EF3" w:rsidRDefault="00757E4A" w:rsidP="000C7AE0">
                  <w:pPr>
                    <w:jc w:val="both"/>
                    <w:rPr>
                      <w:rFonts w:ascii="Calibri" w:hAnsi="Calibri" w:cs="Calibri"/>
                      <w:i/>
                      <w:sz w:val="18"/>
                      <w:szCs w:val="18"/>
                      <w:vertAlign w:val="superscript"/>
                    </w:rPr>
                  </w:pPr>
                </w:p>
              </w:tc>
            </w:tr>
            <w:tr w:rsidR="00757E4A" w:rsidRPr="008901A5" w14:paraId="1D871F70" w14:textId="77777777" w:rsidTr="000C7AE0">
              <w:trPr>
                <w:trHeight w:val="253"/>
              </w:trPr>
              <w:tc>
                <w:tcPr>
                  <w:tcW w:w="5670" w:type="dxa"/>
                </w:tcPr>
                <w:p w14:paraId="18398364" w14:textId="77777777" w:rsidR="00757E4A" w:rsidRPr="00880EF3" w:rsidRDefault="00757E4A" w:rsidP="000C7AE0">
                  <w:pPr>
                    <w:rPr>
                      <w:rFonts w:ascii="Calibri" w:hAnsi="Calibri" w:cs="Calibri"/>
                      <w:i/>
                      <w:sz w:val="18"/>
                      <w:szCs w:val="18"/>
                      <w:vertAlign w:val="superscript"/>
                    </w:rPr>
                  </w:pPr>
                  <w:r w:rsidRPr="00880EF3">
                    <w:rPr>
                      <w:rFonts w:ascii="Calibri" w:hAnsi="Calibri" w:cs="Calibri"/>
                      <w:b/>
                      <w:bCs/>
                      <w:color w:val="000000"/>
                      <w:sz w:val="18"/>
                      <w:szCs w:val="18"/>
                    </w:rPr>
                    <w:t>Insurance revenue</w:t>
                  </w:r>
                </w:p>
              </w:tc>
              <w:tc>
                <w:tcPr>
                  <w:tcW w:w="851" w:type="dxa"/>
                </w:tcPr>
                <w:p w14:paraId="717244DA" w14:textId="707D5A14" w:rsidR="00757E4A" w:rsidRPr="00880EF3" w:rsidRDefault="00757E4A" w:rsidP="000C7AE0">
                  <w:pPr>
                    <w:rPr>
                      <w:rFonts w:ascii="Calibri" w:hAnsi="Calibri" w:cs="Calibri"/>
                      <w:i/>
                      <w:sz w:val="18"/>
                      <w:szCs w:val="18"/>
                      <w:vertAlign w:val="superscript"/>
                    </w:rPr>
                  </w:pPr>
                </w:p>
              </w:tc>
              <w:tc>
                <w:tcPr>
                  <w:tcW w:w="1134" w:type="dxa"/>
                </w:tcPr>
                <w:p w14:paraId="47C861DF" w14:textId="031B2F4B" w:rsidR="00757E4A" w:rsidRPr="007C18DE" w:rsidRDefault="00757E4A" w:rsidP="000C7AE0">
                  <w:pPr>
                    <w:jc w:val="right"/>
                    <w:rPr>
                      <w:rFonts w:ascii="Calibri" w:hAnsi="Calibri" w:cs="Calibri"/>
                      <w:b/>
                      <w:bCs/>
                      <w:sz w:val="18"/>
                      <w:szCs w:val="18"/>
                      <w:vertAlign w:val="superscript"/>
                    </w:rPr>
                  </w:pPr>
                  <w:r w:rsidRPr="007C18DE">
                    <w:rPr>
                      <w:rFonts w:ascii="Calibri" w:hAnsi="Calibri" w:cs="Calibri"/>
                      <w:b/>
                      <w:bCs/>
                      <w:sz w:val="18"/>
                      <w:szCs w:val="18"/>
                    </w:rPr>
                    <w:t>401,026</w:t>
                  </w:r>
                </w:p>
              </w:tc>
              <w:tc>
                <w:tcPr>
                  <w:tcW w:w="1276" w:type="dxa"/>
                </w:tcPr>
                <w:p w14:paraId="02C3685B" w14:textId="77777777" w:rsidR="00757E4A" w:rsidRPr="007C18DE" w:rsidRDefault="00757E4A" w:rsidP="000C7AE0">
                  <w:pPr>
                    <w:jc w:val="right"/>
                    <w:rPr>
                      <w:rFonts w:ascii="Calibri" w:hAnsi="Calibri" w:cs="Calibri"/>
                      <w:color w:val="000000"/>
                      <w:sz w:val="18"/>
                      <w:szCs w:val="18"/>
                    </w:rPr>
                  </w:pPr>
                  <w:r w:rsidRPr="007C18DE">
                    <w:rPr>
                      <w:rFonts w:ascii="Calibri" w:hAnsi="Calibri" w:cs="Calibri"/>
                      <w:color w:val="000000"/>
                      <w:sz w:val="18"/>
                      <w:szCs w:val="18"/>
                    </w:rPr>
                    <w:t>379,697</w:t>
                  </w:r>
                </w:p>
              </w:tc>
            </w:tr>
            <w:tr w:rsidR="00757E4A" w:rsidRPr="008901A5" w14:paraId="17DC9BC3" w14:textId="77777777" w:rsidTr="000C7AE0">
              <w:trPr>
                <w:trHeight w:val="246"/>
              </w:trPr>
              <w:tc>
                <w:tcPr>
                  <w:tcW w:w="5670" w:type="dxa"/>
                </w:tcPr>
                <w:p w14:paraId="63CDBDE4" w14:textId="77777777" w:rsidR="00757E4A" w:rsidRPr="00987D69" w:rsidRDefault="00757E4A" w:rsidP="000C7AE0">
                  <w:pPr>
                    <w:rPr>
                      <w:rFonts w:ascii="Calibri" w:hAnsi="Calibri" w:cs="Calibri"/>
                      <w:i/>
                      <w:sz w:val="18"/>
                      <w:szCs w:val="18"/>
                      <w:vertAlign w:val="superscript"/>
                    </w:rPr>
                  </w:pPr>
                  <w:r w:rsidRPr="00987D69">
                    <w:rPr>
                      <w:rFonts w:ascii="Calibri" w:hAnsi="Calibri" w:cs="Calibri"/>
                      <w:b/>
                      <w:bCs/>
                      <w:color w:val="000000"/>
                      <w:sz w:val="18"/>
                      <w:szCs w:val="18"/>
                    </w:rPr>
                    <w:t>Insurance service expenses</w:t>
                  </w:r>
                </w:p>
              </w:tc>
              <w:tc>
                <w:tcPr>
                  <w:tcW w:w="851" w:type="dxa"/>
                </w:tcPr>
                <w:p w14:paraId="66FAB921" w14:textId="13F5A2B6" w:rsidR="00757E4A" w:rsidRPr="00987D69" w:rsidRDefault="00757E4A" w:rsidP="000C7AE0">
                  <w:pPr>
                    <w:rPr>
                      <w:rFonts w:ascii="Calibri" w:hAnsi="Calibri" w:cs="Calibri"/>
                      <w:sz w:val="18"/>
                      <w:szCs w:val="18"/>
                    </w:rPr>
                  </w:pPr>
                </w:p>
              </w:tc>
              <w:tc>
                <w:tcPr>
                  <w:tcW w:w="1134" w:type="dxa"/>
                </w:tcPr>
                <w:p w14:paraId="3B9D1702" w14:textId="45EDC59F" w:rsidR="00757E4A" w:rsidRPr="007C18DE" w:rsidRDefault="00757E4A" w:rsidP="000C7AE0">
                  <w:pPr>
                    <w:jc w:val="right"/>
                    <w:rPr>
                      <w:rFonts w:ascii="Calibri" w:hAnsi="Calibri" w:cs="Calibri"/>
                      <w:b/>
                      <w:bCs/>
                      <w:sz w:val="18"/>
                      <w:szCs w:val="18"/>
                    </w:rPr>
                  </w:pPr>
                  <w:r w:rsidRPr="007C18DE">
                    <w:rPr>
                      <w:rFonts w:ascii="Calibri" w:hAnsi="Calibri" w:cs="Calibri"/>
                      <w:b/>
                      <w:bCs/>
                      <w:sz w:val="18"/>
                      <w:szCs w:val="18"/>
                    </w:rPr>
                    <w:t>(210,052)</w:t>
                  </w:r>
                </w:p>
              </w:tc>
              <w:tc>
                <w:tcPr>
                  <w:tcW w:w="1276" w:type="dxa"/>
                </w:tcPr>
                <w:p w14:paraId="514D26F6" w14:textId="77777777" w:rsidR="00757E4A" w:rsidRPr="007C18DE" w:rsidRDefault="00757E4A" w:rsidP="000C7AE0">
                  <w:pPr>
                    <w:jc w:val="right"/>
                    <w:rPr>
                      <w:rFonts w:ascii="Calibri" w:hAnsi="Calibri" w:cs="Calibri"/>
                      <w:color w:val="000000"/>
                      <w:sz w:val="18"/>
                      <w:szCs w:val="18"/>
                    </w:rPr>
                  </w:pPr>
                  <w:r w:rsidRPr="007C18DE">
                    <w:rPr>
                      <w:rFonts w:ascii="Calibri" w:hAnsi="Calibri" w:cs="Calibri"/>
                      <w:color w:val="000000"/>
                      <w:sz w:val="18"/>
                      <w:szCs w:val="18"/>
                    </w:rPr>
                    <w:t>(201,838)</w:t>
                  </w:r>
                </w:p>
              </w:tc>
            </w:tr>
            <w:tr w:rsidR="00757E4A" w:rsidRPr="008901A5" w14:paraId="42CC72CE" w14:textId="77777777" w:rsidTr="000C7AE0">
              <w:trPr>
                <w:trHeight w:val="253"/>
              </w:trPr>
              <w:tc>
                <w:tcPr>
                  <w:tcW w:w="5670" w:type="dxa"/>
                </w:tcPr>
                <w:p w14:paraId="05504D01" w14:textId="77777777" w:rsidR="00757E4A" w:rsidRPr="00987D69" w:rsidRDefault="00757E4A" w:rsidP="000C7AE0">
                  <w:pPr>
                    <w:rPr>
                      <w:rFonts w:ascii="Calibri" w:hAnsi="Calibri" w:cs="Calibri"/>
                      <w:i/>
                      <w:sz w:val="18"/>
                      <w:szCs w:val="18"/>
                      <w:vertAlign w:val="superscript"/>
                    </w:rPr>
                  </w:pPr>
                </w:p>
              </w:tc>
              <w:tc>
                <w:tcPr>
                  <w:tcW w:w="851" w:type="dxa"/>
                </w:tcPr>
                <w:p w14:paraId="74A6C593" w14:textId="77777777" w:rsidR="00757E4A" w:rsidRPr="00987D69" w:rsidRDefault="00757E4A" w:rsidP="000C7AE0">
                  <w:pPr>
                    <w:rPr>
                      <w:rFonts w:ascii="Calibri" w:hAnsi="Calibri" w:cs="Calibri"/>
                      <w:sz w:val="18"/>
                      <w:szCs w:val="18"/>
                    </w:rPr>
                  </w:pPr>
                </w:p>
              </w:tc>
              <w:tc>
                <w:tcPr>
                  <w:tcW w:w="1134" w:type="dxa"/>
                </w:tcPr>
                <w:p w14:paraId="3CF68AAB" w14:textId="77777777" w:rsidR="00757E4A" w:rsidRPr="007C18DE" w:rsidRDefault="00757E4A" w:rsidP="000C7AE0">
                  <w:pPr>
                    <w:jc w:val="right"/>
                    <w:rPr>
                      <w:rFonts w:ascii="Calibri" w:hAnsi="Calibri" w:cs="Calibri"/>
                      <w:b/>
                      <w:bCs/>
                      <w:sz w:val="18"/>
                      <w:szCs w:val="18"/>
                    </w:rPr>
                  </w:pPr>
                </w:p>
              </w:tc>
              <w:tc>
                <w:tcPr>
                  <w:tcW w:w="1276" w:type="dxa"/>
                </w:tcPr>
                <w:p w14:paraId="059BBDC9" w14:textId="77777777" w:rsidR="00757E4A" w:rsidRPr="007C18DE" w:rsidRDefault="00757E4A" w:rsidP="000C7AE0">
                  <w:pPr>
                    <w:jc w:val="right"/>
                    <w:rPr>
                      <w:rFonts w:ascii="Calibri" w:hAnsi="Calibri" w:cs="Calibri"/>
                      <w:color w:val="000000"/>
                      <w:sz w:val="18"/>
                      <w:szCs w:val="18"/>
                    </w:rPr>
                  </w:pPr>
                </w:p>
              </w:tc>
            </w:tr>
            <w:tr w:rsidR="00757E4A" w:rsidRPr="008901A5" w14:paraId="6DB635BA" w14:textId="77777777" w:rsidTr="000C7AE0">
              <w:trPr>
                <w:trHeight w:val="253"/>
              </w:trPr>
              <w:tc>
                <w:tcPr>
                  <w:tcW w:w="5670" w:type="dxa"/>
                </w:tcPr>
                <w:p w14:paraId="385D17D0" w14:textId="77777777" w:rsidR="00757E4A" w:rsidRPr="00987D69" w:rsidRDefault="00757E4A" w:rsidP="000C7AE0">
                  <w:pPr>
                    <w:rPr>
                      <w:rFonts w:ascii="Calibri" w:hAnsi="Calibri" w:cs="Calibri"/>
                      <w:i/>
                      <w:sz w:val="18"/>
                      <w:szCs w:val="18"/>
                      <w:vertAlign w:val="superscript"/>
                    </w:rPr>
                  </w:pPr>
                  <w:r>
                    <w:rPr>
                      <w:rFonts w:ascii="Calibri" w:hAnsi="Calibri" w:cs="Calibri"/>
                      <w:color w:val="000000"/>
                      <w:sz w:val="18"/>
                      <w:szCs w:val="18"/>
                    </w:rPr>
                    <w:t>Reinsurance expense</w:t>
                  </w:r>
                </w:p>
              </w:tc>
              <w:tc>
                <w:tcPr>
                  <w:tcW w:w="851" w:type="dxa"/>
                </w:tcPr>
                <w:p w14:paraId="66674B45" w14:textId="77777777" w:rsidR="00757E4A" w:rsidRPr="00987D69" w:rsidRDefault="00757E4A" w:rsidP="000C7AE0">
                  <w:pPr>
                    <w:rPr>
                      <w:rFonts w:ascii="Calibri" w:hAnsi="Calibri" w:cs="Calibri"/>
                      <w:sz w:val="18"/>
                      <w:szCs w:val="18"/>
                    </w:rPr>
                  </w:pPr>
                </w:p>
              </w:tc>
              <w:tc>
                <w:tcPr>
                  <w:tcW w:w="1134" w:type="dxa"/>
                </w:tcPr>
                <w:p w14:paraId="23BF8590" w14:textId="462BA569" w:rsidR="00757E4A" w:rsidRPr="007C18DE" w:rsidRDefault="00757E4A" w:rsidP="000C7AE0">
                  <w:pPr>
                    <w:jc w:val="right"/>
                    <w:rPr>
                      <w:rFonts w:ascii="Calibri" w:hAnsi="Calibri" w:cs="Calibri"/>
                      <w:b/>
                      <w:bCs/>
                      <w:sz w:val="18"/>
                      <w:szCs w:val="18"/>
                    </w:rPr>
                  </w:pPr>
                  <w:r w:rsidRPr="007C18DE">
                    <w:rPr>
                      <w:rFonts w:ascii="Calibri" w:hAnsi="Calibri" w:cs="Calibri"/>
                      <w:b/>
                      <w:bCs/>
                      <w:sz w:val="18"/>
                      <w:szCs w:val="18"/>
                    </w:rPr>
                    <w:t>(39,776)</w:t>
                  </w:r>
                </w:p>
              </w:tc>
              <w:tc>
                <w:tcPr>
                  <w:tcW w:w="1276" w:type="dxa"/>
                </w:tcPr>
                <w:p w14:paraId="40573C6F" w14:textId="77777777" w:rsidR="00757E4A" w:rsidRPr="007C18DE" w:rsidRDefault="00757E4A" w:rsidP="000C7AE0">
                  <w:pPr>
                    <w:jc w:val="right"/>
                    <w:rPr>
                      <w:rFonts w:ascii="Calibri" w:hAnsi="Calibri" w:cs="Calibri"/>
                      <w:color w:val="000000"/>
                      <w:sz w:val="18"/>
                      <w:szCs w:val="18"/>
                    </w:rPr>
                  </w:pPr>
                  <w:r w:rsidRPr="007C18DE">
                    <w:rPr>
                      <w:rFonts w:ascii="Calibri" w:hAnsi="Calibri" w:cs="Calibri"/>
                      <w:color w:val="000000"/>
                      <w:sz w:val="18"/>
                      <w:szCs w:val="18"/>
                    </w:rPr>
                    <w:t>(34,814)</w:t>
                  </w:r>
                </w:p>
              </w:tc>
            </w:tr>
            <w:tr w:rsidR="00757E4A" w:rsidRPr="008901A5" w14:paraId="6B948AC8" w14:textId="77777777" w:rsidTr="000C7AE0">
              <w:trPr>
                <w:trHeight w:val="211"/>
              </w:trPr>
              <w:tc>
                <w:tcPr>
                  <w:tcW w:w="5670" w:type="dxa"/>
                </w:tcPr>
                <w:p w14:paraId="023824BF" w14:textId="77777777" w:rsidR="00757E4A" w:rsidRPr="00987D69" w:rsidRDefault="00757E4A" w:rsidP="000C7AE0">
                  <w:pPr>
                    <w:rPr>
                      <w:rFonts w:ascii="Calibri" w:hAnsi="Calibri" w:cs="Calibri"/>
                      <w:i/>
                      <w:sz w:val="18"/>
                      <w:szCs w:val="18"/>
                      <w:vertAlign w:val="superscript"/>
                    </w:rPr>
                  </w:pPr>
                  <w:r>
                    <w:rPr>
                      <w:rFonts w:ascii="Calibri" w:hAnsi="Calibri" w:cs="Calibri"/>
                      <w:color w:val="000000"/>
                      <w:sz w:val="18"/>
                      <w:szCs w:val="18"/>
                    </w:rPr>
                    <w:t>Change in a</w:t>
                  </w:r>
                  <w:r w:rsidRPr="00987D69">
                    <w:rPr>
                      <w:rFonts w:ascii="Calibri" w:hAnsi="Calibri" w:cs="Calibri"/>
                      <w:color w:val="000000"/>
                      <w:sz w:val="18"/>
                      <w:szCs w:val="18"/>
                    </w:rPr>
                    <w:t>mounts recoverable from reinsurers for incurred claims</w:t>
                  </w:r>
                </w:p>
              </w:tc>
              <w:tc>
                <w:tcPr>
                  <w:tcW w:w="851" w:type="dxa"/>
                </w:tcPr>
                <w:p w14:paraId="3EE676BF" w14:textId="77777777" w:rsidR="00757E4A" w:rsidRPr="00987D69" w:rsidRDefault="00757E4A" w:rsidP="000C7AE0">
                  <w:pPr>
                    <w:rPr>
                      <w:rFonts w:ascii="Calibri" w:hAnsi="Calibri" w:cs="Calibri"/>
                      <w:sz w:val="18"/>
                      <w:szCs w:val="18"/>
                    </w:rPr>
                  </w:pPr>
                </w:p>
              </w:tc>
              <w:tc>
                <w:tcPr>
                  <w:tcW w:w="1134" w:type="dxa"/>
                  <w:tcBorders>
                    <w:bottom w:val="single" w:sz="4" w:space="0" w:color="auto"/>
                  </w:tcBorders>
                </w:tcPr>
                <w:p w14:paraId="2A66628B" w14:textId="42D05896" w:rsidR="00757E4A" w:rsidRPr="007C18DE" w:rsidRDefault="00757E4A" w:rsidP="000C7AE0">
                  <w:pPr>
                    <w:jc w:val="right"/>
                    <w:rPr>
                      <w:rFonts w:ascii="Calibri" w:hAnsi="Calibri" w:cs="Calibri"/>
                      <w:b/>
                      <w:bCs/>
                      <w:sz w:val="18"/>
                      <w:szCs w:val="18"/>
                    </w:rPr>
                  </w:pPr>
                  <w:r w:rsidRPr="007C18DE">
                    <w:rPr>
                      <w:rFonts w:ascii="Calibri" w:hAnsi="Calibri" w:cs="Calibri"/>
                      <w:b/>
                      <w:bCs/>
                      <w:sz w:val="18"/>
                      <w:szCs w:val="18"/>
                    </w:rPr>
                    <w:t>(24,890)</w:t>
                  </w:r>
                </w:p>
              </w:tc>
              <w:tc>
                <w:tcPr>
                  <w:tcW w:w="1276" w:type="dxa"/>
                  <w:tcBorders>
                    <w:bottom w:val="single" w:sz="4" w:space="0" w:color="auto"/>
                  </w:tcBorders>
                </w:tcPr>
                <w:p w14:paraId="73D5C932" w14:textId="77777777" w:rsidR="00757E4A" w:rsidRPr="007C18DE" w:rsidRDefault="00757E4A" w:rsidP="000C7AE0">
                  <w:pPr>
                    <w:jc w:val="right"/>
                    <w:rPr>
                      <w:rFonts w:ascii="Calibri" w:hAnsi="Calibri" w:cs="Calibri"/>
                      <w:color w:val="000000"/>
                      <w:sz w:val="18"/>
                      <w:szCs w:val="18"/>
                    </w:rPr>
                  </w:pPr>
                  <w:r w:rsidRPr="007C18DE">
                    <w:rPr>
                      <w:rFonts w:ascii="Calibri" w:hAnsi="Calibri" w:cs="Calibri"/>
                      <w:color w:val="000000"/>
                      <w:sz w:val="18"/>
                      <w:szCs w:val="18"/>
                    </w:rPr>
                    <w:t>(11,941)</w:t>
                  </w:r>
                </w:p>
              </w:tc>
            </w:tr>
            <w:tr w:rsidR="00757E4A" w:rsidRPr="008901A5" w14:paraId="0CE6BCAF" w14:textId="77777777" w:rsidTr="000C7AE0">
              <w:trPr>
                <w:trHeight w:val="276"/>
              </w:trPr>
              <w:tc>
                <w:tcPr>
                  <w:tcW w:w="5670" w:type="dxa"/>
                </w:tcPr>
                <w:p w14:paraId="3C9D122B" w14:textId="77777777" w:rsidR="00757E4A" w:rsidRPr="00987D69" w:rsidRDefault="00757E4A" w:rsidP="000C7AE0">
                  <w:pPr>
                    <w:rPr>
                      <w:rFonts w:ascii="Calibri" w:hAnsi="Calibri" w:cs="Calibri"/>
                      <w:i/>
                      <w:sz w:val="18"/>
                      <w:szCs w:val="18"/>
                      <w:vertAlign w:val="superscript"/>
                    </w:rPr>
                  </w:pPr>
                  <w:r w:rsidRPr="00987D69">
                    <w:rPr>
                      <w:rFonts w:ascii="Calibri" w:hAnsi="Calibri" w:cs="Calibri"/>
                      <w:b/>
                      <w:color w:val="000000"/>
                      <w:sz w:val="18"/>
                      <w:szCs w:val="18"/>
                    </w:rPr>
                    <w:t xml:space="preserve">Net </w:t>
                  </w:r>
                  <w:r>
                    <w:rPr>
                      <w:rFonts w:ascii="Calibri" w:hAnsi="Calibri" w:cs="Calibri"/>
                      <w:b/>
                      <w:color w:val="000000"/>
                      <w:sz w:val="18"/>
                      <w:szCs w:val="18"/>
                    </w:rPr>
                    <w:t>expense</w:t>
                  </w:r>
                  <w:r w:rsidRPr="00987D69">
                    <w:rPr>
                      <w:rFonts w:ascii="Calibri" w:hAnsi="Calibri" w:cs="Calibri"/>
                      <w:b/>
                      <w:color w:val="000000"/>
                      <w:sz w:val="18"/>
                      <w:szCs w:val="18"/>
                    </w:rPr>
                    <w:t xml:space="preserve"> from reinsurance contracts held</w:t>
                  </w:r>
                </w:p>
              </w:tc>
              <w:tc>
                <w:tcPr>
                  <w:tcW w:w="851" w:type="dxa"/>
                </w:tcPr>
                <w:p w14:paraId="70CECAAB" w14:textId="516FD3E4" w:rsidR="00757E4A" w:rsidRPr="00987D69" w:rsidRDefault="00757E4A" w:rsidP="000C7AE0">
                  <w:pPr>
                    <w:rPr>
                      <w:rFonts w:ascii="Calibri" w:hAnsi="Calibri" w:cs="Calibri"/>
                      <w:sz w:val="18"/>
                      <w:szCs w:val="18"/>
                    </w:rPr>
                  </w:pPr>
                </w:p>
              </w:tc>
              <w:tc>
                <w:tcPr>
                  <w:tcW w:w="1134" w:type="dxa"/>
                  <w:tcBorders>
                    <w:top w:val="single" w:sz="4" w:space="0" w:color="auto"/>
                  </w:tcBorders>
                </w:tcPr>
                <w:p w14:paraId="4841F429" w14:textId="5B311E1B" w:rsidR="00757E4A" w:rsidRPr="007C18DE" w:rsidRDefault="00757E4A" w:rsidP="000C7AE0">
                  <w:pPr>
                    <w:jc w:val="right"/>
                    <w:rPr>
                      <w:rFonts w:ascii="Calibri" w:hAnsi="Calibri" w:cs="Calibri"/>
                      <w:b/>
                      <w:bCs/>
                      <w:sz w:val="18"/>
                      <w:szCs w:val="18"/>
                    </w:rPr>
                  </w:pPr>
                  <w:r w:rsidRPr="007C18DE">
                    <w:rPr>
                      <w:rFonts w:ascii="Calibri" w:hAnsi="Calibri" w:cs="Calibri"/>
                      <w:b/>
                      <w:bCs/>
                      <w:sz w:val="18"/>
                      <w:szCs w:val="18"/>
                    </w:rPr>
                    <w:t>(64,666)</w:t>
                  </w:r>
                </w:p>
              </w:tc>
              <w:tc>
                <w:tcPr>
                  <w:tcW w:w="1276" w:type="dxa"/>
                  <w:tcBorders>
                    <w:top w:val="single" w:sz="4" w:space="0" w:color="auto"/>
                  </w:tcBorders>
                </w:tcPr>
                <w:p w14:paraId="3E563973" w14:textId="77777777" w:rsidR="00757E4A" w:rsidRPr="007C18DE" w:rsidRDefault="00757E4A" w:rsidP="000C7AE0">
                  <w:pPr>
                    <w:jc w:val="right"/>
                    <w:rPr>
                      <w:rFonts w:ascii="Calibri" w:hAnsi="Calibri" w:cs="Calibri"/>
                      <w:color w:val="000000"/>
                      <w:sz w:val="18"/>
                      <w:szCs w:val="18"/>
                    </w:rPr>
                  </w:pPr>
                  <w:r w:rsidRPr="007C18DE">
                    <w:rPr>
                      <w:rFonts w:ascii="Calibri" w:hAnsi="Calibri" w:cs="Calibri"/>
                      <w:color w:val="000000"/>
                      <w:sz w:val="18"/>
                      <w:szCs w:val="18"/>
                    </w:rPr>
                    <w:t>(46,755)</w:t>
                  </w:r>
                </w:p>
              </w:tc>
            </w:tr>
            <w:tr w:rsidR="00757E4A" w:rsidRPr="008901A5" w14:paraId="0E8C68BB" w14:textId="77777777" w:rsidTr="000C7AE0">
              <w:trPr>
                <w:trHeight w:val="105"/>
              </w:trPr>
              <w:tc>
                <w:tcPr>
                  <w:tcW w:w="5670" w:type="dxa"/>
                </w:tcPr>
                <w:p w14:paraId="0AE13921" w14:textId="77777777" w:rsidR="00757E4A" w:rsidRPr="00987D69" w:rsidRDefault="00757E4A" w:rsidP="000C7AE0">
                  <w:pPr>
                    <w:rPr>
                      <w:rFonts w:ascii="Calibri" w:hAnsi="Calibri" w:cs="Calibri"/>
                      <w:i/>
                      <w:sz w:val="18"/>
                      <w:szCs w:val="18"/>
                      <w:vertAlign w:val="superscript"/>
                    </w:rPr>
                  </w:pPr>
                </w:p>
              </w:tc>
              <w:tc>
                <w:tcPr>
                  <w:tcW w:w="851" w:type="dxa"/>
                </w:tcPr>
                <w:p w14:paraId="7D595943" w14:textId="77777777" w:rsidR="00757E4A" w:rsidRPr="00987D69" w:rsidRDefault="00757E4A" w:rsidP="000C7AE0">
                  <w:pPr>
                    <w:rPr>
                      <w:rFonts w:ascii="Calibri" w:hAnsi="Calibri" w:cs="Calibri"/>
                      <w:sz w:val="18"/>
                      <w:szCs w:val="18"/>
                    </w:rPr>
                  </w:pPr>
                </w:p>
              </w:tc>
              <w:tc>
                <w:tcPr>
                  <w:tcW w:w="1134" w:type="dxa"/>
                  <w:tcBorders>
                    <w:bottom w:val="single" w:sz="4" w:space="0" w:color="auto"/>
                  </w:tcBorders>
                </w:tcPr>
                <w:p w14:paraId="67C25AF8" w14:textId="77777777" w:rsidR="00757E4A" w:rsidRPr="007C18DE" w:rsidRDefault="00757E4A" w:rsidP="000C7AE0">
                  <w:pPr>
                    <w:jc w:val="right"/>
                    <w:rPr>
                      <w:rFonts w:ascii="Calibri" w:hAnsi="Calibri" w:cs="Calibri"/>
                      <w:b/>
                      <w:bCs/>
                      <w:sz w:val="18"/>
                      <w:szCs w:val="18"/>
                    </w:rPr>
                  </w:pPr>
                </w:p>
              </w:tc>
              <w:tc>
                <w:tcPr>
                  <w:tcW w:w="1276" w:type="dxa"/>
                  <w:tcBorders>
                    <w:bottom w:val="single" w:sz="4" w:space="0" w:color="auto"/>
                  </w:tcBorders>
                </w:tcPr>
                <w:p w14:paraId="06EEB46D" w14:textId="77777777" w:rsidR="00757E4A" w:rsidRPr="007C18DE" w:rsidRDefault="00757E4A" w:rsidP="000C7AE0">
                  <w:pPr>
                    <w:jc w:val="right"/>
                    <w:rPr>
                      <w:rFonts w:ascii="Calibri" w:hAnsi="Calibri" w:cs="Calibri"/>
                      <w:color w:val="000000"/>
                      <w:sz w:val="18"/>
                      <w:szCs w:val="18"/>
                    </w:rPr>
                  </w:pPr>
                </w:p>
              </w:tc>
            </w:tr>
            <w:tr w:rsidR="00757E4A" w:rsidRPr="008901A5" w14:paraId="1C549625" w14:textId="77777777" w:rsidTr="000C7AE0">
              <w:trPr>
                <w:trHeight w:val="246"/>
              </w:trPr>
              <w:tc>
                <w:tcPr>
                  <w:tcW w:w="5670" w:type="dxa"/>
                </w:tcPr>
                <w:p w14:paraId="3B9A8B13" w14:textId="77777777" w:rsidR="00757E4A" w:rsidRPr="00987D69" w:rsidRDefault="00757E4A" w:rsidP="000C7AE0">
                  <w:pPr>
                    <w:rPr>
                      <w:rFonts w:ascii="Calibri" w:hAnsi="Calibri" w:cs="Calibri"/>
                      <w:i/>
                      <w:sz w:val="18"/>
                      <w:szCs w:val="18"/>
                      <w:vertAlign w:val="superscript"/>
                    </w:rPr>
                  </w:pPr>
                  <w:r w:rsidRPr="00987D69">
                    <w:rPr>
                      <w:rFonts w:ascii="Calibri" w:hAnsi="Calibri" w:cs="Calibri"/>
                      <w:b/>
                      <w:color w:val="000000"/>
                      <w:sz w:val="18"/>
                      <w:szCs w:val="18"/>
                    </w:rPr>
                    <w:t>Insurance service result</w:t>
                  </w:r>
                </w:p>
              </w:tc>
              <w:tc>
                <w:tcPr>
                  <w:tcW w:w="851" w:type="dxa"/>
                </w:tcPr>
                <w:p w14:paraId="32D63A22" w14:textId="4A20BF5F" w:rsidR="00757E4A" w:rsidRPr="00987D69" w:rsidRDefault="00757E4A" w:rsidP="000C7AE0">
                  <w:pPr>
                    <w:rPr>
                      <w:rFonts w:ascii="Calibri" w:hAnsi="Calibri" w:cs="Calibri"/>
                      <w:sz w:val="18"/>
                      <w:szCs w:val="18"/>
                    </w:rPr>
                  </w:pPr>
                </w:p>
              </w:tc>
              <w:tc>
                <w:tcPr>
                  <w:tcW w:w="1134" w:type="dxa"/>
                  <w:tcBorders>
                    <w:top w:val="single" w:sz="4" w:space="0" w:color="auto"/>
                    <w:bottom w:val="single" w:sz="4" w:space="0" w:color="auto"/>
                  </w:tcBorders>
                </w:tcPr>
                <w:p w14:paraId="5F810936" w14:textId="2C1A6A2A" w:rsidR="00757E4A" w:rsidRPr="007C18DE" w:rsidRDefault="00757E4A" w:rsidP="000C7AE0">
                  <w:pPr>
                    <w:jc w:val="right"/>
                    <w:rPr>
                      <w:rFonts w:ascii="Calibri" w:hAnsi="Calibri" w:cs="Calibri"/>
                      <w:b/>
                      <w:bCs/>
                      <w:sz w:val="18"/>
                      <w:szCs w:val="18"/>
                    </w:rPr>
                  </w:pPr>
                  <w:r w:rsidRPr="007C18DE">
                    <w:rPr>
                      <w:rFonts w:ascii="Calibri" w:hAnsi="Calibri" w:cs="Calibri"/>
                      <w:b/>
                      <w:bCs/>
                      <w:sz w:val="18"/>
                      <w:szCs w:val="18"/>
                    </w:rPr>
                    <w:t>126,308</w:t>
                  </w:r>
                </w:p>
              </w:tc>
              <w:tc>
                <w:tcPr>
                  <w:tcW w:w="1276" w:type="dxa"/>
                  <w:tcBorders>
                    <w:top w:val="single" w:sz="4" w:space="0" w:color="auto"/>
                    <w:bottom w:val="single" w:sz="4" w:space="0" w:color="auto"/>
                  </w:tcBorders>
                </w:tcPr>
                <w:p w14:paraId="0435BB06" w14:textId="77777777" w:rsidR="00757E4A" w:rsidRPr="007C18DE" w:rsidRDefault="00757E4A" w:rsidP="000C7AE0">
                  <w:pPr>
                    <w:jc w:val="right"/>
                    <w:rPr>
                      <w:rFonts w:ascii="Calibri" w:hAnsi="Calibri" w:cs="Calibri"/>
                      <w:color w:val="000000"/>
                      <w:sz w:val="18"/>
                      <w:szCs w:val="18"/>
                    </w:rPr>
                  </w:pPr>
                  <w:r w:rsidRPr="007C18DE">
                    <w:rPr>
                      <w:rFonts w:ascii="Calibri" w:hAnsi="Calibri" w:cs="Calibri"/>
                      <w:color w:val="000000"/>
                      <w:sz w:val="18"/>
                      <w:szCs w:val="18"/>
                    </w:rPr>
                    <w:t>131,104</w:t>
                  </w:r>
                </w:p>
              </w:tc>
            </w:tr>
            <w:tr w:rsidR="00757E4A" w:rsidRPr="008901A5" w14:paraId="0C484CA9" w14:textId="77777777" w:rsidTr="000C7AE0">
              <w:trPr>
                <w:trHeight w:val="104"/>
              </w:trPr>
              <w:tc>
                <w:tcPr>
                  <w:tcW w:w="5670" w:type="dxa"/>
                </w:tcPr>
                <w:p w14:paraId="7410CF6C" w14:textId="77777777" w:rsidR="00757E4A" w:rsidRPr="00987D69" w:rsidRDefault="00757E4A" w:rsidP="000C7AE0">
                  <w:pPr>
                    <w:rPr>
                      <w:rFonts w:ascii="Calibri" w:hAnsi="Calibri" w:cs="Calibri"/>
                      <w:i/>
                      <w:sz w:val="18"/>
                      <w:szCs w:val="18"/>
                      <w:vertAlign w:val="superscript"/>
                    </w:rPr>
                  </w:pPr>
                </w:p>
              </w:tc>
              <w:tc>
                <w:tcPr>
                  <w:tcW w:w="851" w:type="dxa"/>
                </w:tcPr>
                <w:p w14:paraId="43F25519" w14:textId="77777777" w:rsidR="00757E4A" w:rsidRPr="00987D69" w:rsidRDefault="00757E4A" w:rsidP="000C7AE0">
                  <w:pPr>
                    <w:rPr>
                      <w:rFonts w:ascii="Calibri" w:hAnsi="Calibri" w:cs="Calibri"/>
                      <w:sz w:val="18"/>
                      <w:szCs w:val="18"/>
                    </w:rPr>
                  </w:pPr>
                </w:p>
              </w:tc>
              <w:tc>
                <w:tcPr>
                  <w:tcW w:w="1134" w:type="dxa"/>
                  <w:tcBorders>
                    <w:top w:val="single" w:sz="4" w:space="0" w:color="auto"/>
                  </w:tcBorders>
                </w:tcPr>
                <w:p w14:paraId="42B78B74" w14:textId="77777777" w:rsidR="00757E4A" w:rsidRPr="007C18DE" w:rsidRDefault="00757E4A" w:rsidP="000C7AE0">
                  <w:pPr>
                    <w:jc w:val="right"/>
                    <w:rPr>
                      <w:rFonts w:ascii="Calibri" w:hAnsi="Calibri" w:cs="Calibri"/>
                      <w:b/>
                      <w:bCs/>
                      <w:sz w:val="18"/>
                      <w:szCs w:val="18"/>
                    </w:rPr>
                  </w:pPr>
                </w:p>
              </w:tc>
              <w:tc>
                <w:tcPr>
                  <w:tcW w:w="1276" w:type="dxa"/>
                  <w:tcBorders>
                    <w:top w:val="single" w:sz="4" w:space="0" w:color="auto"/>
                  </w:tcBorders>
                </w:tcPr>
                <w:p w14:paraId="0C574D97" w14:textId="77777777" w:rsidR="00757E4A" w:rsidRPr="007C18DE" w:rsidRDefault="00757E4A" w:rsidP="000C7AE0">
                  <w:pPr>
                    <w:jc w:val="right"/>
                    <w:rPr>
                      <w:rFonts w:ascii="Calibri" w:hAnsi="Calibri" w:cs="Calibri"/>
                      <w:color w:val="000000"/>
                      <w:sz w:val="18"/>
                      <w:szCs w:val="18"/>
                    </w:rPr>
                  </w:pPr>
                </w:p>
              </w:tc>
            </w:tr>
            <w:tr w:rsidR="00757E4A" w:rsidRPr="008901A5" w14:paraId="3325E428" w14:textId="77777777" w:rsidTr="000C7AE0">
              <w:trPr>
                <w:trHeight w:val="253"/>
              </w:trPr>
              <w:tc>
                <w:tcPr>
                  <w:tcW w:w="5670" w:type="dxa"/>
                </w:tcPr>
                <w:p w14:paraId="4CB1A8B7" w14:textId="77777777" w:rsidR="00757E4A" w:rsidRPr="00987D69" w:rsidRDefault="00757E4A" w:rsidP="000C7AE0">
                  <w:pPr>
                    <w:rPr>
                      <w:rFonts w:ascii="Calibri" w:hAnsi="Calibri" w:cs="Calibri"/>
                      <w:i/>
                      <w:sz w:val="18"/>
                      <w:szCs w:val="18"/>
                      <w:vertAlign w:val="superscript"/>
                    </w:rPr>
                  </w:pPr>
                  <w:r w:rsidRPr="00987D69">
                    <w:rPr>
                      <w:rFonts w:ascii="Calibri" w:hAnsi="Calibri" w:cs="Calibri"/>
                      <w:b/>
                      <w:color w:val="000000"/>
                      <w:sz w:val="18"/>
                      <w:szCs w:val="18"/>
                    </w:rPr>
                    <w:t>Total investment return</w:t>
                  </w:r>
                </w:p>
              </w:tc>
              <w:tc>
                <w:tcPr>
                  <w:tcW w:w="851" w:type="dxa"/>
                </w:tcPr>
                <w:p w14:paraId="56A24C98" w14:textId="655A8EC7" w:rsidR="00757E4A" w:rsidRPr="00987D69" w:rsidRDefault="00757E4A" w:rsidP="000C7AE0">
                  <w:pPr>
                    <w:rPr>
                      <w:rFonts w:ascii="Calibri" w:hAnsi="Calibri" w:cs="Calibri"/>
                      <w:sz w:val="18"/>
                      <w:szCs w:val="18"/>
                    </w:rPr>
                  </w:pPr>
                </w:p>
              </w:tc>
              <w:tc>
                <w:tcPr>
                  <w:tcW w:w="1134" w:type="dxa"/>
                  <w:tcBorders>
                    <w:top w:val="single" w:sz="4" w:space="0" w:color="auto"/>
                    <w:bottom w:val="single" w:sz="4" w:space="0" w:color="auto"/>
                  </w:tcBorders>
                </w:tcPr>
                <w:p w14:paraId="2B615470" w14:textId="0CCB2D1F" w:rsidR="00757E4A" w:rsidRPr="007C18DE" w:rsidRDefault="00757E4A" w:rsidP="000C7AE0">
                  <w:pPr>
                    <w:jc w:val="right"/>
                    <w:rPr>
                      <w:rFonts w:ascii="Calibri" w:hAnsi="Calibri" w:cs="Calibri"/>
                      <w:b/>
                      <w:bCs/>
                      <w:sz w:val="18"/>
                      <w:szCs w:val="18"/>
                    </w:rPr>
                  </w:pPr>
                  <w:r w:rsidRPr="007C18DE">
                    <w:rPr>
                      <w:rFonts w:ascii="Calibri" w:hAnsi="Calibri" w:cs="Calibri"/>
                      <w:b/>
                      <w:bCs/>
                      <w:sz w:val="18"/>
                      <w:szCs w:val="18"/>
                    </w:rPr>
                    <w:t>19,094</w:t>
                  </w:r>
                </w:p>
              </w:tc>
              <w:tc>
                <w:tcPr>
                  <w:tcW w:w="1276" w:type="dxa"/>
                  <w:tcBorders>
                    <w:top w:val="single" w:sz="4" w:space="0" w:color="auto"/>
                    <w:bottom w:val="single" w:sz="4" w:space="0" w:color="auto"/>
                  </w:tcBorders>
                </w:tcPr>
                <w:p w14:paraId="6E439E89" w14:textId="77777777" w:rsidR="00757E4A" w:rsidRPr="007C18DE" w:rsidRDefault="00757E4A" w:rsidP="000C7AE0">
                  <w:pPr>
                    <w:jc w:val="right"/>
                    <w:rPr>
                      <w:rFonts w:ascii="Calibri" w:hAnsi="Calibri" w:cs="Calibri"/>
                      <w:color w:val="000000"/>
                      <w:sz w:val="18"/>
                      <w:szCs w:val="18"/>
                    </w:rPr>
                  </w:pPr>
                  <w:r w:rsidRPr="007C18DE">
                    <w:rPr>
                      <w:rFonts w:ascii="Calibri" w:hAnsi="Calibri" w:cs="Calibri"/>
                      <w:color w:val="000000"/>
                      <w:sz w:val="18"/>
                      <w:szCs w:val="18"/>
                    </w:rPr>
                    <w:t>(10,753)</w:t>
                  </w:r>
                </w:p>
              </w:tc>
            </w:tr>
            <w:tr w:rsidR="00757E4A" w:rsidRPr="008901A5" w14:paraId="7CE6AB37" w14:textId="77777777" w:rsidTr="000C7AE0">
              <w:trPr>
                <w:trHeight w:val="246"/>
              </w:trPr>
              <w:tc>
                <w:tcPr>
                  <w:tcW w:w="5670" w:type="dxa"/>
                </w:tcPr>
                <w:p w14:paraId="4FAEAC12" w14:textId="77777777" w:rsidR="00757E4A" w:rsidRPr="00987D69" w:rsidRDefault="00757E4A" w:rsidP="000C7AE0">
                  <w:pPr>
                    <w:rPr>
                      <w:rFonts w:ascii="Calibri" w:hAnsi="Calibri" w:cs="Calibri"/>
                      <w:b/>
                      <w:color w:val="000000"/>
                      <w:sz w:val="18"/>
                      <w:szCs w:val="18"/>
                    </w:rPr>
                  </w:pPr>
                </w:p>
              </w:tc>
              <w:tc>
                <w:tcPr>
                  <w:tcW w:w="851" w:type="dxa"/>
                </w:tcPr>
                <w:p w14:paraId="7B0C0AB3" w14:textId="77777777" w:rsidR="00757E4A" w:rsidRPr="00987D69" w:rsidRDefault="00757E4A" w:rsidP="000C7AE0">
                  <w:pPr>
                    <w:rPr>
                      <w:rFonts w:ascii="Calibri" w:hAnsi="Calibri" w:cs="Calibri"/>
                      <w:sz w:val="18"/>
                      <w:szCs w:val="18"/>
                    </w:rPr>
                  </w:pPr>
                </w:p>
              </w:tc>
              <w:tc>
                <w:tcPr>
                  <w:tcW w:w="1134" w:type="dxa"/>
                  <w:tcBorders>
                    <w:top w:val="single" w:sz="4" w:space="0" w:color="auto"/>
                  </w:tcBorders>
                </w:tcPr>
                <w:p w14:paraId="18035EE7" w14:textId="77777777" w:rsidR="00757E4A" w:rsidRPr="007C18DE" w:rsidRDefault="00757E4A" w:rsidP="000C7AE0">
                  <w:pPr>
                    <w:jc w:val="right"/>
                    <w:rPr>
                      <w:rFonts w:ascii="Calibri" w:hAnsi="Calibri" w:cs="Calibri"/>
                      <w:b/>
                      <w:bCs/>
                      <w:sz w:val="18"/>
                      <w:szCs w:val="18"/>
                    </w:rPr>
                  </w:pPr>
                </w:p>
              </w:tc>
              <w:tc>
                <w:tcPr>
                  <w:tcW w:w="1276" w:type="dxa"/>
                  <w:tcBorders>
                    <w:top w:val="single" w:sz="4" w:space="0" w:color="auto"/>
                  </w:tcBorders>
                </w:tcPr>
                <w:p w14:paraId="7E28C3A6" w14:textId="77777777" w:rsidR="00757E4A" w:rsidRPr="007C18DE" w:rsidRDefault="00757E4A" w:rsidP="000C7AE0">
                  <w:pPr>
                    <w:jc w:val="right"/>
                    <w:rPr>
                      <w:rFonts w:ascii="Calibri" w:hAnsi="Calibri" w:cs="Calibri"/>
                      <w:color w:val="000000"/>
                      <w:sz w:val="18"/>
                      <w:szCs w:val="18"/>
                    </w:rPr>
                  </w:pPr>
                </w:p>
              </w:tc>
            </w:tr>
            <w:tr w:rsidR="00757E4A" w:rsidRPr="008901A5" w14:paraId="37BA94E3" w14:textId="77777777" w:rsidTr="000C7AE0">
              <w:trPr>
                <w:trHeight w:val="228"/>
              </w:trPr>
              <w:tc>
                <w:tcPr>
                  <w:tcW w:w="5670" w:type="dxa"/>
                </w:tcPr>
                <w:p w14:paraId="38435D2F" w14:textId="77777777" w:rsidR="00757E4A" w:rsidRPr="00987D69" w:rsidRDefault="00757E4A" w:rsidP="000C7AE0">
                  <w:pPr>
                    <w:rPr>
                      <w:rFonts w:ascii="Calibri" w:hAnsi="Calibri" w:cs="Calibri"/>
                      <w:b/>
                      <w:color w:val="000000"/>
                      <w:sz w:val="18"/>
                      <w:szCs w:val="18"/>
                    </w:rPr>
                  </w:pPr>
                  <w:r w:rsidRPr="00987D69">
                    <w:rPr>
                      <w:rFonts w:ascii="Calibri" w:hAnsi="Calibri" w:cs="Calibri"/>
                      <w:color w:val="000000"/>
                      <w:sz w:val="18"/>
                      <w:szCs w:val="18"/>
                    </w:rPr>
                    <w:t>Finance expense f</w:t>
                  </w:r>
                  <w:r>
                    <w:rPr>
                      <w:rFonts w:ascii="Calibri" w:hAnsi="Calibri" w:cs="Calibri"/>
                      <w:color w:val="000000"/>
                      <w:sz w:val="18"/>
                      <w:szCs w:val="18"/>
                    </w:rPr>
                    <w:t>rom</w:t>
                  </w:r>
                  <w:r w:rsidRPr="00987D69">
                    <w:rPr>
                      <w:rFonts w:ascii="Calibri" w:hAnsi="Calibri" w:cs="Calibri"/>
                      <w:color w:val="000000"/>
                      <w:sz w:val="18"/>
                      <w:szCs w:val="18"/>
                    </w:rPr>
                    <w:t xml:space="preserve"> insurance contracts issued</w:t>
                  </w:r>
                </w:p>
              </w:tc>
              <w:tc>
                <w:tcPr>
                  <w:tcW w:w="851" w:type="dxa"/>
                </w:tcPr>
                <w:p w14:paraId="0B5AA5D3" w14:textId="5E245E61" w:rsidR="00757E4A" w:rsidRPr="00987D69" w:rsidRDefault="00757E4A" w:rsidP="000C7AE0">
                  <w:pPr>
                    <w:rPr>
                      <w:rFonts w:ascii="Calibri" w:hAnsi="Calibri" w:cs="Calibri"/>
                      <w:i/>
                      <w:sz w:val="18"/>
                      <w:szCs w:val="18"/>
                    </w:rPr>
                  </w:pPr>
                </w:p>
              </w:tc>
              <w:tc>
                <w:tcPr>
                  <w:tcW w:w="1134" w:type="dxa"/>
                </w:tcPr>
                <w:p w14:paraId="2F9849A6" w14:textId="64E92058" w:rsidR="00757E4A" w:rsidRPr="007C18DE" w:rsidRDefault="00757E4A" w:rsidP="000C7AE0">
                  <w:pPr>
                    <w:jc w:val="right"/>
                    <w:rPr>
                      <w:rFonts w:ascii="Calibri" w:hAnsi="Calibri" w:cs="Calibri"/>
                      <w:b/>
                      <w:bCs/>
                      <w:sz w:val="18"/>
                      <w:szCs w:val="18"/>
                    </w:rPr>
                  </w:pPr>
                  <w:r w:rsidRPr="007C18DE">
                    <w:rPr>
                      <w:rFonts w:ascii="Calibri" w:hAnsi="Calibri" w:cs="Calibri"/>
                      <w:b/>
                      <w:bCs/>
                      <w:sz w:val="18"/>
                      <w:szCs w:val="18"/>
                    </w:rPr>
                    <w:t>(4,160)</w:t>
                  </w:r>
                </w:p>
              </w:tc>
              <w:tc>
                <w:tcPr>
                  <w:tcW w:w="1276" w:type="dxa"/>
                </w:tcPr>
                <w:p w14:paraId="527D9B45" w14:textId="77777777" w:rsidR="00757E4A" w:rsidRPr="007C18DE" w:rsidRDefault="00757E4A" w:rsidP="000C7AE0">
                  <w:pPr>
                    <w:jc w:val="right"/>
                    <w:rPr>
                      <w:rFonts w:ascii="Calibri" w:hAnsi="Calibri" w:cs="Calibri"/>
                      <w:color w:val="000000"/>
                      <w:sz w:val="18"/>
                      <w:szCs w:val="18"/>
                    </w:rPr>
                  </w:pPr>
                  <w:r w:rsidRPr="007C18DE">
                    <w:rPr>
                      <w:rFonts w:ascii="Calibri" w:hAnsi="Calibri" w:cs="Calibri"/>
                      <w:color w:val="000000"/>
                      <w:sz w:val="18"/>
                      <w:szCs w:val="18"/>
                    </w:rPr>
                    <w:t>(8,731)</w:t>
                  </w:r>
                </w:p>
              </w:tc>
            </w:tr>
            <w:tr w:rsidR="00757E4A" w:rsidRPr="008901A5" w14:paraId="63E25F2F" w14:textId="77777777" w:rsidTr="000C7AE0">
              <w:trPr>
                <w:trHeight w:val="278"/>
              </w:trPr>
              <w:tc>
                <w:tcPr>
                  <w:tcW w:w="5670" w:type="dxa"/>
                </w:tcPr>
                <w:p w14:paraId="0BEEA322" w14:textId="6AC2CBA8" w:rsidR="00757E4A" w:rsidRPr="00987D69" w:rsidRDefault="00757E4A" w:rsidP="000C7AE0">
                  <w:pPr>
                    <w:rPr>
                      <w:rFonts w:ascii="Calibri" w:hAnsi="Calibri" w:cs="Calibri"/>
                      <w:b/>
                      <w:color w:val="000000"/>
                      <w:sz w:val="18"/>
                      <w:szCs w:val="18"/>
                    </w:rPr>
                  </w:pPr>
                  <w:r w:rsidRPr="00987D69">
                    <w:rPr>
                      <w:rFonts w:ascii="Calibri" w:hAnsi="Calibri" w:cs="Calibri"/>
                      <w:color w:val="000000"/>
                      <w:sz w:val="18"/>
                      <w:szCs w:val="18"/>
                    </w:rPr>
                    <w:t xml:space="preserve">Finance </w:t>
                  </w:r>
                  <w:r>
                    <w:rPr>
                      <w:rFonts w:ascii="Calibri" w:hAnsi="Calibri" w:cs="Calibri"/>
                      <w:color w:val="000000"/>
                      <w:sz w:val="18"/>
                      <w:szCs w:val="18"/>
                    </w:rPr>
                    <w:t>income</w:t>
                  </w:r>
                  <w:r w:rsidRPr="00987D69">
                    <w:rPr>
                      <w:rFonts w:ascii="Calibri" w:hAnsi="Calibri" w:cs="Calibri"/>
                      <w:color w:val="000000"/>
                      <w:sz w:val="18"/>
                      <w:szCs w:val="18"/>
                    </w:rPr>
                    <w:t xml:space="preserve"> f</w:t>
                  </w:r>
                  <w:r>
                    <w:rPr>
                      <w:rFonts w:ascii="Calibri" w:hAnsi="Calibri" w:cs="Calibri"/>
                      <w:color w:val="000000"/>
                      <w:sz w:val="18"/>
                      <w:szCs w:val="18"/>
                    </w:rPr>
                    <w:t>rom</w:t>
                  </w:r>
                  <w:r w:rsidRPr="00987D69">
                    <w:rPr>
                      <w:rFonts w:ascii="Calibri" w:hAnsi="Calibri" w:cs="Calibri"/>
                      <w:color w:val="000000"/>
                      <w:sz w:val="18"/>
                      <w:szCs w:val="18"/>
                    </w:rPr>
                    <w:t xml:space="preserve"> reinsurance contracts held</w:t>
                  </w:r>
                </w:p>
              </w:tc>
              <w:tc>
                <w:tcPr>
                  <w:tcW w:w="851" w:type="dxa"/>
                </w:tcPr>
                <w:p w14:paraId="5CF4FA95" w14:textId="34459345" w:rsidR="00757E4A" w:rsidRPr="00987D69" w:rsidRDefault="00757E4A" w:rsidP="000C7AE0">
                  <w:pPr>
                    <w:rPr>
                      <w:rFonts w:ascii="Calibri" w:hAnsi="Calibri" w:cs="Calibri"/>
                      <w:i/>
                      <w:sz w:val="18"/>
                      <w:szCs w:val="18"/>
                    </w:rPr>
                  </w:pPr>
                </w:p>
              </w:tc>
              <w:tc>
                <w:tcPr>
                  <w:tcW w:w="1134" w:type="dxa"/>
                </w:tcPr>
                <w:p w14:paraId="3D3E1EEA" w14:textId="533DF01E" w:rsidR="00757E4A" w:rsidRPr="007C18DE" w:rsidRDefault="00757E4A" w:rsidP="000C7AE0">
                  <w:pPr>
                    <w:jc w:val="right"/>
                    <w:rPr>
                      <w:rFonts w:ascii="Calibri" w:hAnsi="Calibri" w:cs="Calibri"/>
                      <w:b/>
                      <w:bCs/>
                      <w:sz w:val="18"/>
                      <w:szCs w:val="18"/>
                    </w:rPr>
                  </w:pPr>
                  <w:r w:rsidRPr="007C18DE">
                    <w:rPr>
                      <w:rFonts w:ascii="Calibri" w:hAnsi="Calibri" w:cs="Calibri"/>
                      <w:b/>
                      <w:bCs/>
                      <w:sz w:val="18"/>
                      <w:szCs w:val="18"/>
                    </w:rPr>
                    <w:t>1,249</w:t>
                  </w:r>
                </w:p>
              </w:tc>
              <w:tc>
                <w:tcPr>
                  <w:tcW w:w="1276" w:type="dxa"/>
                </w:tcPr>
                <w:p w14:paraId="6B1D736F" w14:textId="77777777" w:rsidR="00757E4A" w:rsidRPr="007C18DE" w:rsidRDefault="00757E4A" w:rsidP="000C7AE0">
                  <w:pPr>
                    <w:jc w:val="right"/>
                    <w:rPr>
                      <w:rFonts w:ascii="Calibri" w:hAnsi="Calibri" w:cs="Calibri"/>
                      <w:color w:val="000000"/>
                      <w:sz w:val="18"/>
                      <w:szCs w:val="18"/>
                    </w:rPr>
                  </w:pPr>
                  <w:r w:rsidRPr="007C18DE">
                    <w:rPr>
                      <w:rFonts w:ascii="Calibri" w:hAnsi="Calibri" w:cs="Calibri"/>
                      <w:color w:val="000000"/>
                      <w:sz w:val="18"/>
                      <w:szCs w:val="18"/>
                    </w:rPr>
                    <w:t>1,389</w:t>
                  </w:r>
                </w:p>
              </w:tc>
            </w:tr>
            <w:tr w:rsidR="00757E4A" w:rsidRPr="008901A5" w14:paraId="3906B405" w14:textId="77777777" w:rsidTr="000C7AE0">
              <w:trPr>
                <w:trHeight w:val="246"/>
              </w:trPr>
              <w:tc>
                <w:tcPr>
                  <w:tcW w:w="5670" w:type="dxa"/>
                </w:tcPr>
                <w:p w14:paraId="7E6A83A2" w14:textId="77777777" w:rsidR="00757E4A" w:rsidRPr="00987D69" w:rsidRDefault="00757E4A" w:rsidP="000C7AE0">
                  <w:pPr>
                    <w:rPr>
                      <w:rFonts w:ascii="Calibri" w:hAnsi="Calibri" w:cs="Calibri"/>
                      <w:b/>
                      <w:color w:val="000000"/>
                      <w:sz w:val="18"/>
                      <w:szCs w:val="18"/>
                    </w:rPr>
                  </w:pPr>
                </w:p>
              </w:tc>
              <w:tc>
                <w:tcPr>
                  <w:tcW w:w="851" w:type="dxa"/>
                </w:tcPr>
                <w:p w14:paraId="5748DDD4" w14:textId="77777777" w:rsidR="00757E4A" w:rsidRPr="00987D69" w:rsidRDefault="00757E4A" w:rsidP="000C7AE0">
                  <w:pPr>
                    <w:rPr>
                      <w:rFonts w:ascii="Calibri" w:hAnsi="Calibri" w:cs="Calibri"/>
                      <w:i/>
                      <w:sz w:val="18"/>
                      <w:szCs w:val="18"/>
                    </w:rPr>
                  </w:pPr>
                </w:p>
              </w:tc>
              <w:tc>
                <w:tcPr>
                  <w:tcW w:w="1134" w:type="dxa"/>
                  <w:tcBorders>
                    <w:bottom w:val="single" w:sz="4" w:space="0" w:color="auto"/>
                  </w:tcBorders>
                </w:tcPr>
                <w:p w14:paraId="2172F126" w14:textId="77777777" w:rsidR="00757E4A" w:rsidRPr="007C18DE" w:rsidRDefault="00757E4A" w:rsidP="000C7AE0">
                  <w:pPr>
                    <w:jc w:val="right"/>
                    <w:rPr>
                      <w:rFonts w:ascii="Calibri" w:hAnsi="Calibri" w:cs="Calibri"/>
                      <w:b/>
                      <w:bCs/>
                      <w:sz w:val="18"/>
                      <w:szCs w:val="18"/>
                    </w:rPr>
                  </w:pPr>
                </w:p>
              </w:tc>
              <w:tc>
                <w:tcPr>
                  <w:tcW w:w="1276" w:type="dxa"/>
                  <w:tcBorders>
                    <w:bottom w:val="single" w:sz="4" w:space="0" w:color="auto"/>
                  </w:tcBorders>
                </w:tcPr>
                <w:p w14:paraId="1BB99145" w14:textId="77777777" w:rsidR="00757E4A" w:rsidRPr="007C18DE" w:rsidRDefault="00757E4A" w:rsidP="000C7AE0">
                  <w:pPr>
                    <w:jc w:val="right"/>
                    <w:rPr>
                      <w:rFonts w:ascii="Calibri" w:hAnsi="Calibri" w:cs="Calibri"/>
                      <w:color w:val="000000"/>
                      <w:sz w:val="18"/>
                      <w:szCs w:val="18"/>
                    </w:rPr>
                  </w:pPr>
                </w:p>
              </w:tc>
            </w:tr>
            <w:tr w:rsidR="00757E4A" w:rsidRPr="008901A5" w14:paraId="274A0774" w14:textId="77777777" w:rsidTr="000C7AE0">
              <w:trPr>
                <w:trHeight w:val="253"/>
              </w:trPr>
              <w:tc>
                <w:tcPr>
                  <w:tcW w:w="5670" w:type="dxa"/>
                </w:tcPr>
                <w:p w14:paraId="5135073F" w14:textId="77777777" w:rsidR="00757E4A" w:rsidRPr="00987D69" w:rsidRDefault="00757E4A" w:rsidP="000C7AE0">
                  <w:pPr>
                    <w:rPr>
                      <w:rFonts w:ascii="Calibri" w:hAnsi="Calibri" w:cs="Calibri"/>
                      <w:b/>
                      <w:color w:val="000000"/>
                      <w:sz w:val="18"/>
                      <w:szCs w:val="18"/>
                    </w:rPr>
                  </w:pPr>
                  <w:r w:rsidRPr="00987D69">
                    <w:rPr>
                      <w:rFonts w:ascii="Calibri" w:hAnsi="Calibri" w:cs="Calibri"/>
                      <w:b/>
                      <w:color w:val="000000"/>
                      <w:sz w:val="18"/>
                      <w:szCs w:val="18"/>
                    </w:rPr>
                    <w:t>Net insurance finance expenses</w:t>
                  </w:r>
                </w:p>
              </w:tc>
              <w:tc>
                <w:tcPr>
                  <w:tcW w:w="851" w:type="dxa"/>
                </w:tcPr>
                <w:p w14:paraId="7A63D725" w14:textId="77777777" w:rsidR="00757E4A" w:rsidRPr="00987D69" w:rsidRDefault="00757E4A" w:rsidP="000C7AE0">
                  <w:pPr>
                    <w:rPr>
                      <w:rFonts w:ascii="Calibri" w:hAnsi="Calibri" w:cs="Calibri"/>
                      <w:i/>
                      <w:sz w:val="18"/>
                      <w:szCs w:val="18"/>
                    </w:rPr>
                  </w:pPr>
                </w:p>
              </w:tc>
              <w:tc>
                <w:tcPr>
                  <w:tcW w:w="1134" w:type="dxa"/>
                  <w:tcBorders>
                    <w:top w:val="single" w:sz="4" w:space="0" w:color="auto"/>
                    <w:bottom w:val="single" w:sz="4" w:space="0" w:color="auto"/>
                  </w:tcBorders>
                </w:tcPr>
                <w:p w14:paraId="6341AFC8" w14:textId="220C5BD9" w:rsidR="00757E4A" w:rsidRPr="007C18DE" w:rsidRDefault="00757E4A" w:rsidP="000C7AE0">
                  <w:pPr>
                    <w:jc w:val="right"/>
                    <w:rPr>
                      <w:rFonts w:ascii="Calibri" w:hAnsi="Calibri" w:cs="Calibri"/>
                      <w:b/>
                      <w:bCs/>
                      <w:sz w:val="18"/>
                      <w:szCs w:val="18"/>
                    </w:rPr>
                  </w:pPr>
                  <w:r w:rsidRPr="007C18DE">
                    <w:rPr>
                      <w:rFonts w:ascii="Calibri" w:hAnsi="Calibri" w:cs="Calibri"/>
                      <w:b/>
                      <w:bCs/>
                      <w:sz w:val="18"/>
                      <w:szCs w:val="18"/>
                    </w:rPr>
                    <w:t>(2,911)</w:t>
                  </w:r>
                </w:p>
              </w:tc>
              <w:tc>
                <w:tcPr>
                  <w:tcW w:w="1276" w:type="dxa"/>
                  <w:tcBorders>
                    <w:top w:val="single" w:sz="4" w:space="0" w:color="auto"/>
                    <w:bottom w:val="single" w:sz="4" w:space="0" w:color="auto"/>
                  </w:tcBorders>
                </w:tcPr>
                <w:p w14:paraId="58148BF4" w14:textId="77777777" w:rsidR="00757E4A" w:rsidRPr="007C18DE" w:rsidRDefault="00757E4A" w:rsidP="000C7AE0">
                  <w:pPr>
                    <w:jc w:val="right"/>
                    <w:rPr>
                      <w:rFonts w:ascii="Calibri" w:hAnsi="Calibri" w:cs="Calibri"/>
                      <w:color w:val="000000"/>
                      <w:sz w:val="18"/>
                      <w:szCs w:val="18"/>
                    </w:rPr>
                  </w:pPr>
                  <w:r w:rsidRPr="007C18DE">
                    <w:rPr>
                      <w:rFonts w:ascii="Calibri" w:hAnsi="Calibri" w:cs="Calibri"/>
                      <w:color w:val="000000"/>
                      <w:sz w:val="18"/>
                      <w:szCs w:val="18"/>
                    </w:rPr>
                    <w:t>(7,342)</w:t>
                  </w:r>
                </w:p>
              </w:tc>
            </w:tr>
            <w:tr w:rsidR="00757E4A" w:rsidRPr="008901A5" w14:paraId="3112030B" w14:textId="77777777" w:rsidTr="000C7AE0">
              <w:trPr>
                <w:trHeight w:val="253"/>
              </w:trPr>
              <w:tc>
                <w:tcPr>
                  <w:tcW w:w="5670" w:type="dxa"/>
                </w:tcPr>
                <w:p w14:paraId="5E0CB1A0" w14:textId="77777777" w:rsidR="00757E4A" w:rsidRPr="00987D69" w:rsidRDefault="00757E4A" w:rsidP="000C7AE0">
                  <w:pPr>
                    <w:rPr>
                      <w:rFonts w:ascii="Calibri" w:hAnsi="Calibri" w:cs="Calibri"/>
                      <w:b/>
                      <w:color w:val="000000"/>
                      <w:sz w:val="18"/>
                      <w:szCs w:val="18"/>
                    </w:rPr>
                  </w:pPr>
                  <w:r w:rsidRPr="00987D69">
                    <w:rPr>
                      <w:rFonts w:ascii="Calibri" w:hAnsi="Calibri" w:cs="Calibri"/>
                      <w:b/>
                      <w:color w:val="000000"/>
                      <w:sz w:val="18"/>
                      <w:szCs w:val="18"/>
                    </w:rPr>
                    <w:t>Net insurance and investment result</w:t>
                  </w:r>
                </w:p>
              </w:tc>
              <w:tc>
                <w:tcPr>
                  <w:tcW w:w="851" w:type="dxa"/>
                </w:tcPr>
                <w:p w14:paraId="280721B7" w14:textId="77777777" w:rsidR="00757E4A" w:rsidRPr="00987D69" w:rsidRDefault="00757E4A" w:rsidP="000C7AE0">
                  <w:pPr>
                    <w:rPr>
                      <w:rFonts w:ascii="Calibri" w:hAnsi="Calibri" w:cs="Calibri"/>
                      <w:i/>
                      <w:sz w:val="18"/>
                      <w:szCs w:val="18"/>
                    </w:rPr>
                  </w:pPr>
                </w:p>
              </w:tc>
              <w:tc>
                <w:tcPr>
                  <w:tcW w:w="1134" w:type="dxa"/>
                  <w:tcBorders>
                    <w:top w:val="single" w:sz="4" w:space="0" w:color="auto"/>
                    <w:bottom w:val="single" w:sz="4" w:space="0" w:color="auto"/>
                  </w:tcBorders>
                </w:tcPr>
                <w:p w14:paraId="34A5341C" w14:textId="7CAE9D93" w:rsidR="00757E4A" w:rsidRPr="007C18DE" w:rsidRDefault="00757E4A" w:rsidP="000C7AE0">
                  <w:pPr>
                    <w:jc w:val="right"/>
                    <w:rPr>
                      <w:rFonts w:ascii="Calibri" w:hAnsi="Calibri" w:cs="Calibri"/>
                      <w:b/>
                      <w:bCs/>
                      <w:sz w:val="18"/>
                      <w:szCs w:val="18"/>
                    </w:rPr>
                  </w:pPr>
                  <w:r w:rsidRPr="007C18DE">
                    <w:rPr>
                      <w:rFonts w:ascii="Calibri" w:hAnsi="Calibri" w:cs="Calibri"/>
                      <w:b/>
                      <w:bCs/>
                      <w:sz w:val="18"/>
                      <w:szCs w:val="18"/>
                    </w:rPr>
                    <w:t>142,491</w:t>
                  </w:r>
                </w:p>
              </w:tc>
              <w:tc>
                <w:tcPr>
                  <w:tcW w:w="1276" w:type="dxa"/>
                  <w:tcBorders>
                    <w:top w:val="single" w:sz="4" w:space="0" w:color="auto"/>
                    <w:bottom w:val="single" w:sz="4" w:space="0" w:color="auto"/>
                  </w:tcBorders>
                </w:tcPr>
                <w:p w14:paraId="10A1FA75" w14:textId="77777777" w:rsidR="00757E4A" w:rsidRPr="007C18DE" w:rsidRDefault="00757E4A" w:rsidP="000C7AE0">
                  <w:pPr>
                    <w:jc w:val="right"/>
                    <w:rPr>
                      <w:rFonts w:ascii="Calibri" w:hAnsi="Calibri" w:cs="Calibri"/>
                      <w:color w:val="000000"/>
                      <w:sz w:val="18"/>
                      <w:szCs w:val="18"/>
                    </w:rPr>
                  </w:pPr>
                  <w:r w:rsidRPr="007C18DE">
                    <w:rPr>
                      <w:rFonts w:ascii="Calibri" w:hAnsi="Calibri" w:cs="Calibri"/>
                      <w:color w:val="000000"/>
                      <w:sz w:val="18"/>
                      <w:szCs w:val="18"/>
                    </w:rPr>
                    <w:t>113,009</w:t>
                  </w:r>
                </w:p>
              </w:tc>
            </w:tr>
            <w:tr w:rsidR="00757E4A" w:rsidRPr="008901A5" w14:paraId="3783BF35" w14:textId="77777777" w:rsidTr="000C7AE0">
              <w:trPr>
                <w:trHeight w:val="246"/>
              </w:trPr>
              <w:tc>
                <w:tcPr>
                  <w:tcW w:w="5670" w:type="dxa"/>
                </w:tcPr>
                <w:p w14:paraId="1B0B7ABD" w14:textId="77777777" w:rsidR="00757E4A" w:rsidRPr="00987D69" w:rsidRDefault="00757E4A" w:rsidP="000C7AE0">
                  <w:pPr>
                    <w:rPr>
                      <w:rFonts w:ascii="Calibri" w:hAnsi="Calibri" w:cs="Calibri"/>
                      <w:b/>
                      <w:color w:val="000000"/>
                      <w:sz w:val="18"/>
                      <w:szCs w:val="18"/>
                    </w:rPr>
                  </w:pPr>
                </w:p>
              </w:tc>
              <w:tc>
                <w:tcPr>
                  <w:tcW w:w="851" w:type="dxa"/>
                </w:tcPr>
                <w:p w14:paraId="227071EA" w14:textId="77777777" w:rsidR="00757E4A" w:rsidRPr="00987D69" w:rsidRDefault="00757E4A" w:rsidP="000C7AE0">
                  <w:pPr>
                    <w:rPr>
                      <w:rFonts w:ascii="Calibri" w:hAnsi="Calibri" w:cs="Calibri"/>
                      <w:i/>
                      <w:sz w:val="18"/>
                      <w:szCs w:val="18"/>
                    </w:rPr>
                  </w:pPr>
                </w:p>
              </w:tc>
              <w:tc>
                <w:tcPr>
                  <w:tcW w:w="1134" w:type="dxa"/>
                  <w:tcBorders>
                    <w:top w:val="single" w:sz="4" w:space="0" w:color="auto"/>
                  </w:tcBorders>
                </w:tcPr>
                <w:p w14:paraId="4ECEDBE6" w14:textId="77777777" w:rsidR="00757E4A" w:rsidRPr="007C18DE" w:rsidRDefault="00757E4A" w:rsidP="000C7AE0">
                  <w:pPr>
                    <w:jc w:val="right"/>
                    <w:rPr>
                      <w:rFonts w:ascii="Calibri" w:hAnsi="Calibri" w:cs="Calibri"/>
                      <w:b/>
                      <w:bCs/>
                      <w:sz w:val="18"/>
                      <w:szCs w:val="18"/>
                    </w:rPr>
                  </w:pPr>
                </w:p>
              </w:tc>
              <w:tc>
                <w:tcPr>
                  <w:tcW w:w="1276" w:type="dxa"/>
                  <w:tcBorders>
                    <w:top w:val="single" w:sz="4" w:space="0" w:color="auto"/>
                  </w:tcBorders>
                </w:tcPr>
                <w:p w14:paraId="7E9F1208" w14:textId="77777777" w:rsidR="00757E4A" w:rsidRPr="007C18DE" w:rsidRDefault="00757E4A" w:rsidP="000C7AE0">
                  <w:pPr>
                    <w:jc w:val="right"/>
                    <w:rPr>
                      <w:rFonts w:ascii="Calibri" w:hAnsi="Calibri" w:cs="Calibri"/>
                      <w:color w:val="000000"/>
                      <w:sz w:val="18"/>
                      <w:szCs w:val="18"/>
                    </w:rPr>
                  </w:pPr>
                </w:p>
              </w:tc>
            </w:tr>
            <w:tr w:rsidR="00757E4A" w:rsidRPr="008901A5" w14:paraId="6F8E8736" w14:textId="77777777" w:rsidTr="000C7AE0">
              <w:trPr>
                <w:trHeight w:val="253"/>
              </w:trPr>
              <w:tc>
                <w:tcPr>
                  <w:tcW w:w="5670" w:type="dxa"/>
                </w:tcPr>
                <w:p w14:paraId="544B294C" w14:textId="77777777" w:rsidR="00757E4A" w:rsidRPr="00987D69" w:rsidRDefault="00757E4A" w:rsidP="000C7AE0">
                  <w:pPr>
                    <w:rPr>
                      <w:rFonts w:ascii="Calibri" w:hAnsi="Calibri" w:cs="Calibri"/>
                      <w:b/>
                      <w:color w:val="000000"/>
                      <w:sz w:val="18"/>
                      <w:szCs w:val="18"/>
                    </w:rPr>
                  </w:pPr>
                  <w:r w:rsidRPr="00987D69">
                    <w:rPr>
                      <w:rFonts w:ascii="Calibri" w:hAnsi="Calibri" w:cs="Calibri"/>
                      <w:color w:val="000000"/>
                      <w:sz w:val="18"/>
                      <w:szCs w:val="18"/>
                    </w:rPr>
                    <w:t>Other finance costs</w:t>
                  </w:r>
                </w:p>
              </w:tc>
              <w:tc>
                <w:tcPr>
                  <w:tcW w:w="851" w:type="dxa"/>
                </w:tcPr>
                <w:p w14:paraId="627C28AA" w14:textId="77777777" w:rsidR="00757E4A" w:rsidRPr="00987D69" w:rsidRDefault="00757E4A" w:rsidP="000C7AE0">
                  <w:pPr>
                    <w:rPr>
                      <w:rFonts w:ascii="Calibri" w:hAnsi="Calibri" w:cs="Calibri"/>
                      <w:i/>
                      <w:sz w:val="18"/>
                      <w:szCs w:val="18"/>
                    </w:rPr>
                  </w:pPr>
                </w:p>
              </w:tc>
              <w:tc>
                <w:tcPr>
                  <w:tcW w:w="1134" w:type="dxa"/>
                </w:tcPr>
                <w:p w14:paraId="5030FCB7" w14:textId="5C1724CA" w:rsidR="00757E4A" w:rsidRPr="007C18DE" w:rsidRDefault="00757E4A" w:rsidP="000C7AE0">
                  <w:pPr>
                    <w:jc w:val="right"/>
                    <w:rPr>
                      <w:rFonts w:ascii="Calibri" w:hAnsi="Calibri" w:cs="Calibri"/>
                      <w:b/>
                      <w:bCs/>
                      <w:sz w:val="18"/>
                      <w:szCs w:val="18"/>
                    </w:rPr>
                  </w:pPr>
                  <w:r w:rsidRPr="007C18DE">
                    <w:rPr>
                      <w:rFonts w:ascii="Calibri" w:hAnsi="Calibri" w:cs="Calibri"/>
                      <w:b/>
                      <w:bCs/>
                      <w:sz w:val="18"/>
                      <w:szCs w:val="18"/>
                    </w:rPr>
                    <w:t>(2,559)</w:t>
                  </w:r>
                </w:p>
              </w:tc>
              <w:tc>
                <w:tcPr>
                  <w:tcW w:w="1276" w:type="dxa"/>
                </w:tcPr>
                <w:p w14:paraId="180AC0AE" w14:textId="77777777" w:rsidR="00757E4A" w:rsidRPr="00987D69" w:rsidRDefault="00757E4A" w:rsidP="000C7AE0">
                  <w:pPr>
                    <w:jc w:val="right"/>
                    <w:rPr>
                      <w:rFonts w:ascii="Calibri" w:hAnsi="Calibri" w:cs="Calibri"/>
                      <w:bCs/>
                      <w:color w:val="000000"/>
                      <w:sz w:val="18"/>
                      <w:szCs w:val="18"/>
                    </w:rPr>
                  </w:pPr>
                  <w:r w:rsidRPr="00987D69">
                    <w:rPr>
                      <w:rFonts w:ascii="Calibri" w:hAnsi="Calibri" w:cs="Calibri"/>
                      <w:bCs/>
                      <w:color w:val="000000"/>
                      <w:sz w:val="18"/>
                      <w:szCs w:val="18"/>
                    </w:rPr>
                    <w:t>(2,559)</w:t>
                  </w:r>
                </w:p>
              </w:tc>
            </w:tr>
            <w:tr w:rsidR="00757E4A" w:rsidRPr="008901A5" w14:paraId="47D38CA9" w14:textId="77777777" w:rsidTr="000C7AE0">
              <w:trPr>
                <w:trHeight w:val="246"/>
              </w:trPr>
              <w:tc>
                <w:tcPr>
                  <w:tcW w:w="5670" w:type="dxa"/>
                </w:tcPr>
                <w:p w14:paraId="49E615B5" w14:textId="77777777" w:rsidR="00757E4A" w:rsidRPr="00987D69" w:rsidRDefault="00757E4A" w:rsidP="000C7AE0">
                  <w:pPr>
                    <w:rPr>
                      <w:rFonts w:ascii="Calibri" w:hAnsi="Calibri" w:cs="Calibri"/>
                      <w:b/>
                      <w:color w:val="000000"/>
                      <w:sz w:val="18"/>
                      <w:szCs w:val="18"/>
                    </w:rPr>
                  </w:pPr>
                  <w:r>
                    <w:rPr>
                      <w:rFonts w:ascii="Calibri" w:hAnsi="Calibri" w:cs="Calibri"/>
                      <w:color w:val="000000"/>
                      <w:sz w:val="18"/>
                      <w:szCs w:val="18"/>
                    </w:rPr>
                    <w:t>Non-attributable</w:t>
                  </w:r>
                  <w:r w:rsidRPr="00987D69">
                    <w:rPr>
                      <w:rFonts w:ascii="Calibri" w:hAnsi="Calibri" w:cs="Calibri"/>
                      <w:color w:val="000000"/>
                      <w:sz w:val="18"/>
                      <w:szCs w:val="18"/>
                    </w:rPr>
                    <w:t xml:space="preserve"> expenses</w:t>
                  </w:r>
                </w:p>
              </w:tc>
              <w:tc>
                <w:tcPr>
                  <w:tcW w:w="851" w:type="dxa"/>
                </w:tcPr>
                <w:p w14:paraId="1ADB9A98" w14:textId="6C2F8459" w:rsidR="00757E4A" w:rsidRPr="00987D69" w:rsidRDefault="00757E4A" w:rsidP="000C7AE0">
                  <w:pPr>
                    <w:rPr>
                      <w:rFonts w:ascii="Calibri" w:hAnsi="Calibri" w:cs="Calibri"/>
                      <w:sz w:val="18"/>
                      <w:szCs w:val="18"/>
                    </w:rPr>
                  </w:pPr>
                </w:p>
              </w:tc>
              <w:tc>
                <w:tcPr>
                  <w:tcW w:w="1134" w:type="dxa"/>
                </w:tcPr>
                <w:p w14:paraId="75C68AE3" w14:textId="04EBD0B6" w:rsidR="00757E4A" w:rsidRPr="007C18DE" w:rsidRDefault="00757E4A" w:rsidP="000C7AE0">
                  <w:pPr>
                    <w:jc w:val="right"/>
                    <w:rPr>
                      <w:rFonts w:ascii="Calibri" w:hAnsi="Calibri" w:cs="Calibri"/>
                      <w:b/>
                      <w:bCs/>
                      <w:sz w:val="18"/>
                      <w:szCs w:val="18"/>
                    </w:rPr>
                  </w:pPr>
                  <w:r w:rsidRPr="007C18DE">
                    <w:rPr>
                      <w:rFonts w:ascii="Calibri" w:hAnsi="Calibri" w:cs="Calibri"/>
                      <w:b/>
                      <w:bCs/>
                      <w:sz w:val="18"/>
                      <w:szCs w:val="18"/>
                    </w:rPr>
                    <w:t>(34,018)</w:t>
                  </w:r>
                </w:p>
              </w:tc>
              <w:tc>
                <w:tcPr>
                  <w:tcW w:w="1276" w:type="dxa"/>
                </w:tcPr>
                <w:p w14:paraId="788600A4" w14:textId="77777777" w:rsidR="00757E4A" w:rsidRPr="00987D69" w:rsidRDefault="00757E4A" w:rsidP="000C7AE0">
                  <w:pPr>
                    <w:jc w:val="right"/>
                    <w:rPr>
                      <w:rFonts w:ascii="Calibri" w:hAnsi="Calibri" w:cs="Calibri"/>
                      <w:bCs/>
                      <w:color w:val="000000"/>
                      <w:sz w:val="18"/>
                      <w:szCs w:val="18"/>
                    </w:rPr>
                  </w:pPr>
                  <w:r w:rsidRPr="00987D69">
                    <w:rPr>
                      <w:rFonts w:ascii="Calibri" w:hAnsi="Calibri" w:cs="Calibri"/>
                      <w:bCs/>
                      <w:color w:val="000000"/>
                      <w:sz w:val="18"/>
                      <w:szCs w:val="18"/>
                    </w:rPr>
                    <w:t>(33,048)</w:t>
                  </w:r>
                </w:p>
              </w:tc>
            </w:tr>
            <w:tr w:rsidR="00757E4A" w:rsidRPr="008901A5" w14:paraId="11C3A81B" w14:textId="77777777" w:rsidTr="000C7AE0">
              <w:trPr>
                <w:trHeight w:val="253"/>
              </w:trPr>
              <w:tc>
                <w:tcPr>
                  <w:tcW w:w="5670" w:type="dxa"/>
                </w:tcPr>
                <w:p w14:paraId="19C81D9E" w14:textId="77777777" w:rsidR="00757E4A" w:rsidRPr="00987D69" w:rsidRDefault="00757E4A" w:rsidP="000C7AE0">
                  <w:pPr>
                    <w:rPr>
                      <w:rFonts w:ascii="Calibri" w:hAnsi="Calibri" w:cs="Calibri"/>
                      <w:b/>
                      <w:color w:val="000000"/>
                      <w:sz w:val="18"/>
                      <w:szCs w:val="18"/>
                    </w:rPr>
                  </w:pPr>
                  <w:r>
                    <w:rPr>
                      <w:rFonts w:ascii="Calibri" w:hAnsi="Calibri" w:cs="Calibri"/>
                      <w:color w:val="000000"/>
                      <w:sz w:val="18"/>
                      <w:szCs w:val="18"/>
                    </w:rPr>
                    <w:t>Movement in o</w:t>
                  </w:r>
                  <w:r w:rsidRPr="00987D69">
                    <w:rPr>
                      <w:rFonts w:ascii="Calibri" w:hAnsi="Calibri" w:cs="Calibri"/>
                      <w:color w:val="000000"/>
                      <w:sz w:val="18"/>
                      <w:szCs w:val="18"/>
                    </w:rPr>
                    <w:t>ther provisions</w:t>
                  </w:r>
                </w:p>
              </w:tc>
              <w:tc>
                <w:tcPr>
                  <w:tcW w:w="851" w:type="dxa"/>
                </w:tcPr>
                <w:p w14:paraId="2D24F14B" w14:textId="75F532B4" w:rsidR="00757E4A" w:rsidRPr="00987D69" w:rsidRDefault="00757E4A" w:rsidP="000C7AE0">
                  <w:pPr>
                    <w:rPr>
                      <w:rFonts w:ascii="Calibri" w:hAnsi="Calibri" w:cs="Calibri"/>
                      <w:sz w:val="18"/>
                      <w:szCs w:val="18"/>
                    </w:rPr>
                  </w:pPr>
                </w:p>
              </w:tc>
              <w:tc>
                <w:tcPr>
                  <w:tcW w:w="1134" w:type="dxa"/>
                </w:tcPr>
                <w:p w14:paraId="7D499B3D" w14:textId="36A23183" w:rsidR="00757E4A" w:rsidRPr="007C18DE" w:rsidRDefault="00757E4A" w:rsidP="000C7AE0">
                  <w:pPr>
                    <w:jc w:val="right"/>
                    <w:rPr>
                      <w:rFonts w:ascii="Calibri" w:hAnsi="Calibri" w:cs="Calibri"/>
                      <w:b/>
                      <w:bCs/>
                      <w:sz w:val="18"/>
                      <w:szCs w:val="18"/>
                    </w:rPr>
                  </w:pPr>
                  <w:r w:rsidRPr="007C18DE">
                    <w:rPr>
                      <w:rFonts w:ascii="Calibri" w:hAnsi="Calibri" w:cs="Calibri"/>
                      <w:b/>
                      <w:bCs/>
                      <w:sz w:val="18"/>
                      <w:szCs w:val="18"/>
                    </w:rPr>
                    <w:t>(18,331)</w:t>
                  </w:r>
                </w:p>
              </w:tc>
              <w:tc>
                <w:tcPr>
                  <w:tcW w:w="1276" w:type="dxa"/>
                </w:tcPr>
                <w:p w14:paraId="18BFD10D" w14:textId="77777777" w:rsidR="00757E4A" w:rsidRPr="00987D69" w:rsidRDefault="00757E4A" w:rsidP="000C7AE0">
                  <w:pPr>
                    <w:jc w:val="right"/>
                    <w:rPr>
                      <w:rFonts w:ascii="Calibri" w:hAnsi="Calibri" w:cs="Calibri"/>
                      <w:bCs/>
                      <w:color w:val="000000"/>
                      <w:sz w:val="18"/>
                      <w:szCs w:val="18"/>
                    </w:rPr>
                  </w:pPr>
                  <w:r w:rsidRPr="00987D69">
                    <w:rPr>
                      <w:rFonts w:ascii="Calibri" w:hAnsi="Calibri" w:cs="Calibri"/>
                      <w:bCs/>
                      <w:color w:val="000000"/>
                      <w:sz w:val="18"/>
                      <w:szCs w:val="18"/>
                    </w:rPr>
                    <w:t>(8,403)</w:t>
                  </w:r>
                </w:p>
              </w:tc>
            </w:tr>
            <w:tr w:rsidR="00757E4A" w:rsidRPr="008901A5" w14:paraId="10A24353" w14:textId="77777777" w:rsidTr="000C7AE0">
              <w:trPr>
                <w:trHeight w:val="253"/>
              </w:trPr>
              <w:tc>
                <w:tcPr>
                  <w:tcW w:w="5670" w:type="dxa"/>
                </w:tcPr>
                <w:p w14:paraId="1A14D91F" w14:textId="77777777" w:rsidR="00757E4A" w:rsidRPr="00987D69" w:rsidRDefault="00757E4A" w:rsidP="000C7AE0">
                  <w:pPr>
                    <w:rPr>
                      <w:rFonts w:ascii="Calibri" w:hAnsi="Calibri" w:cs="Calibri"/>
                      <w:color w:val="000000"/>
                      <w:sz w:val="18"/>
                      <w:szCs w:val="18"/>
                    </w:rPr>
                  </w:pPr>
                  <w:r w:rsidRPr="00987D69">
                    <w:rPr>
                      <w:rFonts w:ascii="Calibri" w:hAnsi="Calibri" w:cs="Calibri"/>
                      <w:color w:val="000000"/>
                      <w:sz w:val="18"/>
                      <w:szCs w:val="18"/>
                    </w:rPr>
                    <w:t>Revenue from contracts with customers</w:t>
                  </w:r>
                </w:p>
              </w:tc>
              <w:tc>
                <w:tcPr>
                  <w:tcW w:w="851" w:type="dxa"/>
                </w:tcPr>
                <w:p w14:paraId="2CDA2E6A" w14:textId="5AA724A4" w:rsidR="00757E4A" w:rsidRPr="00987D69" w:rsidRDefault="00757E4A" w:rsidP="000C7AE0">
                  <w:pPr>
                    <w:rPr>
                      <w:rFonts w:ascii="Calibri" w:hAnsi="Calibri" w:cs="Calibri"/>
                      <w:sz w:val="18"/>
                      <w:szCs w:val="18"/>
                    </w:rPr>
                  </w:pPr>
                </w:p>
              </w:tc>
              <w:tc>
                <w:tcPr>
                  <w:tcW w:w="1134" w:type="dxa"/>
                </w:tcPr>
                <w:p w14:paraId="49335C2B" w14:textId="2BDC1E3F" w:rsidR="00757E4A" w:rsidRPr="007C18DE" w:rsidRDefault="00757E4A" w:rsidP="000C7AE0">
                  <w:pPr>
                    <w:jc w:val="right"/>
                    <w:rPr>
                      <w:rFonts w:ascii="Calibri" w:hAnsi="Calibri" w:cs="Calibri"/>
                      <w:b/>
                      <w:bCs/>
                      <w:sz w:val="18"/>
                      <w:szCs w:val="18"/>
                    </w:rPr>
                  </w:pPr>
                  <w:r w:rsidRPr="007C18DE">
                    <w:rPr>
                      <w:rFonts w:ascii="Calibri" w:hAnsi="Calibri" w:cs="Calibri"/>
                      <w:b/>
                      <w:bCs/>
                      <w:sz w:val="18"/>
                      <w:szCs w:val="18"/>
                    </w:rPr>
                    <w:t>2,468</w:t>
                  </w:r>
                </w:p>
              </w:tc>
              <w:tc>
                <w:tcPr>
                  <w:tcW w:w="1276" w:type="dxa"/>
                </w:tcPr>
                <w:p w14:paraId="56A19A1E" w14:textId="77777777" w:rsidR="00757E4A" w:rsidRPr="00987D69" w:rsidRDefault="00757E4A" w:rsidP="000C7AE0">
                  <w:pPr>
                    <w:jc w:val="right"/>
                    <w:rPr>
                      <w:rFonts w:ascii="Calibri" w:hAnsi="Calibri" w:cs="Calibri"/>
                      <w:bCs/>
                      <w:color w:val="000000"/>
                      <w:sz w:val="18"/>
                      <w:szCs w:val="18"/>
                    </w:rPr>
                  </w:pPr>
                  <w:r w:rsidRPr="00987D69">
                    <w:rPr>
                      <w:rFonts w:ascii="Calibri" w:hAnsi="Calibri" w:cs="Calibri"/>
                      <w:bCs/>
                      <w:color w:val="000000"/>
                      <w:sz w:val="18"/>
                      <w:szCs w:val="18"/>
                    </w:rPr>
                    <w:t>3,</w:t>
                  </w:r>
                  <w:r>
                    <w:rPr>
                      <w:rFonts w:ascii="Calibri" w:hAnsi="Calibri" w:cs="Calibri"/>
                      <w:bCs/>
                      <w:color w:val="000000"/>
                      <w:sz w:val="18"/>
                      <w:szCs w:val="18"/>
                    </w:rPr>
                    <w:t>173</w:t>
                  </w:r>
                </w:p>
              </w:tc>
            </w:tr>
            <w:tr w:rsidR="00757E4A" w:rsidRPr="008901A5" w14:paraId="7F909568" w14:textId="77777777" w:rsidTr="000C7AE0">
              <w:trPr>
                <w:trHeight w:val="253"/>
              </w:trPr>
              <w:tc>
                <w:tcPr>
                  <w:tcW w:w="5670" w:type="dxa"/>
                </w:tcPr>
                <w:p w14:paraId="3BFD7323" w14:textId="77777777" w:rsidR="00757E4A" w:rsidRPr="00987D69" w:rsidRDefault="00757E4A" w:rsidP="000C7AE0">
                  <w:pPr>
                    <w:rPr>
                      <w:rFonts w:ascii="Calibri" w:hAnsi="Calibri" w:cs="Calibri"/>
                      <w:color w:val="000000"/>
                      <w:sz w:val="18"/>
                      <w:szCs w:val="18"/>
                    </w:rPr>
                  </w:pPr>
                  <w:r w:rsidRPr="00987D69">
                    <w:rPr>
                      <w:rFonts w:ascii="Calibri" w:hAnsi="Calibri" w:cs="Calibri"/>
                      <w:color w:val="000000"/>
                      <w:sz w:val="18"/>
                      <w:szCs w:val="18"/>
                    </w:rPr>
                    <w:t xml:space="preserve">Financial services </w:t>
                  </w:r>
                  <w:r>
                    <w:rPr>
                      <w:rFonts w:ascii="Calibri" w:hAnsi="Calibri" w:cs="Calibri"/>
                      <w:color w:val="000000"/>
                      <w:sz w:val="18"/>
                      <w:szCs w:val="18"/>
                    </w:rPr>
                    <w:t xml:space="preserve">income </w:t>
                  </w:r>
                  <w:r w:rsidRPr="00987D69">
                    <w:rPr>
                      <w:rFonts w:ascii="Calibri" w:hAnsi="Calibri" w:cs="Calibri"/>
                      <w:color w:val="000000"/>
                      <w:sz w:val="18"/>
                      <w:szCs w:val="18"/>
                    </w:rPr>
                    <w:t>and</w:t>
                  </w:r>
                  <w:r>
                    <w:rPr>
                      <w:rFonts w:ascii="Calibri" w:hAnsi="Calibri" w:cs="Calibri"/>
                      <w:color w:val="000000"/>
                      <w:sz w:val="18"/>
                      <w:szCs w:val="18"/>
                    </w:rPr>
                    <w:t xml:space="preserve"> expenses</w:t>
                  </w:r>
                </w:p>
              </w:tc>
              <w:tc>
                <w:tcPr>
                  <w:tcW w:w="851" w:type="dxa"/>
                </w:tcPr>
                <w:p w14:paraId="0536D119" w14:textId="77777777" w:rsidR="00757E4A" w:rsidRPr="00987D69" w:rsidRDefault="00757E4A" w:rsidP="000C7AE0">
                  <w:pPr>
                    <w:rPr>
                      <w:rFonts w:ascii="Calibri" w:hAnsi="Calibri" w:cs="Calibri"/>
                      <w:sz w:val="18"/>
                      <w:szCs w:val="18"/>
                    </w:rPr>
                  </w:pPr>
                </w:p>
              </w:tc>
              <w:tc>
                <w:tcPr>
                  <w:tcW w:w="1134" w:type="dxa"/>
                </w:tcPr>
                <w:p w14:paraId="23005538" w14:textId="2994E5EC" w:rsidR="00757E4A" w:rsidRPr="007C18DE" w:rsidRDefault="00757E4A" w:rsidP="000C7AE0">
                  <w:pPr>
                    <w:jc w:val="right"/>
                    <w:rPr>
                      <w:rFonts w:ascii="Calibri" w:hAnsi="Calibri" w:cs="Calibri"/>
                      <w:b/>
                      <w:bCs/>
                      <w:sz w:val="18"/>
                      <w:szCs w:val="18"/>
                    </w:rPr>
                  </w:pPr>
                  <w:r w:rsidRPr="007C18DE">
                    <w:rPr>
                      <w:rFonts w:ascii="Calibri" w:hAnsi="Calibri" w:cs="Calibri"/>
                      <w:b/>
                      <w:bCs/>
                      <w:sz w:val="18"/>
                      <w:szCs w:val="18"/>
                    </w:rPr>
                    <w:t>(6,933)</w:t>
                  </w:r>
                </w:p>
              </w:tc>
              <w:tc>
                <w:tcPr>
                  <w:tcW w:w="1276" w:type="dxa"/>
                </w:tcPr>
                <w:p w14:paraId="3C68123D" w14:textId="77777777" w:rsidR="00757E4A" w:rsidRPr="00987D69" w:rsidRDefault="00757E4A" w:rsidP="000C7AE0">
                  <w:pPr>
                    <w:jc w:val="right"/>
                    <w:rPr>
                      <w:rFonts w:ascii="Calibri" w:hAnsi="Calibri" w:cs="Calibri"/>
                      <w:bCs/>
                      <w:color w:val="000000"/>
                      <w:sz w:val="18"/>
                      <w:szCs w:val="18"/>
                    </w:rPr>
                  </w:pPr>
                  <w:r w:rsidRPr="00987D69">
                    <w:rPr>
                      <w:rFonts w:ascii="Calibri" w:hAnsi="Calibri" w:cs="Calibri"/>
                      <w:bCs/>
                      <w:color w:val="000000"/>
                      <w:sz w:val="18"/>
                      <w:szCs w:val="18"/>
                    </w:rPr>
                    <w:t>(6,</w:t>
                  </w:r>
                  <w:r>
                    <w:rPr>
                      <w:rFonts w:ascii="Calibri" w:hAnsi="Calibri" w:cs="Calibri"/>
                      <w:bCs/>
                      <w:color w:val="000000"/>
                      <w:sz w:val="18"/>
                      <w:szCs w:val="18"/>
                    </w:rPr>
                    <w:t>045</w:t>
                  </w:r>
                  <w:r w:rsidRPr="00987D69">
                    <w:rPr>
                      <w:rFonts w:ascii="Calibri" w:hAnsi="Calibri" w:cs="Calibri"/>
                      <w:bCs/>
                      <w:color w:val="000000"/>
                      <w:sz w:val="18"/>
                      <w:szCs w:val="18"/>
                    </w:rPr>
                    <w:t>)</w:t>
                  </w:r>
                </w:p>
              </w:tc>
            </w:tr>
            <w:tr w:rsidR="00757E4A" w:rsidRPr="008901A5" w14:paraId="4D938369" w14:textId="77777777" w:rsidTr="000C7AE0">
              <w:trPr>
                <w:trHeight w:val="246"/>
              </w:trPr>
              <w:tc>
                <w:tcPr>
                  <w:tcW w:w="5670" w:type="dxa"/>
                </w:tcPr>
                <w:p w14:paraId="68C0C285" w14:textId="77777777" w:rsidR="00757E4A" w:rsidRPr="00542A05" w:rsidRDefault="00757E4A" w:rsidP="000C7AE0">
                  <w:pPr>
                    <w:rPr>
                      <w:rFonts w:ascii="Calibri" w:hAnsi="Calibri" w:cs="Calibri"/>
                      <w:color w:val="000000"/>
                      <w:sz w:val="18"/>
                      <w:szCs w:val="18"/>
                    </w:rPr>
                  </w:pPr>
                  <w:r w:rsidRPr="00542A05">
                    <w:rPr>
                      <w:rFonts w:ascii="Calibri" w:hAnsi="Calibri" w:cs="Calibri"/>
                      <w:color w:val="000000"/>
                      <w:sz w:val="18"/>
                      <w:szCs w:val="18"/>
                    </w:rPr>
                    <w:t xml:space="preserve">Revaluation of property, </w:t>
                  </w:r>
                  <w:proofErr w:type="gramStart"/>
                  <w:r w:rsidRPr="00542A05">
                    <w:rPr>
                      <w:rFonts w:ascii="Calibri" w:hAnsi="Calibri" w:cs="Calibri"/>
                      <w:color w:val="000000"/>
                      <w:sz w:val="18"/>
                      <w:szCs w:val="18"/>
                    </w:rPr>
                    <w:t>plant</w:t>
                  </w:r>
                  <w:proofErr w:type="gramEnd"/>
                  <w:r w:rsidRPr="00542A05">
                    <w:rPr>
                      <w:rFonts w:ascii="Calibri" w:hAnsi="Calibri" w:cs="Calibri"/>
                      <w:color w:val="000000"/>
                      <w:sz w:val="18"/>
                      <w:szCs w:val="18"/>
                    </w:rPr>
                    <w:t xml:space="preserve"> and equipment</w:t>
                  </w:r>
                </w:p>
              </w:tc>
              <w:tc>
                <w:tcPr>
                  <w:tcW w:w="851" w:type="dxa"/>
                </w:tcPr>
                <w:p w14:paraId="45F35F61" w14:textId="59358E27" w:rsidR="00757E4A" w:rsidRPr="00987D69" w:rsidRDefault="00757E4A" w:rsidP="000C7AE0">
                  <w:pPr>
                    <w:rPr>
                      <w:rFonts w:ascii="Calibri" w:hAnsi="Calibri" w:cs="Calibri"/>
                      <w:sz w:val="18"/>
                      <w:szCs w:val="18"/>
                    </w:rPr>
                  </w:pPr>
                </w:p>
              </w:tc>
              <w:tc>
                <w:tcPr>
                  <w:tcW w:w="1134" w:type="dxa"/>
                </w:tcPr>
                <w:p w14:paraId="249ED7C5" w14:textId="4EFEAE77" w:rsidR="00757E4A" w:rsidRPr="007C18DE" w:rsidRDefault="00757E4A" w:rsidP="000C7AE0">
                  <w:pPr>
                    <w:jc w:val="right"/>
                    <w:rPr>
                      <w:rFonts w:ascii="Calibri" w:hAnsi="Calibri" w:cs="Calibri"/>
                      <w:b/>
                      <w:bCs/>
                      <w:sz w:val="18"/>
                      <w:szCs w:val="18"/>
                    </w:rPr>
                  </w:pPr>
                  <w:r w:rsidRPr="007C18DE">
                    <w:rPr>
                      <w:rFonts w:ascii="Calibri" w:hAnsi="Calibri" w:cs="Calibri"/>
                      <w:b/>
                      <w:bCs/>
                      <w:sz w:val="18"/>
                      <w:szCs w:val="18"/>
                    </w:rPr>
                    <w:t>(1,708)</w:t>
                  </w:r>
                </w:p>
              </w:tc>
              <w:tc>
                <w:tcPr>
                  <w:tcW w:w="1276" w:type="dxa"/>
                </w:tcPr>
                <w:p w14:paraId="2CD6F576" w14:textId="77777777" w:rsidR="00757E4A" w:rsidRPr="00987D69" w:rsidRDefault="00757E4A" w:rsidP="000C7AE0">
                  <w:pPr>
                    <w:jc w:val="right"/>
                    <w:rPr>
                      <w:rFonts w:ascii="Calibri" w:hAnsi="Calibri" w:cs="Calibri"/>
                      <w:bCs/>
                      <w:color w:val="000000"/>
                      <w:sz w:val="18"/>
                      <w:szCs w:val="18"/>
                    </w:rPr>
                  </w:pPr>
                  <w:r w:rsidRPr="00987D69">
                    <w:rPr>
                      <w:rFonts w:ascii="Calibri" w:hAnsi="Calibri" w:cs="Calibri"/>
                      <w:bCs/>
                      <w:color w:val="000000"/>
                      <w:sz w:val="18"/>
                      <w:szCs w:val="18"/>
                    </w:rPr>
                    <w:t>(287)</w:t>
                  </w:r>
                </w:p>
              </w:tc>
            </w:tr>
            <w:tr w:rsidR="00757E4A" w:rsidRPr="008901A5" w14:paraId="03587DF3" w14:textId="77777777" w:rsidTr="000C7AE0">
              <w:trPr>
                <w:trHeight w:val="253"/>
              </w:trPr>
              <w:tc>
                <w:tcPr>
                  <w:tcW w:w="5670" w:type="dxa"/>
                </w:tcPr>
                <w:p w14:paraId="2F25414A" w14:textId="77777777" w:rsidR="00757E4A" w:rsidRPr="00987D69" w:rsidRDefault="00757E4A" w:rsidP="000C7AE0">
                  <w:pPr>
                    <w:rPr>
                      <w:rFonts w:ascii="Calibri" w:hAnsi="Calibri" w:cs="Calibri"/>
                      <w:color w:val="000000"/>
                      <w:sz w:val="18"/>
                      <w:szCs w:val="18"/>
                    </w:rPr>
                  </w:pPr>
                  <w:r w:rsidRPr="00987D69">
                    <w:rPr>
                      <w:rFonts w:ascii="Calibri" w:hAnsi="Calibri" w:cs="Calibri"/>
                      <w:b/>
                      <w:color w:val="000000"/>
                      <w:sz w:val="18"/>
                      <w:szCs w:val="18"/>
                    </w:rPr>
                    <w:t>Profit before taxation</w:t>
                  </w:r>
                </w:p>
              </w:tc>
              <w:tc>
                <w:tcPr>
                  <w:tcW w:w="851" w:type="dxa"/>
                </w:tcPr>
                <w:p w14:paraId="43468E2C" w14:textId="77777777" w:rsidR="00757E4A" w:rsidRPr="00987D69" w:rsidRDefault="00757E4A" w:rsidP="000C7AE0">
                  <w:pPr>
                    <w:rPr>
                      <w:rFonts w:ascii="Calibri" w:hAnsi="Calibri" w:cs="Calibri"/>
                      <w:sz w:val="18"/>
                      <w:szCs w:val="18"/>
                    </w:rPr>
                  </w:pPr>
                </w:p>
              </w:tc>
              <w:tc>
                <w:tcPr>
                  <w:tcW w:w="1134" w:type="dxa"/>
                  <w:tcBorders>
                    <w:top w:val="single" w:sz="4" w:space="0" w:color="auto"/>
                  </w:tcBorders>
                </w:tcPr>
                <w:p w14:paraId="04C9031B" w14:textId="49973B5B" w:rsidR="00757E4A" w:rsidRPr="007C18DE" w:rsidRDefault="00757E4A" w:rsidP="000C7AE0">
                  <w:pPr>
                    <w:jc w:val="right"/>
                    <w:rPr>
                      <w:rFonts w:ascii="Calibri" w:hAnsi="Calibri" w:cs="Calibri"/>
                      <w:b/>
                      <w:bCs/>
                      <w:sz w:val="18"/>
                      <w:szCs w:val="18"/>
                    </w:rPr>
                  </w:pPr>
                  <w:r w:rsidRPr="007C18DE">
                    <w:rPr>
                      <w:rFonts w:ascii="Calibri" w:hAnsi="Calibri" w:cs="Calibri"/>
                      <w:b/>
                      <w:bCs/>
                      <w:sz w:val="18"/>
                      <w:szCs w:val="18"/>
                    </w:rPr>
                    <w:t>81,4</w:t>
                  </w:r>
                  <w:r>
                    <w:rPr>
                      <w:rFonts w:ascii="Calibri" w:hAnsi="Calibri" w:cs="Calibri"/>
                      <w:b/>
                      <w:bCs/>
                      <w:sz w:val="18"/>
                      <w:szCs w:val="18"/>
                    </w:rPr>
                    <w:t>10</w:t>
                  </w:r>
                </w:p>
              </w:tc>
              <w:tc>
                <w:tcPr>
                  <w:tcW w:w="1276" w:type="dxa"/>
                  <w:tcBorders>
                    <w:top w:val="single" w:sz="4" w:space="0" w:color="auto"/>
                  </w:tcBorders>
                </w:tcPr>
                <w:p w14:paraId="548B696E" w14:textId="77777777" w:rsidR="00757E4A" w:rsidRPr="007C18DE" w:rsidRDefault="00757E4A" w:rsidP="000C7AE0">
                  <w:pPr>
                    <w:jc w:val="right"/>
                    <w:rPr>
                      <w:rFonts w:ascii="Calibri" w:hAnsi="Calibri" w:cs="Calibri"/>
                      <w:color w:val="000000"/>
                      <w:sz w:val="18"/>
                      <w:szCs w:val="18"/>
                    </w:rPr>
                  </w:pPr>
                  <w:r w:rsidRPr="007C18DE">
                    <w:rPr>
                      <w:rFonts w:ascii="Calibri" w:hAnsi="Calibri" w:cs="Calibri"/>
                      <w:color w:val="000000"/>
                      <w:sz w:val="18"/>
                      <w:szCs w:val="18"/>
                    </w:rPr>
                    <w:t>65,840</w:t>
                  </w:r>
                </w:p>
              </w:tc>
            </w:tr>
            <w:tr w:rsidR="00757E4A" w:rsidRPr="008901A5" w14:paraId="422A392B" w14:textId="77777777" w:rsidTr="000C7AE0">
              <w:trPr>
                <w:trHeight w:val="253"/>
              </w:trPr>
              <w:tc>
                <w:tcPr>
                  <w:tcW w:w="5670" w:type="dxa"/>
                </w:tcPr>
                <w:p w14:paraId="74E496B6" w14:textId="77777777" w:rsidR="00757E4A" w:rsidRPr="00987D69" w:rsidRDefault="00757E4A" w:rsidP="000C7AE0">
                  <w:pPr>
                    <w:rPr>
                      <w:rFonts w:ascii="Calibri" w:hAnsi="Calibri" w:cs="Calibri"/>
                      <w:b/>
                      <w:color w:val="000000"/>
                      <w:sz w:val="18"/>
                      <w:szCs w:val="18"/>
                    </w:rPr>
                  </w:pPr>
                </w:p>
              </w:tc>
              <w:tc>
                <w:tcPr>
                  <w:tcW w:w="851" w:type="dxa"/>
                </w:tcPr>
                <w:p w14:paraId="0076B03E" w14:textId="77777777" w:rsidR="00757E4A" w:rsidRPr="00987D69" w:rsidRDefault="00757E4A" w:rsidP="000C7AE0">
                  <w:pPr>
                    <w:rPr>
                      <w:rFonts w:ascii="Calibri" w:hAnsi="Calibri" w:cs="Calibri"/>
                      <w:sz w:val="18"/>
                      <w:szCs w:val="18"/>
                    </w:rPr>
                  </w:pPr>
                </w:p>
              </w:tc>
              <w:tc>
                <w:tcPr>
                  <w:tcW w:w="1134" w:type="dxa"/>
                </w:tcPr>
                <w:p w14:paraId="6453F231" w14:textId="77777777" w:rsidR="00757E4A" w:rsidRPr="007C18DE" w:rsidRDefault="00757E4A" w:rsidP="000C7AE0">
                  <w:pPr>
                    <w:jc w:val="right"/>
                    <w:rPr>
                      <w:rFonts w:ascii="Calibri" w:hAnsi="Calibri" w:cs="Calibri"/>
                      <w:b/>
                      <w:bCs/>
                      <w:sz w:val="18"/>
                      <w:szCs w:val="18"/>
                    </w:rPr>
                  </w:pPr>
                </w:p>
              </w:tc>
              <w:tc>
                <w:tcPr>
                  <w:tcW w:w="1276" w:type="dxa"/>
                </w:tcPr>
                <w:p w14:paraId="43D7A037" w14:textId="77777777" w:rsidR="00757E4A" w:rsidRPr="007C18DE" w:rsidRDefault="00757E4A" w:rsidP="000C7AE0">
                  <w:pPr>
                    <w:jc w:val="right"/>
                    <w:rPr>
                      <w:rFonts w:ascii="Calibri" w:hAnsi="Calibri" w:cs="Calibri"/>
                      <w:color w:val="000000"/>
                      <w:sz w:val="18"/>
                      <w:szCs w:val="18"/>
                    </w:rPr>
                  </w:pPr>
                </w:p>
              </w:tc>
            </w:tr>
            <w:tr w:rsidR="00757E4A" w:rsidRPr="008901A5" w14:paraId="4B697251" w14:textId="77777777" w:rsidTr="000C7AE0">
              <w:trPr>
                <w:trHeight w:val="246"/>
              </w:trPr>
              <w:tc>
                <w:tcPr>
                  <w:tcW w:w="5670" w:type="dxa"/>
                </w:tcPr>
                <w:p w14:paraId="68E002A2" w14:textId="77777777" w:rsidR="00757E4A" w:rsidRPr="00987D69" w:rsidRDefault="00757E4A" w:rsidP="000C7AE0">
                  <w:pPr>
                    <w:rPr>
                      <w:rFonts w:ascii="Calibri" w:hAnsi="Calibri" w:cs="Calibri"/>
                      <w:b/>
                      <w:color w:val="000000"/>
                      <w:sz w:val="18"/>
                      <w:szCs w:val="18"/>
                    </w:rPr>
                  </w:pPr>
                  <w:r w:rsidRPr="00987D69">
                    <w:rPr>
                      <w:rFonts w:ascii="Calibri" w:hAnsi="Calibri" w:cs="Calibri"/>
                      <w:color w:val="000000"/>
                      <w:sz w:val="18"/>
                      <w:szCs w:val="18"/>
                    </w:rPr>
                    <w:t>Income taxation charge</w:t>
                  </w:r>
                </w:p>
              </w:tc>
              <w:tc>
                <w:tcPr>
                  <w:tcW w:w="851" w:type="dxa"/>
                </w:tcPr>
                <w:p w14:paraId="74D1DCC9" w14:textId="769B618E" w:rsidR="00757E4A" w:rsidRPr="00987D69" w:rsidRDefault="00757E4A" w:rsidP="000C7AE0">
                  <w:pPr>
                    <w:rPr>
                      <w:rFonts w:ascii="Calibri" w:hAnsi="Calibri" w:cs="Calibri"/>
                      <w:i/>
                      <w:sz w:val="18"/>
                      <w:szCs w:val="18"/>
                    </w:rPr>
                  </w:pPr>
                </w:p>
              </w:tc>
              <w:tc>
                <w:tcPr>
                  <w:tcW w:w="1134" w:type="dxa"/>
                </w:tcPr>
                <w:p w14:paraId="3210065A" w14:textId="6151DB27" w:rsidR="00757E4A" w:rsidRPr="007C18DE" w:rsidRDefault="00757E4A" w:rsidP="000C7AE0">
                  <w:pPr>
                    <w:jc w:val="right"/>
                    <w:rPr>
                      <w:rFonts w:ascii="Calibri" w:hAnsi="Calibri" w:cs="Calibri"/>
                      <w:b/>
                      <w:bCs/>
                      <w:sz w:val="18"/>
                      <w:szCs w:val="18"/>
                    </w:rPr>
                  </w:pPr>
                  <w:r w:rsidRPr="007C18DE">
                    <w:rPr>
                      <w:rFonts w:ascii="Calibri" w:hAnsi="Calibri" w:cs="Calibri"/>
                      <w:b/>
                      <w:bCs/>
                      <w:sz w:val="18"/>
                      <w:szCs w:val="18"/>
                    </w:rPr>
                    <w:t>(11,869)</w:t>
                  </w:r>
                </w:p>
              </w:tc>
              <w:tc>
                <w:tcPr>
                  <w:tcW w:w="1276" w:type="dxa"/>
                </w:tcPr>
                <w:p w14:paraId="79624E79" w14:textId="77777777" w:rsidR="00757E4A" w:rsidRPr="007C18DE" w:rsidRDefault="00757E4A" w:rsidP="000C7AE0">
                  <w:pPr>
                    <w:jc w:val="right"/>
                    <w:rPr>
                      <w:rFonts w:ascii="Calibri" w:hAnsi="Calibri" w:cs="Calibri"/>
                      <w:color w:val="000000"/>
                      <w:sz w:val="18"/>
                      <w:szCs w:val="18"/>
                    </w:rPr>
                  </w:pPr>
                  <w:r w:rsidRPr="007C18DE">
                    <w:rPr>
                      <w:rFonts w:ascii="Calibri" w:hAnsi="Calibri" w:cs="Calibri"/>
                      <w:color w:val="000000"/>
                      <w:sz w:val="18"/>
                      <w:szCs w:val="18"/>
                    </w:rPr>
                    <w:t>(8,284)</w:t>
                  </w:r>
                </w:p>
              </w:tc>
            </w:tr>
            <w:tr w:rsidR="00757E4A" w:rsidRPr="008901A5" w14:paraId="1C21CB1C" w14:textId="77777777" w:rsidTr="000C7AE0">
              <w:trPr>
                <w:trHeight w:val="246"/>
              </w:trPr>
              <w:tc>
                <w:tcPr>
                  <w:tcW w:w="5670" w:type="dxa"/>
                </w:tcPr>
                <w:p w14:paraId="275358BB" w14:textId="77777777" w:rsidR="00757E4A" w:rsidRPr="00987D69" w:rsidRDefault="00757E4A" w:rsidP="000C7AE0">
                  <w:pPr>
                    <w:rPr>
                      <w:rFonts w:ascii="Calibri" w:hAnsi="Calibri" w:cs="Calibri"/>
                      <w:b/>
                      <w:color w:val="000000"/>
                      <w:sz w:val="18"/>
                      <w:szCs w:val="18"/>
                    </w:rPr>
                  </w:pPr>
                  <w:r w:rsidRPr="00987D69">
                    <w:rPr>
                      <w:rFonts w:ascii="Calibri" w:hAnsi="Calibri" w:cs="Calibri"/>
                      <w:b/>
                      <w:color w:val="000000"/>
                      <w:sz w:val="18"/>
                      <w:szCs w:val="18"/>
                    </w:rPr>
                    <w:t>Profit for the period</w:t>
                  </w:r>
                </w:p>
              </w:tc>
              <w:tc>
                <w:tcPr>
                  <w:tcW w:w="851" w:type="dxa"/>
                </w:tcPr>
                <w:p w14:paraId="437FC677" w14:textId="77777777" w:rsidR="00757E4A" w:rsidRPr="00987D69" w:rsidRDefault="00757E4A" w:rsidP="000C7AE0">
                  <w:pPr>
                    <w:jc w:val="both"/>
                    <w:rPr>
                      <w:rFonts w:ascii="Calibri" w:hAnsi="Calibri" w:cs="Calibri"/>
                      <w:i/>
                      <w:sz w:val="18"/>
                      <w:szCs w:val="18"/>
                    </w:rPr>
                  </w:pPr>
                </w:p>
              </w:tc>
              <w:tc>
                <w:tcPr>
                  <w:tcW w:w="1134" w:type="dxa"/>
                  <w:tcBorders>
                    <w:top w:val="single" w:sz="4" w:space="0" w:color="auto"/>
                    <w:bottom w:val="single" w:sz="8" w:space="0" w:color="auto"/>
                  </w:tcBorders>
                </w:tcPr>
                <w:p w14:paraId="17ED967B" w14:textId="77278086" w:rsidR="00757E4A" w:rsidRPr="007C18DE" w:rsidRDefault="00757E4A" w:rsidP="000C7AE0">
                  <w:pPr>
                    <w:jc w:val="right"/>
                    <w:rPr>
                      <w:rFonts w:ascii="Calibri" w:hAnsi="Calibri" w:cs="Calibri"/>
                      <w:b/>
                      <w:bCs/>
                      <w:sz w:val="18"/>
                      <w:szCs w:val="18"/>
                    </w:rPr>
                  </w:pPr>
                  <w:r w:rsidRPr="007C18DE">
                    <w:rPr>
                      <w:rFonts w:ascii="Calibri" w:hAnsi="Calibri" w:cs="Calibri"/>
                      <w:b/>
                      <w:bCs/>
                      <w:sz w:val="18"/>
                      <w:szCs w:val="18"/>
                    </w:rPr>
                    <w:t>69,5</w:t>
                  </w:r>
                  <w:r>
                    <w:rPr>
                      <w:rFonts w:ascii="Calibri" w:hAnsi="Calibri" w:cs="Calibri"/>
                      <w:b/>
                      <w:bCs/>
                      <w:sz w:val="18"/>
                      <w:szCs w:val="18"/>
                    </w:rPr>
                    <w:t>41</w:t>
                  </w:r>
                </w:p>
              </w:tc>
              <w:tc>
                <w:tcPr>
                  <w:tcW w:w="1276" w:type="dxa"/>
                  <w:tcBorders>
                    <w:top w:val="single" w:sz="4" w:space="0" w:color="auto"/>
                    <w:bottom w:val="single" w:sz="8" w:space="0" w:color="auto"/>
                  </w:tcBorders>
                </w:tcPr>
                <w:p w14:paraId="2E94C3A1" w14:textId="77777777" w:rsidR="00757E4A" w:rsidRPr="007C18DE" w:rsidRDefault="00757E4A" w:rsidP="000C7AE0">
                  <w:pPr>
                    <w:jc w:val="right"/>
                    <w:rPr>
                      <w:rFonts w:ascii="Calibri" w:hAnsi="Calibri" w:cs="Calibri"/>
                      <w:color w:val="000000"/>
                      <w:sz w:val="18"/>
                      <w:szCs w:val="18"/>
                    </w:rPr>
                  </w:pPr>
                  <w:r w:rsidRPr="007C18DE">
                    <w:rPr>
                      <w:rFonts w:ascii="Calibri" w:hAnsi="Calibri" w:cs="Calibri"/>
                      <w:color w:val="000000"/>
                      <w:sz w:val="18"/>
                      <w:szCs w:val="18"/>
                    </w:rPr>
                    <w:t>57,556</w:t>
                  </w:r>
                </w:p>
              </w:tc>
            </w:tr>
            <w:tr w:rsidR="00757E4A" w:rsidRPr="008901A5" w14:paraId="1C64D686" w14:textId="77777777" w:rsidTr="000C7AE0">
              <w:trPr>
                <w:trHeight w:val="253"/>
              </w:trPr>
              <w:tc>
                <w:tcPr>
                  <w:tcW w:w="5670" w:type="dxa"/>
                </w:tcPr>
                <w:p w14:paraId="5779BFEC" w14:textId="77777777" w:rsidR="00757E4A" w:rsidRPr="00987D69" w:rsidRDefault="00757E4A" w:rsidP="000C7AE0">
                  <w:pPr>
                    <w:rPr>
                      <w:rFonts w:ascii="Calibri" w:hAnsi="Calibri" w:cs="Calibri"/>
                      <w:b/>
                      <w:color w:val="000000"/>
                      <w:sz w:val="18"/>
                      <w:szCs w:val="18"/>
                    </w:rPr>
                  </w:pPr>
                </w:p>
              </w:tc>
              <w:tc>
                <w:tcPr>
                  <w:tcW w:w="851" w:type="dxa"/>
                </w:tcPr>
                <w:p w14:paraId="74C496E6" w14:textId="77777777" w:rsidR="00757E4A" w:rsidRPr="00987D69" w:rsidRDefault="00757E4A" w:rsidP="000C7AE0">
                  <w:pPr>
                    <w:jc w:val="both"/>
                    <w:rPr>
                      <w:rFonts w:ascii="Calibri" w:hAnsi="Calibri" w:cs="Calibri"/>
                      <w:i/>
                      <w:sz w:val="18"/>
                      <w:szCs w:val="18"/>
                    </w:rPr>
                  </w:pPr>
                </w:p>
              </w:tc>
              <w:tc>
                <w:tcPr>
                  <w:tcW w:w="1134" w:type="dxa"/>
                  <w:tcBorders>
                    <w:top w:val="single" w:sz="8" w:space="0" w:color="auto"/>
                  </w:tcBorders>
                </w:tcPr>
                <w:p w14:paraId="34DDF16A" w14:textId="77777777" w:rsidR="00757E4A" w:rsidRPr="007C18DE" w:rsidRDefault="00757E4A" w:rsidP="000C7AE0">
                  <w:pPr>
                    <w:jc w:val="right"/>
                    <w:rPr>
                      <w:rFonts w:ascii="Calibri" w:hAnsi="Calibri" w:cs="Calibri"/>
                      <w:b/>
                      <w:bCs/>
                      <w:sz w:val="18"/>
                      <w:szCs w:val="18"/>
                    </w:rPr>
                  </w:pPr>
                </w:p>
              </w:tc>
              <w:tc>
                <w:tcPr>
                  <w:tcW w:w="1276" w:type="dxa"/>
                  <w:tcBorders>
                    <w:top w:val="single" w:sz="8" w:space="0" w:color="auto"/>
                  </w:tcBorders>
                </w:tcPr>
                <w:p w14:paraId="60579E68" w14:textId="77777777" w:rsidR="00757E4A" w:rsidRPr="007C18DE" w:rsidRDefault="00757E4A" w:rsidP="000C7AE0">
                  <w:pPr>
                    <w:jc w:val="right"/>
                    <w:rPr>
                      <w:rFonts w:ascii="Calibri" w:hAnsi="Calibri" w:cs="Calibri"/>
                      <w:color w:val="000000"/>
                      <w:sz w:val="18"/>
                      <w:szCs w:val="18"/>
                    </w:rPr>
                  </w:pPr>
                </w:p>
              </w:tc>
            </w:tr>
            <w:tr w:rsidR="00757E4A" w:rsidRPr="008901A5" w14:paraId="53D116A0" w14:textId="77777777" w:rsidTr="000C7AE0">
              <w:trPr>
                <w:trHeight w:val="253"/>
              </w:trPr>
              <w:tc>
                <w:tcPr>
                  <w:tcW w:w="5670" w:type="dxa"/>
                </w:tcPr>
                <w:p w14:paraId="638684E1" w14:textId="77777777" w:rsidR="00757E4A" w:rsidRPr="00987D69" w:rsidRDefault="00757E4A" w:rsidP="000C7AE0">
                  <w:pPr>
                    <w:rPr>
                      <w:rFonts w:ascii="Calibri" w:hAnsi="Calibri" w:cs="Calibri"/>
                      <w:b/>
                      <w:color w:val="000000"/>
                      <w:sz w:val="18"/>
                      <w:szCs w:val="18"/>
                    </w:rPr>
                  </w:pPr>
                  <w:r w:rsidRPr="00987D69">
                    <w:rPr>
                      <w:rFonts w:ascii="Calibri" w:hAnsi="Calibri" w:cs="Calibri"/>
                      <w:b/>
                      <w:color w:val="000000"/>
                      <w:sz w:val="18"/>
                      <w:szCs w:val="18"/>
                    </w:rPr>
                    <w:t>Attributable to:</w:t>
                  </w:r>
                </w:p>
              </w:tc>
              <w:tc>
                <w:tcPr>
                  <w:tcW w:w="851" w:type="dxa"/>
                </w:tcPr>
                <w:p w14:paraId="3AA4A067" w14:textId="77777777" w:rsidR="00757E4A" w:rsidRPr="00987D69" w:rsidRDefault="00757E4A" w:rsidP="000C7AE0">
                  <w:pPr>
                    <w:jc w:val="both"/>
                    <w:rPr>
                      <w:rFonts w:ascii="Calibri" w:hAnsi="Calibri" w:cs="Calibri"/>
                      <w:i/>
                      <w:sz w:val="18"/>
                      <w:szCs w:val="18"/>
                    </w:rPr>
                  </w:pPr>
                </w:p>
              </w:tc>
              <w:tc>
                <w:tcPr>
                  <w:tcW w:w="1134" w:type="dxa"/>
                </w:tcPr>
                <w:p w14:paraId="58AA6223" w14:textId="77777777" w:rsidR="00757E4A" w:rsidRPr="007C18DE" w:rsidRDefault="00757E4A" w:rsidP="000C7AE0">
                  <w:pPr>
                    <w:jc w:val="right"/>
                    <w:rPr>
                      <w:rFonts w:ascii="Calibri" w:hAnsi="Calibri" w:cs="Calibri"/>
                      <w:b/>
                      <w:bCs/>
                      <w:sz w:val="18"/>
                      <w:szCs w:val="18"/>
                    </w:rPr>
                  </w:pPr>
                </w:p>
              </w:tc>
              <w:tc>
                <w:tcPr>
                  <w:tcW w:w="1276" w:type="dxa"/>
                </w:tcPr>
                <w:p w14:paraId="2973A015" w14:textId="77777777" w:rsidR="00757E4A" w:rsidRPr="00987D69" w:rsidRDefault="00757E4A" w:rsidP="000C7AE0">
                  <w:pPr>
                    <w:jc w:val="right"/>
                    <w:rPr>
                      <w:rFonts w:ascii="Calibri" w:hAnsi="Calibri" w:cs="Calibri"/>
                      <w:bCs/>
                      <w:color w:val="000000"/>
                      <w:sz w:val="18"/>
                      <w:szCs w:val="18"/>
                    </w:rPr>
                  </w:pPr>
                </w:p>
              </w:tc>
            </w:tr>
            <w:tr w:rsidR="00757E4A" w:rsidRPr="008901A5" w14:paraId="029808BE" w14:textId="77777777" w:rsidTr="000C7AE0">
              <w:trPr>
                <w:trHeight w:val="246"/>
              </w:trPr>
              <w:tc>
                <w:tcPr>
                  <w:tcW w:w="5670" w:type="dxa"/>
                </w:tcPr>
                <w:p w14:paraId="175DDF87" w14:textId="77777777" w:rsidR="00757E4A" w:rsidRPr="00987D69" w:rsidRDefault="00757E4A" w:rsidP="000C7AE0">
                  <w:pPr>
                    <w:rPr>
                      <w:rFonts w:ascii="Calibri" w:hAnsi="Calibri" w:cs="Calibri"/>
                      <w:b/>
                      <w:color w:val="000000"/>
                      <w:sz w:val="18"/>
                      <w:szCs w:val="18"/>
                    </w:rPr>
                  </w:pPr>
                  <w:r w:rsidRPr="00987D69">
                    <w:rPr>
                      <w:rFonts w:ascii="Calibri" w:hAnsi="Calibri" w:cs="Calibri"/>
                      <w:color w:val="000000"/>
                      <w:sz w:val="18"/>
                      <w:szCs w:val="18"/>
                    </w:rPr>
                    <w:t>Equity holders of the parent</w:t>
                  </w:r>
                </w:p>
              </w:tc>
              <w:tc>
                <w:tcPr>
                  <w:tcW w:w="851" w:type="dxa"/>
                </w:tcPr>
                <w:p w14:paraId="07550B00" w14:textId="77777777" w:rsidR="00757E4A" w:rsidRPr="00987D69" w:rsidRDefault="00757E4A" w:rsidP="000C7AE0">
                  <w:pPr>
                    <w:jc w:val="both"/>
                    <w:rPr>
                      <w:rFonts w:ascii="Calibri" w:hAnsi="Calibri" w:cs="Calibri"/>
                      <w:i/>
                      <w:sz w:val="18"/>
                      <w:szCs w:val="18"/>
                    </w:rPr>
                  </w:pPr>
                </w:p>
              </w:tc>
              <w:tc>
                <w:tcPr>
                  <w:tcW w:w="1134" w:type="dxa"/>
                  <w:tcBorders>
                    <w:bottom w:val="single" w:sz="4" w:space="0" w:color="auto"/>
                  </w:tcBorders>
                </w:tcPr>
                <w:p w14:paraId="6493A104" w14:textId="291F7F16" w:rsidR="00757E4A" w:rsidRPr="007C18DE" w:rsidRDefault="00757E4A" w:rsidP="000C7AE0">
                  <w:pPr>
                    <w:jc w:val="right"/>
                    <w:rPr>
                      <w:rFonts w:ascii="Calibri" w:hAnsi="Calibri" w:cs="Calibri"/>
                      <w:b/>
                      <w:bCs/>
                      <w:sz w:val="18"/>
                      <w:szCs w:val="18"/>
                    </w:rPr>
                  </w:pPr>
                  <w:r w:rsidRPr="007C18DE">
                    <w:rPr>
                      <w:rFonts w:ascii="Calibri" w:hAnsi="Calibri" w:cs="Calibri"/>
                      <w:b/>
                      <w:bCs/>
                      <w:sz w:val="18"/>
                      <w:szCs w:val="18"/>
                    </w:rPr>
                    <w:t>69,5</w:t>
                  </w:r>
                  <w:r>
                    <w:rPr>
                      <w:rFonts w:ascii="Calibri" w:hAnsi="Calibri" w:cs="Calibri"/>
                      <w:b/>
                      <w:bCs/>
                      <w:sz w:val="18"/>
                      <w:szCs w:val="18"/>
                    </w:rPr>
                    <w:t>41</w:t>
                  </w:r>
                </w:p>
              </w:tc>
              <w:tc>
                <w:tcPr>
                  <w:tcW w:w="1276" w:type="dxa"/>
                  <w:tcBorders>
                    <w:bottom w:val="single" w:sz="4" w:space="0" w:color="auto"/>
                  </w:tcBorders>
                </w:tcPr>
                <w:p w14:paraId="057F6024" w14:textId="77777777" w:rsidR="00757E4A" w:rsidRPr="00987D69" w:rsidRDefault="00757E4A" w:rsidP="000C7AE0">
                  <w:pPr>
                    <w:jc w:val="right"/>
                    <w:rPr>
                      <w:rFonts w:ascii="Calibri" w:hAnsi="Calibri" w:cs="Calibri"/>
                      <w:bCs/>
                      <w:color w:val="000000"/>
                      <w:sz w:val="18"/>
                      <w:szCs w:val="18"/>
                    </w:rPr>
                  </w:pPr>
                  <w:r w:rsidRPr="00987D69">
                    <w:rPr>
                      <w:rFonts w:ascii="Calibri" w:hAnsi="Calibri" w:cs="Calibri"/>
                      <w:bCs/>
                      <w:color w:val="000000"/>
                      <w:sz w:val="18"/>
                      <w:szCs w:val="18"/>
                    </w:rPr>
                    <w:t>57,556</w:t>
                  </w:r>
                </w:p>
              </w:tc>
            </w:tr>
          </w:tbl>
          <w:p w14:paraId="1D941553" w14:textId="77777777" w:rsidR="00757E4A" w:rsidRPr="00987D69" w:rsidRDefault="00757E4A" w:rsidP="000C7AE0">
            <w:pPr>
              <w:ind w:left="284"/>
              <w:jc w:val="both"/>
              <w:rPr>
                <w:rFonts w:ascii="Calibri" w:hAnsi="Calibri" w:cs="Calibri"/>
                <w:i/>
                <w:sz w:val="18"/>
                <w:szCs w:val="18"/>
                <w:vertAlign w:val="superscript"/>
              </w:rPr>
            </w:pPr>
          </w:p>
          <w:p w14:paraId="5502E2C0" w14:textId="77777777" w:rsidR="00757E4A" w:rsidRPr="00987D69" w:rsidRDefault="00757E4A" w:rsidP="000C7AE0">
            <w:pPr>
              <w:tabs>
                <w:tab w:val="left" w:pos="8080"/>
              </w:tabs>
              <w:ind w:right="-28"/>
              <w:jc w:val="center"/>
              <w:rPr>
                <w:rFonts w:ascii="Calibri" w:hAnsi="Calibri" w:cs="Calibri"/>
                <w:b/>
                <w:color w:val="000000"/>
                <w:sz w:val="18"/>
                <w:szCs w:val="18"/>
              </w:rPr>
            </w:pPr>
          </w:p>
          <w:tbl>
            <w:tblPr>
              <w:tblStyle w:val="TableGrid"/>
              <w:tblW w:w="8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851"/>
              <w:gridCol w:w="1134"/>
              <w:gridCol w:w="1226"/>
            </w:tblGrid>
            <w:tr w:rsidR="00757E4A" w:rsidRPr="008901A5" w14:paraId="2B5FE9A9" w14:textId="77777777" w:rsidTr="000C7AE0">
              <w:trPr>
                <w:trHeight w:val="986"/>
              </w:trPr>
              <w:tc>
                <w:tcPr>
                  <w:tcW w:w="5670" w:type="dxa"/>
                </w:tcPr>
                <w:p w14:paraId="6AC1C92C" w14:textId="77777777" w:rsidR="00757E4A" w:rsidRPr="00987D69" w:rsidRDefault="00757E4A" w:rsidP="000C7AE0">
                  <w:pPr>
                    <w:rPr>
                      <w:rFonts w:ascii="Calibri" w:hAnsi="Calibri" w:cs="Calibri"/>
                      <w:sz w:val="18"/>
                      <w:szCs w:val="18"/>
                      <w:vertAlign w:val="superscript"/>
                    </w:rPr>
                  </w:pPr>
                </w:p>
              </w:tc>
              <w:tc>
                <w:tcPr>
                  <w:tcW w:w="851" w:type="dxa"/>
                </w:tcPr>
                <w:p w14:paraId="433790BA" w14:textId="41FA7A4C" w:rsidR="00757E4A" w:rsidRPr="00987D69" w:rsidRDefault="00757E4A" w:rsidP="000C7AE0">
                  <w:pPr>
                    <w:rPr>
                      <w:rFonts w:ascii="Calibri" w:hAnsi="Calibri" w:cs="Calibri"/>
                      <w:i/>
                      <w:sz w:val="18"/>
                      <w:szCs w:val="18"/>
                      <w:vertAlign w:val="superscript"/>
                    </w:rPr>
                  </w:pPr>
                </w:p>
              </w:tc>
              <w:tc>
                <w:tcPr>
                  <w:tcW w:w="1134" w:type="dxa"/>
                </w:tcPr>
                <w:p w14:paraId="45B8066A" w14:textId="72FA7BB6" w:rsidR="00757E4A" w:rsidRPr="00987D69" w:rsidRDefault="00757E4A" w:rsidP="000C7AE0">
                  <w:pPr>
                    <w:autoSpaceDE w:val="0"/>
                    <w:autoSpaceDN w:val="0"/>
                    <w:adjustRightInd w:val="0"/>
                    <w:ind w:left="-109"/>
                    <w:jc w:val="right"/>
                    <w:rPr>
                      <w:rFonts w:ascii="Calibri" w:hAnsi="Calibri" w:cs="Calibri"/>
                      <w:b/>
                      <w:color w:val="000000"/>
                      <w:sz w:val="18"/>
                      <w:szCs w:val="18"/>
                    </w:rPr>
                  </w:pPr>
                  <w:r w:rsidRPr="00987D69">
                    <w:rPr>
                      <w:rFonts w:ascii="Calibri" w:hAnsi="Calibri" w:cs="Calibri"/>
                      <w:b/>
                      <w:color w:val="000000"/>
                      <w:sz w:val="18"/>
                      <w:szCs w:val="18"/>
                    </w:rPr>
                    <w:br/>
                    <w:t>3</w:t>
                  </w:r>
                  <w:r>
                    <w:rPr>
                      <w:rFonts w:ascii="Calibri" w:hAnsi="Calibri" w:cs="Calibri"/>
                      <w:b/>
                      <w:color w:val="000000"/>
                      <w:sz w:val="18"/>
                      <w:szCs w:val="18"/>
                    </w:rPr>
                    <w:t>1</w:t>
                  </w:r>
                  <w:r w:rsidRPr="00987D69">
                    <w:rPr>
                      <w:rFonts w:ascii="Calibri" w:hAnsi="Calibri" w:cs="Calibri"/>
                      <w:b/>
                      <w:color w:val="000000"/>
                      <w:sz w:val="18"/>
                      <w:szCs w:val="18"/>
                    </w:rPr>
                    <w:t>/</w:t>
                  </w:r>
                  <w:r>
                    <w:rPr>
                      <w:rFonts w:ascii="Calibri" w:hAnsi="Calibri" w:cs="Calibri"/>
                      <w:b/>
                      <w:color w:val="000000"/>
                      <w:sz w:val="18"/>
                      <w:szCs w:val="18"/>
                    </w:rPr>
                    <w:t>12</w:t>
                  </w:r>
                  <w:r w:rsidRPr="00987D69">
                    <w:rPr>
                      <w:rFonts w:ascii="Calibri" w:hAnsi="Calibri" w:cs="Calibri"/>
                      <w:b/>
                      <w:color w:val="000000"/>
                      <w:sz w:val="18"/>
                      <w:szCs w:val="18"/>
                    </w:rPr>
                    <w:t>/23</w:t>
                  </w:r>
                </w:p>
                <w:p w14:paraId="3FDAD7FD" w14:textId="77777777" w:rsidR="00757E4A" w:rsidRPr="00987D69" w:rsidRDefault="00757E4A" w:rsidP="000C7AE0">
                  <w:pPr>
                    <w:ind w:left="-109"/>
                    <w:jc w:val="right"/>
                    <w:rPr>
                      <w:rFonts w:ascii="Calibri" w:hAnsi="Calibri" w:cs="Calibri"/>
                      <w:i/>
                      <w:sz w:val="18"/>
                      <w:szCs w:val="18"/>
                      <w:vertAlign w:val="superscript"/>
                    </w:rPr>
                  </w:pPr>
                </w:p>
              </w:tc>
              <w:tc>
                <w:tcPr>
                  <w:tcW w:w="1226" w:type="dxa"/>
                </w:tcPr>
                <w:p w14:paraId="6822C45E" w14:textId="77777777" w:rsidR="00757E4A" w:rsidRDefault="00757E4A" w:rsidP="000C7AE0">
                  <w:pPr>
                    <w:autoSpaceDE w:val="0"/>
                    <w:autoSpaceDN w:val="0"/>
                    <w:adjustRightInd w:val="0"/>
                    <w:ind w:left="33"/>
                    <w:jc w:val="right"/>
                    <w:rPr>
                      <w:rFonts w:ascii="Calibri" w:hAnsi="Calibri" w:cs="Calibri"/>
                      <w:color w:val="000000"/>
                      <w:sz w:val="18"/>
                      <w:szCs w:val="18"/>
                    </w:rPr>
                  </w:pPr>
                </w:p>
                <w:p w14:paraId="3CB65F8C" w14:textId="0E68DE3F" w:rsidR="00757E4A" w:rsidRPr="00987D69" w:rsidRDefault="00757E4A" w:rsidP="000C7AE0">
                  <w:pPr>
                    <w:autoSpaceDE w:val="0"/>
                    <w:autoSpaceDN w:val="0"/>
                    <w:adjustRightInd w:val="0"/>
                    <w:ind w:left="33"/>
                    <w:jc w:val="right"/>
                    <w:rPr>
                      <w:rFonts w:ascii="Calibri" w:hAnsi="Calibri" w:cs="Calibri"/>
                      <w:color w:val="000000"/>
                      <w:sz w:val="18"/>
                      <w:szCs w:val="18"/>
                    </w:rPr>
                  </w:pPr>
                  <w:r>
                    <w:rPr>
                      <w:rFonts w:ascii="Calibri" w:hAnsi="Calibri" w:cs="Calibri"/>
                      <w:color w:val="000000"/>
                      <w:sz w:val="18"/>
                      <w:szCs w:val="18"/>
                    </w:rPr>
                    <w:t>31/12</w:t>
                  </w:r>
                  <w:r w:rsidRPr="00987D69">
                    <w:rPr>
                      <w:rFonts w:ascii="Calibri" w:hAnsi="Calibri" w:cs="Calibri"/>
                      <w:color w:val="000000"/>
                      <w:sz w:val="18"/>
                      <w:szCs w:val="18"/>
                    </w:rPr>
                    <w:t>/22</w:t>
                  </w:r>
                </w:p>
                <w:p w14:paraId="3B7C51EE" w14:textId="4B4A9C83" w:rsidR="00757E4A" w:rsidRPr="00987D69" w:rsidRDefault="00757E4A" w:rsidP="000C7AE0">
                  <w:pPr>
                    <w:jc w:val="right"/>
                    <w:rPr>
                      <w:rFonts w:ascii="Calibri" w:hAnsi="Calibri" w:cs="Calibri"/>
                      <w:i/>
                      <w:sz w:val="18"/>
                      <w:szCs w:val="18"/>
                      <w:vertAlign w:val="superscript"/>
                    </w:rPr>
                  </w:pPr>
                  <w:r>
                    <w:rPr>
                      <w:rFonts w:ascii="Calibri" w:hAnsi="Calibri" w:cs="Calibri"/>
                      <w:color w:val="000000"/>
                      <w:sz w:val="18"/>
                      <w:szCs w:val="18"/>
                    </w:rPr>
                    <w:t>(restated</w:t>
                  </w:r>
                  <w:r w:rsidRPr="00987D69">
                    <w:rPr>
                      <w:rFonts w:ascii="Calibri" w:hAnsi="Calibri" w:cs="Calibri"/>
                      <w:color w:val="000000"/>
                      <w:sz w:val="18"/>
                      <w:szCs w:val="18"/>
                    </w:rPr>
                    <w:t>)</w:t>
                  </w:r>
                  <w:r w:rsidR="00D52902" w:rsidRPr="009A2B5A">
                    <w:rPr>
                      <w:rFonts w:ascii="Calibri" w:hAnsi="Calibri" w:cs="Calibri"/>
                      <w:color w:val="000000"/>
                      <w:sz w:val="18"/>
                      <w:szCs w:val="18"/>
                      <w:vertAlign w:val="superscript"/>
                    </w:rPr>
                    <w:t>1</w:t>
                  </w:r>
                </w:p>
              </w:tc>
            </w:tr>
            <w:tr w:rsidR="00757E4A" w:rsidRPr="008901A5" w14:paraId="1786D592" w14:textId="77777777" w:rsidTr="000C7AE0">
              <w:trPr>
                <w:trHeight w:val="249"/>
              </w:trPr>
              <w:tc>
                <w:tcPr>
                  <w:tcW w:w="5670" w:type="dxa"/>
                </w:tcPr>
                <w:p w14:paraId="1993B5D7" w14:textId="77777777" w:rsidR="00757E4A" w:rsidRPr="00880EF3" w:rsidRDefault="00757E4A" w:rsidP="000C7AE0">
                  <w:pPr>
                    <w:autoSpaceDE w:val="0"/>
                    <w:autoSpaceDN w:val="0"/>
                    <w:adjustRightInd w:val="0"/>
                    <w:rPr>
                      <w:rFonts w:ascii="Calibri" w:hAnsi="Calibri" w:cs="Calibri"/>
                      <w:b/>
                      <w:color w:val="000000"/>
                      <w:sz w:val="18"/>
                      <w:szCs w:val="18"/>
                    </w:rPr>
                  </w:pPr>
                  <w:r w:rsidRPr="00880EF3">
                    <w:rPr>
                      <w:rFonts w:ascii="Calibri" w:hAnsi="Calibri" w:cs="Calibri"/>
                      <w:b/>
                      <w:color w:val="000000"/>
                      <w:sz w:val="18"/>
                      <w:szCs w:val="18"/>
                    </w:rPr>
                    <w:t>Earnings per share</w:t>
                  </w:r>
                </w:p>
                <w:p w14:paraId="52B3AA7B" w14:textId="77777777" w:rsidR="00757E4A" w:rsidRPr="00880EF3" w:rsidRDefault="00757E4A" w:rsidP="000C7AE0">
                  <w:pPr>
                    <w:rPr>
                      <w:rFonts w:ascii="Calibri" w:hAnsi="Calibri" w:cs="Calibri"/>
                      <w:i/>
                      <w:sz w:val="18"/>
                      <w:szCs w:val="18"/>
                      <w:vertAlign w:val="superscript"/>
                    </w:rPr>
                  </w:pPr>
                </w:p>
              </w:tc>
              <w:tc>
                <w:tcPr>
                  <w:tcW w:w="851" w:type="dxa"/>
                </w:tcPr>
                <w:p w14:paraId="51A0256C" w14:textId="77777777" w:rsidR="00757E4A" w:rsidRPr="00880EF3" w:rsidRDefault="00757E4A" w:rsidP="000C7AE0">
                  <w:pPr>
                    <w:rPr>
                      <w:rFonts w:ascii="Calibri" w:hAnsi="Calibri" w:cs="Calibri"/>
                      <w:i/>
                      <w:sz w:val="18"/>
                      <w:szCs w:val="18"/>
                      <w:vertAlign w:val="superscript"/>
                    </w:rPr>
                  </w:pPr>
                </w:p>
              </w:tc>
              <w:tc>
                <w:tcPr>
                  <w:tcW w:w="1134" w:type="dxa"/>
                </w:tcPr>
                <w:p w14:paraId="07C879ED" w14:textId="77777777" w:rsidR="00757E4A" w:rsidRPr="00863465" w:rsidRDefault="00757E4A" w:rsidP="000C7AE0">
                  <w:pPr>
                    <w:jc w:val="right"/>
                    <w:rPr>
                      <w:rFonts w:ascii="Calibri" w:hAnsi="Calibri" w:cs="Calibri"/>
                      <w:sz w:val="18"/>
                      <w:szCs w:val="18"/>
                      <w:vertAlign w:val="superscript"/>
                    </w:rPr>
                  </w:pPr>
                  <w:r w:rsidRPr="00105250">
                    <w:rPr>
                      <w:rFonts w:ascii="Calibri" w:hAnsi="Calibri" w:cs="Calibri"/>
                      <w:b/>
                      <w:sz w:val="18"/>
                      <w:szCs w:val="18"/>
                    </w:rPr>
                    <w:t>Cent</w:t>
                  </w:r>
                </w:p>
              </w:tc>
              <w:tc>
                <w:tcPr>
                  <w:tcW w:w="1226" w:type="dxa"/>
                </w:tcPr>
                <w:p w14:paraId="0AFC9904" w14:textId="77777777" w:rsidR="00757E4A" w:rsidRPr="00880EF3" w:rsidRDefault="00757E4A" w:rsidP="000C7AE0">
                  <w:pPr>
                    <w:jc w:val="right"/>
                    <w:rPr>
                      <w:rFonts w:ascii="Calibri" w:hAnsi="Calibri" w:cs="Calibri"/>
                      <w:i/>
                      <w:sz w:val="18"/>
                      <w:szCs w:val="18"/>
                      <w:vertAlign w:val="superscript"/>
                    </w:rPr>
                  </w:pPr>
                  <w:r w:rsidRPr="00880EF3">
                    <w:rPr>
                      <w:rFonts w:ascii="Calibri" w:hAnsi="Calibri" w:cs="Calibri"/>
                      <w:b/>
                      <w:color w:val="000000"/>
                      <w:sz w:val="18"/>
                      <w:szCs w:val="18"/>
                    </w:rPr>
                    <w:t>Cent</w:t>
                  </w:r>
                </w:p>
              </w:tc>
            </w:tr>
            <w:tr w:rsidR="00757E4A" w:rsidRPr="008901A5" w14:paraId="43DC5EBE" w14:textId="77777777" w:rsidTr="005B7E84">
              <w:trPr>
                <w:trHeight w:val="249"/>
              </w:trPr>
              <w:tc>
                <w:tcPr>
                  <w:tcW w:w="5670" w:type="dxa"/>
                </w:tcPr>
                <w:p w14:paraId="2ABBEE79" w14:textId="77777777" w:rsidR="00757E4A" w:rsidRPr="00880EF3" w:rsidRDefault="00757E4A" w:rsidP="000C7AE0">
                  <w:pPr>
                    <w:rPr>
                      <w:rFonts w:ascii="Calibri" w:hAnsi="Calibri" w:cs="Calibri"/>
                      <w:bCs/>
                      <w:sz w:val="18"/>
                      <w:szCs w:val="18"/>
                    </w:rPr>
                  </w:pPr>
                  <w:r w:rsidRPr="00880EF3">
                    <w:rPr>
                      <w:rFonts w:ascii="Calibri" w:hAnsi="Calibri" w:cs="Calibri"/>
                      <w:bCs/>
                      <w:sz w:val="18"/>
                      <w:szCs w:val="18"/>
                    </w:rPr>
                    <w:t>Basic</w:t>
                  </w:r>
                </w:p>
              </w:tc>
              <w:tc>
                <w:tcPr>
                  <w:tcW w:w="851" w:type="dxa"/>
                </w:tcPr>
                <w:p w14:paraId="06B866C9" w14:textId="41329D3C" w:rsidR="00757E4A" w:rsidRPr="00880EF3" w:rsidRDefault="00757E4A" w:rsidP="000C7AE0">
                  <w:pPr>
                    <w:rPr>
                      <w:rFonts w:ascii="Calibri" w:hAnsi="Calibri" w:cs="Calibri"/>
                      <w:i/>
                      <w:sz w:val="18"/>
                      <w:szCs w:val="18"/>
                      <w:vertAlign w:val="superscript"/>
                    </w:rPr>
                  </w:pPr>
                </w:p>
              </w:tc>
              <w:tc>
                <w:tcPr>
                  <w:tcW w:w="1134" w:type="dxa"/>
                  <w:tcBorders>
                    <w:bottom w:val="single" w:sz="8" w:space="0" w:color="auto"/>
                  </w:tcBorders>
                  <w:shd w:val="clear" w:color="auto" w:fill="auto"/>
                </w:tcPr>
                <w:p w14:paraId="6B4BE3CA" w14:textId="4FC32034" w:rsidR="00757E4A" w:rsidRPr="005B7E84" w:rsidRDefault="00757E4A" w:rsidP="000C7AE0">
                  <w:pPr>
                    <w:jc w:val="right"/>
                    <w:rPr>
                      <w:rFonts w:ascii="Calibri" w:hAnsi="Calibri" w:cs="Calibri"/>
                      <w:b/>
                      <w:bCs/>
                      <w:sz w:val="18"/>
                      <w:szCs w:val="18"/>
                      <w:vertAlign w:val="superscript"/>
                    </w:rPr>
                  </w:pPr>
                  <w:r w:rsidRPr="005B7E84">
                    <w:rPr>
                      <w:rFonts w:ascii="Calibri" w:hAnsi="Calibri" w:cs="Calibri"/>
                      <w:b/>
                      <w:bCs/>
                      <w:sz w:val="18"/>
                      <w:szCs w:val="18"/>
                    </w:rPr>
                    <w:t>19</w:t>
                  </w:r>
                  <w:r w:rsidR="00E31D02" w:rsidRPr="005B7E84">
                    <w:rPr>
                      <w:rFonts w:ascii="Calibri" w:hAnsi="Calibri" w:cs="Calibri"/>
                      <w:b/>
                      <w:bCs/>
                      <w:sz w:val="18"/>
                      <w:szCs w:val="18"/>
                    </w:rPr>
                    <w:t>4</w:t>
                  </w:r>
                </w:p>
              </w:tc>
              <w:tc>
                <w:tcPr>
                  <w:tcW w:w="1226" w:type="dxa"/>
                  <w:tcBorders>
                    <w:bottom w:val="single" w:sz="8" w:space="0" w:color="auto"/>
                  </w:tcBorders>
                </w:tcPr>
                <w:p w14:paraId="0700C6EE" w14:textId="77777777" w:rsidR="00757E4A" w:rsidRPr="00880EF3" w:rsidRDefault="00757E4A" w:rsidP="000C7AE0">
                  <w:pPr>
                    <w:jc w:val="right"/>
                    <w:rPr>
                      <w:rFonts w:ascii="Calibri" w:hAnsi="Calibri" w:cs="Calibri"/>
                      <w:sz w:val="18"/>
                      <w:szCs w:val="18"/>
                      <w:vertAlign w:val="superscript"/>
                    </w:rPr>
                  </w:pPr>
                  <w:r w:rsidRPr="00880EF3">
                    <w:rPr>
                      <w:rFonts w:ascii="Calibri" w:hAnsi="Calibri" w:cs="Calibri"/>
                      <w:bCs/>
                      <w:sz w:val="18"/>
                      <w:szCs w:val="18"/>
                    </w:rPr>
                    <w:t>161</w:t>
                  </w:r>
                </w:p>
              </w:tc>
            </w:tr>
            <w:tr w:rsidR="00757E4A" w:rsidRPr="008901A5" w14:paraId="2B11D974" w14:textId="77777777" w:rsidTr="005B7E84">
              <w:trPr>
                <w:trHeight w:val="242"/>
              </w:trPr>
              <w:tc>
                <w:tcPr>
                  <w:tcW w:w="5670" w:type="dxa"/>
                </w:tcPr>
                <w:p w14:paraId="782B8765" w14:textId="77777777" w:rsidR="00757E4A" w:rsidRPr="00880EF3" w:rsidRDefault="00757E4A" w:rsidP="000C7AE0">
                  <w:pPr>
                    <w:rPr>
                      <w:rFonts w:ascii="Calibri" w:hAnsi="Calibri" w:cs="Calibri"/>
                      <w:i/>
                      <w:sz w:val="18"/>
                      <w:szCs w:val="18"/>
                      <w:vertAlign w:val="superscript"/>
                    </w:rPr>
                  </w:pPr>
                  <w:r w:rsidRPr="00880EF3">
                    <w:rPr>
                      <w:rFonts w:ascii="Calibri" w:hAnsi="Calibri" w:cs="Calibri"/>
                      <w:bCs/>
                      <w:sz w:val="18"/>
                      <w:szCs w:val="18"/>
                    </w:rPr>
                    <w:t>Diluted</w:t>
                  </w:r>
                  <w:r>
                    <w:rPr>
                      <w:rFonts w:ascii="Calibri" w:hAnsi="Calibri" w:cs="Calibri"/>
                      <w:color w:val="000000"/>
                      <w:sz w:val="18"/>
                      <w:szCs w:val="18"/>
                      <w:vertAlign w:val="superscript"/>
                      <w:lang w:val="en-IE"/>
                    </w:rPr>
                    <w:t>2</w:t>
                  </w:r>
                </w:p>
              </w:tc>
              <w:tc>
                <w:tcPr>
                  <w:tcW w:w="851" w:type="dxa"/>
                </w:tcPr>
                <w:p w14:paraId="38F62EDE" w14:textId="4DC6E8A7" w:rsidR="00757E4A" w:rsidRPr="00880EF3" w:rsidRDefault="00757E4A" w:rsidP="000C7AE0">
                  <w:pPr>
                    <w:rPr>
                      <w:rFonts w:ascii="Calibri" w:hAnsi="Calibri" w:cs="Calibri"/>
                      <w:i/>
                      <w:sz w:val="18"/>
                      <w:szCs w:val="18"/>
                      <w:vertAlign w:val="superscript"/>
                    </w:rPr>
                  </w:pPr>
                </w:p>
              </w:tc>
              <w:tc>
                <w:tcPr>
                  <w:tcW w:w="1134" w:type="dxa"/>
                  <w:tcBorders>
                    <w:top w:val="single" w:sz="8" w:space="0" w:color="auto"/>
                    <w:bottom w:val="single" w:sz="8" w:space="0" w:color="auto"/>
                  </w:tcBorders>
                  <w:shd w:val="clear" w:color="auto" w:fill="auto"/>
                </w:tcPr>
                <w:p w14:paraId="5770DA2E" w14:textId="0BB7458F" w:rsidR="00757E4A" w:rsidRPr="005B7E84" w:rsidRDefault="00757E4A" w:rsidP="000C7AE0">
                  <w:pPr>
                    <w:jc w:val="right"/>
                    <w:rPr>
                      <w:rFonts w:ascii="Calibri" w:hAnsi="Calibri" w:cs="Calibri"/>
                      <w:b/>
                      <w:bCs/>
                      <w:sz w:val="18"/>
                      <w:szCs w:val="18"/>
                      <w:vertAlign w:val="superscript"/>
                    </w:rPr>
                  </w:pPr>
                  <w:r w:rsidRPr="005B7E84">
                    <w:rPr>
                      <w:rFonts w:ascii="Calibri" w:hAnsi="Calibri" w:cs="Calibri"/>
                      <w:b/>
                      <w:bCs/>
                      <w:sz w:val="18"/>
                      <w:szCs w:val="18"/>
                    </w:rPr>
                    <w:t>1</w:t>
                  </w:r>
                  <w:r w:rsidR="00E31D02" w:rsidRPr="005B7E84">
                    <w:rPr>
                      <w:rFonts w:ascii="Calibri" w:hAnsi="Calibri" w:cs="Calibri"/>
                      <w:b/>
                      <w:bCs/>
                      <w:sz w:val="18"/>
                      <w:szCs w:val="18"/>
                    </w:rPr>
                    <w:t>90</w:t>
                  </w:r>
                </w:p>
              </w:tc>
              <w:tc>
                <w:tcPr>
                  <w:tcW w:w="1226" w:type="dxa"/>
                  <w:tcBorders>
                    <w:top w:val="single" w:sz="8" w:space="0" w:color="auto"/>
                    <w:bottom w:val="single" w:sz="8" w:space="0" w:color="auto"/>
                  </w:tcBorders>
                </w:tcPr>
                <w:p w14:paraId="01761BB7" w14:textId="77777777" w:rsidR="00757E4A" w:rsidRPr="00880EF3" w:rsidRDefault="00757E4A" w:rsidP="000C7AE0">
                  <w:pPr>
                    <w:jc w:val="right"/>
                    <w:rPr>
                      <w:rFonts w:ascii="Calibri" w:hAnsi="Calibri" w:cs="Calibri"/>
                      <w:sz w:val="18"/>
                      <w:szCs w:val="18"/>
                      <w:vertAlign w:val="superscript"/>
                    </w:rPr>
                  </w:pPr>
                  <w:r w:rsidRPr="00880EF3">
                    <w:rPr>
                      <w:rFonts w:ascii="Calibri" w:hAnsi="Calibri" w:cs="Calibri"/>
                      <w:bCs/>
                      <w:sz w:val="18"/>
                      <w:szCs w:val="18"/>
                    </w:rPr>
                    <w:t>157</w:t>
                  </w:r>
                </w:p>
              </w:tc>
            </w:tr>
          </w:tbl>
          <w:p w14:paraId="66D003CB" w14:textId="77777777" w:rsidR="00757E4A" w:rsidRPr="00880EF3" w:rsidRDefault="00757E4A" w:rsidP="000C7AE0">
            <w:pPr>
              <w:tabs>
                <w:tab w:val="right" w:pos="5760"/>
                <w:tab w:val="decimal" w:pos="7387"/>
                <w:tab w:val="decimal" w:pos="9214"/>
                <w:tab w:val="decimal" w:pos="10490"/>
              </w:tabs>
              <w:ind w:right="400"/>
              <w:rPr>
                <w:rFonts w:ascii="Calibri" w:hAnsi="Calibri" w:cs="Calibri"/>
                <w:sz w:val="18"/>
                <w:szCs w:val="18"/>
              </w:rPr>
            </w:pPr>
          </w:p>
          <w:p w14:paraId="324858B7" w14:textId="77777777" w:rsidR="00757E4A" w:rsidRDefault="00757E4A" w:rsidP="000C7AE0">
            <w:pPr>
              <w:autoSpaceDE w:val="0"/>
              <w:autoSpaceDN w:val="0"/>
              <w:adjustRightInd w:val="0"/>
              <w:rPr>
                <w:rFonts w:ascii="Calibri" w:hAnsi="Calibri" w:cs="Calibri"/>
                <w:color w:val="000000"/>
                <w:sz w:val="18"/>
                <w:szCs w:val="18"/>
                <w:lang w:val="en-IE"/>
              </w:rPr>
            </w:pPr>
            <w:r w:rsidRPr="00880EF3">
              <w:rPr>
                <w:rFonts w:ascii="Calibri" w:hAnsi="Calibri" w:cs="Calibri"/>
                <w:color w:val="000000"/>
                <w:sz w:val="18"/>
                <w:szCs w:val="18"/>
                <w:vertAlign w:val="superscript"/>
                <w:lang w:val="en-IE"/>
              </w:rPr>
              <w:t>1</w:t>
            </w:r>
            <w:r w:rsidRPr="00880EF3">
              <w:rPr>
                <w:rFonts w:ascii="Calibri" w:hAnsi="Calibri" w:cs="Calibri"/>
                <w:color w:val="000000"/>
                <w:sz w:val="18"/>
                <w:szCs w:val="18"/>
                <w:lang w:val="en-IE"/>
              </w:rPr>
              <w:t xml:space="preserve"> </w:t>
            </w:r>
            <w:r>
              <w:rPr>
                <w:rFonts w:ascii="Calibri" w:hAnsi="Calibri" w:cs="Calibri"/>
                <w:color w:val="000000"/>
                <w:sz w:val="18"/>
                <w:szCs w:val="18"/>
                <w:lang w:val="en-IE"/>
              </w:rPr>
              <w:t>On 1 January 2023, IFRS 17 ‘Insurance Contracts’ became effective, replacing IFRS 4 ‘Insurance Contacts’</w:t>
            </w:r>
            <w:r w:rsidRPr="00880EF3">
              <w:rPr>
                <w:rFonts w:ascii="Calibri" w:hAnsi="Calibri" w:cs="Calibri"/>
                <w:color w:val="000000"/>
                <w:sz w:val="18"/>
                <w:szCs w:val="18"/>
                <w:lang w:val="en-IE"/>
              </w:rPr>
              <w:t>.</w:t>
            </w:r>
            <w:r>
              <w:rPr>
                <w:rFonts w:ascii="Calibri" w:hAnsi="Calibri" w:cs="Calibri"/>
                <w:color w:val="000000"/>
                <w:sz w:val="18"/>
                <w:szCs w:val="18"/>
                <w:lang w:val="en-IE"/>
              </w:rPr>
              <w:t xml:space="preserve"> The Group elected, as it met the criteria for a temporary exemption, to defer the application of IFRS 9 ‘Financial Instruments’ (replacing IAS 39) until 1 January 2023</w:t>
            </w:r>
            <w:r w:rsidRPr="0032247F">
              <w:rPr>
                <w:rFonts w:ascii="Calibri" w:hAnsi="Calibri" w:cs="Calibri"/>
                <w:color w:val="000000"/>
                <w:sz w:val="18"/>
                <w:szCs w:val="18"/>
                <w:lang w:val="en-IE"/>
              </w:rPr>
              <w:t>. See note 4 First time adoption</w:t>
            </w:r>
            <w:r>
              <w:rPr>
                <w:rFonts w:ascii="Calibri" w:hAnsi="Calibri" w:cs="Calibri"/>
                <w:color w:val="000000"/>
                <w:sz w:val="18"/>
                <w:szCs w:val="18"/>
                <w:lang w:val="en-IE"/>
              </w:rPr>
              <w:t xml:space="preserve"> of new accounting standards</w:t>
            </w:r>
            <w:r w:rsidRPr="0032247F">
              <w:rPr>
                <w:rFonts w:ascii="Calibri" w:hAnsi="Calibri" w:cs="Calibri"/>
                <w:color w:val="000000"/>
                <w:sz w:val="18"/>
                <w:szCs w:val="18"/>
                <w:lang w:val="en-IE"/>
              </w:rPr>
              <w:t xml:space="preserve"> in the Annual Report </w:t>
            </w:r>
            <w:r>
              <w:rPr>
                <w:rFonts w:ascii="Calibri" w:hAnsi="Calibri" w:cs="Calibri"/>
                <w:color w:val="000000"/>
                <w:sz w:val="18"/>
                <w:szCs w:val="18"/>
                <w:lang w:val="en-IE"/>
              </w:rPr>
              <w:t xml:space="preserve">2023 </w:t>
            </w:r>
            <w:r w:rsidRPr="0032247F">
              <w:rPr>
                <w:rFonts w:ascii="Calibri" w:hAnsi="Calibri" w:cs="Calibri"/>
                <w:color w:val="000000"/>
                <w:sz w:val="18"/>
                <w:szCs w:val="18"/>
                <w:lang w:val="en-IE"/>
              </w:rPr>
              <w:t>for transitional impact.</w:t>
            </w:r>
          </w:p>
          <w:p w14:paraId="7548CE56" w14:textId="1FC0C3D3" w:rsidR="00757E4A" w:rsidRPr="001D5AED" w:rsidRDefault="00757E4A" w:rsidP="000C7AE0">
            <w:pPr>
              <w:autoSpaceDE w:val="0"/>
              <w:autoSpaceDN w:val="0"/>
              <w:adjustRightInd w:val="0"/>
              <w:rPr>
                <w:rFonts w:asciiTheme="minorHAnsi" w:hAnsiTheme="minorHAnsi" w:cstheme="minorHAnsi"/>
                <w:b/>
                <w:color w:val="000000"/>
                <w:sz w:val="22"/>
              </w:rPr>
            </w:pPr>
            <w:r>
              <w:rPr>
                <w:rFonts w:ascii="Calibri" w:hAnsi="Calibri" w:cs="Calibri"/>
                <w:color w:val="000000"/>
                <w:sz w:val="18"/>
                <w:szCs w:val="18"/>
                <w:vertAlign w:val="superscript"/>
                <w:lang w:val="en-IE"/>
              </w:rPr>
              <w:t>2</w:t>
            </w:r>
            <w:r w:rsidRPr="00880EF3">
              <w:rPr>
                <w:rFonts w:ascii="Calibri" w:hAnsi="Calibri" w:cs="Calibri"/>
                <w:color w:val="000000"/>
                <w:sz w:val="18"/>
                <w:szCs w:val="18"/>
                <w:lang w:val="en-IE"/>
              </w:rPr>
              <w:t xml:space="preserve"> Diluted earnings per share reflects the potential vesting of share</w:t>
            </w:r>
            <w:r w:rsidR="0067083E">
              <w:rPr>
                <w:rFonts w:ascii="Calibri" w:hAnsi="Calibri" w:cs="Calibri"/>
                <w:color w:val="000000"/>
                <w:sz w:val="18"/>
                <w:szCs w:val="18"/>
                <w:lang w:val="en-IE"/>
              </w:rPr>
              <w:t>-</w:t>
            </w:r>
            <w:r w:rsidRPr="00880EF3">
              <w:rPr>
                <w:rFonts w:ascii="Calibri" w:hAnsi="Calibri" w:cs="Calibri"/>
                <w:color w:val="000000"/>
                <w:sz w:val="18"/>
                <w:szCs w:val="18"/>
                <w:lang w:val="en-IE"/>
              </w:rPr>
              <w:t>based payments.</w:t>
            </w:r>
          </w:p>
        </w:tc>
        <w:tc>
          <w:tcPr>
            <w:tcW w:w="277" w:type="dxa"/>
          </w:tcPr>
          <w:p w14:paraId="2765FE11" w14:textId="77777777" w:rsidR="00757E4A" w:rsidRPr="001D5AED" w:rsidRDefault="00757E4A" w:rsidP="004969ED">
            <w:pPr>
              <w:autoSpaceDE w:val="0"/>
              <w:autoSpaceDN w:val="0"/>
              <w:adjustRightInd w:val="0"/>
              <w:ind w:left="33"/>
              <w:jc w:val="right"/>
              <w:rPr>
                <w:rFonts w:asciiTheme="minorHAnsi" w:hAnsiTheme="minorHAnsi" w:cstheme="minorHAnsi"/>
                <w:b/>
                <w:color w:val="000000"/>
                <w:sz w:val="22"/>
              </w:rPr>
            </w:pPr>
          </w:p>
        </w:tc>
      </w:tr>
      <w:tr w:rsidR="00757E4A" w:rsidRPr="001D5AED" w14:paraId="3151A208" w14:textId="77777777" w:rsidTr="00757E4A">
        <w:trPr>
          <w:trHeight w:val="424"/>
        </w:trPr>
        <w:tc>
          <w:tcPr>
            <w:tcW w:w="9147" w:type="dxa"/>
          </w:tcPr>
          <w:p w14:paraId="06422DF0" w14:textId="77777777" w:rsidR="00757E4A" w:rsidRPr="001D5AED" w:rsidRDefault="00757E4A" w:rsidP="004969ED">
            <w:pPr>
              <w:autoSpaceDE w:val="0"/>
              <w:autoSpaceDN w:val="0"/>
              <w:adjustRightInd w:val="0"/>
              <w:rPr>
                <w:rFonts w:asciiTheme="minorHAnsi" w:hAnsiTheme="minorHAnsi" w:cstheme="minorHAnsi"/>
                <w:b/>
                <w:color w:val="000000"/>
                <w:sz w:val="22"/>
              </w:rPr>
            </w:pPr>
          </w:p>
        </w:tc>
        <w:tc>
          <w:tcPr>
            <w:tcW w:w="277" w:type="dxa"/>
          </w:tcPr>
          <w:p w14:paraId="10212132" w14:textId="77777777" w:rsidR="00757E4A" w:rsidRPr="001D5AED" w:rsidRDefault="00757E4A" w:rsidP="004969ED">
            <w:pPr>
              <w:autoSpaceDE w:val="0"/>
              <w:autoSpaceDN w:val="0"/>
              <w:adjustRightInd w:val="0"/>
              <w:ind w:left="33"/>
              <w:jc w:val="right"/>
              <w:rPr>
                <w:rFonts w:asciiTheme="minorHAnsi" w:hAnsiTheme="minorHAnsi" w:cstheme="minorHAnsi"/>
                <w:b/>
                <w:color w:val="000000"/>
                <w:sz w:val="22"/>
              </w:rPr>
            </w:pPr>
          </w:p>
        </w:tc>
      </w:tr>
    </w:tbl>
    <w:p w14:paraId="192BA56E" w14:textId="77777777" w:rsidR="000C7AE0" w:rsidRPr="00880EF3" w:rsidRDefault="004969ED" w:rsidP="000C7AE0">
      <w:pPr>
        <w:ind w:right="114"/>
        <w:jc w:val="center"/>
        <w:rPr>
          <w:rFonts w:ascii="Calibri" w:hAnsi="Calibri" w:cs="Calibri"/>
          <w:b/>
          <w:sz w:val="18"/>
          <w:szCs w:val="18"/>
        </w:rPr>
      </w:pPr>
      <w:r w:rsidRPr="001D5AED">
        <w:rPr>
          <w:rFonts w:asciiTheme="minorHAnsi" w:hAnsiTheme="minorHAnsi" w:cstheme="minorHAnsi"/>
          <w:sz w:val="22"/>
        </w:rPr>
        <w:br w:type="page"/>
      </w:r>
      <w:r w:rsidR="000C7AE0" w:rsidRPr="00880EF3">
        <w:rPr>
          <w:rFonts w:ascii="Calibri" w:hAnsi="Calibri" w:cs="Calibri"/>
          <w:b/>
          <w:sz w:val="18"/>
          <w:szCs w:val="18"/>
        </w:rPr>
        <w:t xml:space="preserve">FBD HOLDINGS PLC </w:t>
      </w:r>
    </w:p>
    <w:p w14:paraId="61DB44F2" w14:textId="39FB7DDE" w:rsidR="000C7AE0" w:rsidRPr="00880EF3" w:rsidRDefault="000C7AE0" w:rsidP="000C7AE0">
      <w:pPr>
        <w:ind w:right="114"/>
        <w:jc w:val="center"/>
        <w:rPr>
          <w:rFonts w:ascii="Calibri" w:hAnsi="Calibri" w:cs="Calibri"/>
          <w:b/>
          <w:caps/>
          <w:color w:val="000000"/>
          <w:sz w:val="18"/>
          <w:szCs w:val="18"/>
        </w:rPr>
      </w:pPr>
      <w:r w:rsidRPr="00880EF3">
        <w:rPr>
          <w:rFonts w:ascii="Calibri" w:hAnsi="Calibri" w:cs="Calibri"/>
          <w:b/>
          <w:caps/>
          <w:color w:val="000000"/>
          <w:sz w:val="18"/>
          <w:szCs w:val="18"/>
        </w:rPr>
        <w:t>Consolidated Statement of Comprehensive Income</w:t>
      </w:r>
    </w:p>
    <w:p w14:paraId="33F0E29D" w14:textId="291F5CB5" w:rsidR="000C7AE0" w:rsidRPr="00880EF3" w:rsidRDefault="000C7AE0" w:rsidP="000C7AE0">
      <w:pPr>
        <w:tabs>
          <w:tab w:val="left" w:pos="8080"/>
        </w:tabs>
        <w:ind w:right="-28"/>
        <w:jc w:val="center"/>
        <w:rPr>
          <w:rFonts w:ascii="Calibri" w:hAnsi="Calibri" w:cs="Calibri"/>
          <w:b/>
          <w:color w:val="000000"/>
          <w:sz w:val="18"/>
          <w:szCs w:val="18"/>
        </w:rPr>
      </w:pPr>
      <w:r w:rsidRPr="00880EF3">
        <w:rPr>
          <w:rFonts w:ascii="Calibri" w:hAnsi="Calibri" w:cs="Calibri"/>
          <w:b/>
          <w:color w:val="000000"/>
          <w:sz w:val="18"/>
          <w:szCs w:val="18"/>
        </w:rPr>
        <w:t xml:space="preserve">For the </w:t>
      </w:r>
      <w:r>
        <w:rPr>
          <w:rFonts w:ascii="Calibri" w:hAnsi="Calibri" w:cs="Calibri"/>
          <w:b/>
          <w:color w:val="000000"/>
          <w:sz w:val="18"/>
          <w:szCs w:val="18"/>
        </w:rPr>
        <w:t xml:space="preserve">financial </w:t>
      </w:r>
      <w:r w:rsidRPr="00880EF3">
        <w:rPr>
          <w:rFonts w:ascii="Calibri" w:hAnsi="Calibri" w:cs="Calibri"/>
          <w:b/>
          <w:color w:val="000000"/>
          <w:sz w:val="18"/>
          <w:szCs w:val="18"/>
        </w:rPr>
        <w:t>year ended 3</w:t>
      </w:r>
      <w:r>
        <w:rPr>
          <w:rFonts w:ascii="Calibri" w:hAnsi="Calibri" w:cs="Calibri"/>
          <w:b/>
          <w:color w:val="000000"/>
          <w:sz w:val="18"/>
          <w:szCs w:val="18"/>
        </w:rPr>
        <w:t>1 December</w:t>
      </w:r>
      <w:r w:rsidRPr="00880EF3">
        <w:rPr>
          <w:rFonts w:ascii="Calibri" w:hAnsi="Calibri" w:cs="Calibri"/>
          <w:b/>
          <w:color w:val="000000"/>
          <w:sz w:val="18"/>
          <w:szCs w:val="18"/>
        </w:rPr>
        <w:t xml:space="preserve"> 2023</w:t>
      </w:r>
      <w:r>
        <w:rPr>
          <w:rFonts w:ascii="Calibri" w:hAnsi="Calibri" w:cs="Calibri"/>
          <w:b/>
          <w:color w:val="000000"/>
          <w:sz w:val="18"/>
          <w:szCs w:val="18"/>
        </w:rPr>
        <w:t xml:space="preserve"> </w:t>
      </w:r>
    </w:p>
    <w:p w14:paraId="3AFA678F" w14:textId="77777777" w:rsidR="007C18DE" w:rsidRPr="00880EF3" w:rsidRDefault="007C18DE" w:rsidP="007C18DE">
      <w:pPr>
        <w:tabs>
          <w:tab w:val="left" w:pos="8080"/>
        </w:tabs>
        <w:ind w:right="-28"/>
        <w:jc w:val="center"/>
        <w:rPr>
          <w:rFonts w:ascii="Calibri" w:hAnsi="Calibri" w:cs="Calibri"/>
          <w:b/>
          <w:color w:val="000000"/>
          <w:sz w:val="18"/>
          <w:szCs w:val="18"/>
        </w:rPr>
      </w:pPr>
    </w:p>
    <w:tbl>
      <w:tblPr>
        <w:tblStyle w:val="TableGrid"/>
        <w:tblW w:w="8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851"/>
        <w:gridCol w:w="1134"/>
        <w:gridCol w:w="1275"/>
      </w:tblGrid>
      <w:tr w:rsidR="007C18DE" w:rsidRPr="008901A5" w14:paraId="7C023C50" w14:textId="77777777" w:rsidTr="007C18DE">
        <w:trPr>
          <w:trHeight w:val="577"/>
        </w:trPr>
        <w:tc>
          <w:tcPr>
            <w:tcW w:w="5670" w:type="dxa"/>
          </w:tcPr>
          <w:p w14:paraId="3363A3E1" w14:textId="77777777" w:rsidR="007C18DE" w:rsidRPr="00880EF3" w:rsidRDefault="007C18DE" w:rsidP="00B87E67">
            <w:pPr>
              <w:tabs>
                <w:tab w:val="left" w:pos="8080"/>
              </w:tabs>
              <w:ind w:right="-28"/>
              <w:rPr>
                <w:rFonts w:ascii="Calibri" w:hAnsi="Calibri" w:cs="Calibri"/>
                <w:b/>
                <w:color w:val="000000"/>
                <w:sz w:val="18"/>
                <w:szCs w:val="18"/>
              </w:rPr>
            </w:pPr>
          </w:p>
        </w:tc>
        <w:tc>
          <w:tcPr>
            <w:tcW w:w="851" w:type="dxa"/>
          </w:tcPr>
          <w:p w14:paraId="38E1212F" w14:textId="62D8310C" w:rsidR="007C18DE" w:rsidRPr="008901A5" w:rsidRDefault="007C18DE" w:rsidP="00B87E67">
            <w:pPr>
              <w:autoSpaceDE w:val="0"/>
              <w:autoSpaceDN w:val="0"/>
              <w:adjustRightInd w:val="0"/>
              <w:rPr>
                <w:rFonts w:ascii="Calibri" w:hAnsi="Calibri" w:cs="Calibri"/>
                <w:b/>
                <w:color w:val="000000"/>
                <w:sz w:val="18"/>
                <w:szCs w:val="18"/>
              </w:rPr>
            </w:pPr>
          </w:p>
        </w:tc>
        <w:tc>
          <w:tcPr>
            <w:tcW w:w="1134" w:type="dxa"/>
          </w:tcPr>
          <w:p w14:paraId="2FC2CFA2" w14:textId="408D5874" w:rsidR="007C18DE" w:rsidRPr="00880EF3" w:rsidRDefault="007C18DE" w:rsidP="00B87E67">
            <w:pPr>
              <w:autoSpaceDE w:val="0"/>
              <w:autoSpaceDN w:val="0"/>
              <w:adjustRightInd w:val="0"/>
              <w:jc w:val="right"/>
              <w:rPr>
                <w:rFonts w:ascii="Calibri" w:hAnsi="Calibri" w:cs="Calibri"/>
                <w:b/>
                <w:color w:val="000000"/>
                <w:sz w:val="18"/>
                <w:szCs w:val="18"/>
              </w:rPr>
            </w:pPr>
            <w:r>
              <w:rPr>
                <w:rFonts w:ascii="Calibri" w:hAnsi="Calibri" w:cs="Calibri"/>
                <w:b/>
                <w:color w:val="000000"/>
                <w:sz w:val="18"/>
                <w:szCs w:val="18"/>
              </w:rPr>
              <w:t>2023</w:t>
            </w:r>
          </w:p>
          <w:p w14:paraId="5FA43F3C" w14:textId="77777777" w:rsidR="007C18DE" w:rsidRPr="00880EF3" w:rsidRDefault="007C18DE" w:rsidP="00B87E67">
            <w:pPr>
              <w:tabs>
                <w:tab w:val="left" w:pos="8080"/>
              </w:tabs>
              <w:ind w:left="506" w:right="-440"/>
              <w:jc w:val="right"/>
              <w:rPr>
                <w:rFonts w:ascii="Calibri" w:hAnsi="Calibri" w:cs="Calibri"/>
                <w:b/>
                <w:color w:val="000000"/>
                <w:sz w:val="18"/>
                <w:szCs w:val="18"/>
              </w:rPr>
            </w:pPr>
          </w:p>
        </w:tc>
        <w:tc>
          <w:tcPr>
            <w:tcW w:w="1275" w:type="dxa"/>
          </w:tcPr>
          <w:p w14:paraId="0E0741EC" w14:textId="27BFB75A" w:rsidR="007C18DE" w:rsidRPr="00880EF3" w:rsidRDefault="007C18DE" w:rsidP="00B87E67">
            <w:pPr>
              <w:autoSpaceDE w:val="0"/>
              <w:autoSpaceDN w:val="0"/>
              <w:adjustRightInd w:val="0"/>
              <w:ind w:left="33"/>
              <w:jc w:val="right"/>
              <w:rPr>
                <w:rFonts w:ascii="Calibri" w:hAnsi="Calibri" w:cs="Calibri"/>
                <w:color w:val="000000"/>
                <w:sz w:val="18"/>
                <w:szCs w:val="18"/>
              </w:rPr>
            </w:pPr>
            <w:r>
              <w:rPr>
                <w:rFonts w:ascii="Calibri" w:hAnsi="Calibri" w:cs="Calibri"/>
                <w:color w:val="000000"/>
                <w:sz w:val="18"/>
                <w:szCs w:val="18"/>
              </w:rPr>
              <w:t>2022</w:t>
            </w:r>
          </w:p>
          <w:p w14:paraId="4778AFEF" w14:textId="77777777" w:rsidR="007C18DE" w:rsidRPr="00880EF3" w:rsidRDefault="007C18DE" w:rsidP="00B87E67">
            <w:pPr>
              <w:tabs>
                <w:tab w:val="left" w:pos="8080"/>
              </w:tabs>
              <w:ind w:right="-28"/>
              <w:jc w:val="right"/>
              <w:rPr>
                <w:rFonts w:ascii="Calibri" w:hAnsi="Calibri" w:cs="Calibri"/>
                <w:b/>
                <w:color w:val="000000"/>
                <w:sz w:val="18"/>
                <w:szCs w:val="18"/>
              </w:rPr>
            </w:pPr>
            <w:r>
              <w:rPr>
                <w:rFonts w:ascii="Calibri" w:hAnsi="Calibri" w:cs="Calibri"/>
                <w:color w:val="000000"/>
                <w:sz w:val="18"/>
                <w:szCs w:val="18"/>
              </w:rPr>
              <w:t>(restated</w:t>
            </w:r>
            <w:r w:rsidRPr="00880EF3">
              <w:rPr>
                <w:rFonts w:ascii="Calibri" w:hAnsi="Calibri" w:cs="Calibri"/>
                <w:color w:val="000000"/>
                <w:sz w:val="18"/>
                <w:szCs w:val="18"/>
              </w:rPr>
              <w:t>)</w:t>
            </w:r>
            <w:r w:rsidRPr="001D5038">
              <w:rPr>
                <w:rFonts w:ascii="Calibri" w:hAnsi="Calibri" w:cs="Calibri"/>
                <w:color w:val="000000"/>
                <w:sz w:val="18"/>
                <w:szCs w:val="18"/>
                <w:vertAlign w:val="superscript"/>
              </w:rPr>
              <w:t>1</w:t>
            </w:r>
          </w:p>
        </w:tc>
      </w:tr>
      <w:tr w:rsidR="007C18DE" w:rsidRPr="008901A5" w14:paraId="65946529" w14:textId="77777777" w:rsidTr="007C18DE">
        <w:trPr>
          <w:trHeight w:val="63"/>
        </w:trPr>
        <w:tc>
          <w:tcPr>
            <w:tcW w:w="5670" w:type="dxa"/>
          </w:tcPr>
          <w:p w14:paraId="7CD0B6C1" w14:textId="77777777" w:rsidR="007C18DE" w:rsidRPr="00987D69" w:rsidRDefault="007C18DE" w:rsidP="00B87E67">
            <w:pPr>
              <w:tabs>
                <w:tab w:val="left" w:pos="8080"/>
              </w:tabs>
              <w:ind w:right="-28"/>
              <w:rPr>
                <w:rFonts w:ascii="Calibri" w:hAnsi="Calibri" w:cs="Calibri"/>
                <w:b/>
                <w:color w:val="000000"/>
                <w:sz w:val="18"/>
                <w:szCs w:val="18"/>
              </w:rPr>
            </w:pPr>
          </w:p>
        </w:tc>
        <w:tc>
          <w:tcPr>
            <w:tcW w:w="851" w:type="dxa"/>
          </w:tcPr>
          <w:p w14:paraId="6E000751" w14:textId="77777777" w:rsidR="007C18DE" w:rsidRPr="008901A5" w:rsidRDefault="007C18DE" w:rsidP="00B87E67">
            <w:pPr>
              <w:autoSpaceDE w:val="0"/>
              <w:autoSpaceDN w:val="0"/>
              <w:adjustRightInd w:val="0"/>
              <w:rPr>
                <w:rFonts w:ascii="Calibri" w:hAnsi="Calibri" w:cs="Calibri"/>
                <w:b/>
                <w:bCs/>
                <w:color w:val="000000"/>
                <w:sz w:val="18"/>
                <w:szCs w:val="18"/>
              </w:rPr>
            </w:pPr>
          </w:p>
        </w:tc>
        <w:tc>
          <w:tcPr>
            <w:tcW w:w="1134" w:type="dxa"/>
          </w:tcPr>
          <w:p w14:paraId="12259C59" w14:textId="77777777" w:rsidR="007C18DE" w:rsidRPr="00987D69" w:rsidRDefault="007C18DE" w:rsidP="00B87E67">
            <w:pPr>
              <w:autoSpaceDE w:val="0"/>
              <w:autoSpaceDN w:val="0"/>
              <w:adjustRightInd w:val="0"/>
              <w:jc w:val="right"/>
              <w:rPr>
                <w:rFonts w:ascii="Calibri" w:hAnsi="Calibri" w:cs="Calibri"/>
                <w:b/>
                <w:color w:val="000000"/>
                <w:sz w:val="18"/>
                <w:szCs w:val="18"/>
              </w:rPr>
            </w:pPr>
            <w:r w:rsidRPr="00987D69">
              <w:rPr>
                <w:rFonts w:ascii="Calibri" w:hAnsi="Calibri" w:cs="Calibri"/>
                <w:b/>
                <w:bCs/>
                <w:color w:val="000000"/>
                <w:sz w:val="18"/>
                <w:szCs w:val="18"/>
              </w:rPr>
              <w:t>€000s</w:t>
            </w:r>
          </w:p>
        </w:tc>
        <w:tc>
          <w:tcPr>
            <w:tcW w:w="1275" w:type="dxa"/>
          </w:tcPr>
          <w:p w14:paraId="3B5C78D5" w14:textId="77777777" w:rsidR="007C18DE" w:rsidRPr="00987D69" w:rsidRDefault="007C18DE" w:rsidP="00B87E67">
            <w:pPr>
              <w:tabs>
                <w:tab w:val="left" w:pos="8080"/>
              </w:tabs>
              <w:ind w:right="-28"/>
              <w:jc w:val="right"/>
              <w:rPr>
                <w:rFonts w:ascii="Calibri" w:hAnsi="Calibri" w:cs="Calibri"/>
                <w:color w:val="000000"/>
                <w:sz w:val="18"/>
                <w:szCs w:val="18"/>
              </w:rPr>
            </w:pPr>
            <w:r w:rsidRPr="00987D69">
              <w:rPr>
                <w:rFonts w:ascii="Calibri" w:hAnsi="Calibri" w:cs="Calibri"/>
                <w:bCs/>
                <w:color w:val="000000"/>
                <w:sz w:val="18"/>
                <w:szCs w:val="18"/>
              </w:rPr>
              <w:t>€000s</w:t>
            </w:r>
          </w:p>
        </w:tc>
      </w:tr>
      <w:tr w:rsidR="007C18DE" w:rsidRPr="008901A5" w14:paraId="044A06E0" w14:textId="77777777" w:rsidTr="007C18DE">
        <w:trPr>
          <w:trHeight w:val="220"/>
        </w:trPr>
        <w:tc>
          <w:tcPr>
            <w:tcW w:w="5670" w:type="dxa"/>
          </w:tcPr>
          <w:p w14:paraId="08F9B150" w14:textId="77777777" w:rsidR="007C18DE" w:rsidRPr="00987D69" w:rsidRDefault="007C18DE" w:rsidP="00B87E67">
            <w:pPr>
              <w:tabs>
                <w:tab w:val="left" w:pos="8080"/>
              </w:tabs>
              <w:ind w:right="-28"/>
              <w:rPr>
                <w:rFonts w:ascii="Calibri" w:hAnsi="Calibri" w:cs="Calibri"/>
                <w:b/>
                <w:color w:val="000000"/>
                <w:sz w:val="18"/>
                <w:szCs w:val="18"/>
              </w:rPr>
            </w:pPr>
          </w:p>
        </w:tc>
        <w:tc>
          <w:tcPr>
            <w:tcW w:w="851" w:type="dxa"/>
          </w:tcPr>
          <w:p w14:paraId="6E13EE40" w14:textId="77777777" w:rsidR="007C18DE" w:rsidRPr="008901A5" w:rsidRDefault="007C18DE" w:rsidP="00B87E67">
            <w:pPr>
              <w:tabs>
                <w:tab w:val="left" w:pos="8080"/>
              </w:tabs>
              <w:ind w:right="-28"/>
              <w:rPr>
                <w:rFonts w:ascii="Calibri" w:hAnsi="Calibri" w:cs="Calibri"/>
                <w:b/>
                <w:color w:val="000000"/>
                <w:sz w:val="18"/>
                <w:szCs w:val="18"/>
              </w:rPr>
            </w:pPr>
          </w:p>
        </w:tc>
        <w:tc>
          <w:tcPr>
            <w:tcW w:w="1134" w:type="dxa"/>
          </w:tcPr>
          <w:p w14:paraId="0DA80331" w14:textId="77777777" w:rsidR="007C18DE" w:rsidRPr="00987D69" w:rsidRDefault="007C18DE" w:rsidP="00B87E67">
            <w:pPr>
              <w:tabs>
                <w:tab w:val="left" w:pos="8080"/>
              </w:tabs>
              <w:ind w:right="-28"/>
              <w:rPr>
                <w:rFonts w:ascii="Calibri" w:hAnsi="Calibri" w:cs="Calibri"/>
                <w:b/>
                <w:color w:val="000000"/>
                <w:sz w:val="18"/>
                <w:szCs w:val="18"/>
              </w:rPr>
            </w:pPr>
          </w:p>
        </w:tc>
        <w:tc>
          <w:tcPr>
            <w:tcW w:w="1275" w:type="dxa"/>
          </w:tcPr>
          <w:p w14:paraId="6A98D5AC" w14:textId="77777777" w:rsidR="007C18DE" w:rsidRPr="00987D69" w:rsidRDefault="007C18DE" w:rsidP="00B87E67">
            <w:pPr>
              <w:tabs>
                <w:tab w:val="left" w:pos="8080"/>
              </w:tabs>
              <w:ind w:right="-28"/>
              <w:rPr>
                <w:rFonts w:ascii="Calibri" w:hAnsi="Calibri" w:cs="Calibri"/>
                <w:b/>
                <w:color w:val="000000"/>
                <w:sz w:val="18"/>
                <w:szCs w:val="18"/>
              </w:rPr>
            </w:pPr>
          </w:p>
        </w:tc>
      </w:tr>
      <w:tr w:rsidR="007C18DE" w:rsidRPr="007C18DE" w14:paraId="655D2177" w14:textId="77777777" w:rsidTr="007C18DE">
        <w:trPr>
          <w:trHeight w:val="225"/>
        </w:trPr>
        <w:tc>
          <w:tcPr>
            <w:tcW w:w="5670" w:type="dxa"/>
          </w:tcPr>
          <w:p w14:paraId="26F660B8" w14:textId="77777777" w:rsidR="007C18DE" w:rsidRPr="00987D69" w:rsidRDefault="007C18DE" w:rsidP="00B87E67">
            <w:pPr>
              <w:tabs>
                <w:tab w:val="left" w:pos="8080"/>
              </w:tabs>
              <w:ind w:right="-28"/>
              <w:rPr>
                <w:rFonts w:ascii="Calibri" w:hAnsi="Calibri" w:cs="Calibri"/>
                <w:b/>
                <w:color w:val="000000"/>
                <w:sz w:val="18"/>
                <w:szCs w:val="18"/>
              </w:rPr>
            </w:pPr>
            <w:r w:rsidRPr="00987D69">
              <w:rPr>
                <w:rFonts w:ascii="Calibri" w:hAnsi="Calibri" w:cs="Calibri"/>
                <w:b/>
                <w:color w:val="000000"/>
                <w:sz w:val="18"/>
                <w:szCs w:val="18"/>
              </w:rPr>
              <w:t>Profit for the period</w:t>
            </w:r>
          </w:p>
        </w:tc>
        <w:tc>
          <w:tcPr>
            <w:tcW w:w="851" w:type="dxa"/>
          </w:tcPr>
          <w:p w14:paraId="54E9462A" w14:textId="77777777" w:rsidR="007C18DE" w:rsidRPr="008901A5" w:rsidRDefault="007C18DE" w:rsidP="00B87E67">
            <w:pPr>
              <w:tabs>
                <w:tab w:val="left" w:pos="8080"/>
              </w:tabs>
              <w:ind w:right="-28"/>
              <w:rPr>
                <w:rFonts w:ascii="Calibri" w:hAnsi="Calibri" w:cs="Calibri"/>
                <w:color w:val="FF0000"/>
                <w:sz w:val="18"/>
                <w:szCs w:val="18"/>
              </w:rPr>
            </w:pPr>
          </w:p>
        </w:tc>
        <w:tc>
          <w:tcPr>
            <w:tcW w:w="1134" w:type="dxa"/>
            <w:tcBorders>
              <w:bottom w:val="single" w:sz="2" w:space="0" w:color="auto"/>
            </w:tcBorders>
          </w:tcPr>
          <w:p w14:paraId="14359280" w14:textId="13C4F1C2" w:rsidR="007C18DE" w:rsidRPr="007C18DE" w:rsidRDefault="007C18DE" w:rsidP="00B87E67">
            <w:pPr>
              <w:tabs>
                <w:tab w:val="left" w:pos="8080"/>
              </w:tabs>
              <w:ind w:right="-28"/>
              <w:jc w:val="right"/>
              <w:rPr>
                <w:rFonts w:ascii="Calibri" w:hAnsi="Calibri" w:cs="Calibri"/>
                <w:b/>
                <w:bCs/>
                <w:sz w:val="18"/>
                <w:szCs w:val="18"/>
              </w:rPr>
            </w:pPr>
            <w:r w:rsidRPr="007C18DE">
              <w:rPr>
                <w:rFonts w:ascii="Calibri" w:hAnsi="Calibri" w:cs="Calibri"/>
                <w:b/>
                <w:bCs/>
                <w:sz w:val="18"/>
                <w:szCs w:val="18"/>
              </w:rPr>
              <w:t>69,5</w:t>
            </w:r>
            <w:r w:rsidR="00542A05">
              <w:rPr>
                <w:rFonts w:ascii="Calibri" w:hAnsi="Calibri" w:cs="Calibri"/>
                <w:b/>
                <w:bCs/>
                <w:sz w:val="18"/>
                <w:szCs w:val="18"/>
              </w:rPr>
              <w:t>41</w:t>
            </w:r>
          </w:p>
        </w:tc>
        <w:tc>
          <w:tcPr>
            <w:tcW w:w="1275" w:type="dxa"/>
            <w:tcBorders>
              <w:bottom w:val="single" w:sz="2" w:space="0" w:color="auto"/>
            </w:tcBorders>
          </w:tcPr>
          <w:p w14:paraId="0BF23162" w14:textId="77777777" w:rsidR="007C18DE" w:rsidRPr="007C18DE" w:rsidRDefault="007C18DE" w:rsidP="00B87E67">
            <w:pPr>
              <w:tabs>
                <w:tab w:val="left" w:pos="8080"/>
              </w:tabs>
              <w:ind w:right="-28"/>
              <w:jc w:val="right"/>
              <w:rPr>
                <w:rFonts w:ascii="Calibri" w:hAnsi="Calibri" w:cs="Calibri"/>
                <w:bCs/>
                <w:color w:val="000000"/>
                <w:sz w:val="18"/>
                <w:szCs w:val="18"/>
              </w:rPr>
            </w:pPr>
            <w:r w:rsidRPr="007C18DE">
              <w:rPr>
                <w:rFonts w:ascii="Calibri" w:hAnsi="Calibri" w:cs="Calibri"/>
                <w:bCs/>
                <w:color w:val="000000"/>
                <w:sz w:val="18"/>
                <w:szCs w:val="18"/>
              </w:rPr>
              <w:t>57,556</w:t>
            </w:r>
          </w:p>
        </w:tc>
      </w:tr>
      <w:tr w:rsidR="007C18DE" w:rsidRPr="008901A5" w14:paraId="60D905F8" w14:textId="77777777" w:rsidTr="007C18DE">
        <w:trPr>
          <w:trHeight w:val="220"/>
        </w:trPr>
        <w:tc>
          <w:tcPr>
            <w:tcW w:w="5670" w:type="dxa"/>
          </w:tcPr>
          <w:p w14:paraId="40D9BA28" w14:textId="77777777" w:rsidR="007C18DE" w:rsidRPr="00987D69" w:rsidRDefault="007C18DE" w:rsidP="00B87E67">
            <w:pPr>
              <w:tabs>
                <w:tab w:val="left" w:pos="8080"/>
              </w:tabs>
              <w:ind w:right="-28"/>
              <w:rPr>
                <w:rFonts w:ascii="Calibri" w:hAnsi="Calibri" w:cs="Calibri"/>
                <w:b/>
                <w:color w:val="000000"/>
                <w:sz w:val="18"/>
                <w:szCs w:val="18"/>
              </w:rPr>
            </w:pPr>
          </w:p>
        </w:tc>
        <w:tc>
          <w:tcPr>
            <w:tcW w:w="851" w:type="dxa"/>
          </w:tcPr>
          <w:p w14:paraId="7BC767E5" w14:textId="77777777" w:rsidR="007C18DE" w:rsidRPr="008901A5" w:rsidRDefault="007C18DE" w:rsidP="00B87E67">
            <w:pPr>
              <w:tabs>
                <w:tab w:val="left" w:pos="8080"/>
              </w:tabs>
              <w:ind w:right="-28"/>
              <w:rPr>
                <w:rFonts w:ascii="Calibri" w:hAnsi="Calibri" w:cs="Calibri"/>
                <w:b/>
                <w:color w:val="000000"/>
                <w:sz w:val="18"/>
                <w:szCs w:val="18"/>
              </w:rPr>
            </w:pPr>
          </w:p>
        </w:tc>
        <w:tc>
          <w:tcPr>
            <w:tcW w:w="1134" w:type="dxa"/>
            <w:tcBorders>
              <w:top w:val="single" w:sz="2" w:space="0" w:color="auto"/>
            </w:tcBorders>
          </w:tcPr>
          <w:p w14:paraId="2BE9B474" w14:textId="77777777" w:rsidR="007C18DE" w:rsidRPr="007C18DE" w:rsidRDefault="007C18DE" w:rsidP="00B87E67">
            <w:pPr>
              <w:tabs>
                <w:tab w:val="left" w:pos="8080"/>
              </w:tabs>
              <w:ind w:right="-28"/>
              <w:rPr>
                <w:rFonts w:ascii="Calibri" w:hAnsi="Calibri" w:cs="Calibri"/>
                <w:b/>
                <w:bCs/>
                <w:sz w:val="18"/>
                <w:szCs w:val="18"/>
              </w:rPr>
            </w:pPr>
          </w:p>
        </w:tc>
        <w:tc>
          <w:tcPr>
            <w:tcW w:w="1275" w:type="dxa"/>
            <w:tcBorders>
              <w:top w:val="single" w:sz="2" w:space="0" w:color="auto"/>
            </w:tcBorders>
          </w:tcPr>
          <w:p w14:paraId="3FA610A3" w14:textId="77777777" w:rsidR="007C18DE" w:rsidRPr="00987D69" w:rsidRDefault="007C18DE" w:rsidP="00B87E67">
            <w:pPr>
              <w:tabs>
                <w:tab w:val="left" w:pos="8080"/>
              </w:tabs>
              <w:ind w:right="-28"/>
              <w:jc w:val="right"/>
              <w:rPr>
                <w:rFonts w:ascii="Calibri" w:hAnsi="Calibri" w:cs="Calibri"/>
                <w:b/>
                <w:color w:val="000000"/>
                <w:sz w:val="18"/>
                <w:szCs w:val="18"/>
              </w:rPr>
            </w:pPr>
          </w:p>
        </w:tc>
      </w:tr>
      <w:tr w:rsidR="007C18DE" w:rsidRPr="008901A5" w14:paraId="6FA1CEAA" w14:textId="77777777" w:rsidTr="007C18DE">
        <w:trPr>
          <w:trHeight w:val="225"/>
        </w:trPr>
        <w:tc>
          <w:tcPr>
            <w:tcW w:w="5670" w:type="dxa"/>
          </w:tcPr>
          <w:p w14:paraId="00C6E340" w14:textId="77777777" w:rsidR="007C18DE" w:rsidRPr="00987D69" w:rsidRDefault="007C18DE" w:rsidP="00B87E67">
            <w:pPr>
              <w:tabs>
                <w:tab w:val="left" w:pos="8080"/>
              </w:tabs>
              <w:ind w:right="-28"/>
              <w:rPr>
                <w:rFonts w:ascii="Calibri" w:hAnsi="Calibri" w:cs="Calibri"/>
                <w:b/>
                <w:color w:val="000000"/>
                <w:sz w:val="18"/>
                <w:szCs w:val="18"/>
              </w:rPr>
            </w:pPr>
          </w:p>
        </w:tc>
        <w:tc>
          <w:tcPr>
            <w:tcW w:w="851" w:type="dxa"/>
          </w:tcPr>
          <w:p w14:paraId="6908ADCB" w14:textId="77777777" w:rsidR="007C18DE" w:rsidRPr="008901A5" w:rsidRDefault="007C18DE" w:rsidP="00B87E67">
            <w:pPr>
              <w:tabs>
                <w:tab w:val="left" w:pos="8080"/>
              </w:tabs>
              <w:ind w:right="-28"/>
              <w:rPr>
                <w:rFonts w:ascii="Calibri" w:hAnsi="Calibri" w:cs="Calibri"/>
                <w:b/>
                <w:color w:val="000000"/>
                <w:sz w:val="18"/>
                <w:szCs w:val="18"/>
              </w:rPr>
            </w:pPr>
          </w:p>
        </w:tc>
        <w:tc>
          <w:tcPr>
            <w:tcW w:w="1134" w:type="dxa"/>
          </w:tcPr>
          <w:p w14:paraId="0D0030A6" w14:textId="77777777" w:rsidR="007C18DE" w:rsidRPr="007C18DE" w:rsidRDefault="007C18DE" w:rsidP="00B87E67">
            <w:pPr>
              <w:tabs>
                <w:tab w:val="left" w:pos="8080"/>
              </w:tabs>
              <w:ind w:right="-28"/>
              <w:rPr>
                <w:rFonts w:ascii="Calibri" w:hAnsi="Calibri" w:cs="Calibri"/>
                <w:b/>
                <w:bCs/>
                <w:sz w:val="18"/>
                <w:szCs w:val="18"/>
              </w:rPr>
            </w:pPr>
          </w:p>
        </w:tc>
        <w:tc>
          <w:tcPr>
            <w:tcW w:w="1275" w:type="dxa"/>
          </w:tcPr>
          <w:p w14:paraId="336CCA83" w14:textId="77777777" w:rsidR="007C18DE" w:rsidRPr="00987D69" w:rsidRDefault="007C18DE" w:rsidP="00B87E67">
            <w:pPr>
              <w:tabs>
                <w:tab w:val="left" w:pos="8080"/>
              </w:tabs>
              <w:ind w:right="-28"/>
              <w:jc w:val="right"/>
              <w:rPr>
                <w:rFonts w:ascii="Calibri" w:hAnsi="Calibri" w:cs="Calibri"/>
                <w:b/>
                <w:color w:val="000000"/>
                <w:sz w:val="18"/>
                <w:szCs w:val="18"/>
              </w:rPr>
            </w:pPr>
          </w:p>
        </w:tc>
      </w:tr>
      <w:tr w:rsidR="007C18DE" w:rsidRPr="008901A5" w14:paraId="185A0115" w14:textId="77777777" w:rsidTr="007C18DE">
        <w:trPr>
          <w:trHeight w:val="225"/>
        </w:trPr>
        <w:tc>
          <w:tcPr>
            <w:tcW w:w="5670" w:type="dxa"/>
          </w:tcPr>
          <w:p w14:paraId="2D82501D" w14:textId="77777777" w:rsidR="007C18DE" w:rsidRPr="00987D69" w:rsidRDefault="007C18DE" w:rsidP="00B87E67">
            <w:pPr>
              <w:tabs>
                <w:tab w:val="left" w:pos="8080"/>
              </w:tabs>
              <w:ind w:right="-28"/>
              <w:rPr>
                <w:rFonts w:ascii="Calibri" w:hAnsi="Calibri" w:cs="Calibri"/>
                <w:b/>
                <w:color w:val="000000"/>
                <w:sz w:val="18"/>
                <w:szCs w:val="18"/>
              </w:rPr>
            </w:pPr>
            <w:r w:rsidRPr="00987D69">
              <w:rPr>
                <w:rFonts w:ascii="Calibri" w:hAnsi="Calibri" w:cs="Calibri"/>
                <w:i/>
                <w:color w:val="000000"/>
                <w:sz w:val="18"/>
                <w:szCs w:val="18"/>
                <w:u w:val="single"/>
              </w:rPr>
              <w:t>Items that will or may be reclassified to profit or loss in subsequent periods:</w:t>
            </w:r>
          </w:p>
        </w:tc>
        <w:tc>
          <w:tcPr>
            <w:tcW w:w="851" w:type="dxa"/>
          </w:tcPr>
          <w:p w14:paraId="7B4821DA" w14:textId="77777777" w:rsidR="007C18DE" w:rsidRPr="008901A5" w:rsidRDefault="007C18DE" w:rsidP="00B87E67">
            <w:pPr>
              <w:tabs>
                <w:tab w:val="left" w:pos="8080"/>
              </w:tabs>
              <w:ind w:right="-28"/>
              <w:rPr>
                <w:rFonts w:ascii="Calibri" w:hAnsi="Calibri" w:cs="Calibri"/>
                <w:b/>
                <w:color w:val="000000"/>
                <w:sz w:val="18"/>
                <w:szCs w:val="18"/>
              </w:rPr>
            </w:pPr>
          </w:p>
        </w:tc>
        <w:tc>
          <w:tcPr>
            <w:tcW w:w="1134" w:type="dxa"/>
          </w:tcPr>
          <w:p w14:paraId="1947A6AD" w14:textId="77777777" w:rsidR="007C18DE" w:rsidRPr="007C18DE" w:rsidRDefault="007C18DE" w:rsidP="00B87E67">
            <w:pPr>
              <w:tabs>
                <w:tab w:val="left" w:pos="8080"/>
              </w:tabs>
              <w:ind w:right="-28"/>
              <w:rPr>
                <w:rFonts w:ascii="Calibri" w:hAnsi="Calibri" w:cs="Calibri"/>
                <w:b/>
                <w:bCs/>
                <w:sz w:val="18"/>
                <w:szCs w:val="18"/>
              </w:rPr>
            </w:pPr>
          </w:p>
        </w:tc>
        <w:tc>
          <w:tcPr>
            <w:tcW w:w="1275" w:type="dxa"/>
          </w:tcPr>
          <w:p w14:paraId="50318F79" w14:textId="77777777" w:rsidR="007C18DE" w:rsidRPr="00987D69" w:rsidRDefault="007C18DE" w:rsidP="00B87E67">
            <w:pPr>
              <w:tabs>
                <w:tab w:val="left" w:pos="8080"/>
              </w:tabs>
              <w:ind w:right="-28"/>
              <w:jc w:val="right"/>
              <w:rPr>
                <w:rFonts w:ascii="Calibri" w:hAnsi="Calibri" w:cs="Calibri"/>
                <w:b/>
                <w:color w:val="000000"/>
                <w:sz w:val="18"/>
                <w:szCs w:val="18"/>
              </w:rPr>
            </w:pPr>
          </w:p>
        </w:tc>
      </w:tr>
      <w:tr w:rsidR="007C18DE" w:rsidRPr="008901A5" w14:paraId="0E643FDC" w14:textId="77777777" w:rsidTr="007C18DE">
        <w:trPr>
          <w:trHeight w:val="220"/>
        </w:trPr>
        <w:tc>
          <w:tcPr>
            <w:tcW w:w="5670" w:type="dxa"/>
          </w:tcPr>
          <w:p w14:paraId="4FE83A3A" w14:textId="77777777" w:rsidR="007C18DE" w:rsidRPr="00987D69" w:rsidRDefault="007C18DE" w:rsidP="00B87E67">
            <w:pPr>
              <w:tabs>
                <w:tab w:val="left" w:pos="8080"/>
              </w:tabs>
              <w:ind w:right="-28"/>
              <w:rPr>
                <w:rFonts w:ascii="Calibri" w:hAnsi="Calibri" w:cs="Calibri"/>
                <w:b/>
                <w:color w:val="000000"/>
                <w:sz w:val="18"/>
                <w:szCs w:val="18"/>
              </w:rPr>
            </w:pPr>
            <w:r>
              <w:rPr>
                <w:rFonts w:ascii="Calibri" w:hAnsi="Calibri" w:cs="Calibri"/>
                <w:color w:val="000000"/>
                <w:sz w:val="18"/>
                <w:szCs w:val="18"/>
              </w:rPr>
              <w:t>Movement</w:t>
            </w:r>
            <w:r w:rsidRPr="00987D69">
              <w:rPr>
                <w:rFonts w:ascii="Calibri" w:hAnsi="Calibri" w:cs="Calibri"/>
                <w:color w:val="000000"/>
                <w:sz w:val="18"/>
                <w:szCs w:val="18"/>
              </w:rPr>
              <w:t xml:space="preserve"> on investments in debt securities measured at FVOCI</w:t>
            </w:r>
          </w:p>
        </w:tc>
        <w:tc>
          <w:tcPr>
            <w:tcW w:w="851" w:type="dxa"/>
          </w:tcPr>
          <w:p w14:paraId="1B0E945F" w14:textId="1ADE8628" w:rsidR="007C18DE" w:rsidRPr="007C18DE" w:rsidRDefault="007C18DE" w:rsidP="00B87E67">
            <w:pPr>
              <w:tabs>
                <w:tab w:val="left" w:pos="8080"/>
              </w:tabs>
              <w:ind w:right="-28"/>
              <w:rPr>
                <w:rFonts w:ascii="Calibri" w:hAnsi="Calibri" w:cs="Calibri"/>
                <w:color w:val="000000" w:themeColor="text1"/>
                <w:sz w:val="18"/>
                <w:szCs w:val="18"/>
                <w:highlight w:val="yellow"/>
              </w:rPr>
            </w:pPr>
          </w:p>
        </w:tc>
        <w:tc>
          <w:tcPr>
            <w:tcW w:w="1134" w:type="dxa"/>
          </w:tcPr>
          <w:p w14:paraId="195EB710" w14:textId="79CABE80" w:rsidR="007C18DE" w:rsidRPr="007C18DE" w:rsidRDefault="007C18DE" w:rsidP="00B87E67">
            <w:pPr>
              <w:tabs>
                <w:tab w:val="left" w:pos="8080"/>
              </w:tabs>
              <w:ind w:right="-28"/>
              <w:jc w:val="right"/>
              <w:rPr>
                <w:rFonts w:ascii="Calibri" w:hAnsi="Calibri" w:cs="Calibri"/>
                <w:b/>
                <w:bCs/>
                <w:sz w:val="18"/>
                <w:szCs w:val="18"/>
              </w:rPr>
            </w:pPr>
            <w:r w:rsidRPr="007C18DE">
              <w:rPr>
                <w:rFonts w:ascii="Calibri" w:hAnsi="Calibri" w:cs="Calibri"/>
                <w:b/>
                <w:bCs/>
                <w:sz w:val="18"/>
                <w:szCs w:val="18"/>
              </w:rPr>
              <w:t>39,423</w:t>
            </w:r>
          </w:p>
        </w:tc>
        <w:tc>
          <w:tcPr>
            <w:tcW w:w="1275" w:type="dxa"/>
          </w:tcPr>
          <w:p w14:paraId="101B9D0A" w14:textId="77777777" w:rsidR="007C18DE" w:rsidRPr="00987D69" w:rsidRDefault="007C18DE" w:rsidP="00B87E67">
            <w:pPr>
              <w:tabs>
                <w:tab w:val="left" w:pos="8080"/>
              </w:tabs>
              <w:ind w:right="-28"/>
              <w:jc w:val="right"/>
              <w:rPr>
                <w:rFonts w:ascii="Calibri" w:hAnsi="Calibri" w:cs="Calibri"/>
                <w:color w:val="000000"/>
                <w:sz w:val="18"/>
                <w:szCs w:val="18"/>
              </w:rPr>
            </w:pPr>
            <w:r w:rsidRPr="00987D69">
              <w:rPr>
                <w:rFonts w:ascii="Calibri" w:hAnsi="Calibri" w:cs="Calibri"/>
                <w:color w:val="000000"/>
                <w:sz w:val="18"/>
                <w:szCs w:val="18"/>
              </w:rPr>
              <w:t>(89,761)</w:t>
            </w:r>
          </w:p>
        </w:tc>
      </w:tr>
      <w:tr w:rsidR="007C18DE" w:rsidRPr="008901A5" w14:paraId="0DDC2B8A" w14:textId="77777777" w:rsidTr="007C18DE">
        <w:trPr>
          <w:trHeight w:val="225"/>
        </w:trPr>
        <w:tc>
          <w:tcPr>
            <w:tcW w:w="5670" w:type="dxa"/>
          </w:tcPr>
          <w:p w14:paraId="36F28961" w14:textId="77777777" w:rsidR="007C18DE" w:rsidRPr="00987D69" w:rsidRDefault="007C18DE" w:rsidP="00B87E67">
            <w:pPr>
              <w:tabs>
                <w:tab w:val="left" w:pos="8080"/>
              </w:tabs>
              <w:ind w:right="-28"/>
              <w:rPr>
                <w:rFonts w:ascii="Calibri" w:hAnsi="Calibri" w:cs="Calibri"/>
                <w:b/>
                <w:color w:val="000000"/>
                <w:sz w:val="18"/>
                <w:szCs w:val="18"/>
              </w:rPr>
            </w:pPr>
            <w:r>
              <w:rPr>
                <w:rFonts w:ascii="Calibri" w:hAnsi="Calibri" w:cs="Calibri"/>
                <w:color w:val="000000"/>
                <w:sz w:val="18"/>
                <w:szCs w:val="18"/>
              </w:rPr>
              <w:t>Movement transferred to the Consolidated Income Statement on disposal during the period</w:t>
            </w:r>
          </w:p>
        </w:tc>
        <w:tc>
          <w:tcPr>
            <w:tcW w:w="851" w:type="dxa"/>
          </w:tcPr>
          <w:p w14:paraId="6D13F248" w14:textId="65CD7C7A" w:rsidR="007C18DE" w:rsidRPr="007C18DE" w:rsidRDefault="007C18DE" w:rsidP="00B87E67">
            <w:pPr>
              <w:tabs>
                <w:tab w:val="left" w:pos="8080"/>
              </w:tabs>
              <w:ind w:right="-28"/>
              <w:rPr>
                <w:rFonts w:ascii="Calibri" w:hAnsi="Calibri" w:cs="Calibri"/>
                <w:color w:val="000000" w:themeColor="text1"/>
                <w:sz w:val="18"/>
                <w:szCs w:val="18"/>
                <w:highlight w:val="yellow"/>
              </w:rPr>
            </w:pPr>
          </w:p>
        </w:tc>
        <w:tc>
          <w:tcPr>
            <w:tcW w:w="1134" w:type="dxa"/>
          </w:tcPr>
          <w:p w14:paraId="3142B602" w14:textId="77777777" w:rsidR="007C18DE" w:rsidRPr="007C18DE" w:rsidRDefault="007C18DE" w:rsidP="00B87E67">
            <w:pPr>
              <w:tabs>
                <w:tab w:val="left" w:pos="8080"/>
              </w:tabs>
              <w:ind w:right="-28"/>
              <w:jc w:val="right"/>
              <w:rPr>
                <w:rFonts w:ascii="Calibri" w:hAnsi="Calibri" w:cs="Calibri"/>
                <w:b/>
                <w:bCs/>
                <w:sz w:val="18"/>
                <w:szCs w:val="18"/>
              </w:rPr>
            </w:pPr>
          </w:p>
          <w:p w14:paraId="674D3C52" w14:textId="40C24827" w:rsidR="007C18DE" w:rsidRPr="007C18DE" w:rsidRDefault="007C18DE" w:rsidP="00B87E67">
            <w:pPr>
              <w:tabs>
                <w:tab w:val="left" w:pos="8080"/>
              </w:tabs>
              <w:ind w:right="-28"/>
              <w:jc w:val="right"/>
              <w:rPr>
                <w:rFonts w:ascii="Calibri" w:hAnsi="Calibri" w:cs="Calibri"/>
                <w:b/>
                <w:bCs/>
                <w:sz w:val="18"/>
                <w:szCs w:val="18"/>
              </w:rPr>
            </w:pPr>
            <w:r>
              <w:rPr>
                <w:rFonts w:ascii="Calibri" w:hAnsi="Calibri" w:cs="Calibri"/>
                <w:b/>
                <w:bCs/>
                <w:sz w:val="18"/>
                <w:szCs w:val="18"/>
              </w:rPr>
              <w:t>1,969</w:t>
            </w:r>
          </w:p>
        </w:tc>
        <w:tc>
          <w:tcPr>
            <w:tcW w:w="1275" w:type="dxa"/>
          </w:tcPr>
          <w:p w14:paraId="1CF96421" w14:textId="77777777" w:rsidR="007C18DE" w:rsidRDefault="007C18DE" w:rsidP="00B87E67">
            <w:pPr>
              <w:tabs>
                <w:tab w:val="left" w:pos="8080"/>
              </w:tabs>
              <w:ind w:right="-28"/>
              <w:jc w:val="right"/>
              <w:rPr>
                <w:rFonts w:ascii="Calibri" w:hAnsi="Calibri" w:cs="Calibri"/>
                <w:color w:val="000000"/>
                <w:sz w:val="18"/>
                <w:szCs w:val="18"/>
              </w:rPr>
            </w:pPr>
          </w:p>
          <w:p w14:paraId="2683157D" w14:textId="77777777" w:rsidR="007C18DE" w:rsidRPr="00987D69" w:rsidRDefault="007C18DE" w:rsidP="00B87E67">
            <w:pPr>
              <w:tabs>
                <w:tab w:val="left" w:pos="8080"/>
              </w:tabs>
              <w:ind w:right="-28"/>
              <w:jc w:val="right"/>
              <w:rPr>
                <w:rFonts w:ascii="Calibri" w:hAnsi="Calibri" w:cs="Calibri"/>
                <w:color w:val="000000"/>
                <w:sz w:val="18"/>
                <w:szCs w:val="18"/>
              </w:rPr>
            </w:pPr>
            <w:r w:rsidRPr="00987D69">
              <w:rPr>
                <w:rFonts w:ascii="Calibri" w:hAnsi="Calibri" w:cs="Calibri"/>
                <w:color w:val="000000"/>
                <w:sz w:val="18"/>
                <w:szCs w:val="18"/>
              </w:rPr>
              <w:t>(41)</w:t>
            </w:r>
          </w:p>
        </w:tc>
      </w:tr>
      <w:tr w:rsidR="007C18DE" w:rsidRPr="008901A5" w14:paraId="4F57684C" w14:textId="77777777" w:rsidTr="007C18DE">
        <w:trPr>
          <w:trHeight w:val="225"/>
        </w:trPr>
        <w:tc>
          <w:tcPr>
            <w:tcW w:w="5670" w:type="dxa"/>
          </w:tcPr>
          <w:p w14:paraId="527EF96A" w14:textId="77777777" w:rsidR="007C18DE" w:rsidRPr="00987D69" w:rsidRDefault="007C18DE" w:rsidP="00B87E67">
            <w:pPr>
              <w:tabs>
                <w:tab w:val="left" w:pos="8080"/>
              </w:tabs>
              <w:ind w:right="-28"/>
              <w:rPr>
                <w:rFonts w:ascii="Calibri" w:hAnsi="Calibri" w:cs="Calibri"/>
                <w:b/>
                <w:color w:val="000000"/>
                <w:sz w:val="18"/>
                <w:szCs w:val="18"/>
              </w:rPr>
            </w:pPr>
            <w:r>
              <w:rPr>
                <w:rFonts w:ascii="Calibri" w:hAnsi="Calibri" w:cs="Calibri"/>
                <w:color w:val="000000"/>
                <w:sz w:val="18"/>
                <w:szCs w:val="18"/>
              </w:rPr>
              <w:t>Finance</w:t>
            </w:r>
            <w:r w:rsidRPr="00987D69">
              <w:rPr>
                <w:rFonts w:ascii="Calibri" w:hAnsi="Calibri" w:cs="Calibri"/>
                <w:color w:val="000000"/>
                <w:sz w:val="18"/>
                <w:szCs w:val="18"/>
              </w:rPr>
              <w:t xml:space="preserve"> </w:t>
            </w:r>
            <w:r>
              <w:rPr>
                <w:rFonts w:ascii="Calibri" w:hAnsi="Calibri" w:cs="Calibri"/>
                <w:color w:val="000000"/>
                <w:sz w:val="18"/>
                <w:szCs w:val="18"/>
              </w:rPr>
              <w:t xml:space="preserve">(expense)/income </w:t>
            </w:r>
            <w:r w:rsidRPr="00987D69">
              <w:rPr>
                <w:rFonts w:ascii="Calibri" w:hAnsi="Calibri" w:cs="Calibri"/>
                <w:color w:val="000000"/>
                <w:sz w:val="18"/>
                <w:szCs w:val="18"/>
              </w:rPr>
              <w:t>f</w:t>
            </w:r>
            <w:r>
              <w:rPr>
                <w:rFonts w:ascii="Calibri" w:hAnsi="Calibri" w:cs="Calibri"/>
                <w:color w:val="000000"/>
                <w:sz w:val="18"/>
                <w:szCs w:val="18"/>
              </w:rPr>
              <w:t>rom</w:t>
            </w:r>
            <w:r w:rsidRPr="00987D69">
              <w:rPr>
                <w:rFonts w:ascii="Calibri" w:hAnsi="Calibri" w:cs="Calibri"/>
                <w:color w:val="000000"/>
                <w:sz w:val="18"/>
                <w:szCs w:val="18"/>
              </w:rPr>
              <w:t xml:space="preserve"> insurance contracts issued</w:t>
            </w:r>
          </w:p>
        </w:tc>
        <w:tc>
          <w:tcPr>
            <w:tcW w:w="851" w:type="dxa"/>
          </w:tcPr>
          <w:p w14:paraId="6C333EC2" w14:textId="172D4D42" w:rsidR="007C18DE" w:rsidRPr="007C18DE" w:rsidRDefault="007C18DE" w:rsidP="00B87E67">
            <w:pPr>
              <w:tabs>
                <w:tab w:val="left" w:pos="8080"/>
              </w:tabs>
              <w:ind w:right="-28"/>
              <w:rPr>
                <w:rFonts w:ascii="Calibri" w:hAnsi="Calibri" w:cs="Calibri"/>
                <w:color w:val="000000" w:themeColor="text1"/>
                <w:sz w:val="18"/>
                <w:szCs w:val="18"/>
                <w:highlight w:val="yellow"/>
              </w:rPr>
            </w:pPr>
          </w:p>
        </w:tc>
        <w:tc>
          <w:tcPr>
            <w:tcW w:w="1134" w:type="dxa"/>
          </w:tcPr>
          <w:p w14:paraId="04FB7DDC" w14:textId="162380D0" w:rsidR="007C18DE" w:rsidRPr="007C18DE" w:rsidRDefault="007C18DE" w:rsidP="00B87E67">
            <w:pPr>
              <w:tabs>
                <w:tab w:val="left" w:pos="8080"/>
              </w:tabs>
              <w:ind w:right="-28"/>
              <w:jc w:val="right"/>
              <w:rPr>
                <w:rFonts w:ascii="Calibri" w:hAnsi="Calibri" w:cs="Calibri"/>
                <w:b/>
                <w:bCs/>
                <w:sz w:val="18"/>
                <w:szCs w:val="18"/>
              </w:rPr>
            </w:pPr>
            <w:r w:rsidRPr="007C18DE">
              <w:rPr>
                <w:rFonts w:ascii="Calibri" w:hAnsi="Calibri" w:cs="Calibri"/>
                <w:b/>
                <w:bCs/>
                <w:sz w:val="18"/>
                <w:szCs w:val="18"/>
              </w:rPr>
              <w:t>(</w:t>
            </w:r>
            <w:r>
              <w:rPr>
                <w:rFonts w:ascii="Calibri" w:hAnsi="Calibri" w:cs="Calibri"/>
                <w:b/>
                <w:bCs/>
                <w:sz w:val="18"/>
                <w:szCs w:val="18"/>
              </w:rPr>
              <w:t>17,253</w:t>
            </w:r>
            <w:r w:rsidRPr="007C18DE">
              <w:rPr>
                <w:rFonts w:ascii="Calibri" w:hAnsi="Calibri" w:cs="Calibri"/>
                <w:b/>
                <w:bCs/>
                <w:sz w:val="18"/>
                <w:szCs w:val="18"/>
              </w:rPr>
              <w:t>)</w:t>
            </w:r>
          </w:p>
        </w:tc>
        <w:tc>
          <w:tcPr>
            <w:tcW w:w="1275" w:type="dxa"/>
          </w:tcPr>
          <w:p w14:paraId="1874AE82" w14:textId="77777777" w:rsidR="007C18DE" w:rsidRPr="00987D69" w:rsidRDefault="007C18DE" w:rsidP="00B87E67">
            <w:pPr>
              <w:tabs>
                <w:tab w:val="left" w:pos="8080"/>
              </w:tabs>
              <w:ind w:right="-28"/>
              <w:jc w:val="right"/>
              <w:rPr>
                <w:rFonts w:ascii="Calibri" w:hAnsi="Calibri" w:cs="Calibri"/>
                <w:color w:val="000000"/>
                <w:sz w:val="18"/>
                <w:szCs w:val="18"/>
              </w:rPr>
            </w:pPr>
            <w:r w:rsidRPr="00987D69">
              <w:rPr>
                <w:rFonts w:ascii="Calibri" w:hAnsi="Calibri" w:cs="Calibri"/>
                <w:color w:val="000000"/>
                <w:sz w:val="18"/>
                <w:szCs w:val="18"/>
              </w:rPr>
              <w:t>42,388</w:t>
            </w:r>
          </w:p>
        </w:tc>
      </w:tr>
      <w:tr w:rsidR="007C18DE" w:rsidRPr="008901A5" w14:paraId="4296253D" w14:textId="77777777" w:rsidTr="007C18DE">
        <w:trPr>
          <w:trHeight w:val="220"/>
        </w:trPr>
        <w:tc>
          <w:tcPr>
            <w:tcW w:w="5670" w:type="dxa"/>
          </w:tcPr>
          <w:p w14:paraId="674918DA" w14:textId="77777777" w:rsidR="007C18DE" w:rsidRPr="00987D69" w:rsidRDefault="007C18DE" w:rsidP="00B87E67">
            <w:pPr>
              <w:tabs>
                <w:tab w:val="left" w:pos="8080"/>
              </w:tabs>
              <w:ind w:right="-28"/>
              <w:rPr>
                <w:rFonts w:ascii="Calibri" w:hAnsi="Calibri" w:cs="Calibri"/>
                <w:b/>
                <w:color w:val="000000"/>
                <w:sz w:val="18"/>
                <w:szCs w:val="18"/>
              </w:rPr>
            </w:pPr>
            <w:r>
              <w:rPr>
                <w:rFonts w:ascii="Calibri" w:hAnsi="Calibri" w:cs="Calibri"/>
                <w:color w:val="000000"/>
                <w:sz w:val="18"/>
                <w:szCs w:val="18"/>
              </w:rPr>
              <w:t>Finance</w:t>
            </w:r>
            <w:r w:rsidRPr="00987D69">
              <w:rPr>
                <w:rFonts w:ascii="Calibri" w:hAnsi="Calibri" w:cs="Calibri"/>
                <w:color w:val="000000"/>
                <w:sz w:val="18"/>
                <w:szCs w:val="18"/>
              </w:rPr>
              <w:t xml:space="preserve"> </w:t>
            </w:r>
            <w:r>
              <w:rPr>
                <w:rFonts w:ascii="Calibri" w:hAnsi="Calibri" w:cs="Calibri"/>
                <w:color w:val="000000"/>
                <w:sz w:val="18"/>
                <w:szCs w:val="18"/>
              </w:rPr>
              <w:t xml:space="preserve">income/(expense) </w:t>
            </w:r>
            <w:r w:rsidRPr="00987D69">
              <w:rPr>
                <w:rFonts w:ascii="Calibri" w:hAnsi="Calibri" w:cs="Calibri"/>
                <w:color w:val="000000"/>
                <w:sz w:val="18"/>
                <w:szCs w:val="18"/>
              </w:rPr>
              <w:t>f</w:t>
            </w:r>
            <w:r>
              <w:rPr>
                <w:rFonts w:ascii="Calibri" w:hAnsi="Calibri" w:cs="Calibri"/>
                <w:color w:val="000000"/>
                <w:sz w:val="18"/>
                <w:szCs w:val="18"/>
              </w:rPr>
              <w:t>rom</w:t>
            </w:r>
            <w:r w:rsidRPr="00987D69">
              <w:rPr>
                <w:rFonts w:ascii="Calibri" w:hAnsi="Calibri" w:cs="Calibri"/>
                <w:color w:val="000000"/>
                <w:sz w:val="18"/>
                <w:szCs w:val="18"/>
              </w:rPr>
              <w:t xml:space="preserve"> reinsurance contracts held</w:t>
            </w:r>
          </w:p>
        </w:tc>
        <w:tc>
          <w:tcPr>
            <w:tcW w:w="851" w:type="dxa"/>
          </w:tcPr>
          <w:p w14:paraId="7A4B5CF3" w14:textId="3FF996E5" w:rsidR="007C18DE" w:rsidRPr="007C18DE" w:rsidRDefault="007C18DE" w:rsidP="00B87E67">
            <w:pPr>
              <w:tabs>
                <w:tab w:val="left" w:pos="8080"/>
              </w:tabs>
              <w:ind w:right="-28"/>
              <w:rPr>
                <w:rFonts w:ascii="Calibri" w:hAnsi="Calibri" w:cs="Calibri"/>
                <w:color w:val="000000" w:themeColor="text1"/>
                <w:sz w:val="18"/>
                <w:szCs w:val="18"/>
                <w:highlight w:val="yellow"/>
              </w:rPr>
            </w:pPr>
          </w:p>
        </w:tc>
        <w:tc>
          <w:tcPr>
            <w:tcW w:w="1134" w:type="dxa"/>
          </w:tcPr>
          <w:p w14:paraId="3839DCD9" w14:textId="691E6EA7" w:rsidR="007C18DE" w:rsidRPr="007C18DE" w:rsidRDefault="007C18DE" w:rsidP="00B87E67">
            <w:pPr>
              <w:tabs>
                <w:tab w:val="left" w:pos="8080"/>
              </w:tabs>
              <w:ind w:right="-28"/>
              <w:jc w:val="right"/>
              <w:rPr>
                <w:rFonts w:ascii="Calibri" w:hAnsi="Calibri" w:cs="Calibri"/>
                <w:b/>
                <w:bCs/>
                <w:sz w:val="18"/>
                <w:szCs w:val="18"/>
              </w:rPr>
            </w:pPr>
            <w:r>
              <w:rPr>
                <w:rFonts w:ascii="Calibri" w:hAnsi="Calibri" w:cs="Calibri"/>
                <w:b/>
                <w:bCs/>
                <w:sz w:val="18"/>
                <w:szCs w:val="18"/>
              </w:rPr>
              <w:t>3,676</w:t>
            </w:r>
          </w:p>
        </w:tc>
        <w:tc>
          <w:tcPr>
            <w:tcW w:w="1275" w:type="dxa"/>
          </w:tcPr>
          <w:p w14:paraId="38BCEB28" w14:textId="77777777" w:rsidR="007C18DE" w:rsidRPr="00987D69" w:rsidRDefault="007C18DE" w:rsidP="00B87E67">
            <w:pPr>
              <w:tabs>
                <w:tab w:val="left" w:pos="8080"/>
              </w:tabs>
              <w:ind w:right="-28"/>
              <w:jc w:val="right"/>
              <w:rPr>
                <w:rFonts w:ascii="Calibri" w:hAnsi="Calibri" w:cs="Calibri"/>
                <w:color w:val="000000"/>
                <w:sz w:val="18"/>
                <w:szCs w:val="18"/>
              </w:rPr>
            </w:pPr>
            <w:r w:rsidRPr="00987D69">
              <w:rPr>
                <w:rFonts w:ascii="Calibri" w:hAnsi="Calibri" w:cs="Calibri"/>
                <w:color w:val="000000"/>
                <w:sz w:val="18"/>
                <w:szCs w:val="18"/>
              </w:rPr>
              <w:t>(8,202)</w:t>
            </w:r>
          </w:p>
        </w:tc>
      </w:tr>
      <w:tr w:rsidR="007C18DE" w:rsidRPr="008901A5" w14:paraId="34C8AECC" w14:textId="77777777" w:rsidTr="007C18DE">
        <w:trPr>
          <w:trHeight w:val="225"/>
        </w:trPr>
        <w:tc>
          <w:tcPr>
            <w:tcW w:w="5670" w:type="dxa"/>
          </w:tcPr>
          <w:p w14:paraId="151F687C" w14:textId="77777777" w:rsidR="007C18DE" w:rsidRPr="00240D15" w:rsidRDefault="007C18DE" w:rsidP="00B87E67">
            <w:pPr>
              <w:tabs>
                <w:tab w:val="left" w:pos="8080"/>
              </w:tabs>
              <w:ind w:right="-28"/>
              <w:rPr>
                <w:rFonts w:ascii="Calibri" w:hAnsi="Calibri" w:cs="Calibri"/>
                <w:b/>
                <w:color w:val="000000"/>
                <w:sz w:val="18"/>
                <w:szCs w:val="18"/>
              </w:rPr>
            </w:pPr>
            <w:r w:rsidRPr="00A177C9">
              <w:rPr>
                <w:rFonts w:ascii="Calibri" w:hAnsi="Calibri" w:cs="Calibri"/>
                <w:color w:val="000000"/>
                <w:sz w:val="18"/>
                <w:szCs w:val="18"/>
              </w:rPr>
              <w:t>Income tax relating to these items</w:t>
            </w:r>
          </w:p>
        </w:tc>
        <w:tc>
          <w:tcPr>
            <w:tcW w:w="851" w:type="dxa"/>
          </w:tcPr>
          <w:p w14:paraId="70F80FEC" w14:textId="77777777" w:rsidR="007C18DE" w:rsidRPr="008901A5" w:rsidRDefault="007C18DE" w:rsidP="00B87E67">
            <w:pPr>
              <w:tabs>
                <w:tab w:val="left" w:pos="8080"/>
              </w:tabs>
              <w:ind w:right="-28"/>
              <w:rPr>
                <w:rFonts w:ascii="Calibri" w:hAnsi="Calibri" w:cs="Calibri"/>
                <w:color w:val="FF0000"/>
                <w:sz w:val="18"/>
                <w:szCs w:val="18"/>
              </w:rPr>
            </w:pPr>
          </w:p>
        </w:tc>
        <w:tc>
          <w:tcPr>
            <w:tcW w:w="1134" w:type="dxa"/>
          </w:tcPr>
          <w:p w14:paraId="7787B762" w14:textId="1E30D898" w:rsidR="007C18DE" w:rsidRPr="007C18DE" w:rsidRDefault="007C18DE" w:rsidP="00B87E67">
            <w:pPr>
              <w:tabs>
                <w:tab w:val="left" w:pos="8080"/>
              </w:tabs>
              <w:ind w:right="-28"/>
              <w:jc w:val="right"/>
              <w:rPr>
                <w:rFonts w:ascii="Calibri" w:hAnsi="Calibri" w:cs="Calibri"/>
                <w:b/>
                <w:bCs/>
                <w:sz w:val="18"/>
                <w:szCs w:val="18"/>
              </w:rPr>
            </w:pPr>
            <w:r w:rsidRPr="007C18DE">
              <w:rPr>
                <w:rFonts w:ascii="Calibri" w:hAnsi="Calibri" w:cs="Calibri"/>
                <w:b/>
                <w:bCs/>
                <w:sz w:val="18"/>
                <w:szCs w:val="18"/>
              </w:rPr>
              <w:t>(</w:t>
            </w:r>
            <w:r>
              <w:rPr>
                <w:rFonts w:ascii="Calibri" w:hAnsi="Calibri" w:cs="Calibri"/>
                <w:b/>
                <w:bCs/>
                <w:sz w:val="18"/>
                <w:szCs w:val="18"/>
              </w:rPr>
              <w:t>3,477</w:t>
            </w:r>
            <w:r w:rsidRPr="007C18DE">
              <w:rPr>
                <w:rFonts w:ascii="Calibri" w:hAnsi="Calibri" w:cs="Calibri"/>
                <w:b/>
                <w:bCs/>
                <w:sz w:val="18"/>
                <w:szCs w:val="18"/>
              </w:rPr>
              <w:t>)</w:t>
            </w:r>
          </w:p>
        </w:tc>
        <w:tc>
          <w:tcPr>
            <w:tcW w:w="1275" w:type="dxa"/>
          </w:tcPr>
          <w:p w14:paraId="24037C6A" w14:textId="77777777" w:rsidR="007C18DE" w:rsidRPr="00987D69" w:rsidRDefault="007C18DE" w:rsidP="00B87E67">
            <w:pPr>
              <w:tabs>
                <w:tab w:val="left" w:pos="8080"/>
              </w:tabs>
              <w:ind w:right="-28"/>
              <w:jc w:val="right"/>
              <w:rPr>
                <w:rFonts w:ascii="Calibri" w:hAnsi="Calibri" w:cs="Calibri"/>
                <w:color w:val="000000"/>
                <w:sz w:val="18"/>
                <w:szCs w:val="18"/>
              </w:rPr>
            </w:pPr>
            <w:r w:rsidRPr="00987D69">
              <w:rPr>
                <w:rFonts w:ascii="Calibri" w:hAnsi="Calibri" w:cs="Calibri"/>
                <w:color w:val="000000"/>
                <w:sz w:val="18"/>
                <w:szCs w:val="18"/>
              </w:rPr>
              <w:t>6,951</w:t>
            </w:r>
          </w:p>
        </w:tc>
      </w:tr>
      <w:tr w:rsidR="007C18DE" w:rsidRPr="008901A5" w14:paraId="05CFF445" w14:textId="77777777" w:rsidTr="007C18DE">
        <w:trPr>
          <w:trHeight w:val="220"/>
        </w:trPr>
        <w:tc>
          <w:tcPr>
            <w:tcW w:w="5670" w:type="dxa"/>
          </w:tcPr>
          <w:p w14:paraId="11E69C1B" w14:textId="77777777" w:rsidR="007C18DE" w:rsidRPr="00987D69" w:rsidRDefault="007C18DE" w:rsidP="00B87E67">
            <w:pPr>
              <w:tabs>
                <w:tab w:val="left" w:pos="8080"/>
              </w:tabs>
              <w:ind w:right="-28"/>
              <w:rPr>
                <w:rFonts w:ascii="Calibri" w:hAnsi="Calibri" w:cs="Calibri"/>
                <w:b/>
                <w:color w:val="000000"/>
                <w:sz w:val="18"/>
                <w:szCs w:val="18"/>
              </w:rPr>
            </w:pPr>
          </w:p>
        </w:tc>
        <w:tc>
          <w:tcPr>
            <w:tcW w:w="851" w:type="dxa"/>
          </w:tcPr>
          <w:p w14:paraId="56FF8309" w14:textId="77777777" w:rsidR="007C18DE" w:rsidRPr="008901A5" w:rsidRDefault="007C18DE" w:rsidP="00B87E67">
            <w:pPr>
              <w:tabs>
                <w:tab w:val="left" w:pos="8080"/>
              </w:tabs>
              <w:ind w:right="-28"/>
              <w:rPr>
                <w:rFonts w:ascii="Calibri" w:hAnsi="Calibri" w:cs="Calibri"/>
                <w:b/>
                <w:color w:val="000000"/>
                <w:sz w:val="18"/>
                <w:szCs w:val="18"/>
              </w:rPr>
            </w:pPr>
          </w:p>
        </w:tc>
        <w:tc>
          <w:tcPr>
            <w:tcW w:w="1134" w:type="dxa"/>
          </w:tcPr>
          <w:p w14:paraId="2352D832" w14:textId="77777777" w:rsidR="007C18DE" w:rsidRPr="007C18DE" w:rsidRDefault="007C18DE" w:rsidP="00B87E67">
            <w:pPr>
              <w:tabs>
                <w:tab w:val="left" w:pos="8080"/>
              </w:tabs>
              <w:ind w:right="-28"/>
              <w:rPr>
                <w:rFonts w:ascii="Calibri" w:hAnsi="Calibri" w:cs="Calibri"/>
                <w:b/>
                <w:bCs/>
                <w:sz w:val="18"/>
                <w:szCs w:val="18"/>
              </w:rPr>
            </w:pPr>
          </w:p>
        </w:tc>
        <w:tc>
          <w:tcPr>
            <w:tcW w:w="1275" w:type="dxa"/>
          </w:tcPr>
          <w:p w14:paraId="03A5AC4F" w14:textId="77777777" w:rsidR="007C18DE" w:rsidRPr="00987D69" w:rsidRDefault="007C18DE" w:rsidP="00B87E67">
            <w:pPr>
              <w:tabs>
                <w:tab w:val="left" w:pos="8080"/>
              </w:tabs>
              <w:ind w:right="-28"/>
              <w:jc w:val="right"/>
              <w:rPr>
                <w:rFonts w:ascii="Calibri" w:hAnsi="Calibri" w:cs="Calibri"/>
                <w:color w:val="000000"/>
                <w:sz w:val="18"/>
                <w:szCs w:val="18"/>
              </w:rPr>
            </w:pPr>
          </w:p>
        </w:tc>
      </w:tr>
      <w:tr w:rsidR="007C18DE" w:rsidRPr="008901A5" w14:paraId="6B29CDCC" w14:textId="77777777" w:rsidTr="007C18DE">
        <w:trPr>
          <w:trHeight w:val="225"/>
        </w:trPr>
        <w:tc>
          <w:tcPr>
            <w:tcW w:w="5670" w:type="dxa"/>
          </w:tcPr>
          <w:p w14:paraId="15DABCEE" w14:textId="77777777" w:rsidR="007C18DE" w:rsidRPr="00987D69" w:rsidRDefault="007C18DE" w:rsidP="00B87E67">
            <w:pPr>
              <w:tabs>
                <w:tab w:val="left" w:pos="8080"/>
              </w:tabs>
              <w:ind w:right="-28"/>
              <w:rPr>
                <w:rFonts w:ascii="Calibri" w:hAnsi="Calibri" w:cs="Calibri"/>
                <w:b/>
                <w:color w:val="000000"/>
                <w:sz w:val="18"/>
                <w:szCs w:val="18"/>
              </w:rPr>
            </w:pPr>
            <w:r w:rsidRPr="00987D69">
              <w:rPr>
                <w:rFonts w:ascii="Calibri" w:hAnsi="Calibri" w:cs="Calibri"/>
                <w:i/>
                <w:color w:val="000000"/>
                <w:sz w:val="18"/>
                <w:szCs w:val="18"/>
                <w:u w:val="single"/>
              </w:rPr>
              <w:t>Items that will not be reclassified to profit or loss:</w:t>
            </w:r>
          </w:p>
        </w:tc>
        <w:tc>
          <w:tcPr>
            <w:tcW w:w="851" w:type="dxa"/>
          </w:tcPr>
          <w:p w14:paraId="038EC357" w14:textId="77777777" w:rsidR="007C18DE" w:rsidRPr="008901A5" w:rsidRDefault="007C18DE" w:rsidP="00B87E67">
            <w:pPr>
              <w:tabs>
                <w:tab w:val="left" w:pos="8080"/>
              </w:tabs>
              <w:ind w:right="-28"/>
              <w:rPr>
                <w:rFonts w:ascii="Calibri" w:hAnsi="Calibri" w:cs="Calibri"/>
                <w:b/>
                <w:color w:val="000000"/>
                <w:sz w:val="18"/>
                <w:szCs w:val="18"/>
              </w:rPr>
            </w:pPr>
          </w:p>
        </w:tc>
        <w:tc>
          <w:tcPr>
            <w:tcW w:w="1134" w:type="dxa"/>
          </w:tcPr>
          <w:p w14:paraId="16E8A205" w14:textId="77777777" w:rsidR="007C18DE" w:rsidRPr="007C18DE" w:rsidRDefault="007C18DE" w:rsidP="00B87E67">
            <w:pPr>
              <w:tabs>
                <w:tab w:val="left" w:pos="8080"/>
              </w:tabs>
              <w:ind w:right="-28"/>
              <w:rPr>
                <w:rFonts w:ascii="Calibri" w:hAnsi="Calibri" w:cs="Calibri"/>
                <w:b/>
                <w:bCs/>
                <w:sz w:val="18"/>
                <w:szCs w:val="18"/>
              </w:rPr>
            </w:pPr>
          </w:p>
        </w:tc>
        <w:tc>
          <w:tcPr>
            <w:tcW w:w="1275" w:type="dxa"/>
          </w:tcPr>
          <w:p w14:paraId="0B984207" w14:textId="77777777" w:rsidR="007C18DE" w:rsidRPr="00987D69" w:rsidRDefault="007C18DE" w:rsidP="00B87E67">
            <w:pPr>
              <w:tabs>
                <w:tab w:val="left" w:pos="8080"/>
              </w:tabs>
              <w:ind w:right="-28"/>
              <w:jc w:val="right"/>
              <w:rPr>
                <w:rFonts w:ascii="Calibri" w:hAnsi="Calibri" w:cs="Calibri"/>
                <w:color w:val="000000"/>
                <w:sz w:val="18"/>
                <w:szCs w:val="18"/>
              </w:rPr>
            </w:pPr>
          </w:p>
        </w:tc>
      </w:tr>
      <w:tr w:rsidR="007C18DE" w:rsidRPr="008901A5" w14:paraId="254DFA1F" w14:textId="77777777" w:rsidTr="007C18DE">
        <w:trPr>
          <w:trHeight w:val="225"/>
        </w:trPr>
        <w:tc>
          <w:tcPr>
            <w:tcW w:w="5670" w:type="dxa"/>
          </w:tcPr>
          <w:p w14:paraId="3DC90159" w14:textId="77777777" w:rsidR="007C18DE" w:rsidRPr="00987D69" w:rsidRDefault="007C18DE" w:rsidP="00B87E67">
            <w:pPr>
              <w:tabs>
                <w:tab w:val="left" w:pos="8080"/>
              </w:tabs>
              <w:ind w:right="-28"/>
              <w:rPr>
                <w:rFonts w:ascii="Calibri" w:hAnsi="Calibri" w:cs="Calibri"/>
                <w:b/>
                <w:color w:val="000000"/>
                <w:sz w:val="18"/>
                <w:szCs w:val="18"/>
              </w:rPr>
            </w:pPr>
            <w:r w:rsidRPr="00987D69">
              <w:rPr>
                <w:rFonts w:ascii="Calibri" w:hAnsi="Calibri" w:cs="Calibri"/>
                <w:color w:val="000000"/>
                <w:sz w:val="18"/>
                <w:szCs w:val="18"/>
              </w:rPr>
              <w:t>Re-measurements of post-employment benefit obligations, before tax</w:t>
            </w:r>
          </w:p>
        </w:tc>
        <w:tc>
          <w:tcPr>
            <w:tcW w:w="851" w:type="dxa"/>
          </w:tcPr>
          <w:p w14:paraId="63457F15" w14:textId="77777777" w:rsidR="007C18DE" w:rsidRPr="008901A5" w:rsidRDefault="007C18DE" w:rsidP="00B87E67">
            <w:pPr>
              <w:tabs>
                <w:tab w:val="left" w:pos="8080"/>
              </w:tabs>
              <w:ind w:right="-28"/>
              <w:rPr>
                <w:rFonts w:ascii="Calibri" w:hAnsi="Calibri" w:cs="Calibri"/>
                <w:color w:val="FF0000"/>
                <w:sz w:val="18"/>
                <w:szCs w:val="18"/>
              </w:rPr>
            </w:pPr>
          </w:p>
        </w:tc>
        <w:tc>
          <w:tcPr>
            <w:tcW w:w="1134" w:type="dxa"/>
          </w:tcPr>
          <w:p w14:paraId="7C293AF7" w14:textId="1EB2DFD3" w:rsidR="007C18DE" w:rsidRPr="007C18DE" w:rsidRDefault="007C18DE" w:rsidP="00B87E67">
            <w:pPr>
              <w:tabs>
                <w:tab w:val="left" w:pos="8080"/>
              </w:tabs>
              <w:ind w:right="-28"/>
              <w:jc w:val="right"/>
              <w:rPr>
                <w:rFonts w:ascii="Calibri" w:hAnsi="Calibri" w:cs="Calibri"/>
                <w:b/>
                <w:bCs/>
                <w:sz w:val="18"/>
                <w:szCs w:val="18"/>
              </w:rPr>
            </w:pPr>
            <w:r w:rsidRPr="007C18DE">
              <w:rPr>
                <w:rFonts w:ascii="Calibri" w:hAnsi="Calibri" w:cs="Calibri"/>
                <w:b/>
                <w:bCs/>
                <w:sz w:val="18"/>
                <w:szCs w:val="18"/>
              </w:rPr>
              <w:t>(</w:t>
            </w:r>
            <w:r w:rsidR="004A5ACA">
              <w:rPr>
                <w:rFonts w:ascii="Calibri" w:hAnsi="Calibri" w:cs="Calibri"/>
                <w:b/>
                <w:bCs/>
                <w:sz w:val="18"/>
                <w:szCs w:val="18"/>
              </w:rPr>
              <w:t>1,60</w:t>
            </w:r>
            <w:r w:rsidR="00D63B41">
              <w:rPr>
                <w:rFonts w:ascii="Calibri" w:hAnsi="Calibri" w:cs="Calibri"/>
                <w:b/>
                <w:bCs/>
                <w:sz w:val="18"/>
                <w:szCs w:val="18"/>
              </w:rPr>
              <w:t>8</w:t>
            </w:r>
            <w:r w:rsidRPr="007C18DE">
              <w:rPr>
                <w:rFonts w:ascii="Calibri" w:hAnsi="Calibri" w:cs="Calibri"/>
                <w:b/>
                <w:bCs/>
                <w:sz w:val="18"/>
                <w:szCs w:val="18"/>
              </w:rPr>
              <w:t>)</w:t>
            </w:r>
          </w:p>
        </w:tc>
        <w:tc>
          <w:tcPr>
            <w:tcW w:w="1275" w:type="dxa"/>
          </w:tcPr>
          <w:p w14:paraId="1C0C776B" w14:textId="77777777" w:rsidR="007C18DE" w:rsidRPr="00987D69" w:rsidRDefault="007C18DE" w:rsidP="00B87E67">
            <w:pPr>
              <w:tabs>
                <w:tab w:val="left" w:pos="8080"/>
              </w:tabs>
              <w:ind w:right="-28"/>
              <w:jc w:val="right"/>
              <w:rPr>
                <w:rFonts w:ascii="Calibri" w:hAnsi="Calibri" w:cs="Calibri"/>
                <w:color w:val="000000"/>
                <w:sz w:val="18"/>
                <w:szCs w:val="18"/>
              </w:rPr>
            </w:pPr>
            <w:r w:rsidRPr="00987D69">
              <w:rPr>
                <w:rFonts w:ascii="Calibri" w:hAnsi="Calibri" w:cs="Calibri"/>
                <w:color w:val="000000"/>
                <w:sz w:val="18"/>
                <w:szCs w:val="18"/>
              </w:rPr>
              <w:t>(2,272)</w:t>
            </w:r>
          </w:p>
        </w:tc>
      </w:tr>
      <w:tr w:rsidR="007C18DE" w:rsidRPr="008901A5" w14:paraId="60A545A6" w14:textId="77777777" w:rsidTr="007C18DE">
        <w:trPr>
          <w:trHeight w:val="220"/>
        </w:trPr>
        <w:tc>
          <w:tcPr>
            <w:tcW w:w="5670" w:type="dxa"/>
          </w:tcPr>
          <w:p w14:paraId="3B813E38" w14:textId="77777777" w:rsidR="007C18DE" w:rsidRPr="00994B13" w:rsidRDefault="007C18DE" w:rsidP="00B87E67">
            <w:pPr>
              <w:tabs>
                <w:tab w:val="left" w:pos="8080"/>
              </w:tabs>
              <w:ind w:right="-28"/>
              <w:rPr>
                <w:rFonts w:ascii="Calibri" w:hAnsi="Calibri" w:cs="Calibri"/>
                <w:b/>
                <w:color w:val="000000"/>
                <w:sz w:val="18"/>
                <w:szCs w:val="18"/>
              </w:rPr>
            </w:pPr>
            <w:r w:rsidRPr="00994B13">
              <w:rPr>
                <w:rFonts w:ascii="Calibri" w:hAnsi="Calibri" w:cs="Calibri"/>
                <w:color w:val="000000"/>
                <w:sz w:val="18"/>
                <w:szCs w:val="18"/>
              </w:rPr>
              <w:t xml:space="preserve">Revaluation of </w:t>
            </w:r>
            <w:proofErr w:type="gramStart"/>
            <w:r w:rsidRPr="00994B13">
              <w:rPr>
                <w:rFonts w:ascii="Calibri" w:hAnsi="Calibri" w:cs="Calibri"/>
                <w:color w:val="000000"/>
                <w:sz w:val="18"/>
                <w:szCs w:val="18"/>
              </w:rPr>
              <w:t>owner occupied</w:t>
            </w:r>
            <w:proofErr w:type="gramEnd"/>
            <w:r w:rsidRPr="00994B13">
              <w:rPr>
                <w:rFonts w:ascii="Calibri" w:hAnsi="Calibri" w:cs="Calibri"/>
                <w:color w:val="000000"/>
                <w:sz w:val="18"/>
                <w:szCs w:val="18"/>
              </w:rPr>
              <w:t xml:space="preserve"> property</w:t>
            </w:r>
          </w:p>
        </w:tc>
        <w:tc>
          <w:tcPr>
            <w:tcW w:w="851" w:type="dxa"/>
          </w:tcPr>
          <w:p w14:paraId="683CC4B5" w14:textId="77777777" w:rsidR="007C18DE" w:rsidRPr="00994B13" w:rsidRDefault="007C18DE" w:rsidP="00B87E67">
            <w:pPr>
              <w:tabs>
                <w:tab w:val="left" w:pos="8080"/>
              </w:tabs>
              <w:ind w:right="-28"/>
              <w:rPr>
                <w:rFonts w:ascii="Calibri" w:hAnsi="Calibri" w:cs="Calibri"/>
                <w:color w:val="FF0000"/>
                <w:sz w:val="18"/>
                <w:szCs w:val="18"/>
              </w:rPr>
            </w:pPr>
          </w:p>
        </w:tc>
        <w:tc>
          <w:tcPr>
            <w:tcW w:w="1134" w:type="dxa"/>
          </w:tcPr>
          <w:p w14:paraId="7E532FD6" w14:textId="60D9E32B" w:rsidR="007C18DE" w:rsidRPr="00994B13" w:rsidRDefault="004A5ACA" w:rsidP="00B87E67">
            <w:pPr>
              <w:tabs>
                <w:tab w:val="left" w:pos="8080"/>
              </w:tabs>
              <w:ind w:right="-28"/>
              <w:jc w:val="right"/>
              <w:rPr>
                <w:rFonts w:ascii="Calibri" w:hAnsi="Calibri" w:cs="Calibri"/>
                <w:b/>
                <w:bCs/>
                <w:sz w:val="18"/>
                <w:szCs w:val="18"/>
              </w:rPr>
            </w:pPr>
            <w:r w:rsidRPr="00994B13">
              <w:rPr>
                <w:rFonts w:ascii="Calibri" w:hAnsi="Calibri" w:cs="Calibri"/>
                <w:b/>
                <w:bCs/>
                <w:sz w:val="18"/>
                <w:szCs w:val="18"/>
              </w:rPr>
              <w:t>(84)</w:t>
            </w:r>
          </w:p>
        </w:tc>
        <w:tc>
          <w:tcPr>
            <w:tcW w:w="1275" w:type="dxa"/>
          </w:tcPr>
          <w:p w14:paraId="5674F9F0" w14:textId="77777777" w:rsidR="007C18DE" w:rsidRPr="00987D69" w:rsidRDefault="007C18DE" w:rsidP="00B87E67">
            <w:pPr>
              <w:tabs>
                <w:tab w:val="left" w:pos="8080"/>
              </w:tabs>
              <w:ind w:right="-28"/>
              <w:jc w:val="right"/>
              <w:rPr>
                <w:rFonts w:ascii="Calibri" w:hAnsi="Calibri" w:cs="Calibri"/>
                <w:color w:val="000000"/>
                <w:sz w:val="18"/>
                <w:szCs w:val="18"/>
              </w:rPr>
            </w:pPr>
            <w:r w:rsidRPr="00994B13">
              <w:rPr>
                <w:rFonts w:ascii="Calibri" w:hAnsi="Calibri" w:cs="Calibri"/>
                <w:color w:val="000000"/>
                <w:sz w:val="18"/>
                <w:szCs w:val="18"/>
              </w:rPr>
              <w:t>5</w:t>
            </w:r>
          </w:p>
        </w:tc>
      </w:tr>
      <w:tr w:rsidR="007C18DE" w:rsidRPr="008901A5" w14:paraId="615E380C" w14:textId="77777777" w:rsidTr="007C18DE">
        <w:trPr>
          <w:trHeight w:val="225"/>
        </w:trPr>
        <w:tc>
          <w:tcPr>
            <w:tcW w:w="5670" w:type="dxa"/>
          </w:tcPr>
          <w:p w14:paraId="3F6DECDD" w14:textId="77777777" w:rsidR="007C18DE" w:rsidRPr="00987D69" w:rsidRDefault="007C18DE" w:rsidP="00B87E67">
            <w:pPr>
              <w:tabs>
                <w:tab w:val="left" w:pos="8080"/>
              </w:tabs>
              <w:ind w:right="-28"/>
              <w:rPr>
                <w:rFonts w:ascii="Calibri" w:hAnsi="Calibri" w:cs="Calibri"/>
                <w:b/>
                <w:color w:val="000000"/>
                <w:sz w:val="18"/>
                <w:szCs w:val="18"/>
              </w:rPr>
            </w:pPr>
            <w:r w:rsidRPr="00987D69">
              <w:rPr>
                <w:rFonts w:ascii="Calibri" w:hAnsi="Calibri" w:cs="Calibri"/>
                <w:color w:val="000000"/>
                <w:sz w:val="18"/>
                <w:szCs w:val="18"/>
              </w:rPr>
              <w:t>Income tax relating to these items</w:t>
            </w:r>
          </w:p>
        </w:tc>
        <w:tc>
          <w:tcPr>
            <w:tcW w:w="851" w:type="dxa"/>
          </w:tcPr>
          <w:p w14:paraId="7724A1EA" w14:textId="77777777" w:rsidR="007C18DE" w:rsidRPr="008901A5" w:rsidRDefault="007C18DE" w:rsidP="00B87E67">
            <w:pPr>
              <w:tabs>
                <w:tab w:val="left" w:pos="8080"/>
              </w:tabs>
              <w:ind w:right="-28"/>
              <w:rPr>
                <w:rFonts w:ascii="Calibri" w:hAnsi="Calibri" w:cs="Calibri"/>
                <w:color w:val="FF0000"/>
                <w:sz w:val="18"/>
                <w:szCs w:val="18"/>
              </w:rPr>
            </w:pPr>
          </w:p>
        </w:tc>
        <w:tc>
          <w:tcPr>
            <w:tcW w:w="1134" w:type="dxa"/>
            <w:tcBorders>
              <w:bottom w:val="single" w:sz="2" w:space="0" w:color="auto"/>
            </w:tcBorders>
          </w:tcPr>
          <w:p w14:paraId="536480B9" w14:textId="1657EB55" w:rsidR="007C18DE" w:rsidRPr="007C18DE" w:rsidRDefault="004A5ACA" w:rsidP="00B87E67">
            <w:pPr>
              <w:tabs>
                <w:tab w:val="left" w:pos="8080"/>
              </w:tabs>
              <w:ind w:right="-28"/>
              <w:jc w:val="right"/>
              <w:rPr>
                <w:rFonts w:ascii="Calibri" w:hAnsi="Calibri" w:cs="Calibri"/>
                <w:b/>
                <w:bCs/>
                <w:sz w:val="18"/>
                <w:szCs w:val="18"/>
              </w:rPr>
            </w:pPr>
            <w:r>
              <w:rPr>
                <w:rFonts w:ascii="Calibri" w:hAnsi="Calibri" w:cs="Calibri"/>
                <w:b/>
                <w:bCs/>
                <w:sz w:val="18"/>
                <w:szCs w:val="18"/>
              </w:rPr>
              <w:t>229</w:t>
            </w:r>
          </w:p>
        </w:tc>
        <w:tc>
          <w:tcPr>
            <w:tcW w:w="1275" w:type="dxa"/>
            <w:tcBorders>
              <w:bottom w:val="single" w:sz="2" w:space="0" w:color="auto"/>
            </w:tcBorders>
          </w:tcPr>
          <w:p w14:paraId="2B907ED3" w14:textId="77777777" w:rsidR="007C18DE" w:rsidRPr="00987D69" w:rsidRDefault="007C18DE" w:rsidP="00B87E67">
            <w:pPr>
              <w:tabs>
                <w:tab w:val="left" w:pos="8080"/>
              </w:tabs>
              <w:ind w:right="-28"/>
              <w:jc w:val="right"/>
              <w:rPr>
                <w:rFonts w:ascii="Calibri" w:hAnsi="Calibri" w:cs="Calibri"/>
                <w:color w:val="000000"/>
                <w:sz w:val="18"/>
                <w:szCs w:val="18"/>
              </w:rPr>
            </w:pPr>
            <w:r w:rsidRPr="00987D69">
              <w:rPr>
                <w:rFonts w:ascii="Calibri" w:hAnsi="Calibri" w:cs="Calibri"/>
                <w:color w:val="000000"/>
                <w:sz w:val="18"/>
                <w:szCs w:val="18"/>
              </w:rPr>
              <w:t>282</w:t>
            </w:r>
          </w:p>
        </w:tc>
      </w:tr>
      <w:tr w:rsidR="007C18DE" w:rsidRPr="008901A5" w14:paraId="4A974578" w14:textId="77777777" w:rsidTr="007C18DE">
        <w:trPr>
          <w:trHeight w:val="225"/>
        </w:trPr>
        <w:tc>
          <w:tcPr>
            <w:tcW w:w="5670" w:type="dxa"/>
          </w:tcPr>
          <w:p w14:paraId="76990490" w14:textId="77777777" w:rsidR="007C18DE" w:rsidRPr="00987D69" w:rsidRDefault="007C18DE" w:rsidP="00B87E67">
            <w:pPr>
              <w:tabs>
                <w:tab w:val="left" w:pos="8080"/>
              </w:tabs>
              <w:ind w:right="-28"/>
              <w:rPr>
                <w:rFonts w:ascii="Calibri" w:hAnsi="Calibri" w:cs="Calibri"/>
                <w:b/>
                <w:color w:val="000000"/>
                <w:sz w:val="18"/>
                <w:szCs w:val="18"/>
              </w:rPr>
            </w:pPr>
          </w:p>
        </w:tc>
        <w:tc>
          <w:tcPr>
            <w:tcW w:w="851" w:type="dxa"/>
          </w:tcPr>
          <w:p w14:paraId="67511134" w14:textId="77777777" w:rsidR="007C18DE" w:rsidRPr="008901A5" w:rsidRDefault="007C18DE" w:rsidP="00B87E67">
            <w:pPr>
              <w:tabs>
                <w:tab w:val="left" w:pos="8080"/>
              </w:tabs>
              <w:ind w:right="-28"/>
              <w:rPr>
                <w:rFonts w:ascii="Calibri" w:hAnsi="Calibri" w:cs="Calibri"/>
                <w:b/>
                <w:color w:val="000000"/>
                <w:sz w:val="18"/>
                <w:szCs w:val="18"/>
              </w:rPr>
            </w:pPr>
          </w:p>
        </w:tc>
        <w:tc>
          <w:tcPr>
            <w:tcW w:w="1134" w:type="dxa"/>
            <w:tcBorders>
              <w:top w:val="single" w:sz="2" w:space="0" w:color="auto"/>
            </w:tcBorders>
          </w:tcPr>
          <w:p w14:paraId="2C0DF2B3" w14:textId="77777777" w:rsidR="007C18DE" w:rsidRPr="00105250" w:rsidRDefault="007C18DE" w:rsidP="00B87E67">
            <w:pPr>
              <w:tabs>
                <w:tab w:val="left" w:pos="8080"/>
              </w:tabs>
              <w:ind w:right="-28"/>
              <w:rPr>
                <w:rFonts w:ascii="Calibri" w:hAnsi="Calibri" w:cs="Calibri"/>
                <w:b/>
                <w:sz w:val="18"/>
                <w:szCs w:val="18"/>
              </w:rPr>
            </w:pPr>
          </w:p>
        </w:tc>
        <w:tc>
          <w:tcPr>
            <w:tcW w:w="1275" w:type="dxa"/>
            <w:tcBorders>
              <w:top w:val="single" w:sz="2" w:space="0" w:color="auto"/>
            </w:tcBorders>
          </w:tcPr>
          <w:p w14:paraId="4B104797" w14:textId="77777777" w:rsidR="007C18DE" w:rsidRPr="00987D69" w:rsidRDefault="007C18DE" w:rsidP="00B87E67">
            <w:pPr>
              <w:tabs>
                <w:tab w:val="left" w:pos="8080"/>
              </w:tabs>
              <w:ind w:right="-28"/>
              <w:jc w:val="right"/>
              <w:rPr>
                <w:rFonts w:ascii="Calibri" w:hAnsi="Calibri" w:cs="Calibri"/>
                <w:color w:val="000000"/>
                <w:sz w:val="18"/>
                <w:szCs w:val="18"/>
              </w:rPr>
            </w:pPr>
          </w:p>
        </w:tc>
      </w:tr>
      <w:tr w:rsidR="007C18DE" w:rsidRPr="008901A5" w14:paraId="79753629" w14:textId="77777777" w:rsidTr="007C18DE">
        <w:trPr>
          <w:trHeight w:val="220"/>
        </w:trPr>
        <w:tc>
          <w:tcPr>
            <w:tcW w:w="5670" w:type="dxa"/>
          </w:tcPr>
          <w:p w14:paraId="2850EFBA" w14:textId="77777777" w:rsidR="007C18DE" w:rsidRPr="00987D69" w:rsidRDefault="007C18DE" w:rsidP="00B87E67">
            <w:pPr>
              <w:tabs>
                <w:tab w:val="left" w:pos="8080"/>
              </w:tabs>
              <w:ind w:right="-28"/>
              <w:rPr>
                <w:rFonts w:ascii="Calibri" w:hAnsi="Calibri" w:cs="Calibri"/>
                <w:b/>
                <w:color w:val="000000"/>
                <w:sz w:val="18"/>
                <w:szCs w:val="18"/>
              </w:rPr>
            </w:pPr>
            <w:r w:rsidRPr="00987D69">
              <w:rPr>
                <w:rFonts w:ascii="Calibri" w:hAnsi="Calibri" w:cs="Calibri"/>
                <w:b/>
                <w:color w:val="000000"/>
                <w:sz w:val="18"/>
                <w:szCs w:val="18"/>
              </w:rPr>
              <w:t>Other comprehensive income</w:t>
            </w:r>
            <w:r>
              <w:rPr>
                <w:rFonts w:ascii="Calibri" w:hAnsi="Calibri" w:cs="Calibri"/>
                <w:b/>
                <w:color w:val="000000"/>
                <w:sz w:val="18"/>
                <w:szCs w:val="18"/>
              </w:rPr>
              <w:t>/(expense)</w:t>
            </w:r>
            <w:r w:rsidRPr="00987D69">
              <w:rPr>
                <w:rFonts w:ascii="Calibri" w:hAnsi="Calibri" w:cs="Calibri"/>
                <w:b/>
                <w:color w:val="000000"/>
                <w:sz w:val="18"/>
                <w:szCs w:val="18"/>
              </w:rPr>
              <w:t xml:space="preserve"> after taxation</w:t>
            </w:r>
          </w:p>
        </w:tc>
        <w:tc>
          <w:tcPr>
            <w:tcW w:w="851" w:type="dxa"/>
          </w:tcPr>
          <w:p w14:paraId="440971F6" w14:textId="77777777" w:rsidR="007C18DE" w:rsidRPr="008901A5" w:rsidRDefault="007C18DE" w:rsidP="00B87E67">
            <w:pPr>
              <w:tabs>
                <w:tab w:val="left" w:pos="8080"/>
              </w:tabs>
              <w:ind w:right="-28"/>
              <w:rPr>
                <w:rFonts w:ascii="Calibri" w:hAnsi="Calibri" w:cs="Calibri"/>
                <w:color w:val="FF0000"/>
                <w:sz w:val="18"/>
                <w:szCs w:val="18"/>
              </w:rPr>
            </w:pPr>
          </w:p>
        </w:tc>
        <w:tc>
          <w:tcPr>
            <w:tcW w:w="1134" w:type="dxa"/>
            <w:tcBorders>
              <w:bottom w:val="single" w:sz="2" w:space="0" w:color="auto"/>
            </w:tcBorders>
          </w:tcPr>
          <w:p w14:paraId="3965B778" w14:textId="4E7B0CDF" w:rsidR="007C18DE" w:rsidRPr="00105250" w:rsidRDefault="004A5ACA" w:rsidP="00B87E67">
            <w:pPr>
              <w:tabs>
                <w:tab w:val="left" w:pos="8080"/>
              </w:tabs>
              <w:ind w:right="-28"/>
              <w:jc w:val="right"/>
              <w:rPr>
                <w:rFonts w:ascii="Calibri" w:hAnsi="Calibri" w:cs="Calibri"/>
                <w:b/>
                <w:sz w:val="18"/>
                <w:szCs w:val="18"/>
              </w:rPr>
            </w:pPr>
            <w:r>
              <w:rPr>
                <w:rFonts w:ascii="Calibri" w:hAnsi="Calibri" w:cs="Calibri"/>
                <w:b/>
                <w:sz w:val="18"/>
                <w:szCs w:val="18"/>
              </w:rPr>
              <w:t>22,875</w:t>
            </w:r>
          </w:p>
        </w:tc>
        <w:tc>
          <w:tcPr>
            <w:tcW w:w="1275" w:type="dxa"/>
            <w:tcBorders>
              <w:bottom w:val="single" w:sz="2" w:space="0" w:color="auto"/>
            </w:tcBorders>
          </w:tcPr>
          <w:p w14:paraId="3A5F6A13" w14:textId="77777777" w:rsidR="007C18DE" w:rsidRPr="007C18DE" w:rsidRDefault="007C18DE" w:rsidP="00B87E67">
            <w:pPr>
              <w:tabs>
                <w:tab w:val="left" w:pos="8080"/>
              </w:tabs>
              <w:ind w:right="-28"/>
              <w:jc w:val="right"/>
              <w:rPr>
                <w:rFonts w:ascii="Calibri" w:hAnsi="Calibri" w:cs="Calibri"/>
                <w:bCs/>
                <w:color w:val="000000"/>
                <w:sz w:val="18"/>
                <w:szCs w:val="18"/>
              </w:rPr>
            </w:pPr>
            <w:r w:rsidRPr="007C18DE">
              <w:rPr>
                <w:rFonts w:ascii="Calibri" w:hAnsi="Calibri" w:cs="Calibri"/>
                <w:bCs/>
                <w:color w:val="000000"/>
                <w:sz w:val="18"/>
                <w:szCs w:val="18"/>
              </w:rPr>
              <w:t>(50,650)</w:t>
            </w:r>
          </w:p>
        </w:tc>
      </w:tr>
      <w:tr w:rsidR="007C18DE" w:rsidRPr="008901A5" w14:paraId="3B00A91B" w14:textId="77777777" w:rsidTr="007C18DE">
        <w:trPr>
          <w:trHeight w:val="225"/>
        </w:trPr>
        <w:tc>
          <w:tcPr>
            <w:tcW w:w="5670" w:type="dxa"/>
          </w:tcPr>
          <w:p w14:paraId="20ABCC3E" w14:textId="77777777" w:rsidR="007C18DE" w:rsidRPr="00987D69" w:rsidRDefault="007C18DE" w:rsidP="00B87E67">
            <w:pPr>
              <w:tabs>
                <w:tab w:val="left" w:pos="8080"/>
              </w:tabs>
              <w:ind w:right="-28"/>
              <w:rPr>
                <w:rFonts w:ascii="Calibri" w:hAnsi="Calibri" w:cs="Calibri"/>
                <w:b/>
                <w:color w:val="000000"/>
                <w:sz w:val="18"/>
                <w:szCs w:val="18"/>
              </w:rPr>
            </w:pPr>
          </w:p>
        </w:tc>
        <w:tc>
          <w:tcPr>
            <w:tcW w:w="851" w:type="dxa"/>
          </w:tcPr>
          <w:p w14:paraId="79C7180C" w14:textId="77777777" w:rsidR="007C18DE" w:rsidRPr="008901A5" w:rsidRDefault="007C18DE" w:rsidP="00B87E67">
            <w:pPr>
              <w:tabs>
                <w:tab w:val="left" w:pos="8080"/>
              </w:tabs>
              <w:ind w:right="-28"/>
              <w:rPr>
                <w:rFonts w:ascii="Calibri" w:hAnsi="Calibri" w:cs="Calibri"/>
                <w:b/>
                <w:color w:val="000000"/>
                <w:sz w:val="18"/>
                <w:szCs w:val="18"/>
              </w:rPr>
            </w:pPr>
          </w:p>
        </w:tc>
        <w:tc>
          <w:tcPr>
            <w:tcW w:w="1134" w:type="dxa"/>
            <w:tcBorders>
              <w:top w:val="single" w:sz="2" w:space="0" w:color="auto"/>
            </w:tcBorders>
          </w:tcPr>
          <w:p w14:paraId="65F28708" w14:textId="77777777" w:rsidR="007C18DE" w:rsidRPr="00105250" w:rsidRDefault="007C18DE" w:rsidP="00B87E67">
            <w:pPr>
              <w:tabs>
                <w:tab w:val="left" w:pos="8080"/>
              </w:tabs>
              <w:ind w:right="-28"/>
              <w:rPr>
                <w:rFonts w:ascii="Calibri" w:hAnsi="Calibri" w:cs="Calibri"/>
                <w:b/>
                <w:sz w:val="18"/>
                <w:szCs w:val="18"/>
              </w:rPr>
            </w:pPr>
          </w:p>
        </w:tc>
        <w:tc>
          <w:tcPr>
            <w:tcW w:w="1275" w:type="dxa"/>
            <w:tcBorders>
              <w:top w:val="single" w:sz="2" w:space="0" w:color="auto"/>
            </w:tcBorders>
          </w:tcPr>
          <w:p w14:paraId="5BA09854" w14:textId="77777777" w:rsidR="007C18DE" w:rsidRPr="007C18DE" w:rsidRDefault="007C18DE" w:rsidP="00B87E67">
            <w:pPr>
              <w:tabs>
                <w:tab w:val="left" w:pos="8080"/>
              </w:tabs>
              <w:ind w:right="-28"/>
              <w:jc w:val="right"/>
              <w:rPr>
                <w:rFonts w:ascii="Calibri" w:hAnsi="Calibri" w:cs="Calibri"/>
                <w:bCs/>
                <w:color w:val="000000"/>
                <w:sz w:val="18"/>
                <w:szCs w:val="18"/>
              </w:rPr>
            </w:pPr>
          </w:p>
        </w:tc>
      </w:tr>
      <w:tr w:rsidR="007C18DE" w:rsidRPr="008901A5" w14:paraId="41C3EAAD" w14:textId="77777777" w:rsidTr="007C18DE">
        <w:trPr>
          <w:trHeight w:val="220"/>
        </w:trPr>
        <w:tc>
          <w:tcPr>
            <w:tcW w:w="5670" w:type="dxa"/>
          </w:tcPr>
          <w:p w14:paraId="23643B70" w14:textId="67160D37" w:rsidR="007C18DE" w:rsidRPr="00987D69" w:rsidRDefault="007C18DE" w:rsidP="00B87E67">
            <w:pPr>
              <w:tabs>
                <w:tab w:val="left" w:pos="8080"/>
              </w:tabs>
              <w:ind w:right="-28"/>
              <w:rPr>
                <w:rFonts w:ascii="Calibri" w:hAnsi="Calibri" w:cs="Calibri"/>
                <w:b/>
                <w:color w:val="000000"/>
                <w:sz w:val="18"/>
                <w:szCs w:val="18"/>
              </w:rPr>
            </w:pPr>
            <w:r w:rsidRPr="00987D69">
              <w:rPr>
                <w:rFonts w:ascii="Calibri" w:hAnsi="Calibri" w:cs="Calibri"/>
                <w:b/>
                <w:color w:val="000000"/>
                <w:sz w:val="18"/>
                <w:szCs w:val="18"/>
              </w:rPr>
              <w:t>Total comprehensive income for the period</w:t>
            </w:r>
          </w:p>
        </w:tc>
        <w:tc>
          <w:tcPr>
            <w:tcW w:w="851" w:type="dxa"/>
          </w:tcPr>
          <w:p w14:paraId="57490E3B" w14:textId="77777777" w:rsidR="007C18DE" w:rsidRPr="008901A5" w:rsidRDefault="007C18DE" w:rsidP="00B87E67">
            <w:pPr>
              <w:tabs>
                <w:tab w:val="left" w:pos="8080"/>
              </w:tabs>
              <w:ind w:right="-28"/>
              <w:rPr>
                <w:rFonts w:ascii="Calibri" w:hAnsi="Calibri" w:cs="Calibri"/>
                <w:color w:val="FF0000"/>
                <w:sz w:val="18"/>
                <w:szCs w:val="18"/>
              </w:rPr>
            </w:pPr>
          </w:p>
        </w:tc>
        <w:tc>
          <w:tcPr>
            <w:tcW w:w="1134" w:type="dxa"/>
            <w:tcBorders>
              <w:bottom w:val="single" w:sz="8" w:space="0" w:color="auto"/>
            </w:tcBorders>
          </w:tcPr>
          <w:p w14:paraId="28B3BF68" w14:textId="19B635CA" w:rsidR="007C18DE" w:rsidRPr="00105250" w:rsidRDefault="004A5ACA" w:rsidP="00B87E67">
            <w:pPr>
              <w:tabs>
                <w:tab w:val="left" w:pos="8080"/>
              </w:tabs>
              <w:ind w:right="-28"/>
              <w:jc w:val="right"/>
              <w:rPr>
                <w:rFonts w:ascii="Calibri" w:hAnsi="Calibri" w:cs="Calibri"/>
                <w:b/>
                <w:sz w:val="18"/>
                <w:szCs w:val="18"/>
              </w:rPr>
            </w:pPr>
            <w:r>
              <w:rPr>
                <w:rFonts w:ascii="Calibri" w:hAnsi="Calibri" w:cs="Calibri"/>
                <w:b/>
                <w:sz w:val="18"/>
                <w:szCs w:val="18"/>
              </w:rPr>
              <w:t>92,41</w:t>
            </w:r>
            <w:r w:rsidR="00D63B41">
              <w:rPr>
                <w:rFonts w:ascii="Calibri" w:hAnsi="Calibri" w:cs="Calibri"/>
                <w:b/>
                <w:sz w:val="18"/>
                <w:szCs w:val="18"/>
              </w:rPr>
              <w:t>6</w:t>
            </w:r>
          </w:p>
        </w:tc>
        <w:tc>
          <w:tcPr>
            <w:tcW w:w="1275" w:type="dxa"/>
            <w:tcBorders>
              <w:bottom w:val="single" w:sz="8" w:space="0" w:color="auto"/>
            </w:tcBorders>
          </w:tcPr>
          <w:p w14:paraId="55734250" w14:textId="77777777" w:rsidR="007C18DE" w:rsidRPr="007C18DE" w:rsidRDefault="007C18DE" w:rsidP="00B87E67">
            <w:pPr>
              <w:tabs>
                <w:tab w:val="left" w:pos="8080"/>
              </w:tabs>
              <w:ind w:right="-28"/>
              <w:jc w:val="right"/>
              <w:rPr>
                <w:rFonts w:ascii="Calibri" w:hAnsi="Calibri" w:cs="Calibri"/>
                <w:bCs/>
                <w:color w:val="000000"/>
                <w:sz w:val="18"/>
                <w:szCs w:val="18"/>
              </w:rPr>
            </w:pPr>
            <w:r w:rsidRPr="007C18DE">
              <w:rPr>
                <w:rFonts w:ascii="Calibri" w:hAnsi="Calibri" w:cs="Calibri"/>
                <w:bCs/>
                <w:color w:val="000000"/>
                <w:sz w:val="18"/>
                <w:szCs w:val="18"/>
              </w:rPr>
              <w:t>6,906</w:t>
            </w:r>
          </w:p>
        </w:tc>
      </w:tr>
      <w:tr w:rsidR="007C18DE" w:rsidRPr="008901A5" w14:paraId="319353F0" w14:textId="77777777" w:rsidTr="007C18DE">
        <w:trPr>
          <w:trHeight w:val="220"/>
        </w:trPr>
        <w:tc>
          <w:tcPr>
            <w:tcW w:w="5670" w:type="dxa"/>
          </w:tcPr>
          <w:p w14:paraId="140ED31B" w14:textId="77777777" w:rsidR="007C18DE" w:rsidRPr="00987D69" w:rsidRDefault="007C18DE" w:rsidP="00B87E67">
            <w:pPr>
              <w:tabs>
                <w:tab w:val="left" w:pos="8080"/>
              </w:tabs>
              <w:ind w:right="-28"/>
              <w:rPr>
                <w:rFonts w:ascii="Calibri" w:hAnsi="Calibri" w:cs="Calibri"/>
                <w:b/>
                <w:color w:val="000000"/>
                <w:sz w:val="18"/>
                <w:szCs w:val="18"/>
              </w:rPr>
            </w:pPr>
          </w:p>
        </w:tc>
        <w:tc>
          <w:tcPr>
            <w:tcW w:w="851" w:type="dxa"/>
          </w:tcPr>
          <w:p w14:paraId="17C567A3" w14:textId="77777777" w:rsidR="007C18DE" w:rsidRPr="008901A5" w:rsidRDefault="007C18DE" w:rsidP="00B87E67">
            <w:pPr>
              <w:tabs>
                <w:tab w:val="left" w:pos="8080"/>
              </w:tabs>
              <w:ind w:right="-28"/>
              <w:rPr>
                <w:rFonts w:ascii="Calibri" w:hAnsi="Calibri" w:cs="Calibri"/>
                <w:b/>
                <w:color w:val="000000"/>
                <w:sz w:val="18"/>
                <w:szCs w:val="18"/>
              </w:rPr>
            </w:pPr>
          </w:p>
        </w:tc>
        <w:tc>
          <w:tcPr>
            <w:tcW w:w="1134" w:type="dxa"/>
            <w:tcBorders>
              <w:top w:val="single" w:sz="8" w:space="0" w:color="auto"/>
            </w:tcBorders>
          </w:tcPr>
          <w:p w14:paraId="0B258DDE" w14:textId="77777777" w:rsidR="007C18DE" w:rsidRPr="00105250" w:rsidRDefault="007C18DE" w:rsidP="00B87E67">
            <w:pPr>
              <w:tabs>
                <w:tab w:val="left" w:pos="8080"/>
              </w:tabs>
              <w:ind w:right="-28"/>
              <w:jc w:val="right"/>
              <w:rPr>
                <w:rFonts w:ascii="Calibri" w:hAnsi="Calibri" w:cs="Calibri"/>
                <w:b/>
                <w:sz w:val="18"/>
                <w:szCs w:val="18"/>
              </w:rPr>
            </w:pPr>
          </w:p>
        </w:tc>
        <w:tc>
          <w:tcPr>
            <w:tcW w:w="1275" w:type="dxa"/>
            <w:tcBorders>
              <w:top w:val="single" w:sz="8" w:space="0" w:color="auto"/>
            </w:tcBorders>
          </w:tcPr>
          <w:p w14:paraId="7A79E6AC" w14:textId="77777777" w:rsidR="007C18DE" w:rsidRPr="007C18DE" w:rsidRDefault="007C18DE" w:rsidP="00B87E67">
            <w:pPr>
              <w:tabs>
                <w:tab w:val="left" w:pos="8080"/>
              </w:tabs>
              <w:ind w:right="-28"/>
              <w:jc w:val="right"/>
              <w:rPr>
                <w:rFonts w:ascii="Calibri" w:hAnsi="Calibri" w:cs="Calibri"/>
                <w:bCs/>
                <w:color w:val="000000"/>
                <w:sz w:val="18"/>
                <w:szCs w:val="18"/>
              </w:rPr>
            </w:pPr>
          </w:p>
        </w:tc>
      </w:tr>
      <w:tr w:rsidR="007C18DE" w:rsidRPr="008901A5" w14:paraId="710C0ECB" w14:textId="77777777" w:rsidTr="007C18DE">
        <w:trPr>
          <w:trHeight w:val="220"/>
        </w:trPr>
        <w:tc>
          <w:tcPr>
            <w:tcW w:w="5670" w:type="dxa"/>
          </w:tcPr>
          <w:p w14:paraId="7C07F6F9" w14:textId="77777777" w:rsidR="007C18DE" w:rsidRPr="00987D69" w:rsidRDefault="007C18DE" w:rsidP="00B87E67">
            <w:pPr>
              <w:tabs>
                <w:tab w:val="left" w:pos="8080"/>
              </w:tabs>
              <w:ind w:right="-28"/>
              <w:rPr>
                <w:rFonts w:ascii="Calibri" w:hAnsi="Calibri" w:cs="Calibri"/>
                <w:b/>
                <w:color w:val="000000"/>
                <w:sz w:val="18"/>
                <w:szCs w:val="18"/>
              </w:rPr>
            </w:pPr>
            <w:r w:rsidRPr="00987D69">
              <w:rPr>
                <w:rFonts w:ascii="Calibri" w:hAnsi="Calibri" w:cs="Calibri"/>
                <w:b/>
                <w:color w:val="000000"/>
                <w:sz w:val="18"/>
                <w:szCs w:val="18"/>
              </w:rPr>
              <w:t>Attributable to:</w:t>
            </w:r>
          </w:p>
        </w:tc>
        <w:tc>
          <w:tcPr>
            <w:tcW w:w="851" w:type="dxa"/>
          </w:tcPr>
          <w:p w14:paraId="589AB806" w14:textId="77777777" w:rsidR="007C18DE" w:rsidRPr="008901A5" w:rsidRDefault="007C18DE" w:rsidP="00B87E67">
            <w:pPr>
              <w:tabs>
                <w:tab w:val="left" w:pos="8080"/>
              </w:tabs>
              <w:ind w:right="-28"/>
              <w:rPr>
                <w:rFonts w:ascii="Calibri" w:hAnsi="Calibri" w:cs="Calibri"/>
                <w:b/>
                <w:color w:val="000000"/>
                <w:sz w:val="18"/>
                <w:szCs w:val="18"/>
              </w:rPr>
            </w:pPr>
          </w:p>
        </w:tc>
        <w:tc>
          <w:tcPr>
            <w:tcW w:w="1134" w:type="dxa"/>
          </w:tcPr>
          <w:p w14:paraId="4292AAE7" w14:textId="77777777" w:rsidR="007C18DE" w:rsidRPr="00105250" w:rsidRDefault="007C18DE" w:rsidP="00B87E67">
            <w:pPr>
              <w:tabs>
                <w:tab w:val="left" w:pos="8080"/>
              </w:tabs>
              <w:ind w:right="-28"/>
              <w:jc w:val="right"/>
              <w:rPr>
                <w:rFonts w:ascii="Calibri" w:hAnsi="Calibri" w:cs="Calibri"/>
                <w:b/>
                <w:sz w:val="18"/>
                <w:szCs w:val="18"/>
              </w:rPr>
            </w:pPr>
          </w:p>
        </w:tc>
        <w:tc>
          <w:tcPr>
            <w:tcW w:w="1275" w:type="dxa"/>
          </w:tcPr>
          <w:p w14:paraId="6734D63F" w14:textId="77777777" w:rsidR="007C18DE" w:rsidRPr="007C18DE" w:rsidRDefault="007C18DE" w:rsidP="00B87E67">
            <w:pPr>
              <w:tabs>
                <w:tab w:val="left" w:pos="8080"/>
              </w:tabs>
              <w:ind w:right="-28"/>
              <w:jc w:val="right"/>
              <w:rPr>
                <w:rFonts w:ascii="Calibri" w:hAnsi="Calibri" w:cs="Calibri"/>
                <w:bCs/>
                <w:color w:val="000000"/>
                <w:sz w:val="18"/>
                <w:szCs w:val="18"/>
              </w:rPr>
            </w:pPr>
          </w:p>
        </w:tc>
      </w:tr>
      <w:tr w:rsidR="007C18DE" w:rsidRPr="008901A5" w14:paraId="3936F67E" w14:textId="77777777" w:rsidTr="007C18DE">
        <w:trPr>
          <w:trHeight w:val="220"/>
        </w:trPr>
        <w:tc>
          <w:tcPr>
            <w:tcW w:w="5670" w:type="dxa"/>
          </w:tcPr>
          <w:p w14:paraId="76A06EC4" w14:textId="77777777" w:rsidR="007C18DE" w:rsidRPr="00987D69" w:rsidRDefault="007C18DE" w:rsidP="00B87E67">
            <w:pPr>
              <w:tabs>
                <w:tab w:val="left" w:pos="8080"/>
              </w:tabs>
              <w:ind w:right="-28"/>
              <w:rPr>
                <w:rFonts w:ascii="Calibri" w:hAnsi="Calibri" w:cs="Calibri"/>
                <w:b/>
                <w:color w:val="000000"/>
                <w:sz w:val="18"/>
                <w:szCs w:val="18"/>
              </w:rPr>
            </w:pPr>
            <w:r w:rsidRPr="00987D69">
              <w:rPr>
                <w:rFonts w:ascii="Calibri" w:hAnsi="Calibri" w:cs="Calibri"/>
                <w:color w:val="000000"/>
                <w:sz w:val="18"/>
                <w:szCs w:val="18"/>
              </w:rPr>
              <w:t>Equity holders of the parent</w:t>
            </w:r>
          </w:p>
        </w:tc>
        <w:tc>
          <w:tcPr>
            <w:tcW w:w="851" w:type="dxa"/>
          </w:tcPr>
          <w:p w14:paraId="03C63A23" w14:textId="77777777" w:rsidR="007C18DE" w:rsidRPr="008901A5" w:rsidRDefault="007C18DE" w:rsidP="00B87E67">
            <w:pPr>
              <w:tabs>
                <w:tab w:val="left" w:pos="8080"/>
              </w:tabs>
              <w:ind w:right="-28"/>
              <w:jc w:val="right"/>
              <w:rPr>
                <w:rFonts w:ascii="Calibri" w:hAnsi="Calibri" w:cs="Calibri"/>
                <w:color w:val="FF0000"/>
                <w:sz w:val="18"/>
                <w:szCs w:val="18"/>
              </w:rPr>
            </w:pPr>
          </w:p>
        </w:tc>
        <w:tc>
          <w:tcPr>
            <w:tcW w:w="1134" w:type="dxa"/>
            <w:tcBorders>
              <w:bottom w:val="single" w:sz="8" w:space="0" w:color="auto"/>
            </w:tcBorders>
          </w:tcPr>
          <w:p w14:paraId="66B0F79A" w14:textId="1E70B491" w:rsidR="007C18DE" w:rsidRPr="00105250" w:rsidRDefault="004A5ACA" w:rsidP="00B87E67">
            <w:pPr>
              <w:tabs>
                <w:tab w:val="left" w:pos="8080"/>
              </w:tabs>
              <w:ind w:right="-28"/>
              <w:jc w:val="right"/>
              <w:rPr>
                <w:rFonts w:ascii="Calibri" w:hAnsi="Calibri" w:cs="Calibri"/>
                <w:b/>
                <w:sz w:val="18"/>
                <w:szCs w:val="18"/>
              </w:rPr>
            </w:pPr>
            <w:r>
              <w:rPr>
                <w:rFonts w:ascii="Calibri" w:hAnsi="Calibri" w:cs="Calibri"/>
                <w:b/>
                <w:sz w:val="18"/>
                <w:szCs w:val="18"/>
              </w:rPr>
              <w:t>92,41</w:t>
            </w:r>
            <w:r w:rsidR="00D63B41">
              <w:rPr>
                <w:rFonts w:ascii="Calibri" w:hAnsi="Calibri" w:cs="Calibri"/>
                <w:b/>
                <w:sz w:val="18"/>
                <w:szCs w:val="18"/>
              </w:rPr>
              <w:t>6</w:t>
            </w:r>
          </w:p>
        </w:tc>
        <w:tc>
          <w:tcPr>
            <w:tcW w:w="1275" w:type="dxa"/>
            <w:tcBorders>
              <w:bottom w:val="single" w:sz="8" w:space="0" w:color="auto"/>
            </w:tcBorders>
          </w:tcPr>
          <w:p w14:paraId="5E4286B7" w14:textId="77777777" w:rsidR="007C18DE" w:rsidRPr="007C18DE" w:rsidRDefault="007C18DE" w:rsidP="00B87E67">
            <w:pPr>
              <w:tabs>
                <w:tab w:val="left" w:pos="8080"/>
              </w:tabs>
              <w:ind w:right="-28"/>
              <w:jc w:val="right"/>
              <w:rPr>
                <w:rFonts w:ascii="Calibri" w:hAnsi="Calibri" w:cs="Calibri"/>
                <w:bCs/>
                <w:color w:val="000000"/>
                <w:sz w:val="18"/>
                <w:szCs w:val="18"/>
              </w:rPr>
            </w:pPr>
            <w:r w:rsidRPr="007C18DE">
              <w:rPr>
                <w:rFonts w:ascii="Calibri" w:hAnsi="Calibri" w:cs="Calibri"/>
                <w:bCs/>
                <w:color w:val="000000"/>
                <w:sz w:val="18"/>
                <w:szCs w:val="18"/>
              </w:rPr>
              <w:t>6,906</w:t>
            </w:r>
          </w:p>
        </w:tc>
      </w:tr>
    </w:tbl>
    <w:p w14:paraId="0C9B1BB7" w14:textId="77777777" w:rsidR="007C18DE" w:rsidRDefault="007C18DE" w:rsidP="007C18DE">
      <w:pPr>
        <w:tabs>
          <w:tab w:val="left" w:pos="8080"/>
        </w:tabs>
        <w:ind w:right="-28"/>
        <w:rPr>
          <w:rFonts w:ascii="Calibri" w:hAnsi="Calibri" w:cs="Calibri"/>
          <w:b/>
          <w:color w:val="000000"/>
          <w:sz w:val="18"/>
          <w:szCs w:val="18"/>
        </w:rPr>
      </w:pPr>
    </w:p>
    <w:p w14:paraId="3582EA16" w14:textId="21F6715D" w:rsidR="007C18DE" w:rsidRPr="0032247F" w:rsidRDefault="007C18DE" w:rsidP="0032247F">
      <w:pPr>
        <w:tabs>
          <w:tab w:val="decimal" w:pos="5670"/>
          <w:tab w:val="right" w:pos="6523"/>
          <w:tab w:val="right" w:pos="6804"/>
          <w:tab w:val="right" w:pos="8222"/>
          <w:tab w:val="right" w:pos="8505"/>
          <w:tab w:val="right" w:pos="9778"/>
        </w:tabs>
        <w:ind w:right="-46"/>
        <w:jc w:val="both"/>
        <w:rPr>
          <w:rFonts w:ascii="Calibri" w:hAnsi="Calibri" w:cs="Calibri"/>
          <w:color w:val="000000"/>
          <w:sz w:val="18"/>
          <w:szCs w:val="18"/>
          <w:lang w:val="en-IE"/>
        </w:rPr>
      </w:pPr>
      <w:r w:rsidRPr="00880EF3">
        <w:rPr>
          <w:rFonts w:ascii="Calibri" w:hAnsi="Calibri" w:cs="Calibri"/>
          <w:color w:val="000000"/>
          <w:sz w:val="18"/>
          <w:szCs w:val="18"/>
          <w:vertAlign w:val="superscript"/>
          <w:lang w:val="en-IE"/>
        </w:rPr>
        <w:t>1</w:t>
      </w:r>
      <w:r w:rsidRPr="00880EF3">
        <w:rPr>
          <w:rFonts w:ascii="Calibri" w:hAnsi="Calibri" w:cs="Calibri"/>
          <w:color w:val="000000"/>
          <w:sz w:val="18"/>
          <w:szCs w:val="18"/>
          <w:lang w:val="en-IE"/>
        </w:rPr>
        <w:t xml:space="preserve"> </w:t>
      </w:r>
      <w:r>
        <w:rPr>
          <w:rFonts w:ascii="Calibri" w:hAnsi="Calibri" w:cs="Calibri"/>
          <w:color w:val="000000"/>
          <w:sz w:val="18"/>
          <w:szCs w:val="18"/>
          <w:lang w:val="en-IE"/>
        </w:rPr>
        <w:t>On 1 January 2023, IFRS 17 ‘Insurance Contracts’ became effective, replacing IFRS 4 ‘Insurance Contacts’</w:t>
      </w:r>
      <w:r w:rsidRPr="00880EF3">
        <w:rPr>
          <w:rFonts w:ascii="Calibri" w:hAnsi="Calibri" w:cs="Calibri"/>
          <w:color w:val="000000"/>
          <w:sz w:val="18"/>
          <w:szCs w:val="18"/>
          <w:lang w:val="en-IE"/>
        </w:rPr>
        <w:t>.</w:t>
      </w:r>
      <w:r>
        <w:rPr>
          <w:rFonts w:ascii="Calibri" w:hAnsi="Calibri" w:cs="Calibri"/>
          <w:color w:val="000000"/>
          <w:sz w:val="18"/>
          <w:szCs w:val="18"/>
          <w:lang w:val="en-IE"/>
        </w:rPr>
        <w:t xml:space="preserve"> The Group elected, as it met the criteria for a temporary exemption, to defer the application of IFRS 9 ‘Financial Instruments’ (replacing IAS 39) </w:t>
      </w:r>
      <w:r w:rsidRPr="0032247F">
        <w:rPr>
          <w:rFonts w:ascii="Calibri" w:hAnsi="Calibri" w:cs="Calibri"/>
          <w:color w:val="000000"/>
          <w:sz w:val="18"/>
          <w:szCs w:val="18"/>
          <w:lang w:val="en-IE"/>
        </w:rPr>
        <w:t xml:space="preserve">until 1 January 2023. </w:t>
      </w:r>
      <w:r w:rsidR="0032247F" w:rsidRPr="0032247F">
        <w:rPr>
          <w:rFonts w:ascii="Calibri" w:hAnsi="Calibri" w:cs="Calibri"/>
          <w:color w:val="000000"/>
          <w:sz w:val="18"/>
          <w:szCs w:val="18"/>
          <w:lang w:val="en-IE"/>
        </w:rPr>
        <w:t>See note 4 First time adoption</w:t>
      </w:r>
      <w:r w:rsidR="003B160A">
        <w:rPr>
          <w:rFonts w:ascii="Calibri" w:hAnsi="Calibri" w:cs="Calibri"/>
          <w:color w:val="000000"/>
          <w:sz w:val="18"/>
          <w:szCs w:val="18"/>
          <w:lang w:val="en-IE"/>
        </w:rPr>
        <w:t xml:space="preserve"> of new accounting standards</w:t>
      </w:r>
      <w:r w:rsidR="0032247F" w:rsidRPr="0032247F">
        <w:rPr>
          <w:rFonts w:ascii="Calibri" w:hAnsi="Calibri" w:cs="Calibri"/>
          <w:color w:val="000000"/>
          <w:sz w:val="18"/>
          <w:szCs w:val="18"/>
          <w:lang w:val="en-IE"/>
        </w:rPr>
        <w:t xml:space="preserve"> in the Annual Report </w:t>
      </w:r>
      <w:r w:rsidR="003B160A">
        <w:rPr>
          <w:rFonts w:ascii="Calibri" w:hAnsi="Calibri" w:cs="Calibri"/>
          <w:color w:val="000000"/>
          <w:sz w:val="18"/>
          <w:szCs w:val="18"/>
          <w:lang w:val="en-IE"/>
        </w:rPr>
        <w:t xml:space="preserve">2023 </w:t>
      </w:r>
      <w:r w:rsidR="0032247F" w:rsidRPr="0032247F">
        <w:rPr>
          <w:rFonts w:ascii="Calibri" w:hAnsi="Calibri" w:cs="Calibri"/>
          <w:color w:val="000000"/>
          <w:sz w:val="18"/>
          <w:szCs w:val="18"/>
          <w:lang w:val="en-IE"/>
        </w:rPr>
        <w:t>for transitional impact.</w:t>
      </w:r>
      <w:r>
        <w:rPr>
          <w:rFonts w:ascii="Calibri" w:hAnsi="Calibri" w:cs="Calibri"/>
          <w:b/>
          <w:color w:val="000000"/>
          <w:sz w:val="18"/>
          <w:szCs w:val="18"/>
        </w:rPr>
        <w:br w:type="page"/>
      </w:r>
    </w:p>
    <w:p w14:paraId="1DB6F808" w14:textId="77777777" w:rsidR="007C18DE" w:rsidRPr="001D5AED" w:rsidRDefault="007C18DE" w:rsidP="000C7AE0">
      <w:pPr>
        <w:tabs>
          <w:tab w:val="right" w:pos="9778"/>
        </w:tabs>
        <w:rPr>
          <w:rFonts w:asciiTheme="minorHAnsi" w:hAnsiTheme="minorHAnsi" w:cstheme="minorHAnsi"/>
          <w:b/>
          <w:color w:val="000000"/>
          <w:sz w:val="22"/>
        </w:rPr>
      </w:pPr>
    </w:p>
    <w:p w14:paraId="06913D26" w14:textId="77777777" w:rsidR="00D21BD5" w:rsidRPr="00880EF3" w:rsidRDefault="00D21BD5" w:rsidP="00D21BD5">
      <w:pPr>
        <w:ind w:right="114"/>
        <w:jc w:val="center"/>
        <w:rPr>
          <w:rFonts w:ascii="Calibri" w:hAnsi="Calibri" w:cs="Calibri"/>
          <w:b/>
          <w:sz w:val="18"/>
          <w:szCs w:val="18"/>
        </w:rPr>
      </w:pPr>
      <w:r w:rsidRPr="00880EF3">
        <w:rPr>
          <w:rFonts w:ascii="Calibri" w:hAnsi="Calibri" w:cs="Calibri"/>
          <w:b/>
          <w:sz w:val="18"/>
          <w:szCs w:val="18"/>
        </w:rPr>
        <w:t xml:space="preserve">FBD HOLDINGS PLC </w:t>
      </w:r>
    </w:p>
    <w:p w14:paraId="0CE37F00" w14:textId="3032007A" w:rsidR="00D21BD5" w:rsidRPr="00880EF3" w:rsidRDefault="00D21BD5" w:rsidP="00D21BD5">
      <w:pPr>
        <w:ind w:right="114"/>
        <w:jc w:val="center"/>
        <w:rPr>
          <w:rFonts w:ascii="Calibri" w:hAnsi="Calibri" w:cs="Calibri"/>
          <w:b/>
          <w:caps/>
          <w:color w:val="000000"/>
          <w:sz w:val="18"/>
          <w:szCs w:val="18"/>
        </w:rPr>
      </w:pPr>
      <w:r w:rsidRPr="00880EF3">
        <w:rPr>
          <w:rFonts w:ascii="Calibri" w:hAnsi="Calibri" w:cs="Calibri"/>
          <w:b/>
          <w:caps/>
          <w:color w:val="000000"/>
          <w:sz w:val="18"/>
          <w:szCs w:val="18"/>
        </w:rPr>
        <w:t xml:space="preserve">Consolidated Statement of </w:t>
      </w:r>
      <w:r>
        <w:rPr>
          <w:rFonts w:ascii="Calibri" w:hAnsi="Calibri" w:cs="Calibri"/>
          <w:b/>
          <w:caps/>
          <w:color w:val="000000"/>
          <w:sz w:val="18"/>
          <w:szCs w:val="18"/>
        </w:rPr>
        <w:t>FINANCIAL Position</w:t>
      </w:r>
    </w:p>
    <w:p w14:paraId="0E8BCC37" w14:textId="77777777" w:rsidR="00D21BD5" w:rsidRPr="00880EF3" w:rsidRDefault="00D21BD5" w:rsidP="00D21BD5">
      <w:pPr>
        <w:tabs>
          <w:tab w:val="left" w:pos="8080"/>
        </w:tabs>
        <w:ind w:right="-28"/>
        <w:jc w:val="center"/>
        <w:rPr>
          <w:rFonts w:ascii="Calibri" w:hAnsi="Calibri" w:cs="Calibri"/>
          <w:b/>
          <w:color w:val="000000"/>
          <w:sz w:val="18"/>
          <w:szCs w:val="18"/>
        </w:rPr>
      </w:pPr>
      <w:r w:rsidRPr="00880EF3">
        <w:rPr>
          <w:rFonts w:ascii="Calibri" w:hAnsi="Calibri" w:cs="Calibri"/>
          <w:b/>
          <w:color w:val="000000"/>
          <w:sz w:val="18"/>
          <w:szCs w:val="18"/>
        </w:rPr>
        <w:t xml:space="preserve">For the </w:t>
      </w:r>
      <w:r>
        <w:rPr>
          <w:rFonts w:ascii="Calibri" w:hAnsi="Calibri" w:cs="Calibri"/>
          <w:b/>
          <w:color w:val="000000"/>
          <w:sz w:val="18"/>
          <w:szCs w:val="18"/>
        </w:rPr>
        <w:t xml:space="preserve">financial </w:t>
      </w:r>
      <w:r w:rsidRPr="00880EF3">
        <w:rPr>
          <w:rFonts w:ascii="Calibri" w:hAnsi="Calibri" w:cs="Calibri"/>
          <w:b/>
          <w:color w:val="000000"/>
          <w:sz w:val="18"/>
          <w:szCs w:val="18"/>
        </w:rPr>
        <w:t>year ended 3</w:t>
      </w:r>
      <w:r>
        <w:rPr>
          <w:rFonts w:ascii="Calibri" w:hAnsi="Calibri" w:cs="Calibri"/>
          <w:b/>
          <w:color w:val="000000"/>
          <w:sz w:val="18"/>
          <w:szCs w:val="18"/>
        </w:rPr>
        <w:t>1 December</w:t>
      </w:r>
      <w:r w:rsidRPr="00880EF3">
        <w:rPr>
          <w:rFonts w:ascii="Calibri" w:hAnsi="Calibri" w:cs="Calibri"/>
          <w:b/>
          <w:color w:val="000000"/>
          <w:sz w:val="18"/>
          <w:szCs w:val="18"/>
        </w:rPr>
        <w:t xml:space="preserve"> 2023</w:t>
      </w:r>
      <w:r>
        <w:rPr>
          <w:rFonts w:ascii="Calibri" w:hAnsi="Calibri" w:cs="Calibri"/>
          <w:b/>
          <w:color w:val="000000"/>
          <w:sz w:val="18"/>
          <w:szCs w:val="18"/>
        </w:rPr>
        <w:t xml:space="preserve"> </w:t>
      </w:r>
    </w:p>
    <w:p w14:paraId="242609B6" w14:textId="77777777" w:rsidR="00D21BD5" w:rsidRDefault="00D21BD5" w:rsidP="00D21BD5">
      <w:pPr>
        <w:tabs>
          <w:tab w:val="right" w:pos="9778"/>
        </w:tabs>
        <w:rPr>
          <w:rFonts w:asciiTheme="minorHAnsi" w:hAnsiTheme="minorHAnsi" w:cstheme="minorHAnsi"/>
          <w:b/>
          <w:color w:val="000000"/>
          <w:sz w:val="22"/>
        </w:rPr>
      </w:pPr>
    </w:p>
    <w:p w14:paraId="3D1FE416" w14:textId="77777777" w:rsidR="004969ED" w:rsidRDefault="004969ED" w:rsidP="004969ED">
      <w:pPr>
        <w:tabs>
          <w:tab w:val="right" w:pos="5760"/>
          <w:tab w:val="right" w:pos="7380"/>
          <w:tab w:val="right" w:pos="9360"/>
        </w:tabs>
        <w:rPr>
          <w:rFonts w:asciiTheme="minorHAnsi" w:hAnsiTheme="minorHAnsi" w:cstheme="minorHAnsi"/>
          <w:color w:val="000000"/>
          <w:sz w:val="22"/>
        </w:rPr>
      </w:pPr>
    </w:p>
    <w:tbl>
      <w:tblPr>
        <w:tblStyle w:val="TableGrid"/>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851"/>
        <w:gridCol w:w="1228"/>
        <w:gridCol w:w="1229"/>
        <w:gridCol w:w="1229"/>
      </w:tblGrid>
      <w:tr w:rsidR="00BD08C0" w:rsidRPr="00A52563" w14:paraId="756A7D2B" w14:textId="77777777" w:rsidTr="00BD08C0">
        <w:trPr>
          <w:trHeight w:val="267"/>
        </w:trPr>
        <w:tc>
          <w:tcPr>
            <w:tcW w:w="5103" w:type="dxa"/>
          </w:tcPr>
          <w:p w14:paraId="3C7558E0" w14:textId="77777777" w:rsidR="00BD08C0" w:rsidRPr="00A52563" w:rsidRDefault="00BD08C0" w:rsidP="00BD08C0">
            <w:pPr>
              <w:rPr>
                <w:rFonts w:ascii="Calibri" w:hAnsi="Calibri" w:cs="Calibri"/>
                <w:b/>
                <w:sz w:val="18"/>
                <w:szCs w:val="18"/>
              </w:rPr>
            </w:pPr>
            <w:r w:rsidRPr="00A52563">
              <w:rPr>
                <w:rFonts w:ascii="Calibri" w:hAnsi="Calibri" w:cs="Calibri"/>
                <w:b/>
                <w:sz w:val="18"/>
                <w:szCs w:val="18"/>
              </w:rPr>
              <w:t>Assets</w:t>
            </w:r>
          </w:p>
        </w:tc>
        <w:tc>
          <w:tcPr>
            <w:tcW w:w="851" w:type="dxa"/>
          </w:tcPr>
          <w:p w14:paraId="1FF11209" w14:textId="651EB8B0" w:rsidR="00BD08C0" w:rsidRPr="00A52563" w:rsidRDefault="00BD08C0" w:rsidP="00BD08C0">
            <w:pPr>
              <w:rPr>
                <w:rFonts w:ascii="Calibri" w:hAnsi="Calibri" w:cs="Calibri"/>
                <w:b/>
                <w:sz w:val="18"/>
                <w:szCs w:val="18"/>
              </w:rPr>
            </w:pPr>
          </w:p>
        </w:tc>
        <w:tc>
          <w:tcPr>
            <w:tcW w:w="1228" w:type="dxa"/>
          </w:tcPr>
          <w:p w14:paraId="7E4DA7D3" w14:textId="767DF170" w:rsidR="00BD08C0" w:rsidRPr="00A52563" w:rsidRDefault="00BD08C0" w:rsidP="00BD08C0">
            <w:pPr>
              <w:autoSpaceDE w:val="0"/>
              <w:autoSpaceDN w:val="0"/>
              <w:adjustRightInd w:val="0"/>
              <w:jc w:val="right"/>
              <w:rPr>
                <w:rFonts w:ascii="Calibri" w:hAnsi="Calibri" w:cs="Calibri"/>
                <w:b/>
                <w:color w:val="000000"/>
                <w:sz w:val="18"/>
                <w:szCs w:val="18"/>
              </w:rPr>
            </w:pPr>
            <w:r w:rsidRPr="00A52563">
              <w:rPr>
                <w:rFonts w:ascii="Calibri" w:hAnsi="Calibri" w:cs="Calibri"/>
                <w:b/>
                <w:color w:val="000000"/>
                <w:sz w:val="18"/>
                <w:szCs w:val="18"/>
              </w:rPr>
              <w:t>2023</w:t>
            </w:r>
          </w:p>
          <w:p w14:paraId="042C5194" w14:textId="77777777" w:rsidR="00BD08C0" w:rsidRPr="00A52563" w:rsidRDefault="00BD08C0" w:rsidP="00BD08C0">
            <w:pPr>
              <w:jc w:val="right"/>
              <w:rPr>
                <w:rFonts w:ascii="Calibri" w:hAnsi="Calibri" w:cs="Calibri"/>
                <w:b/>
                <w:sz w:val="18"/>
                <w:szCs w:val="18"/>
              </w:rPr>
            </w:pPr>
          </w:p>
        </w:tc>
        <w:tc>
          <w:tcPr>
            <w:tcW w:w="1229" w:type="dxa"/>
          </w:tcPr>
          <w:p w14:paraId="675326DC" w14:textId="77777777" w:rsidR="00BD08C0" w:rsidRPr="005B12AE" w:rsidRDefault="00BD08C0" w:rsidP="00BD08C0">
            <w:pPr>
              <w:autoSpaceDE w:val="0"/>
              <w:autoSpaceDN w:val="0"/>
              <w:adjustRightInd w:val="0"/>
              <w:ind w:left="33"/>
              <w:jc w:val="right"/>
              <w:rPr>
                <w:rFonts w:ascii="Calibri" w:hAnsi="Calibri" w:cs="Calibri"/>
                <w:color w:val="000000"/>
                <w:sz w:val="18"/>
                <w:szCs w:val="18"/>
              </w:rPr>
            </w:pPr>
            <w:r w:rsidRPr="005B12AE">
              <w:rPr>
                <w:rFonts w:ascii="Calibri" w:hAnsi="Calibri" w:cs="Calibri"/>
                <w:color w:val="000000"/>
                <w:sz w:val="18"/>
                <w:szCs w:val="18"/>
              </w:rPr>
              <w:t>2022</w:t>
            </w:r>
          </w:p>
          <w:p w14:paraId="58172DA3" w14:textId="7C06A6BA" w:rsidR="00BD08C0" w:rsidRPr="005B12AE" w:rsidRDefault="00BD08C0" w:rsidP="00BD08C0">
            <w:pPr>
              <w:autoSpaceDE w:val="0"/>
              <w:autoSpaceDN w:val="0"/>
              <w:adjustRightInd w:val="0"/>
              <w:ind w:left="33"/>
              <w:jc w:val="right"/>
              <w:rPr>
                <w:rFonts w:ascii="Calibri" w:hAnsi="Calibri" w:cs="Calibri"/>
                <w:color w:val="000000"/>
                <w:sz w:val="18"/>
                <w:szCs w:val="18"/>
              </w:rPr>
            </w:pPr>
            <w:r w:rsidRPr="005B12AE">
              <w:rPr>
                <w:rFonts w:ascii="Calibri" w:hAnsi="Calibri" w:cs="Calibri"/>
                <w:color w:val="000000"/>
                <w:sz w:val="18"/>
                <w:szCs w:val="18"/>
              </w:rPr>
              <w:t>(restated)</w:t>
            </w:r>
            <w:r w:rsidRPr="005B12AE">
              <w:rPr>
                <w:rFonts w:ascii="Calibri" w:hAnsi="Calibri" w:cs="Calibri"/>
                <w:color w:val="000000"/>
                <w:sz w:val="18"/>
                <w:szCs w:val="18"/>
                <w:vertAlign w:val="superscript"/>
              </w:rPr>
              <w:t>1</w:t>
            </w:r>
          </w:p>
        </w:tc>
        <w:tc>
          <w:tcPr>
            <w:tcW w:w="1229" w:type="dxa"/>
          </w:tcPr>
          <w:p w14:paraId="0654E4C3" w14:textId="03F0AA96" w:rsidR="00BD08C0" w:rsidRPr="005B12AE" w:rsidRDefault="00FB290D" w:rsidP="00BD08C0">
            <w:pPr>
              <w:autoSpaceDE w:val="0"/>
              <w:autoSpaceDN w:val="0"/>
              <w:adjustRightInd w:val="0"/>
              <w:ind w:left="33"/>
              <w:jc w:val="right"/>
              <w:rPr>
                <w:rFonts w:ascii="Calibri" w:hAnsi="Calibri" w:cs="Calibri"/>
                <w:color w:val="000000"/>
                <w:sz w:val="18"/>
                <w:szCs w:val="18"/>
              </w:rPr>
            </w:pPr>
            <w:r>
              <w:rPr>
                <w:rFonts w:ascii="Calibri" w:hAnsi="Calibri" w:cs="Calibri"/>
                <w:color w:val="000000"/>
                <w:sz w:val="18"/>
                <w:szCs w:val="18"/>
              </w:rPr>
              <w:t>01/01/</w:t>
            </w:r>
            <w:r w:rsidR="00BD08C0" w:rsidRPr="005B12AE">
              <w:rPr>
                <w:rFonts w:ascii="Calibri" w:hAnsi="Calibri" w:cs="Calibri"/>
                <w:color w:val="000000"/>
                <w:sz w:val="18"/>
                <w:szCs w:val="18"/>
              </w:rPr>
              <w:t>202</w:t>
            </w:r>
            <w:r>
              <w:rPr>
                <w:rFonts w:ascii="Calibri" w:hAnsi="Calibri" w:cs="Calibri"/>
                <w:color w:val="000000"/>
                <w:sz w:val="18"/>
                <w:szCs w:val="18"/>
              </w:rPr>
              <w:t>2</w:t>
            </w:r>
          </w:p>
          <w:p w14:paraId="01D8CE2E" w14:textId="77777777" w:rsidR="00BD08C0" w:rsidRPr="005B12AE" w:rsidRDefault="00BD08C0" w:rsidP="00BD08C0">
            <w:pPr>
              <w:jc w:val="right"/>
              <w:rPr>
                <w:rFonts w:ascii="Calibri" w:hAnsi="Calibri" w:cs="Calibri"/>
                <w:sz w:val="18"/>
                <w:szCs w:val="18"/>
              </w:rPr>
            </w:pPr>
            <w:r w:rsidRPr="005B12AE">
              <w:rPr>
                <w:rFonts w:ascii="Calibri" w:hAnsi="Calibri" w:cs="Calibri"/>
                <w:color w:val="000000"/>
                <w:sz w:val="18"/>
                <w:szCs w:val="18"/>
              </w:rPr>
              <w:t>(restated)</w:t>
            </w:r>
            <w:r w:rsidRPr="005B12AE">
              <w:rPr>
                <w:rFonts w:ascii="Calibri" w:hAnsi="Calibri" w:cs="Calibri"/>
                <w:color w:val="000000"/>
                <w:sz w:val="18"/>
                <w:szCs w:val="18"/>
                <w:vertAlign w:val="superscript"/>
              </w:rPr>
              <w:t>1</w:t>
            </w:r>
          </w:p>
        </w:tc>
      </w:tr>
      <w:tr w:rsidR="00BD08C0" w:rsidRPr="008901A5" w14:paraId="3D6AE759" w14:textId="77777777" w:rsidTr="00BD08C0">
        <w:trPr>
          <w:trHeight w:val="259"/>
        </w:trPr>
        <w:tc>
          <w:tcPr>
            <w:tcW w:w="5103" w:type="dxa"/>
          </w:tcPr>
          <w:p w14:paraId="1150DF40" w14:textId="77777777" w:rsidR="00BD08C0" w:rsidRPr="00A52563" w:rsidRDefault="00BD08C0" w:rsidP="00BD08C0">
            <w:pPr>
              <w:jc w:val="right"/>
              <w:rPr>
                <w:rFonts w:ascii="Calibri" w:hAnsi="Calibri" w:cs="Calibri"/>
                <w:b/>
                <w:sz w:val="18"/>
                <w:szCs w:val="18"/>
              </w:rPr>
            </w:pPr>
          </w:p>
        </w:tc>
        <w:tc>
          <w:tcPr>
            <w:tcW w:w="851" w:type="dxa"/>
          </w:tcPr>
          <w:p w14:paraId="669151C5" w14:textId="77777777" w:rsidR="00BD08C0" w:rsidRPr="00A52563" w:rsidRDefault="00BD08C0" w:rsidP="00BD08C0">
            <w:pPr>
              <w:rPr>
                <w:rFonts w:ascii="Calibri" w:hAnsi="Calibri" w:cs="Calibri"/>
                <w:b/>
                <w:sz w:val="18"/>
                <w:szCs w:val="18"/>
              </w:rPr>
            </w:pPr>
          </w:p>
        </w:tc>
        <w:tc>
          <w:tcPr>
            <w:tcW w:w="1228" w:type="dxa"/>
          </w:tcPr>
          <w:p w14:paraId="6FFAE342" w14:textId="77777777" w:rsidR="00BD08C0" w:rsidRPr="00A52563" w:rsidRDefault="00BD08C0" w:rsidP="00BD08C0">
            <w:pPr>
              <w:jc w:val="right"/>
              <w:rPr>
                <w:rFonts w:ascii="Calibri" w:hAnsi="Calibri" w:cs="Calibri"/>
                <w:b/>
                <w:sz w:val="18"/>
                <w:szCs w:val="18"/>
              </w:rPr>
            </w:pPr>
            <w:r w:rsidRPr="00A52563">
              <w:rPr>
                <w:rFonts w:ascii="Calibri" w:hAnsi="Calibri" w:cs="Calibri"/>
                <w:b/>
                <w:color w:val="000000"/>
                <w:sz w:val="18"/>
                <w:szCs w:val="18"/>
              </w:rPr>
              <w:t>€000s</w:t>
            </w:r>
          </w:p>
        </w:tc>
        <w:tc>
          <w:tcPr>
            <w:tcW w:w="1229" w:type="dxa"/>
          </w:tcPr>
          <w:p w14:paraId="5D0742CB" w14:textId="2637217C" w:rsidR="00BD08C0" w:rsidRPr="005B12AE" w:rsidRDefault="00BD08C0" w:rsidP="00BD08C0">
            <w:pPr>
              <w:jc w:val="right"/>
              <w:rPr>
                <w:rFonts w:ascii="Calibri" w:hAnsi="Calibri" w:cs="Calibri"/>
                <w:color w:val="000000"/>
                <w:sz w:val="18"/>
                <w:szCs w:val="18"/>
              </w:rPr>
            </w:pPr>
            <w:r w:rsidRPr="005B12AE">
              <w:rPr>
                <w:rFonts w:ascii="Calibri" w:hAnsi="Calibri" w:cs="Calibri"/>
                <w:color w:val="000000"/>
                <w:sz w:val="18"/>
                <w:szCs w:val="18"/>
              </w:rPr>
              <w:t>€000s</w:t>
            </w:r>
          </w:p>
        </w:tc>
        <w:tc>
          <w:tcPr>
            <w:tcW w:w="1229" w:type="dxa"/>
          </w:tcPr>
          <w:p w14:paraId="5623FB42" w14:textId="0C3EB736" w:rsidR="00BD08C0" w:rsidRPr="005B12AE" w:rsidRDefault="00BD08C0" w:rsidP="00BD08C0">
            <w:pPr>
              <w:jc w:val="right"/>
              <w:rPr>
                <w:rFonts w:ascii="Calibri" w:hAnsi="Calibri" w:cs="Calibri"/>
                <w:b/>
                <w:sz w:val="18"/>
                <w:szCs w:val="18"/>
              </w:rPr>
            </w:pPr>
            <w:r w:rsidRPr="005B12AE">
              <w:rPr>
                <w:rFonts w:ascii="Calibri" w:hAnsi="Calibri" w:cs="Calibri"/>
                <w:color w:val="000000"/>
                <w:sz w:val="18"/>
                <w:szCs w:val="18"/>
              </w:rPr>
              <w:t>€000s</w:t>
            </w:r>
          </w:p>
        </w:tc>
      </w:tr>
      <w:tr w:rsidR="00BD08C0" w:rsidRPr="008901A5" w14:paraId="07582D63" w14:textId="77777777" w:rsidTr="00BD08C0">
        <w:trPr>
          <w:trHeight w:val="267"/>
        </w:trPr>
        <w:tc>
          <w:tcPr>
            <w:tcW w:w="5103" w:type="dxa"/>
          </w:tcPr>
          <w:p w14:paraId="493A090A" w14:textId="77777777" w:rsidR="00BD08C0" w:rsidRPr="00987D69" w:rsidRDefault="00BD08C0" w:rsidP="00BD08C0">
            <w:pPr>
              <w:rPr>
                <w:rFonts w:ascii="Calibri" w:hAnsi="Calibri" w:cs="Calibri"/>
                <w:b/>
                <w:sz w:val="18"/>
                <w:szCs w:val="18"/>
              </w:rPr>
            </w:pPr>
          </w:p>
        </w:tc>
        <w:tc>
          <w:tcPr>
            <w:tcW w:w="851" w:type="dxa"/>
          </w:tcPr>
          <w:p w14:paraId="527997F4" w14:textId="77777777" w:rsidR="00BD08C0" w:rsidRPr="00987D69" w:rsidRDefault="00BD08C0" w:rsidP="00BD08C0">
            <w:pPr>
              <w:rPr>
                <w:rFonts w:ascii="Calibri" w:hAnsi="Calibri" w:cs="Calibri"/>
                <w:b/>
                <w:sz w:val="18"/>
                <w:szCs w:val="18"/>
              </w:rPr>
            </w:pPr>
          </w:p>
        </w:tc>
        <w:tc>
          <w:tcPr>
            <w:tcW w:w="1228" w:type="dxa"/>
          </w:tcPr>
          <w:p w14:paraId="1DC744E2" w14:textId="77777777" w:rsidR="00BD08C0" w:rsidRPr="00987D69" w:rsidRDefault="00BD08C0" w:rsidP="00BD08C0">
            <w:pPr>
              <w:rPr>
                <w:rFonts w:ascii="Calibri" w:hAnsi="Calibri" w:cs="Calibri"/>
                <w:b/>
                <w:sz w:val="18"/>
                <w:szCs w:val="18"/>
              </w:rPr>
            </w:pPr>
          </w:p>
        </w:tc>
        <w:tc>
          <w:tcPr>
            <w:tcW w:w="1229" w:type="dxa"/>
          </w:tcPr>
          <w:p w14:paraId="0F181A88" w14:textId="77777777" w:rsidR="00BD08C0" w:rsidRPr="003B160A" w:rsidRDefault="00BD08C0" w:rsidP="00BD08C0">
            <w:pPr>
              <w:jc w:val="right"/>
              <w:rPr>
                <w:rFonts w:ascii="Calibri" w:hAnsi="Calibri" w:cs="Calibri"/>
                <w:b/>
                <w:sz w:val="18"/>
                <w:szCs w:val="18"/>
                <w:highlight w:val="yellow"/>
              </w:rPr>
            </w:pPr>
          </w:p>
        </w:tc>
        <w:tc>
          <w:tcPr>
            <w:tcW w:w="1229" w:type="dxa"/>
          </w:tcPr>
          <w:p w14:paraId="21279A53" w14:textId="7A9A5E14" w:rsidR="00BD08C0" w:rsidRPr="003B160A" w:rsidRDefault="00BD08C0" w:rsidP="00BD08C0">
            <w:pPr>
              <w:jc w:val="right"/>
              <w:rPr>
                <w:rFonts w:ascii="Calibri" w:hAnsi="Calibri" w:cs="Calibri"/>
                <w:b/>
                <w:sz w:val="18"/>
                <w:szCs w:val="18"/>
                <w:highlight w:val="yellow"/>
              </w:rPr>
            </w:pPr>
          </w:p>
        </w:tc>
      </w:tr>
      <w:tr w:rsidR="00BD08C0" w:rsidRPr="008901A5" w14:paraId="6A8EAFBF" w14:textId="77777777" w:rsidTr="00BD08C0">
        <w:trPr>
          <w:trHeight w:val="259"/>
        </w:trPr>
        <w:tc>
          <w:tcPr>
            <w:tcW w:w="5103" w:type="dxa"/>
          </w:tcPr>
          <w:p w14:paraId="5CD1D5AA" w14:textId="77777777" w:rsidR="00BD08C0" w:rsidRPr="00987D69" w:rsidRDefault="00BD08C0" w:rsidP="00BD08C0">
            <w:pPr>
              <w:rPr>
                <w:rFonts w:ascii="Calibri" w:hAnsi="Calibri" w:cs="Calibri"/>
                <w:b/>
                <w:sz w:val="18"/>
                <w:szCs w:val="18"/>
              </w:rPr>
            </w:pPr>
            <w:r w:rsidRPr="00987D69">
              <w:rPr>
                <w:rFonts w:ascii="Calibri" w:hAnsi="Calibri" w:cs="Calibri"/>
                <w:b/>
                <w:color w:val="000000"/>
                <w:sz w:val="18"/>
                <w:szCs w:val="18"/>
              </w:rPr>
              <w:t>Cash and cash equivalents</w:t>
            </w:r>
          </w:p>
        </w:tc>
        <w:tc>
          <w:tcPr>
            <w:tcW w:w="851" w:type="dxa"/>
          </w:tcPr>
          <w:p w14:paraId="78FEC0C5" w14:textId="66A02E8C" w:rsidR="00BD08C0" w:rsidRPr="00D21BD5" w:rsidRDefault="00BD08C0" w:rsidP="00BD08C0">
            <w:pPr>
              <w:rPr>
                <w:rFonts w:ascii="Calibri" w:hAnsi="Calibri" w:cs="Calibri"/>
                <w:sz w:val="18"/>
                <w:szCs w:val="18"/>
                <w:highlight w:val="yellow"/>
              </w:rPr>
            </w:pPr>
          </w:p>
        </w:tc>
        <w:tc>
          <w:tcPr>
            <w:tcW w:w="1228" w:type="dxa"/>
          </w:tcPr>
          <w:p w14:paraId="60363E33" w14:textId="430545BE" w:rsidR="00BD08C0" w:rsidRPr="00863465" w:rsidRDefault="00BD08C0" w:rsidP="00BD08C0">
            <w:pPr>
              <w:jc w:val="right"/>
              <w:rPr>
                <w:rFonts w:ascii="Calibri" w:hAnsi="Calibri" w:cs="Calibri"/>
                <w:b/>
                <w:sz w:val="18"/>
                <w:szCs w:val="18"/>
              </w:rPr>
            </w:pPr>
            <w:r>
              <w:rPr>
                <w:rFonts w:ascii="Calibri" w:hAnsi="Calibri" w:cs="Calibri"/>
                <w:b/>
                <w:sz w:val="18"/>
                <w:szCs w:val="18"/>
              </w:rPr>
              <w:t>14</w:t>
            </w:r>
            <w:r w:rsidR="00EE5E0F">
              <w:rPr>
                <w:rFonts w:ascii="Calibri" w:hAnsi="Calibri" w:cs="Calibri"/>
                <w:b/>
                <w:sz w:val="18"/>
                <w:szCs w:val="18"/>
              </w:rPr>
              <w:t>2,399</w:t>
            </w:r>
          </w:p>
        </w:tc>
        <w:tc>
          <w:tcPr>
            <w:tcW w:w="1229" w:type="dxa"/>
          </w:tcPr>
          <w:p w14:paraId="6BD60BED" w14:textId="2C0C6BE3" w:rsidR="00BD08C0" w:rsidRPr="005B12AE" w:rsidRDefault="00BD08C0" w:rsidP="00BD08C0">
            <w:pPr>
              <w:jc w:val="right"/>
              <w:rPr>
                <w:rFonts w:ascii="Calibri" w:hAnsi="Calibri" w:cs="Calibri"/>
                <w:bCs/>
                <w:sz w:val="18"/>
                <w:szCs w:val="18"/>
              </w:rPr>
            </w:pPr>
            <w:r w:rsidRPr="005B12AE">
              <w:rPr>
                <w:rFonts w:ascii="Calibri" w:hAnsi="Calibri" w:cs="Calibri"/>
                <w:bCs/>
                <w:sz w:val="18"/>
                <w:szCs w:val="18"/>
              </w:rPr>
              <w:t>165,240</w:t>
            </w:r>
          </w:p>
        </w:tc>
        <w:tc>
          <w:tcPr>
            <w:tcW w:w="1229" w:type="dxa"/>
          </w:tcPr>
          <w:p w14:paraId="572CBE55" w14:textId="639544BC" w:rsidR="00BD08C0" w:rsidRPr="005B12AE" w:rsidRDefault="00BD08C0" w:rsidP="00BD08C0">
            <w:pPr>
              <w:jc w:val="right"/>
              <w:rPr>
                <w:rFonts w:ascii="Calibri" w:hAnsi="Calibri" w:cs="Calibri"/>
                <w:bCs/>
                <w:sz w:val="18"/>
                <w:szCs w:val="18"/>
              </w:rPr>
            </w:pPr>
            <w:r w:rsidRPr="005B12AE">
              <w:rPr>
                <w:rFonts w:ascii="Calibri" w:hAnsi="Calibri" w:cs="Calibri"/>
                <w:bCs/>
                <w:sz w:val="18"/>
                <w:szCs w:val="18"/>
              </w:rPr>
              <w:t>1</w:t>
            </w:r>
            <w:r w:rsidR="00A52563" w:rsidRPr="005B12AE">
              <w:rPr>
                <w:rFonts w:ascii="Calibri" w:hAnsi="Calibri" w:cs="Calibri"/>
                <w:bCs/>
                <w:sz w:val="18"/>
                <w:szCs w:val="18"/>
              </w:rPr>
              <w:t>70,976</w:t>
            </w:r>
          </w:p>
        </w:tc>
      </w:tr>
      <w:tr w:rsidR="00BD08C0" w:rsidRPr="008901A5" w14:paraId="2090CDA7" w14:textId="77777777" w:rsidTr="00BD08C0">
        <w:trPr>
          <w:trHeight w:val="267"/>
        </w:trPr>
        <w:tc>
          <w:tcPr>
            <w:tcW w:w="5103" w:type="dxa"/>
          </w:tcPr>
          <w:p w14:paraId="7EF92FAA" w14:textId="77777777" w:rsidR="00BD08C0" w:rsidRPr="00987D69" w:rsidRDefault="00BD08C0" w:rsidP="00BD08C0">
            <w:pPr>
              <w:rPr>
                <w:rFonts w:ascii="Calibri" w:hAnsi="Calibri" w:cs="Calibri"/>
                <w:b/>
                <w:sz w:val="18"/>
                <w:szCs w:val="18"/>
              </w:rPr>
            </w:pPr>
          </w:p>
        </w:tc>
        <w:tc>
          <w:tcPr>
            <w:tcW w:w="851" w:type="dxa"/>
          </w:tcPr>
          <w:p w14:paraId="38A68192" w14:textId="77777777" w:rsidR="00BD08C0" w:rsidRPr="00D21BD5" w:rsidRDefault="00BD08C0" w:rsidP="00BD08C0">
            <w:pPr>
              <w:rPr>
                <w:rFonts w:ascii="Calibri" w:hAnsi="Calibri" w:cs="Calibri"/>
                <w:b/>
                <w:sz w:val="18"/>
                <w:szCs w:val="18"/>
                <w:highlight w:val="yellow"/>
              </w:rPr>
            </w:pPr>
          </w:p>
        </w:tc>
        <w:tc>
          <w:tcPr>
            <w:tcW w:w="1228" w:type="dxa"/>
          </w:tcPr>
          <w:p w14:paraId="66C59EC5" w14:textId="77777777" w:rsidR="00BD08C0" w:rsidRPr="00A52563" w:rsidRDefault="00BD08C0" w:rsidP="00BD08C0">
            <w:pPr>
              <w:jc w:val="right"/>
              <w:rPr>
                <w:rFonts w:ascii="Calibri" w:hAnsi="Calibri" w:cs="Calibri"/>
                <w:b/>
                <w:sz w:val="18"/>
                <w:szCs w:val="18"/>
              </w:rPr>
            </w:pPr>
          </w:p>
        </w:tc>
        <w:tc>
          <w:tcPr>
            <w:tcW w:w="1229" w:type="dxa"/>
          </w:tcPr>
          <w:p w14:paraId="10AFAA13" w14:textId="77777777" w:rsidR="00BD08C0" w:rsidRPr="00987D69" w:rsidRDefault="00BD08C0" w:rsidP="00BD08C0">
            <w:pPr>
              <w:jc w:val="right"/>
              <w:rPr>
                <w:rFonts w:ascii="Calibri" w:hAnsi="Calibri" w:cs="Calibri"/>
                <w:b/>
                <w:sz w:val="18"/>
                <w:szCs w:val="18"/>
              </w:rPr>
            </w:pPr>
          </w:p>
        </w:tc>
        <w:tc>
          <w:tcPr>
            <w:tcW w:w="1229" w:type="dxa"/>
          </w:tcPr>
          <w:p w14:paraId="3F46F77A" w14:textId="0D94633C" w:rsidR="00BD08C0" w:rsidRPr="00987D69" w:rsidRDefault="00BD08C0" w:rsidP="00BD08C0">
            <w:pPr>
              <w:jc w:val="right"/>
              <w:rPr>
                <w:rFonts w:ascii="Calibri" w:hAnsi="Calibri" w:cs="Calibri"/>
                <w:b/>
                <w:sz w:val="18"/>
                <w:szCs w:val="18"/>
              </w:rPr>
            </w:pPr>
          </w:p>
        </w:tc>
      </w:tr>
      <w:tr w:rsidR="00BD08C0" w:rsidRPr="008901A5" w14:paraId="0F0E9B94" w14:textId="77777777" w:rsidTr="00BD08C0">
        <w:trPr>
          <w:trHeight w:val="267"/>
        </w:trPr>
        <w:tc>
          <w:tcPr>
            <w:tcW w:w="5103" w:type="dxa"/>
          </w:tcPr>
          <w:p w14:paraId="6E2E3A56" w14:textId="77777777" w:rsidR="00BD08C0" w:rsidRPr="00987D69" w:rsidRDefault="00BD08C0" w:rsidP="00BD08C0">
            <w:pPr>
              <w:rPr>
                <w:rFonts w:ascii="Calibri" w:hAnsi="Calibri" w:cs="Calibri"/>
                <w:b/>
                <w:sz w:val="18"/>
                <w:szCs w:val="18"/>
              </w:rPr>
            </w:pPr>
            <w:r w:rsidRPr="00987D69">
              <w:rPr>
                <w:rFonts w:ascii="Calibri" w:hAnsi="Calibri" w:cs="Calibri"/>
                <w:color w:val="000000"/>
                <w:sz w:val="18"/>
                <w:szCs w:val="18"/>
              </w:rPr>
              <w:t>Equity and debt instruments at fair value through profit or loss</w:t>
            </w:r>
          </w:p>
        </w:tc>
        <w:tc>
          <w:tcPr>
            <w:tcW w:w="851" w:type="dxa"/>
          </w:tcPr>
          <w:p w14:paraId="7E80D7B2" w14:textId="2A269F4E" w:rsidR="00BD08C0" w:rsidRPr="00D21BD5" w:rsidRDefault="00BD08C0" w:rsidP="00BD08C0">
            <w:pPr>
              <w:rPr>
                <w:rFonts w:ascii="Calibri" w:hAnsi="Calibri" w:cs="Calibri"/>
                <w:sz w:val="18"/>
                <w:szCs w:val="18"/>
                <w:highlight w:val="yellow"/>
              </w:rPr>
            </w:pPr>
          </w:p>
        </w:tc>
        <w:tc>
          <w:tcPr>
            <w:tcW w:w="1228" w:type="dxa"/>
          </w:tcPr>
          <w:p w14:paraId="2FDFBB94" w14:textId="5C57B960" w:rsidR="00BD08C0" w:rsidRPr="00A52563" w:rsidRDefault="00BD08C0" w:rsidP="00BD08C0">
            <w:pPr>
              <w:jc w:val="right"/>
              <w:rPr>
                <w:rFonts w:ascii="Calibri" w:hAnsi="Calibri" w:cs="Calibri"/>
                <w:b/>
                <w:sz w:val="18"/>
                <w:szCs w:val="18"/>
              </w:rPr>
            </w:pPr>
            <w:r w:rsidRPr="005B12AE">
              <w:rPr>
                <w:rFonts w:ascii="Calibri" w:hAnsi="Calibri" w:cs="Calibri"/>
                <w:b/>
                <w:sz w:val="18"/>
                <w:szCs w:val="18"/>
              </w:rPr>
              <w:t>161,178</w:t>
            </w:r>
          </w:p>
        </w:tc>
        <w:tc>
          <w:tcPr>
            <w:tcW w:w="1229" w:type="dxa"/>
          </w:tcPr>
          <w:p w14:paraId="5FCF4736" w14:textId="7393B522" w:rsidR="00BD08C0" w:rsidRPr="00987D69" w:rsidRDefault="00BD08C0" w:rsidP="00BD08C0">
            <w:pPr>
              <w:jc w:val="right"/>
              <w:rPr>
                <w:rFonts w:ascii="Calibri" w:hAnsi="Calibri" w:cs="Calibri"/>
                <w:sz w:val="18"/>
                <w:szCs w:val="18"/>
              </w:rPr>
            </w:pPr>
            <w:r w:rsidRPr="00987D69">
              <w:rPr>
                <w:rFonts w:ascii="Calibri" w:hAnsi="Calibri" w:cs="Calibri"/>
                <w:sz w:val="18"/>
                <w:szCs w:val="18"/>
              </w:rPr>
              <w:t>134,094</w:t>
            </w:r>
          </w:p>
        </w:tc>
        <w:tc>
          <w:tcPr>
            <w:tcW w:w="1229" w:type="dxa"/>
          </w:tcPr>
          <w:p w14:paraId="72A069FA" w14:textId="10F42A30" w:rsidR="00BD08C0" w:rsidRPr="00987D69" w:rsidRDefault="00BD08C0" w:rsidP="00BD08C0">
            <w:pPr>
              <w:jc w:val="right"/>
              <w:rPr>
                <w:rFonts w:ascii="Calibri" w:hAnsi="Calibri" w:cs="Calibri"/>
                <w:sz w:val="18"/>
                <w:szCs w:val="18"/>
              </w:rPr>
            </w:pPr>
            <w:r w:rsidRPr="00987D69">
              <w:rPr>
                <w:rFonts w:ascii="Calibri" w:hAnsi="Calibri" w:cs="Calibri"/>
                <w:sz w:val="18"/>
                <w:szCs w:val="18"/>
              </w:rPr>
              <w:t>13</w:t>
            </w:r>
            <w:r w:rsidR="00A52563">
              <w:rPr>
                <w:rFonts w:ascii="Calibri" w:hAnsi="Calibri" w:cs="Calibri"/>
                <w:sz w:val="18"/>
                <w:szCs w:val="18"/>
              </w:rPr>
              <w:t>8,76</w:t>
            </w:r>
            <w:r w:rsidR="00054734">
              <w:rPr>
                <w:rFonts w:ascii="Calibri" w:hAnsi="Calibri" w:cs="Calibri"/>
                <w:sz w:val="18"/>
                <w:szCs w:val="18"/>
              </w:rPr>
              <w:t>7</w:t>
            </w:r>
          </w:p>
        </w:tc>
      </w:tr>
      <w:tr w:rsidR="00BD08C0" w:rsidRPr="008901A5" w14:paraId="0DF2B1D0" w14:textId="77777777" w:rsidTr="00BD08C0">
        <w:trPr>
          <w:trHeight w:val="259"/>
        </w:trPr>
        <w:tc>
          <w:tcPr>
            <w:tcW w:w="5103" w:type="dxa"/>
          </w:tcPr>
          <w:p w14:paraId="3E7324B4" w14:textId="77777777" w:rsidR="00BD08C0" w:rsidRPr="00987D69" w:rsidRDefault="00BD08C0" w:rsidP="00BD08C0">
            <w:pPr>
              <w:rPr>
                <w:rFonts w:ascii="Calibri" w:hAnsi="Calibri" w:cs="Calibri"/>
                <w:b/>
                <w:sz w:val="18"/>
                <w:szCs w:val="18"/>
              </w:rPr>
            </w:pPr>
            <w:r w:rsidRPr="00987D69">
              <w:rPr>
                <w:rFonts w:ascii="Calibri" w:hAnsi="Calibri" w:cs="Calibri"/>
                <w:color w:val="000000"/>
                <w:sz w:val="18"/>
                <w:szCs w:val="18"/>
              </w:rPr>
              <w:t>Debt instruments at fair value through other comprehensive income</w:t>
            </w:r>
          </w:p>
        </w:tc>
        <w:tc>
          <w:tcPr>
            <w:tcW w:w="851" w:type="dxa"/>
          </w:tcPr>
          <w:p w14:paraId="46C98064" w14:textId="26BA4323" w:rsidR="00BD08C0" w:rsidRPr="00D21BD5" w:rsidRDefault="00BD08C0" w:rsidP="00BD08C0">
            <w:pPr>
              <w:rPr>
                <w:rFonts w:ascii="Calibri" w:hAnsi="Calibri" w:cs="Calibri"/>
                <w:b/>
                <w:sz w:val="18"/>
                <w:szCs w:val="18"/>
                <w:highlight w:val="yellow"/>
              </w:rPr>
            </w:pPr>
          </w:p>
        </w:tc>
        <w:tc>
          <w:tcPr>
            <w:tcW w:w="1228" w:type="dxa"/>
          </w:tcPr>
          <w:p w14:paraId="3B4F5D96" w14:textId="77777777" w:rsidR="00BD08C0" w:rsidRPr="005B12AE" w:rsidRDefault="00BD08C0" w:rsidP="00BD08C0">
            <w:pPr>
              <w:jc w:val="right"/>
              <w:rPr>
                <w:rFonts w:ascii="Calibri" w:hAnsi="Calibri" w:cs="Calibri"/>
                <w:b/>
                <w:sz w:val="18"/>
                <w:szCs w:val="18"/>
              </w:rPr>
            </w:pPr>
          </w:p>
          <w:p w14:paraId="6EC6147D" w14:textId="799B6287" w:rsidR="00BD08C0" w:rsidRPr="00A52563" w:rsidRDefault="00BD08C0" w:rsidP="00BD08C0">
            <w:pPr>
              <w:jc w:val="right"/>
              <w:rPr>
                <w:rFonts w:ascii="Calibri" w:hAnsi="Calibri" w:cs="Calibri"/>
                <w:b/>
                <w:sz w:val="18"/>
                <w:szCs w:val="18"/>
              </w:rPr>
            </w:pPr>
            <w:r w:rsidRPr="005B12AE">
              <w:rPr>
                <w:rFonts w:ascii="Calibri" w:hAnsi="Calibri" w:cs="Calibri"/>
                <w:b/>
                <w:sz w:val="18"/>
                <w:szCs w:val="18"/>
              </w:rPr>
              <w:t>855,989</w:t>
            </w:r>
          </w:p>
        </w:tc>
        <w:tc>
          <w:tcPr>
            <w:tcW w:w="1229" w:type="dxa"/>
          </w:tcPr>
          <w:p w14:paraId="0498D91C" w14:textId="77777777" w:rsidR="00BD08C0" w:rsidRDefault="00BD08C0" w:rsidP="00BD08C0">
            <w:pPr>
              <w:jc w:val="right"/>
              <w:rPr>
                <w:rFonts w:ascii="Calibri" w:hAnsi="Calibri" w:cs="Calibri"/>
                <w:sz w:val="18"/>
                <w:szCs w:val="18"/>
              </w:rPr>
            </w:pPr>
          </w:p>
          <w:p w14:paraId="47450AB4" w14:textId="76CDAF1B" w:rsidR="00BD08C0" w:rsidRDefault="00BD08C0" w:rsidP="00BD08C0">
            <w:pPr>
              <w:jc w:val="right"/>
              <w:rPr>
                <w:rFonts w:ascii="Calibri" w:hAnsi="Calibri" w:cs="Calibri"/>
                <w:sz w:val="18"/>
                <w:szCs w:val="18"/>
              </w:rPr>
            </w:pPr>
            <w:r w:rsidRPr="00987D69">
              <w:rPr>
                <w:rFonts w:ascii="Calibri" w:hAnsi="Calibri" w:cs="Calibri"/>
                <w:sz w:val="18"/>
                <w:szCs w:val="18"/>
              </w:rPr>
              <w:t>833,865</w:t>
            </w:r>
          </w:p>
        </w:tc>
        <w:tc>
          <w:tcPr>
            <w:tcW w:w="1229" w:type="dxa"/>
          </w:tcPr>
          <w:p w14:paraId="6AD83E55" w14:textId="2DEBB9D6" w:rsidR="00BD08C0" w:rsidRDefault="00BD08C0" w:rsidP="00BD08C0">
            <w:pPr>
              <w:jc w:val="right"/>
              <w:rPr>
                <w:rFonts w:ascii="Calibri" w:hAnsi="Calibri" w:cs="Calibri"/>
                <w:sz w:val="18"/>
                <w:szCs w:val="18"/>
              </w:rPr>
            </w:pPr>
          </w:p>
          <w:p w14:paraId="04DC2E8E" w14:textId="33AD4F90" w:rsidR="00BD08C0" w:rsidRPr="00987D69" w:rsidRDefault="00A52563" w:rsidP="00BD08C0">
            <w:pPr>
              <w:jc w:val="right"/>
              <w:rPr>
                <w:rFonts w:ascii="Calibri" w:hAnsi="Calibri" w:cs="Calibri"/>
                <w:sz w:val="18"/>
                <w:szCs w:val="18"/>
              </w:rPr>
            </w:pPr>
            <w:r>
              <w:rPr>
                <w:rFonts w:ascii="Calibri" w:hAnsi="Calibri" w:cs="Calibri"/>
                <w:sz w:val="18"/>
                <w:szCs w:val="18"/>
              </w:rPr>
              <w:t>892,495</w:t>
            </w:r>
          </w:p>
        </w:tc>
      </w:tr>
      <w:tr w:rsidR="00BD08C0" w:rsidRPr="008901A5" w14:paraId="4482D45A" w14:textId="77777777" w:rsidTr="00BD08C0">
        <w:trPr>
          <w:trHeight w:val="267"/>
        </w:trPr>
        <w:tc>
          <w:tcPr>
            <w:tcW w:w="5103" w:type="dxa"/>
          </w:tcPr>
          <w:p w14:paraId="329C4331" w14:textId="77777777" w:rsidR="00BD08C0" w:rsidRPr="00987D69" w:rsidRDefault="00BD08C0" w:rsidP="00BD08C0">
            <w:pPr>
              <w:rPr>
                <w:rFonts w:ascii="Calibri" w:hAnsi="Calibri" w:cs="Calibri"/>
                <w:b/>
                <w:sz w:val="18"/>
                <w:szCs w:val="18"/>
              </w:rPr>
            </w:pPr>
            <w:r w:rsidRPr="00987D69">
              <w:rPr>
                <w:rFonts w:ascii="Calibri" w:hAnsi="Calibri" w:cs="Calibri"/>
                <w:color w:val="000000"/>
                <w:sz w:val="18"/>
                <w:szCs w:val="18"/>
              </w:rPr>
              <w:t>Deposits</w:t>
            </w:r>
          </w:p>
        </w:tc>
        <w:tc>
          <w:tcPr>
            <w:tcW w:w="851" w:type="dxa"/>
          </w:tcPr>
          <w:p w14:paraId="2FCA8558" w14:textId="52AE5A59" w:rsidR="00BD08C0" w:rsidRPr="00D21BD5" w:rsidRDefault="00BD08C0" w:rsidP="00BD08C0">
            <w:pPr>
              <w:rPr>
                <w:rFonts w:ascii="Calibri" w:hAnsi="Calibri" w:cs="Calibri"/>
                <w:b/>
                <w:sz w:val="18"/>
                <w:szCs w:val="18"/>
                <w:highlight w:val="yellow"/>
              </w:rPr>
            </w:pPr>
          </w:p>
        </w:tc>
        <w:tc>
          <w:tcPr>
            <w:tcW w:w="1228" w:type="dxa"/>
          </w:tcPr>
          <w:p w14:paraId="076A52F2" w14:textId="3C51619D" w:rsidR="00BD08C0" w:rsidRPr="00A52563" w:rsidRDefault="00EE5E0F" w:rsidP="00BD08C0">
            <w:pPr>
              <w:jc w:val="right"/>
              <w:rPr>
                <w:rFonts w:ascii="Calibri" w:hAnsi="Calibri" w:cs="Calibri"/>
                <w:b/>
                <w:sz w:val="18"/>
                <w:szCs w:val="18"/>
              </w:rPr>
            </w:pPr>
            <w:r>
              <w:rPr>
                <w:rFonts w:ascii="Calibri" w:hAnsi="Calibri" w:cs="Calibri"/>
                <w:b/>
                <w:sz w:val="18"/>
                <w:szCs w:val="18"/>
              </w:rPr>
              <w:t>2,885</w:t>
            </w:r>
          </w:p>
        </w:tc>
        <w:tc>
          <w:tcPr>
            <w:tcW w:w="1229" w:type="dxa"/>
          </w:tcPr>
          <w:p w14:paraId="44035ACA" w14:textId="4BC397E4" w:rsidR="00BD08C0" w:rsidRPr="00987D69" w:rsidRDefault="00BD08C0" w:rsidP="00BD08C0">
            <w:pPr>
              <w:jc w:val="right"/>
              <w:rPr>
                <w:rFonts w:ascii="Calibri" w:hAnsi="Calibri" w:cs="Calibri"/>
                <w:sz w:val="18"/>
                <w:szCs w:val="18"/>
              </w:rPr>
            </w:pPr>
            <w:r w:rsidRPr="00987D69">
              <w:rPr>
                <w:rFonts w:ascii="Calibri" w:hAnsi="Calibri" w:cs="Calibri"/>
                <w:sz w:val="18"/>
                <w:szCs w:val="18"/>
              </w:rPr>
              <w:t>10,000</w:t>
            </w:r>
          </w:p>
        </w:tc>
        <w:tc>
          <w:tcPr>
            <w:tcW w:w="1229" w:type="dxa"/>
          </w:tcPr>
          <w:p w14:paraId="3DF03DE2" w14:textId="1AD21876" w:rsidR="00BD08C0" w:rsidRPr="00987D69" w:rsidRDefault="00A52563" w:rsidP="00BD08C0">
            <w:pPr>
              <w:jc w:val="right"/>
              <w:rPr>
                <w:rFonts w:ascii="Calibri" w:hAnsi="Calibri" w:cs="Calibri"/>
                <w:sz w:val="18"/>
                <w:szCs w:val="18"/>
              </w:rPr>
            </w:pPr>
            <w:r>
              <w:rPr>
                <w:rFonts w:ascii="Calibri" w:hAnsi="Calibri" w:cs="Calibri"/>
                <w:sz w:val="18"/>
                <w:szCs w:val="18"/>
              </w:rPr>
              <w:t>-</w:t>
            </w:r>
          </w:p>
        </w:tc>
      </w:tr>
      <w:tr w:rsidR="00BD08C0" w:rsidRPr="008901A5" w14:paraId="56F895B4" w14:textId="77777777" w:rsidTr="00BD08C0">
        <w:trPr>
          <w:trHeight w:val="267"/>
        </w:trPr>
        <w:tc>
          <w:tcPr>
            <w:tcW w:w="5103" w:type="dxa"/>
          </w:tcPr>
          <w:p w14:paraId="6A1964F2" w14:textId="77777777" w:rsidR="00BD08C0" w:rsidRPr="00987D69" w:rsidRDefault="00BD08C0" w:rsidP="00BD08C0">
            <w:pPr>
              <w:rPr>
                <w:rFonts w:ascii="Calibri" w:hAnsi="Calibri" w:cs="Calibri"/>
                <w:b/>
                <w:sz w:val="18"/>
                <w:szCs w:val="18"/>
              </w:rPr>
            </w:pPr>
          </w:p>
        </w:tc>
        <w:tc>
          <w:tcPr>
            <w:tcW w:w="851" w:type="dxa"/>
          </w:tcPr>
          <w:p w14:paraId="6B429976" w14:textId="77777777" w:rsidR="00BD08C0" w:rsidRPr="00D21BD5" w:rsidRDefault="00BD08C0" w:rsidP="00BD08C0">
            <w:pPr>
              <w:rPr>
                <w:rFonts w:ascii="Calibri" w:hAnsi="Calibri" w:cs="Calibri"/>
                <w:b/>
                <w:sz w:val="18"/>
                <w:szCs w:val="18"/>
                <w:highlight w:val="yellow"/>
              </w:rPr>
            </w:pPr>
          </w:p>
        </w:tc>
        <w:tc>
          <w:tcPr>
            <w:tcW w:w="1228" w:type="dxa"/>
            <w:tcBorders>
              <w:bottom w:val="single" w:sz="2" w:space="0" w:color="auto"/>
            </w:tcBorders>
          </w:tcPr>
          <w:p w14:paraId="7506463D" w14:textId="77777777" w:rsidR="00BD08C0" w:rsidRPr="00A52563" w:rsidRDefault="00BD08C0" w:rsidP="00BD08C0">
            <w:pPr>
              <w:jc w:val="right"/>
              <w:rPr>
                <w:rFonts w:ascii="Calibri" w:hAnsi="Calibri" w:cs="Calibri"/>
                <w:b/>
                <w:sz w:val="18"/>
                <w:szCs w:val="18"/>
              </w:rPr>
            </w:pPr>
          </w:p>
        </w:tc>
        <w:tc>
          <w:tcPr>
            <w:tcW w:w="1229" w:type="dxa"/>
            <w:tcBorders>
              <w:bottom w:val="single" w:sz="2" w:space="0" w:color="auto"/>
            </w:tcBorders>
          </w:tcPr>
          <w:p w14:paraId="658A3398" w14:textId="77777777" w:rsidR="00BD08C0" w:rsidRPr="00987D69" w:rsidRDefault="00BD08C0" w:rsidP="00BD08C0">
            <w:pPr>
              <w:jc w:val="right"/>
              <w:rPr>
                <w:rFonts w:ascii="Calibri" w:hAnsi="Calibri" w:cs="Calibri"/>
                <w:b/>
                <w:sz w:val="18"/>
                <w:szCs w:val="18"/>
              </w:rPr>
            </w:pPr>
          </w:p>
        </w:tc>
        <w:tc>
          <w:tcPr>
            <w:tcW w:w="1229" w:type="dxa"/>
            <w:tcBorders>
              <w:bottom w:val="single" w:sz="2" w:space="0" w:color="auto"/>
            </w:tcBorders>
          </w:tcPr>
          <w:p w14:paraId="796947E8" w14:textId="4FBECB4D" w:rsidR="00BD08C0" w:rsidRPr="00987D69" w:rsidRDefault="00BD08C0" w:rsidP="00BD08C0">
            <w:pPr>
              <w:jc w:val="right"/>
              <w:rPr>
                <w:rFonts w:ascii="Calibri" w:hAnsi="Calibri" w:cs="Calibri"/>
                <w:b/>
                <w:sz w:val="18"/>
                <w:szCs w:val="18"/>
              </w:rPr>
            </w:pPr>
          </w:p>
        </w:tc>
      </w:tr>
      <w:tr w:rsidR="00BD08C0" w:rsidRPr="008901A5" w14:paraId="72A09DFC" w14:textId="77777777" w:rsidTr="00BD08C0">
        <w:trPr>
          <w:trHeight w:val="259"/>
        </w:trPr>
        <w:tc>
          <w:tcPr>
            <w:tcW w:w="5103" w:type="dxa"/>
          </w:tcPr>
          <w:p w14:paraId="1993EF23" w14:textId="77777777" w:rsidR="00BD08C0" w:rsidRPr="00987D69" w:rsidRDefault="00BD08C0" w:rsidP="00BD08C0">
            <w:pPr>
              <w:rPr>
                <w:rFonts w:ascii="Calibri" w:hAnsi="Calibri" w:cs="Calibri"/>
                <w:b/>
                <w:sz w:val="18"/>
                <w:szCs w:val="18"/>
              </w:rPr>
            </w:pPr>
            <w:r w:rsidRPr="00987D69">
              <w:rPr>
                <w:rFonts w:ascii="Calibri" w:hAnsi="Calibri" w:cs="Calibri"/>
                <w:b/>
                <w:color w:val="000000"/>
                <w:sz w:val="18"/>
                <w:szCs w:val="18"/>
              </w:rPr>
              <w:t>Investment assets</w:t>
            </w:r>
          </w:p>
        </w:tc>
        <w:tc>
          <w:tcPr>
            <w:tcW w:w="851" w:type="dxa"/>
          </w:tcPr>
          <w:p w14:paraId="5B49D5E6" w14:textId="77777777" w:rsidR="00BD08C0" w:rsidRPr="00D21BD5" w:rsidRDefault="00BD08C0" w:rsidP="00BD08C0">
            <w:pPr>
              <w:rPr>
                <w:rFonts w:ascii="Calibri" w:hAnsi="Calibri" w:cs="Calibri"/>
                <w:b/>
                <w:sz w:val="18"/>
                <w:szCs w:val="18"/>
                <w:highlight w:val="yellow"/>
              </w:rPr>
            </w:pPr>
          </w:p>
        </w:tc>
        <w:tc>
          <w:tcPr>
            <w:tcW w:w="1228" w:type="dxa"/>
            <w:tcBorders>
              <w:top w:val="single" w:sz="2" w:space="0" w:color="auto"/>
              <w:bottom w:val="single" w:sz="2" w:space="0" w:color="auto"/>
            </w:tcBorders>
          </w:tcPr>
          <w:p w14:paraId="3A9FBDA2" w14:textId="4967028D" w:rsidR="00BD08C0" w:rsidRPr="00A52563" w:rsidRDefault="00FB290D" w:rsidP="00BD08C0">
            <w:pPr>
              <w:jc w:val="right"/>
              <w:rPr>
                <w:rFonts w:ascii="Calibri" w:hAnsi="Calibri" w:cs="Calibri"/>
                <w:b/>
                <w:sz w:val="18"/>
                <w:szCs w:val="18"/>
              </w:rPr>
            </w:pPr>
            <w:r>
              <w:rPr>
                <w:rFonts w:ascii="Calibri" w:hAnsi="Calibri" w:cs="Calibri"/>
                <w:b/>
                <w:sz w:val="18"/>
                <w:szCs w:val="18"/>
              </w:rPr>
              <w:t>1,020,052</w:t>
            </w:r>
          </w:p>
        </w:tc>
        <w:tc>
          <w:tcPr>
            <w:tcW w:w="1229" w:type="dxa"/>
            <w:tcBorders>
              <w:top w:val="single" w:sz="2" w:space="0" w:color="auto"/>
              <w:bottom w:val="single" w:sz="2" w:space="0" w:color="auto"/>
            </w:tcBorders>
          </w:tcPr>
          <w:p w14:paraId="11CA19B3" w14:textId="0FD9C553" w:rsidR="00BD08C0" w:rsidRPr="00987D69" w:rsidRDefault="00FB290D" w:rsidP="00BD08C0">
            <w:pPr>
              <w:jc w:val="right"/>
              <w:rPr>
                <w:rFonts w:ascii="Calibri" w:hAnsi="Calibri" w:cs="Calibri"/>
                <w:b/>
                <w:sz w:val="18"/>
                <w:szCs w:val="18"/>
              </w:rPr>
            </w:pPr>
            <w:r>
              <w:rPr>
                <w:rFonts w:ascii="Calibri" w:hAnsi="Calibri" w:cs="Calibri"/>
                <w:b/>
                <w:sz w:val="18"/>
                <w:szCs w:val="18"/>
              </w:rPr>
              <w:t>977,959</w:t>
            </w:r>
          </w:p>
        </w:tc>
        <w:tc>
          <w:tcPr>
            <w:tcW w:w="1229" w:type="dxa"/>
            <w:tcBorders>
              <w:top w:val="single" w:sz="2" w:space="0" w:color="auto"/>
              <w:bottom w:val="single" w:sz="2" w:space="0" w:color="auto"/>
            </w:tcBorders>
          </w:tcPr>
          <w:p w14:paraId="73893AC5" w14:textId="631048B5" w:rsidR="00BD08C0" w:rsidRPr="00987D69" w:rsidRDefault="00FB290D" w:rsidP="00BD08C0">
            <w:pPr>
              <w:jc w:val="right"/>
              <w:rPr>
                <w:rFonts w:ascii="Calibri" w:hAnsi="Calibri" w:cs="Calibri"/>
                <w:b/>
                <w:sz w:val="18"/>
                <w:szCs w:val="18"/>
              </w:rPr>
            </w:pPr>
            <w:r>
              <w:rPr>
                <w:rFonts w:ascii="Calibri" w:hAnsi="Calibri" w:cs="Calibri"/>
                <w:b/>
                <w:sz w:val="18"/>
                <w:szCs w:val="18"/>
              </w:rPr>
              <w:t>1,031,262</w:t>
            </w:r>
          </w:p>
        </w:tc>
      </w:tr>
      <w:tr w:rsidR="00BD08C0" w:rsidRPr="008901A5" w14:paraId="2D52947D" w14:textId="77777777" w:rsidTr="00BD08C0">
        <w:trPr>
          <w:trHeight w:val="267"/>
        </w:trPr>
        <w:tc>
          <w:tcPr>
            <w:tcW w:w="5103" w:type="dxa"/>
          </w:tcPr>
          <w:p w14:paraId="16D9C7A8" w14:textId="77777777" w:rsidR="00BD08C0" w:rsidRPr="00987D69" w:rsidRDefault="00BD08C0" w:rsidP="00BD08C0">
            <w:pPr>
              <w:rPr>
                <w:rFonts w:ascii="Calibri" w:hAnsi="Calibri" w:cs="Calibri"/>
                <w:b/>
                <w:sz w:val="18"/>
                <w:szCs w:val="18"/>
              </w:rPr>
            </w:pPr>
          </w:p>
        </w:tc>
        <w:tc>
          <w:tcPr>
            <w:tcW w:w="851" w:type="dxa"/>
          </w:tcPr>
          <w:p w14:paraId="3BCD3C4B" w14:textId="77777777" w:rsidR="00BD08C0" w:rsidRPr="00D21BD5" w:rsidRDefault="00BD08C0" w:rsidP="00BD08C0">
            <w:pPr>
              <w:rPr>
                <w:rFonts w:ascii="Calibri" w:hAnsi="Calibri" w:cs="Calibri"/>
                <w:b/>
                <w:sz w:val="18"/>
                <w:szCs w:val="18"/>
                <w:highlight w:val="yellow"/>
              </w:rPr>
            </w:pPr>
          </w:p>
        </w:tc>
        <w:tc>
          <w:tcPr>
            <w:tcW w:w="1228" w:type="dxa"/>
            <w:tcBorders>
              <w:top w:val="single" w:sz="2" w:space="0" w:color="auto"/>
            </w:tcBorders>
          </w:tcPr>
          <w:p w14:paraId="4B8ECEEE" w14:textId="77777777" w:rsidR="00BD08C0" w:rsidRPr="00A52563" w:rsidRDefault="00BD08C0" w:rsidP="00BD08C0">
            <w:pPr>
              <w:rPr>
                <w:rFonts w:ascii="Calibri" w:hAnsi="Calibri" w:cs="Calibri"/>
                <w:b/>
                <w:sz w:val="18"/>
                <w:szCs w:val="18"/>
              </w:rPr>
            </w:pPr>
          </w:p>
        </w:tc>
        <w:tc>
          <w:tcPr>
            <w:tcW w:w="1229" w:type="dxa"/>
            <w:tcBorders>
              <w:top w:val="single" w:sz="2" w:space="0" w:color="auto"/>
            </w:tcBorders>
          </w:tcPr>
          <w:p w14:paraId="28D8F42C" w14:textId="77777777" w:rsidR="00BD08C0" w:rsidRPr="00987D69" w:rsidRDefault="00BD08C0" w:rsidP="00BD08C0">
            <w:pPr>
              <w:jc w:val="right"/>
              <w:rPr>
                <w:rFonts w:ascii="Calibri" w:hAnsi="Calibri" w:cs="Calibri"/>
                <w:b/>
                <w:sz w:val="18"/>
                <w:szCs w:val="18"/>
              </w:rPr>
            </w:pPr>
          </w:p>
        </w:tc>
        <w:tc>
          <w:tcPr>
            <w:tcW w:w="1229" w:type="dxa"/>
            <w:tcBorders>
              <w:top w:val="single" w:sz="2" w:space="0" w:color="auto"/>
            </w:tcBorders>
          </w:tcPr>
          <w:p w14:paraId="2218D290" w14:textId="11489716" w:rsidR="00BD08C0" w:rsidRPr="00987D69" w:rsidRDefault="00BD08C0" w:rsidP="00BD08C0">
            <w:pPr>
              <w:jc w:val="right"/>
              <w:rPr>
                <w:rFonts w:ascii="Calibri" w:hAnsi="Calibri" w:cs="Calibri"/>
                <w:b/>
                <w:sz w:val="18"/>
                <w:szCs w:val="18"/>
              </w:rPr>
            </w:pPr>
          </w:p>
        </w:tc>
      </w:tr>
      <w:tr w:rsidR="00BD08C0" w:rsidRPr="008901A5" w14:paraId="34346A89" w14:textId="77777777" w:rsidTr="00BD08C0">
        <w:trPr>
          <w:trHeight w:val="267"/>
        </w:trPr>
        <w:tc>
          <w:tcPr>
            <w:tcW w:w="5103" w:type="dxa"/>
          </w:tcPr>
          <w:p w14:paraId="54173F66" w14:textId="77777777" w:rsidR="00BD08C0" w:rsidRPr="00987D69" w:rsidRDefault="00BD08C0" w:rsidP="00BD08C0">
            <w:pPr>
              <w:rPr>
                <w:rFonts w:asciiTheme="minorHAnsi" w:hAnsiTheme="minorHAnsi" w:cstheme="minorHAnsi"/>
                <w:color w:val="000000"/>
                <w:sz w:val="18"/>
                <w:szCs w:val="18"/>
              </w:rPr>
            </w:pPr>
            <w:r w:rsidRPr="00987D69">
              <w:rPr>
                <w:rFonts w:asciiTheme="minorHAnsi" w:hAnsiTheme="minorHAnsi" w:cstheme="minorHAnsi"/>
                <w:color w:val="000000"/>
                <w:sz w:val="18"/>
                <w:szCs w:val="18"/>
              </w:rPr>
              <w:t>Other receivables</w:t>
            </w:r>
          </w:p>
        </w:tc>
        <w:tc>
          <w:tcPr>
            <w:tcW w:w="851" w:type="dxa"/>
          </w:tcPr>
          <w:p w14:paraId="1AE80A8B" w14:textId="05CCF0DC" w:rsidR="00BD08C0" w:rsidRPr="00D21BD5" w:rsidRDefault="00BD08C0" w:rsidP="00BD08C0">
            <w:pPr>
              <w:rPr>
                <w:rFonts w:asciiTheme="minorHAnsi" w:hAnsiTheme="minorHAnsi" w:cstheme="minorHAnsi"/>
                <w:sz w:val="18"/>
                <w:szCs w:val="18"/>
                <w:highlight w:val="yellow"/>
              </w:rPr>
            </w:pPr>
          </w:p>
        </w:tc>
        <w:tc>
          <w:tcPr>
            <w:tcW w:w="1228" w:type="dxa"/>
          </w:tcPr>
          <w:p w14:paraId="52E92BD8" w14:textId="07B0000A" w:rsidR="00BD08C0" w:rsidRPr="005B12AE" w:rsidRDefault="00BD08C0" w:rsidP="00BD08C0">
            <w:pPr>
              <w:jc w:val="right"/>
              <w:rPr>
                <w:rFonts w:asciiTheme="minorHAnsi" w:hAnsiTheme="minorHAnsi" w:cstheme="minorHAnsi"/>
                <w:b/>
                <w:sz w:val="18"/>
                <w:szCs w:val="18"/>
              </w:rPr>
            </w:pPr>
            <w:r w:rsidRPr="005B12AE">
              <w:rPr>
                <w:rFonts w:asciiTheme="minorHAnsi" w:hAnsiTheme="minorHAnsi" w:cstheme="minorHAnsi"/>
                <w:b/>
                <w:sz w:val="18"/>
                <w:szCs w:val="18"/>
              </w:rPr>
              <w:t>17,150</w:t>
            </w:r>
          </w:p>
        </w:tc>
        <w:tc>
          <w:tcPr>
            <w:tcW w:w="1229" w:type="dxa"/>
          </w:tcPr>
          <w:p w14:paraId="19428D98" w14:textId="04ED519F" w:rsidR="00BD08C0" w:rsidRPr="00987D69" w:rsidRDefault="00BD08C0" w:rsidP="00BD08C0">
            <w:pPr>
              <w:jc w:val="right"/>
              <w:rPr>
                <w:rFonts w:asciiTheme="minorHAnsi" w:hAnsiTheme="minorHAnsi" w:cstheme="minorHAnsi"/>
                <w:sz w:val="18"/>
                <w:szCs w:val="18"/>
              </w:rPr>
            </w:pPr>
            <w:r w:rsidRPr="00987D69">
              <w:rPr>
                <w:rFonts w:asciiTheme="minorHAnsi" w:hAnsiTheme="minorHAnsi" w:cstheme="minorHAnsi"/>
                <w:sz w:val="18"/>
                <w:szCs w:val="18"/>
              </w:rPr>
              <w:t>15,148</w:t>
            </w:r>
          </w:p>
        </w:tc>
        <w:tc>
          <w:tcPr>
            <w:tcW w:w="1229" w:type="dxa"/>
          </w:tcPr>
          <w:p w14:paraId="058AADA6" w14:textId="0E7B642E" w:rsidR="00BD08C0" w:rsidRPr="00987D69" w:rsidRDefault="00BD08C0" w:rsidP="00BD08C0">
            <w:pPr>
              <w:jc w:val="right"/>
              <w:rPr>
                <w:rFonts w:asciiTheme="minorHAnsi" w:hAnsiTheme="minorHAnsi" w:cstheme="minorHAnsi"/>
                <w:sz w:val="18"/>
                <w:szCs w:val="18"/>
              </w:rPr>
            </w:pPr>
            <w:r w:rsidRPr="00987D69">
              <w:rPr>
                <w:rFonts w:asciiTheme="minorHAnsi" w:hAnsiTheme="minorHAnsi" w:cstheme="minorHAnsi"/>
                <w:sz w:val="18"/>
                <w:szCs w:val="18"/>
              </w:rPr>
              <w:t>15,</w:t>
            </w:r>
            <w:r w:rsidR="00A52563">
              <w:rPr>
                <w:rFonts w:asciiTheme="minorHAnsi" w:hAnsiTheme="minorHAnsi" w:cstheme="minorHAnsi"/>
                <w:sz w:val="18"/>
                <w:szCs w:val="18"/>
              </w:rPr>
              <w:t>910</w:t>
            </w:r>
          </w:p>
        </w:tc>
      </w:tr>
      <w:tr w:rsidR="00BD08C0" w:rsidRPr="008901A5" w14:paraId="54D08303" w14:textId="77777777" w:rsidTr="00BD08C0">
        <w:trPr>
          <w:trHeight w:val="267"/>
        </w:trPr>
        <w:tc>
          <w:tcPr>
            <w:tcW w:w="5103" w:type="dxa"/>
          </w:tcPr>
          <w:p w14:paraId="59E7CA35" w14:textId="77777777" w:rsidR="00BD08C0" w:rsidRPr="00987D69" w:rsidRDefault="00BD08C0" w:rsidP="00BD08C0">
            <w:pPr>
              <w:rPr>
                <w:rFonts w:asciiTheme="minorHAnsi" w:hAnsiTheme="minorHAnsi" w:cstheme="minorHAnsi"/>
                <w:color w:val="000000"/>
                <w:sz w:val="18"/>
                <w:szCs w:val="18"/>
              </w:rPr>
            </w:pPr>
            <w:r w:rsidRPr="00987D69">
              <w:rPr>
                <w:rFonts w:asciiTheme="minorHAnsi" w:hAnsiTheme="minorHAnsi" w:cstheme="minorHAnsi"/>
                <w:color w:val="000000"/>
                <w:sz w:val="18"/>
                <w:szCs w:val="18"/>
              </w:rPr>
              <w:t>Loans</w:t>
            </w:r>
          </w:p>
        </w:tc>
        <w:tc>
          <w:tcPr>
            <w:tcW w:w="851" w:type="dxa"/>
          </w:tcPr>
          <w:p w14:paraId="2C453530" w14:textId="2240EA4F" w:rsidR="00BD08C0" w:rsidRPr="00D21BD5" w:rsidRDefault="00BD08C0" w:rsidP="00BD08C0">
            <w:pPr>
              <w:rPr>
                <w:rFonts w:asciiTheme="minorHAnsi" w:hAnsiTheme="minorHAnsi" w:cstheme="minorHAnsi"/>
                <w:sz w:val="18"/>
                <w:szCs w:val="18"/>
                <w:highlight w:val="yellow"/>
              </w:rPr>
            </w:pPr>
          </w:p>
        </w:tc>
        <w:tc>
          <w:tcPr>
            <w:tcW w:w="1228" w:type="dxa"/>
          </w:tcPr>
          <w:p w14:paraId="7616356C" w14:textId="7C261B25" w:rsidR="00BD08C0" w:rsidRPr="005B12AE" w:rsidRDefault="00BD08C0" w:rsidP="00BD08C0">
            <w:pPr>
              <w:jc w:val="right"/>
              <w:rPr>
                <w:rFonts w:asciiTheme="minorHAnsi" w:hAnsiTheme="minorHAnsi" w:cstheme="minorHAnsi"/>
                <w:b/>
                <w:sz w:val="18"/>
                <w:szCs w:val="18"/>
              </w:rPr>
            </w:pPr>
            <w:r w:rsidRPr="005B12AE">
              <w:rPr>
                <w:rFonts w:asciiTheme="minorHAnsi" w:hAnsiTheme="minorHAnsi" w:cstheme="minorHAnsi"/>
                <w:b/>
                <w:sz w:val="18"/>
                <w:szCs w:val="18"/>
              </w:rPr>
              <w:t>478</w:t>
            </w:r>
          </w:p>
        </w:tc>
        <w:tc>
          <w:tcPr>
            <w:tcW w:w="1229" w:type="dxa"/>
          </w:tcPr>
          <w:p w14:paraId="65C5823B" w14:textId="1F60EB66" w:rsidR="00BD08C0" w:rsidRPr="00987D69" w:rsidRDefault="00BD08C0" w:rsidP="00BD08C0">
            <w:pPr>
              <w:jc w:val="right"/>
              <w:rPr>
                <w:rFonts w:asciiTheme="minorHAnsi" w:hAnsiTheme="minorHAnsi" w:cstheme="minorHAnsi"/>
                <w:sz w:val="18"/>
                <w:szCs w:val="18"/>
              </w:rPr>
            </w:pPr>
            <w:r w:rsidRPr="00987D69">
              <w:rPr>
                <w:rFonts w:asciiTheme="minorHAnsi" w:hAnsiTheme="minorHAnsi" w:cstheme="minorHAnsi"/>
                <w:sz w:val="18"/>
                <w:szCs w:val="18"/>
              </w:rPr>
              <w:t>568</w:t>
            </w:r>
          </w:p>
        </w:tc>
        <w:tc>
          <w:tcPr>
            <w:tcW w:w="1229" w:type="dxa"/>
          </w:tcPr>
          <w:p w14:paraId="6DBBB30A" w14:textId="2EBF01D8" w:rsidR="00BD08C0" w:rsidRPr="00987D69" w:rsidRDefault="00BD08C0" w:rsidP="00BD08C0">
            <w:pPr>
              <w:jc w:val="right"/>
              <w:rPr>
                <w:rFonts w:asciiTheme="minorHAnsi" w:hAnsiTheme="minorHAnsi" w:cstheme="minorHAnsi"/>
                <w:sz w:val="18"/>
                <w:szCs w:val="18"/>
              </w:rPr>
            </w:pPr>
            <w:r w:rsidRPr="00987D69">
              <w:rPr>
                <w:rFonts w:asciiTheme="minorHAnsi" w:hAnsiTheme="minorHAnsi" w:cstheme="minorHAnsi"/>
                <w:sz w:val="18"/>
                <w:szCs w:val="18"/>
              </w:rPr>
              <w:t>56</w:t>
            </w:r>
            <w:r w:rsidR="00A52563">
              <w:rPr>
                <w:rFonts w:asciiTheme="minorHAnsi" w:hAnsiTheme="minorHAnsi" w:cstheme="minorHAnsi"/>
                <w:sz w:val="18"/>
                <w:szCs w:val="18"/>
              </w:rPr>
              <w:t>0</w:t>
            </w:r>
          </w:p>
        </w:tc>
      </w:tr>
      <w:tr w:rsidR="00BD08C0" w:rsidRPr="008901A5" w14:paraId="71C9CB44" w14:textId="77777777" w:rsidTr="00BD08C0">
        <w:trPr>
          <w:trHeight w:val="267"/>
        </w:trPr>
        <w:tc>
          <w:tcPr>
            <w:tcW w:w="5103" w:type="dxa"/>
          </w:tcPr>
          <w:p w14:paraId="5E3EF802" w14:textId="77777777" w:rsidR="00BD08C0" w:rsidRPr="00987D69" w:rsidRDefault="00BD08C0" w:rsidP="00BD08C0">
            <w:pPr>
              <w:rPr>
                <w:rFonts w:asciiTheme="minorHAnsi" w:hAnsiTheme="minorHAnsi" w:cstheme="minorHAnsi"/>
                <w:sz w:val="18"/>
                <w:szCs w:val="18"/>
              </w:rPr>
            </w:pPr>
            <w:r w:rsidRPr="00987D69">
              <w:rPr>
                <w:rFonts w:asciiTheme="minorHAnsi" w:hAnsiTheme="minorHAnsi" w:cstheme="minorHAnsi"/>
                <w:color w:val="000000"/>
                <w:sz w:val="18"/>
                <w:szCs w:val="18"/>
              </w:rPr>
              <w:t>Reinsurance contract assets</w:t>
            </w:r>
          </w:p>
        </w:tc>
        <w:tc>
          <w:tcPr>
            <w:tcW w:w="851" w:type="dxa"/>
          </w:tcPr>
          <w:p w14:paraId="30BD507A" w14:textId="2F69AFFE" w:rsidR="00BD08C0" w:rsidRPr="00D21BD5" w:rsidRDefault="00BD08C0" w:rsidP="00BD08C0">
            <w:pPr>
              <w:rPr>
                <w:rFonts w:asciiTheme="minorHAnsi" w:hAnsiTheme="minorHAnsi" w:cstheme="minorHAnsi"/>
                <w:sz w:val="18"/>
                <w:szCs w:val="18"/>
                <w:highlight w:val="yellow"/>
              </w:rPr>
            </w:pPr>
          </w:p>
        </w:tc>
        <w:tc>
          <w:tcPr>
            <w:tcW w:w="1228" w:type="dxa"/>
          </w:tcPr>
          <w:p w14:paraId="69C51370" w14:textId="4808B8A2" w:rsidR="00BD08C0" w:rsidRPr="005B12AE" w:rsidRDefault="00BD08C0" w:rsidP="00BD08C0">
            <w:pPr>
              <w:jc w:val="right"/>
              <w:rPr>
                <w:rFonts w:asciiTheme="minorHAnsi" w:hAnsiTheme="minorHAnsi" w:cstheme="minorHAnsi"/>
                <w:b/>
                <w:sz w:val="18"/>
                <w:szCs w:val="18"/>
              </w:rPr>
            </w:pPr>
            <w:r w:rsidRPr="005B12AE">
              <w:rPr>
                <w:rFonts w:asciiTheme="minorHAnsi" w:hAnsiTheme="minorHAnsi" w:cstheme="minorHAnsi"/>
                <w:b/>
                <w:sz w:val="18"/>
                <w:szCs w:val="18"/>
              </w:rPr>
              <w:t>97,520</w:t>
            </w:r>
          </w:p>
        </w:tc>
        <w:tc>
          <w:tcPr>
            <w:tcW w:w="1229" w:type="dxa"/>
          </w:tcPr>
          <w:p w14:paraId="63A752F1" w14:textId="64336917" w:rsidR="00BD08C0" w:rsidRPr="00987D69" w:rsidRDefault="00BD08C0" w:rsidP="00BD08C0">
            <w:pPr>
              <w:jc w:val="right"/>
              <w:rPr>
                <w:rFonts w:asciiTheme="minorHAnsi" w:hAnsiTheme="minorHAnsi" w:cstheme="minorHAnsi"/>
                <w:sz w:val="18"/>
                <w:szCs w:val="18"/>
              </w:rPr>
            </w:pPr>
            <w:r w:rsidRPr="00987D69">
              <w:rPr>
                <w:rFonts w:asciiTheme="minorHAnsi" w:hAnsiTheme="minorHAnsi" w:cstheme="minorHAnsi"/>
                <w:sz w:val="18"/>
                <w:szCs w:val="18"/>
              </w:rPr>
              <w:t>136,657</w:t>
            </w:r>
          </w:p>
        </w:tc>
        <w:tc>
          <w:tcPr>
            <w:tcW w:w="1229" w:type="dxa"/>
          </w:tcPr>
          <w:p w14:paraId="14829CE5" w14:textId="70B679BB" w:rsidR="00BD08C0" w:rsidRPr="00987D69" w:rsidRDefault="00A52563" w:rsidP="00BD08C0">
            <w:pPr>
              <w:jc w:val="right"/>
              <w:rPr>
                <w:rFonts w:asciiTheme="minorHAnsi" w:hAnsiTheme="minorHAnsi" w:cstheme="minorHAnsi"/>
                <w:sz w:val="18"/>
                <w:szCs w:val="18"/>
              </w:rPr>
            </w:pPr>
            <w:r>
              <w:rPr>
                <w:rFonts w:asciiTheme="minorHAnsi" w:hAnsiTheme="minorHAnsi" w:cstheme="minorHAnsi"/>
                <w:sz w:val="18"/>
                <w:szCs w:val="18"/>
              </w:rPr>
              <w:t>208,888</w:t>
            </w:r>
          </w:p>
        </w:tc>
      </w:tr>
      <w:tr w:rsidR="00BD08C0" w:rsidRPr="008901A5" w14:paraId="694E8725" w14:textId="77777777" w:rsidTr="00BD08C0">
        <w:trPr>
          <w:trHeight w:val="267"/>
        </w:trPr>
        <w:tc>
          <w:tcPr>
            <w:tcW w:w="5103" w:type="dxa"/>
          </w:tcPr>
          <w:p w14:paraId="6587D3E1" w14:textId="77777777" w:rsidR="00BD08C0" w:rsidRPr="00987D69" w:rsidRDefault="00BD08C0" w:rsidP="00BD08C0">
            <w:pPr>
              <w:rPr>
                <w:rFonts w:asciiTheme="minorHAnsi" w:hAnsiTheme="minorHAnsi" w:cstheme="minorHAnsi"/>
                <w:color w:val="000000"/>
                <w:sz w:val="18"/>
                <w:szCs w:val="18"/>
              </w:rPr>
            </w:pPr>
            <w:r w:rsidRPr="00987D69">
              <w:rPr>
                <w:rFonts w:asciiTheme="minorHAnsi" w:hAnsiTheme="minorHAnsi" w:cstheme="minorHAnsi"/>
                <w:color w:val="000000"/>
                <w:sz w:val="18"/>
                <w:szCs w:val="18"/>
              </w:rPr>
              <w:t>Retirement benefit surplus</w:t>
            </w:r>
          </w:p>
        </w:tc>
        <w:tc>
          <w:tcPr>
            <w:tcW w:w="851" w:type="dxa"/>
          </w:tcPr>
          <w:p w14:paraId="26D85966" w14:textId="04916E35" w:rsidR="00BD08C0" w:rsidRPr="00D21BD5" w:rsidRDefault="00BD08C0" w:rsidP="00BD08C0">
            <w:pPr>
              <w:rPr>
                <w:rFonts w:asciiTheme="minorHAnsi" w:hAnsiTheme="minorHAnsi" w:cstheme="minorHAnsi"/>
                <w:sz w:val="18"/>
                <w:szCs w:val="18"/>
                <w:highlight w:val="yellow"/>
              </w:rPr>
            </w:pPr>
          </w:p>
        </w:tc>
        <w:tc>
          <w:tcPr>
            <w:tcW w:w="1228" w:type="dxa"/>
          </w:tcPr>
          <w:p w14:paraId="54EA5ECB" w14:textId="6597441E" w:rsidR="00BD08C0" w:rsidRPr="005B12AE" w:rsidRDefault="00BD08C0" w:rsidP="00BD08C0">
            <w:pPr>
              <w:jc w:val="right"/>
              <w:rPr>
                <w:rFonts w:asciiTheme="minorHAnsi" w:hAnsiTheme="minorHAnsi" w:cstheme="minorHAnsi"/>
                <w:b/>
                <w:sz w:val="18"/>
                <w:szCs w:val="18"/>
              </w:rPr>
            </w:pPr>
            <w:r w:rsidRPr="005B12AE">
              <w:rPr>
                <w:rFonts w:asciiTheme="minorHAnsi" w:hAnsiTheme="minorHAnsi" w:cstheme="minorHAnsi"/>
                <w:b/>
                <w:sz w:val="18"/>
                <w:szCs w:val="18"/>
              </w:rPr>
              <w:t>7,044</w:t>
            </w:r>
          </w:p>
        </w:tc>
        <w:tc>
          <w:tcPr>
            <w:tcW w:w="1229" w:type="dxa"/>
          </w:tcPr>
          <w:p w14:paraId="36F14E8D" w14:textId="23538AAC" w:rsidR="00BD08C0" w:rsidRPr="00987D69" w:rsidRDefault="00BD08C0" w:rsidP="00BD08C0">
            <w:pPr>
              <w:jc w:val="right"/>
              <w:rPr>
                <w:rFonts w:asciiTheme="minorHAnsi" w:hAnsiTheme="minorHAnsi" w:cstheme="minorHAnsi"/>
                <w:sz w:val="18"/>
                <w:szCs w:val="18"/>
              </w:rPr>
            </w:pPr>
            <w:r w:rsidRPr="00987D69">
              <w:rPr>
                <w:rFonts w:asciiTheme="minorHAnsi" w:hAnsiTheme="minorHAnsi" w:cstheme="minorHAnsi"/>
                <w:sz w:val="18"/>
                <w:szCs w:val="18"/>
              </w:rPr>
              <w:t>8,499</w:t>
            </w:r>
          </w:p>
        </w:tc>
        <w:tc>
          <w:tcPr>
            <w:tcW w:w="1229" w:type="dxa"/>
          </w:tcPr>
          <w:p w14:paraId="3B272F4E" w14:textId="2368F8F7" w:rsidR="00BD08C0" w:rsidRPr="00987D69" w:rsidRDefault="00A52563" w:rsidP="00BD08C0">
            <w:pPr>
              <w:jc w:val="right"/>
              <w:rPr>
                <w:rFonts w:asciiTheme="minorHAnsi" w:hAnsiTheme="minorHAnsi" w:cstheme="minorHAnsi"/>
                <w:sz w:val="18"/>
                <w:szCs w:val="18"/>
              </w:rPr>
            </w:pPr>
            <w:r>
              <w:rPr>
                <w:rFonts w:asciiTheme="minorHAnsi" w:hAnsiTheme="minorHAnsi" w:cstheme="minorHAnsi"/>
                <w:sz w:val="18"/>
                <w:szCs w:val="18"/>
              </w:rPr>
              <w:t>10,901</w:t>
            </w:r>
          </w:p>
        </w:tc>
      </w:tr>
      <w:tr w:rsidR="00BD08C0" w:rsidRPr="008901A5" w14:paraId="7EC1443A" w14:textId="77777777" w:rsidTr="00BD08C0">
        <w:trPr>
          <w:trHeight w:val="267"/>
        </w:trPr>
        <w:tc>
          <w:tcPr>
            <w:tcW w:w="5103" w:type="dxa"/>
          </w:tcPr>
          <w:p w14:paraId="04A37F0C" w14:textId="77777777" w:rsidR="00BD08C0" w:rsidRPr="00987D69" w:rsidRDefault="00BD08C0" w:rsidP="00BD08C0">
            <w:pPr>
              <w:rPr>
                <w:rFonts w:asciiTheme="minorHAnsi" w:hAnsiTheme="minorHAnsi" w:cstheme="minorHAnsi"/>
                <w:sz w:val="18"/>
                <w:szCs w:val="18"/>
              </w:rPr>
            </w:pPr>
            <w:r w:rsidRPr="00987D69">
              <w:rPr>
                <w:rFonts w:asciiTheme="minorHAnsi" w:hAnsiTheme="minorHAnsi" w:cstheme="minorHAnsi"/>
                <w:color w:val="000000"/>
                <w:sz w:val="18"/>
                <w:szCs w:val="18"/>
              </w:rPr>
              <w:t>Intangible assets</w:t>
            </w:r>
          </w:p>
        </w:tc>
        <w:tc>
          <w:tcPr>
            <w:tcW w:w="851" w:type="dxa"/>
          </w:tcPr>
          <w:p w14:paraId="0F4D925B" w14:textId="77777777" w:rsidR="00BD08C0" w:rsidRPr="00D21BD5" w:rsidRDefault="00BD08C0" w:rsidP="00BD08C0">
            <w:pPr>
              <w:rPr>
                <w:rFonts w:asciiTheme="minorHAnsi" w:hAnsiTheme="minorHAnsi" w:cstheme="minorHAnsi"/>
                <w:sz w:val="18"/>
                <w:szCs w:val="18"/>
                <w:highlight w:val="yellow"/>
              </w:rPr>
            </w:pPr>
          </w:p>
        </w:tc>
        <w:tc>
          <w:tcPr>
            <w:tcW w:w="1228" w:type="dxa"/>
          </w:tcPr>
          <w:p w14:paraId="2DF459DE" w14:textId="7C088F93" w:rsidR="00BD08C0" w:rsidRPr="005B12AE" w:rsidRDefault="00BD08C0" w:rsidP="00BD08C0">
            <w:pPr>
              <w:jc w:val="right"/>
              <w:rPr>
                <w:rFonts w:asciiTheme="minorHAnsi" w:hAnsiTheme="minorHAnsi" w:cstheme="minorHAnsi"/>
                <w:b/>
                <w:sz w:val="18"/>
                <w:szCs w:val="18"/>
              </w:rPr>
            </w:pPr>
            <w:r w:rsidRPr="005B12AE">
              <w:rPr>
                <w:rFonts w:asciiTheme="minorHAnsi" w:hAnsiTheme="minorHAnsi" w:cstheme="minorHAnsi"/>
                <w:b/>
                <w:sz w:val="18"/>
                <w:szCs w:val="18"/>
              </w:rPr>
              <w:t>27,735</w:t>
            </w:r>
          </w:p>
        </w:tc>
        <w:tc>
          <w:tcPr>
            <w:tcW w:w="1229" w:type="dxa"/>
          </w:tcPr>
          <w:p w14:paraId="7A010F29" w14:textId="56FBB0DD" w:rsidR="00BD08C0" w:rsidRPr="00987D69" w:rsidRDefault="00BD08C0" w:rsidP="00BD08C0">
            <w:pPr>
              <w:jc w:val="right"/>
              <w:rPr>
                <w:rFonts w:asciiTheme="minorHAnsi" w:hAnsiTheme="minorHAnsi" w:cstheme="minorHAnsi"/>
                <w:sz w:val="18"/>
                <w:szCs w:val="18"/>
              </w:rPr>
            </w:pPr>
            <w:r w:rsidRPr="00987D69">
              <w:rPr>
                <w:rFonts w:asciiTheme="minorHAnsi" w:hAnsiTheme="minorHAnsi" w:cstheme="minorHAnsi"/>
                <w:sz w:val="18"/>
                <w:szCs w:val="18"/>
              </w:rPr>
              <w:t>14,082</w:t>
            </w:r>
          </w:p>
        </w:tc>
        <w:tc>
          <w:tcPr>
            <w:tcW w:w="1229" w:type="dxa"/>
          </w:tcPr>
          <w:p w14:paraId="32B5AD2C" w14:textId="0D23E34A" w:rsidR="00BD08C0" w:rsidRPr="00987D69" w:rsidRDefault="00A52563" w:rsidP="00BD08C0">
            <w:pPr>
              <w:jc w:val="right"/>
              <w:rPr>
                <w:rFonts w:asciiTheme="minorHAnsi" w:hAnsiTheme="minorHAnsi" w:cstheme="minorHAnsi"/>
                <w:sz w:val="18"/>
                <w:szCs w:val="18"/>
              </w:rPr>
            </w:pPr>
            <w:r>
              <w:rPr>
                <w:rFonts w:asciiTheme="minorHAnsi" w:hAnsiTheme="minorHAnsi" w:cstheme="minorHAnsi"/>
                <w:sz w:val="18"/>
                <w:szCs w:val="18"/>
              </w:rPr>
              <w:t>9,031</w:t>
            </w:r>
          </w:p>
        </w:tc>
      </w:tr>
      <w:tr w:rsidR="00BD08C0" w:rsidRPr="008901A5" w14:paraId="5B3D67FF" w14:textId="77777777" w:rsidTr="00BD08C0">
        <w:trPr>
          <w:trHeight w:val="267"/>
        </w:trPr>
        <w:tc>
          <w:tcPr>
            <w:tcW w:w="5103" w:type="dxa"/>
          </w:tcPr>
          <w:p w14:paraId="57635DB4" w14:textId="77777777" w:rsidR="00BD08C0" w:rsidRPr="00987D69" w:rsidRDefault="00BD08C0" w:rsidP="00BD08C0">
            <w:pPr>
              <w:rPr>
                <w:rFonts w:asciiTheme="minorHAnsi" w:hAnsiTheme="minorHAnsi" w:cstheme="minorHAnsi"/>
                <w:sz w:val="18"/>
                <w:szCs w:val="18"/>
              </w:rPr>
            </w:pPr>
            <w:r w:rsidRPr="00987D69">
              <w:rPr>
                <w:rFonts w:asciiTheme="minorHAnsi" w:hAnsiTheme="minorHAnsi" w:cstheme="minorHAnsi"/>
                <w:color w:val="000000"/>
                <w:sz w:val="18"/>
                <w:szCs w:val="18"/>
              </w:rPr>
              <w:t>Policy administration system</w:t>
            </w:r>
          </w:p>
        </w:tc>
        <w:tc>
          <w:tcPr>
            <w:tcW w:w="851" w:type="dxa"/>
          </w:tcPr>
          <w:p w14:paraId="1A0EAD51" w14:textId="77777777" w:rsidR="00BD08C0" w:rsidRPr="00D21BD5" w:rsidRDefault="00BD08C0" w:rsidP="00BD08C0">
            <w:pPr>
              <w:rPr>
                <w:rFonts w:asciiTheme="minorHAnsi" w:hAnsiTheme="minorHAnsi" w:cstheme="minorHAnsi"/>
                <w:sz w:val="18"/>
                <w:szCs w:val="18"/>
                <w:highlight w:val="yellow"/>
              </w:rPr>
            </w:pPr>
          </w:p>
        </w:tc>
        <w:tc>
          <w:tcPr>
            <w:tcW w:w="1228" w:type="dxa"/>
          </w:tcPr>
          <w:p w14:paraId="401BB79F" w14:textId="145D4895" w:rsidR="00BD08C0" w:rsidRPr="005B12AE" w:rsidRDefault="00BD08C0" w:rsidP="00BD08C0">
            <w:pPr>
              <w:jc w:val="right"/>
              <w:rPr>
                <w:rFonts w:asciiTheme="minorHAnsi" w:hAnsiTheme="minorHAnsi" w:cstheme="minorHAnsi"/>
                <w:b/>
                <w:sz w:val="18"/>
                <w:szCs w:val="18"/>
              </w:rPr>
            </w:pPr>
            <w:r w:rsidRPr="005B12AE">
              <w:rPr>
                <w:rFonts w:asciiTheme="minorHAnsi" w:hAnsiTheme="minorHAnsi" w:cstheme="minorHAnsi"/>
                <w:b/>
                <w:sz w:val="18"/>
                <w:szCs w:val="18"/>
              </w:rPr>
              <w:t>17,926</w:t>
            </w:r>
          </w:p>
        </w:tc>
        <w:tc>
          <w:tcPr>
            <w:tcW w:w="1229" w:type="dxa"/>
          </w:tcPr>
          <w:p w14:paraId="092EEE14" w14:textId="10BCF9F6" w:rsidR="00BD08C0" w:rsidRPr="00987D69" w:rsidRDefault="00BD08C0" w:rsidP="00BD08C0">
            <w:pPr>
              <w:jc w:val="right"/>
              <w:rPr>
                <w:rFonts w:asciiTheme="minorHAnsi" w:hAnsiTheme="minorHAnsi" w:cstheme="minorHAnsi"/>
                <w:sz w:val="18"/>
                <w:szCs w:val="18"/>
              </w:rPr>
            </w:pPr>
            <w:r w:rsidRPr="00987D69">
              <w:rPr>
                <w:rFonts w:asciiTheme="minorHAnsi" w:hAnsiTheme="minorHAnsi" w:cstheme="minorHAnsi"/>
                <w:sz w:val="18"/>
                <w:szCs w:val="18"/>
              </w:rPr>
              <w:t>23,683</w:t>
            </w:r>
          </w:p>
        </w:tc>
        <w:tc>
          <w:tcPr>
            <w:tcW w:w="1229" w:type="dxa"/>
          </w:tcPr>
          <w:p w14:paraId="3B1CCEFC" w14:textId="34D35344" w:rsidR="00BD08C0" w:rsidRPr="00987D69" w:rsidRDefault="00A52563" w:rsidP="00BD08C0">
            <w:pPr>
              <w:jc w:val="right"/>
              <w:rPr>
                <w:rFonts w:asciiTheme="minorHAnsi" w:hAnsiTheme="minorHAnsi" w:cstheme="minorHAnsi"/>
                <w:sz w:val="18"/>
                <w:szCs w:val="18"/>
              </w:rPr>
            </w:pPr>
            <w:r>
              <w:rPr>
                <w:rFonts w:asciiTheme="minorHAnsi" w:hAnsiTheme="minorHAnsi" w:cstheme="minorHAnsi"/>
                <w:sz w:val="18"/>
                <w:szCs w:val="18"/>
              </w:rPr>
              <w:t>27,982</w:t>
            </w:r>
          </w:p>
        </w:tc>
      </w:tr>
      <w:tr w:rsidR="00BD08C0" w:rsidRPr="008901A5" w14:paraId="1752E1B7" w14:textId="77777777" w:rsidTr="00BD08C0">
        <w:trPr>
          <w:trHeight w:val="259"/>
        </w:trPr>
        <w:tc>
          <w:tcPr>
            <w:tcW w:w="5103" w:type="dxa"/>
          </w:tcPr>
          <w:p w14:paraId="5DCB994C" w14:textId="77777777" w:rsidR="00BD08C0" w:rsidRPr="00987D69" w:rsidRDefault="00BD08C0" w:rsidP="00BD08C0">
            <w:pPr>
              <w:rPr>
                <w:rFonts w:asciiTheme="minorHAnsi" w:hAnsiTheme="minorHAnsi" w:cstheme="minorHAnsi"/>
                <w:sz w:val="18"/>
                <w:szCs w:val="18"/>
              </w:rPr>
            </w:pPr>
            <w:r w:rsidRPr="00987D69">
              <w:rPr>
                <w:rFonts w:asciiTheme="minorHAnsi" w:hAnsiTheme="minorHAnsi" w:cstheme="minorHAnsi"/>
                <w:color w:val="000000"/>
                <w:sz w:val="18"/>
                <w:szCs w:val="18"/>
              </w:rPr>
              <w:t>Investment property</w:t>
            </w:r>
          </w:p>
        </w:tc>
        <w:tc>
          <w:tcPr>
            <w:tcW w:w="851" w:type="dxa"/>
          </w:tcPr>
          <w:p w14:paraId="66C4D585" w14:textId="77777777" w:rsidR="00BD08C0" w:rsidRPr="00D21BD5" w:rsidRDefault="00BD08C0" w:rsidP="00BD08C0">
            <w:pPr>
              <w:rPr>
                <w:rFonts w:asciiTheme="minorHAnsi" w:hAnsiTheme="minorHAnsi" w:cstheme="minorHAnsi"/>
                <w:sz w:val="18"/>
                <w:szCs w:val="18"/>
                <w:highlight w:val="yellow"/>
              </w:rPr>
            </w:pPr>
          </w:p>
        </w:tc>
        <w:tc>
          <w:tcPr>
            <w:tcW w:w="1228" w:type="dxa"/>
          </w:tcPr>
          <w:p w14:paraId="28403226" w14:textId="093277DF" w:rsidR="00BD08C0" w:rsidRPr="005B12AE" w:rsidRDefault="00BD08C0" w:rsidP="00BD08C0">
            <w:pPr>
              <w:jc w:val="right"/>
              <w:rPr>
                <w:rFonts w:asciiTheme="minorHAnsi" w:hAnsiTheme="minorHAnsi" w:cstheme="minorHAnsi"/>
                <w:b/>
                <w:sz w:val="18"/>
                <w:szCs w:val="18"/>
              </w:rPr>
            </w:pPr>
            <w:r w:rsidRPr="005B12AE">
              <w:rPr>
                <w:rFonts w:asciiTheme="minorHAnsi" w:hAnsiTheme="minorHAnsi" w:cstheme="minorHAnsi"/>
                <w:b/>
                <w:sz w:val="18"/>
                <w:szCs w:val="18"/>
              </w:rPr>
              <w:t>11,953</w:t>
            </w:r>
          </w:p>
        </w:tc>
        <w:tc>
          <w:tcPr>
            <w:tcW w:w="1229" w:type="dxa"/>
          </w:tcPr>
          <w:p w14:paraId="3275EB95" w14:textId="3CCE0685" w:rsidR="00BD08C0" w:rsidRPr="00987D69" w:rsidRDefault="00BD08C0" w:rsidP="00BD08C0">
            <w:pPr>
              <w:jc w:val="right"/>
              <w:rPr>
                <w:rFonts w:asciiTheme="minorHAnsi" w:hAnsiTheme="minorHAnsi" w:cstheme="minorHAnsi"/>
                <w:sz w:val="18"/>
                <w:szCs w:val="18"/>
              </w:rPr>
            </w:pPr>
            <w:r w:rsidRPr="00987D69">
              <w:rPr>
                <w:rFonts w:asciiTheme="minorHAnsi" w:hAnsiTheme="minorHAnsi" w:cstheme="minorHAnsi"/>
                <w:sz w:val="18"/>
                <w:szCs w:val="18"/>
              </w:rPr>
              <w:t>15,052</w:t>
            </w:r>
          </w:p>
        </w:tc>
        <w:tc>
          <w:tcPr>
            <w:tcW w:w="1229" w:type="dxa"/>
          </w:tcPr>
          <w:p w14:paraId="7C710828" w14:textId="2A2E3930" w:rsidR="00BD08C0" w:rsidRPr="00987D69" w:rsidRDefault="00BD08C0" w:rsidP="00BD08C0">
            <w:pPr>
              <w:jc w:val="right"/>
              <w:rPr>
                <w:rFonts w:asciiTheme="minorHAnsi" w:hAnsiTheme="minorHAnsi" w:cstheme="minorHAnsi"/>
                <w:sz w:val="18"/>
                <w:szCs w:val="18"/>
              </w:rPr>
            </w:pPr>
            <w:r w:rsidRPr="00987D69">
              <w:rPr>
                <w:rFonts w:asciiTheme="minorHAnsi" w:hAnsiTheme="minorHAnsi" w:cstheme="minorHAnsi"/>
                <w:sz w:val="18"/>
                <w:szCs w:val="18"/>
              </w:rPr>
              <w:t>1</w:t>
            </w:r>
            <w:r w:rsidR="00A52563">
              <w:rPr>
                <w:rFonts w:asciiTheme="minorHAnsi" w:hAnsiTheme="minorHAnsi" w:cstheme="minorHAnsi"/>
                <w:sz w:val="18"/>
                <w:szCs w:val="18"/>
              </w:rPr>
              <w:t>6,055</w:t>
            </w:r>
          </w:p>
        </w:tc>
      </w:tr>
      <w:tr w:rsidR="00BD08C0" w:rsidRPr="008901A5" w14:paraId="47A20642" w14:textId="77777777" w:rsidTr="00BD08C0">
        <w:trPr>
          <w:trHeight w:val="267"/>
        </w:trPr>
        <w:tc>
          <w:tcPr>
            <w:tcW w:w="5103" w:type="dxa"/>
          </w:tcPr>
          <w:p w14:paraId="61A9F4A2" w14:textId="77777777" w:rsidR="00BD08C0" w:rsidRPr="00987D69" w:rsidRDefault="00BD08C0" w:rsidP="00BD08C0">
            <w:pPr>
              <w:rPr>
                <w:rFonts w:asciiTheme="minorHAnsi" w:hAnsiTheme="minorHAnsi" w:cstheme="minorHAnsi"/>
                <w:sz w:val="18"/>
                <w:szCs w:val="18"/>
              </w:rPr>
            </w:pPr>
            <w:r w:rsidRPr="00987D69">
              <w:rPr>
                <w:rFonts w:asciiTheme="minorHAnsi" w:hAnsiTheme="minorHAnsi" w:cstheme="minorHAnsi"/>
                <w:color w:val="000000"/>
                <w:sz w:val="18"/>
                <w:szCs w:val="18"/>
              </w:rPr>
              <w:t xml:space="preserve">Right of use assets </w:t>
            </w:r>
          </w:p>
        </w:tc>
        <w:tc>
          <w:tcPr>
            <w:tcW w:w="851" w:type="dxa"/>
          </w:tcPr>
          <w:p w14:paraId="501ACBCF" w14:textId="77777777" w:rsidR="00BD08C0" w:rsidRPr="00D21BD5" w:rsidRDefault="00BD08C0" w:rsidP="00BD08C0">
            <w:pPr>
              <w:rPr>
                <w:rFonts w:asciiTheme="minorHAnsi" w:hAnsiTheme="minorHAnsi" w:cstheme="minorHAnsi"/>
                <w:sz w:val="18"/>
                <w:szCs w:val="18"/>
                <w:highlight w:val="yellow"/>
              </w:rPr>
            </w:pPr>
          </w:p>
        </w:tc>
        <w:tc>
          <w:tcPr>
            <w:tcW w:w="1228" w:type="dxa"/>
          </w:tcPr>
          <w:p w14:paraId="2F099FB0" w14:textId="3F62D9A1" w:rsidR="00BD08C0" w:rsidRPr="005B12AE" w:rsidRDefault="00BD08C0" w:rsidP="00BD08C0">
            <w:pPr>
              <w:jc w:val="right"/>
              <w:rPr>
                <w:rFonts w:asciiTheme="minorHAnsi" w:hAnsiTheme="minorHAnsi" w:cstheme="minorHAnsi"/>
                <w:b/>
                <w:sz w:val="18"/>
                <w:szCs w:val="18"/>
              </w:rPr>
            </w:pPr>
            <w:r w:rsidRPr="005B12AE">
              <w:rPr>
                <w:rFonts w:asciiTheme="minorHAnsi" w:hAnsiTheme="minorHAnsi" w:cstheme="minorHAnsi"/>
                <w:b/>
                <w:sz w:val="18"/>
                <w:szCs w:val="18"/>
              </w:rPr>
              <w:t>3,503</w:t>
            </w:r>
          </w:p>
        </w:tc>
        <w:tc>
          <w:tcPr>
            <w:tcW w:w="1229" w:type="dxa"/>
          </w:tcPr>
          <w:p w14:paraId="3231B277" w14:textId="46DCDFFA" w:rsidR="00BD08C0" w:rsidRPr="00987D69" w:rsidRDefault="00BD08C0" w:rsidP="00BD08C0">
            <w:pPr>
              <w:jc w:val="right"/>
              <w:rPr>
                <w:rFonts w:asciiTheme="minorHAnsi" w:hAnsiTheme="minorHAnsi" w:cstheme="minorHAnsi"/>
                <w:sz w:val="18"/>
                <w:szCs w:val="18"/>
              </w:rPr>
            </w:pPr>
            <w:r w:rsidRPr="00987D69">
              <w:rPr>
                <w:rFonts w:asciiTheme="minorHAnsi" w:hAnsiTheme="minorHAnsi" w:cstheme="minorHAnsi"/>
                <w:sz w:val="18"/>
                <w:szCs w:val="18"/>
              </w:rPr>
              <w:t>4,290</w:t>
            </w:r>
          </w:p>
        </w:tc>
        <w:tc>
          <w:tcPr>
            <w:tcW w:w="1229" w:type="dxa"/>
          </w:tcPr>
          <w:p w14:paraId="73921E51" w14:textId="4A54A5FA" w:rsidR="00BD08C0" w:rsidRPr="00987D69" w:rsidRDefault="00A52563" w:rsidP="00BD08C0">
            <w:pPr>
              <w:jc w:val="right"/>
              <w:rPr>
                <w:rFonts w:asciiTheme="minorHAnsi" w:hAnsiTheme="minorHAnsi" w:cstheme="minorHAnsi"/>
                <w:sz w:val="18"/>
                <w:szCs w:val="18"/>
              </w:rPr>
            </w:pPr>
            <w:r>
              <w:rPr>
                <w:rFonts w:asciiTheme="minorHAnsi" w:hAnsiTheme="minorHAnsi" w:cstheme="minorHAnsi"/>
                <w:sz w:val="18"/>
                <w:szCs w:val="18"/>
              </w:rPr>
              <w:t>5,078</w:t>
            </w:r>
          </w:p>
        </w:tc>
      </w:tr>
      <w:tr w:rsidR="00BD08C0" w:rsidRPr="008901A5" w14:paraId="0D4487D5" w14:textId="77777777" w:rsidTr="00BD08C0">
        <w:trPr>
          <w:trHeight w:val="259"/>
        </w:trPr>
        <w:tc>
          <w:tcPr>
            <w:tcW w:w="5103" w:type="dxa"/>
          </w:tcPr>
          <w:p w14:paraId="2DD6DD22" w14:textId="77777777" w:rsidR="00BD08C0" w:rsidRPr="00987D69" w:rsidRDefault="00BD08C0" w:rsidP="00BD08C0">
            <w:pPr>
              <w:rPr>
                <w:rFonts w:asciiTheme="minorHAnsi" w:hAnsiTheme="minorHAnsi" w:cstheme="minorHAnsi"/>
                <w:sz w:val="18"/>
                <w:szCs w:val="18"/>
              </w:rPr>
            </w:pPr>
            <w:r w:rsidRPr="00987D69">
              <w:rPr>
                <w:rFonts w:asciiTheme="minorHAnsi" w:hAnsiTheme="minorHAnsi" w:cstheme="minorHAnsi"/>
                <w:color w:val="000000"/>
                <w:sz w:val="18"/>
                <w:szCs w:val="18"/>
              </w:rPr>
              <w:t xml:space="preserve">Property, </w:t>
            </w:r>
            <w:proofErr w:type="gramStart"/>
            <w:r w:rsidRPr="00987D69">
              <w:rPr>
                <w:rFonts w:asciiTheme="minorHAnsi" w:hAnsiTheme="minorHAnsi" w:cstheme="minorHAnsi"/>
                <w:color w:val="000000"/>
                <w:sz w:val="18"/>
                <w:szCs w:val="18"/>
              </w:rPr>
              <w:t>plant</w:t>
            </w:r>
            <w:proofErr w:type="gramEnd"/>
            <w:r>
              <w:rPr>
                <w:rFonts w:asciiTheme="minorHAnsi" w:hAnsiTheme="minorHAnsi" w:cstheme="minorHAnsi"/>
                <w:color w:val="000000"/>
                <w:sz w:val="18"/>
                <w:szCs w:val="18"/>
              </w:rPr>
              <w:t xml:space="preserve"> and</w:t>
            </w:r>
            <w:r w:rsidRPr="00987D69">
              <w:rPr>
                <w:rFonts w:asciiTheme="minorHAnsi" w:hAnsiTheme="minorHAnsi" w:cstheme="minorHAnsi"/>
                <w:color w:val="000000"/>
                <w:sz w:val="18"/>
                <w:szCs w:val="18"/>
              </w:rPr>
              <w:t xml:space="preserve"> equipment</w:t>
            </w:r>
          </w:p>
        </w:tc>
        <w:tc>
          <w:tcPr>
            <w:tcW w:w="851" w:type="dxa"/>
          </w:tcPr>
          <w:p w14:paraId="26EE1BF3" w14:textId="77777777" w:rsidR="00BD08C0" w:rsidRPr="00D21BD5" w:rsidRDefault="00BD08C0" w:rsidP="00BD08C0">
            <w:pPr>
              <w:rPr>
                <w:rFonts w:asciiTheme="minorHAnsi" w:hAnsiTheme="minorHAnsi" w:cstheme="minorHAnsi"/>
                <w:sz w:val="18"/>
                <w:szCs w:val="18"/>
                <w:highlight w:val="yellow"/>
              </w:rPr>
            </w:pPr>
          </w:p>
        </w:tc>
        <w:tc>
          <w:tcPr>
            <w:tcW w:w="1228" w:type="dxa"/>
          </w:tcPr>
          <w:p w14:paraId="17B2EE67" w14:textId="1D7026DC" w:rsidR="00BD08C0" w:rsidRPr="005B12AE" w:rsidRDefault="00BD08C0" w:rsidP="00BD08C0">
            <w:pPr>
              <w:jc w:val="right"/>
              <w:rPr>
                <w:rFonts w:asciiTheme="minorHAnsi" w:hAnsiTheme="minorHAnsi" w:cstheme="minorHAnsi"/>
                <w:b/>
                <w:sz w:val="18"/>
                <w:szCs w:val="18"/>
              </w:rPr>
            </w:pPr>
            <w:r w:rsidRPr="005B12AE">
              <w:rPr>
                <w:rFonts w:asciiTheme="minorHAnsi" w:hAnsiTheme="minorHAnsi" w:cstheme="minorHAnsi"/>
                <w:b/>
                <w:sz w:val="18"/>
                <w:szCs w:val="18"/>
              </w:rPr>
              <w:t>20,821</w:t>
            </w:r>
          </w:p>
        </w:tc>
        <w:tc>
          <w:tcPr>
            <w:tcW w:w="1229" w:type="dxa"/>
          </w:tcPr>
          <w:p w14:paraId="683C74A0" w14:textId="2289547C" w:rsidR="00BD08C0" w:rsidRPr="00987D69" w:rsidRDefault="00BD08C0" w:rsidP="00BD08C0">
            <w:pPr>
              <w:jc w:val="right"/>
              <w:rPr>
                <w:rFonts w:asciiTheme="minorHAnsi" w:hAnsiTheme="minorHAnsi" w:cstheme="minorHAnsi"/>
                <w:sz w:val="18"/>
                <w:szCs w:val="18"/>
              </w:rPr>
            </w:pPr>
            <w:r w:rsidRPr="00987D69">
              <w:rPr>
                <w:rFonts w:asciiTheme="minorHAnsi" w:hAnsiTheme="minorHAnsi" w:cstheme="minorHAnsi"/>
                <w:sz w:val="18"/>
                <w:szCs w:val="18"/>
              </w:rPr>
              <w:t>22,745</w:t>
            </w:r>
          </w:p>
        </w:tc>
        <w:tc>
          <w:tcPr>
            <w:tcW w:w="1229" w:type="dxa"/>
          </w:tcPr>
          <w:p w14:paraId="6D270700" w14:textId="2C7042DC" w:rsidR="00BD08C0" w:rsidRPr="00987D69" w:rsidRDefault="00BD08C0" w:rsidP="00BD08C0">
            <w:pPr>
              <w:jc w:val="right"/>
              <w:rPr>
                <w:rFonts w:asciiTheme="minorHAnsi" w:hAnsiTheme="minorHAnsi" w:cstheme="minorHAnsi"/>
                <w:sz w:val="18"/>
                <w:szCs w:val="18"/>
              </w:rPr>
            </w:pPr>
            <w:r w:rsidRPr="00987D69">
              <w:rPr>
                <w:rFonts w:asciiTheme="minorHAnsi" w:hAnsiTheme="minorHAnsi" w:cstheme="minorHAnsi"/>
                <w:sz w:val="18"/>
                <w:szCs w:val="18"/>
              </w:rPr>
              <w:t>2</w:t>
            </w:r>
            <w:r w:rsidR="00A52563">
              <w:rPr>
                <w:rFonts w:asciiTheme="minorHAnsi" w:hAnsiTheme="minorHAnsi" w:cstheme="minorHAnsi"/>
                <w:sz w:val="18"/>
                <w:szCs w:val="18"/>
              </w:rPr>
              <w:t>4,178</w:t>
            </w:r>
          </w:p>
        </w:tc>
      </w:tr>
      <w:tr w:rsidR="00BD08C0" w:rsidRPr="008901A5" w14:paraId="58C99F2F" w14:textId="77777777" w:rsidTr="00BD08C0">
        <w:trPr>
          <w:trHeight w:val="259"/>
        </w:trPr>
        <w:tc>
          <w:tcPr>
            <w:tcW w:w="5103" w:type="dxa"/>
          </w:tcPr>
          <w:p w14:paraId="191BC189" w14:textId="77777777" w:rsidR="00BD08C0" w:rsidRPr="00987D69" w:rsidRDefault="00BD08C0" w:rsidP="00BD08C0">
            <w:pPr>
              <w:rPr>
                <w:rFonts w:asciiTheme="minorHAnsi" w:hAnsiTheme="minorHAnsi" w:cstheme="minorHAnsi"/>
                <w:sz w:val="18"/>
                <w:szCs w:val="18"/>
              </w:rPr>
            </w:pPr>
            <w:r w:rsidRPr="00987D69">
              <w:rPr>
                <w:rFonts w:asciiTheme="minorHAnsi" w:hAnsiTheme="minorHAnsi" w:cstheme="minorHAnsi"/>
                <w:color w:val="000000"/>
                <w:sz w:val="18"/>
                <w:szCs w:val="18"/>
              </w:rPr>
              <w:t>Deferred taxation asset</w:t>
            </w:r>
          </w:p>
        </w:tc>
        <w:tc>
          <w:tcPr>
            <w:tcW w:w="851" w:type="dxa"/>
          </w:tcPr>
          <w:p w14:paraId="58DC5F5D" w14:textId="5A3D8CF1" w:rsidR="00BD08C0" w:rsidRPr="00D21BD5" w:rsidRDefault="00BD08C0" w:rsidP="00BD08C0">
            <w:pPr>
              <w:rPr>
                <w:rFonts w:asciiTheme="minorHAnsi" w:hAnsiTheme="minorHAnsi" w:cstheme="minorHAnsi"/>
                <w:sz w:val="18"/>
                <w:szCs w:val="18"/>
                <w:highlight w:val="yellow"/>
              </w:rPr>
            </w:pPr>
          </w:p>
        </w:tc>
        <w:tc>
          <w:tcPr>
            <w:tcW w:w="1228" w:type="dxa"/>
          </w:tcPr>
          <w:p w14:paraId="19434E46" w14:textId="2ACDB3FF" w:rsidR="00BD08C0" w:rsidRPr="005B12AE" w:rsidRDefault="00BD08C0" w:rsidP="00BD08C0">
            <w:pPr>
              <w:jc w:val="right"/>
              <w:rPr>
                <w:rFonts w:asciiTheme="minorHAnsi" w:hAnsiTheme="minorHAnsi" w:cstheme="minorHAnsi"/>
                <w:b/>
                <w:sz w:val="18"/>
                <w:szCs w:val="18"/>
              </w:rPr>
            </w:pPr>
            <w:r w:rsidRPr="005B12AE">
              <w:rPr>
                <w:rFonts w:asciiTheme="minorHAnsi" w:hAnsiTheme="minorHAnsi" w:cstheme="minorHAnsi"/>
                <w:b/>
                <w:sz w:val="18"/>
                <w:szCs w:val="18"/>
              </w:rPr>
              <w:t>493</w:t>
            </w:r>
          </w:p>
        </w:tc>
        <w:tc>
          <w:tcPr>
            <w:tcW w:w="1229" w:type="dxa"/>
          </w:tcPr>
          <w:p w14:paraId="78609DF6" w14:textId="097AEAA6" w:rsidR="00BD08C0" w:rsidRPr="00987D69" w:rsidRDefault="00BD08C0" w:rsidP="00BD08C0">
            <w:pPr>
              <w:jc w:val="right"/>
              <w:rPr>
                <w:rFonts w:asciiTheme="minorHAnsi" w:hAnsiTheme="minorHAnsi" w:cstheme="minorHAnsi"/>
                <w:sz w:val="18"/>
                <w:szCs w:val="18"/>
              </w:rPr>
            </w:pPr>
            <w:r w:rsidRPr="00987D69">
              <w:rPr>
                <w:rFonts w:asciiTheme="minorHAnsi" w:hAnsiTheme="minorHAnsi" w:cstheme="minorHAnsi"/>
                <w:sz w:val="18"/>
                <w:szCs w:val="18"/>
              </w:rPr>
              <w:t>3,629</w:t>
            </w:r>
          </w:p>
        </w:tc>
        <w:tc>
          <w:tcPr>
            <w:tcW w:w="1229" w:type="dxa"/>
          </w:tcPr>
          <w:p w14:paraId="20AAF018" w14:textId="69C1BFFF" w:rsidR="00BD08C0" w:rsidRPr="00987D69" w:rsidRDefault="00A52563" w:rsidP="00BD08C0">
            <w:pPr>
              <w:jc w:val="right"/>
              <w:rPr>
                <w:rFonts w:asciiTheme="minorHAnsi" w:hAnsiTheme="minorHAnsi" w:cstheme="minorHAnsi"/>
                <w:sz w:val="18"/>
                <w:szCs w:val="18"/>
              </w:rPr>
            </w:pPr>
            <w:r>
              <w:rPr>
                <w:rFonts w:asciiTheme="minorHAnsi" w:hAnsiTheme="minorHAnsi" w:cstheme="minorHAnsi"/>
                <w:sz w:val="18"/>
                <w:szCs w:val="18"/>
              </w:rPr>
              <w:t>-</w:t>
            </w:r>
          </w:p>
        </w:tc>
      </w:tr>
      <w:tr w:rsidR="00BD08C0" w:rsidRPr="008901A5" w14:paraId="713D5142" w14:textId="77777777" w:rsidTr="00BD08C0">
        <w:trPr>
          <w:trHeight w:val="267"/>
        </w:trPr>
        <w:tc>
          <w:tcPr>
            <w:tcW w:w="5103" w:type="dxa"/>
          </w:tcPr>
          <w:p w14:paraId="49ECBF71" w14:textId="77777777" w:rsidR="00BD08C0" w:rsidRPr="00987D69" w:rsidRDefault="00BD08C0" w:rsidP="00BD08C0">
            <w:pPr>
              <w:rPr>
                <w:rFonts w:ascii="Calibri" w:hAnsi="Calibri" w:cs="Calibri"/>
                <w:b/>
                <w:sz w:val="18"/>
                <w:szCs w:val="18"/>
              </w:rPr>
            </w:pPr>
          </w:p>
        </w:tc>
        <w:tc>
          <w:tcPr>
            <w:tcW w:w="851" w:type="dxa"/>
          </w:tcPr>
          <w:p w14:paraId="1A792513" w14:textId="77777777" w:rsidR="00BD08C0" w:rsidRPr="00987D69" w:rsidRDefault="00BD08C0" w:rsidP="00BD08C0">
            <w:pPr>
              <w:rPr>
                <w:rFonts w:ascii="Calibri" w:hAnsi="Calibri" w:cs="Calibri"/>
                <w:b/>
                <w:sz w:val="18"/>
                <w:szCs w:val="18"/>
              </w:rPr>
            </w:pPr>
          </w:p>
        </w:tc>
        <w:tc>
          <w:tcPr>
            <w:tcW w:w="1228" w:type="dxa"/>
            <w:tcBorders>
              <w:bottom w:val="single" w:sz="2" w:space="0" w:color="auto"/>
            </w:tcBorders>
          </w:tcPr>
          <w:p w14:paraId="34900745" w14:textId="77777777" w:rsidR="00BD08C0" w:rsidRPr="00A52563" w:rsidRDefault="00BD08C0" w:rsidP="00BD08C0">
            <w:pPr>
              <w:jc w:val="right"/>
              <w:rPr>
                <w:rFonts w:ascii="Calibri" w:hAnsi="Calibri" w:cs="Calibri"/>
                <w:b/>
                <w:sz w:val="18"/>
                <w:szCs w:val="18"/>
              </w:rPr>
            </w:pPr>
          </w:p>
        </w:tc>
        <w:tc>
          <w:tcPr>
            <w:tcW w:w="1229" w:type="dxa"/>
            <w:tcBorders>
              <w:bottom w:val="single" w:sz="2" w:space="0" w:color="auto"/>
            </w:tcBorders>
          </w:tcPr>
          <w:p w14:paraId="5E5C3A94" w14:textId="77777777" w:rsidR="00BD08C0" w:rsidRPr="00987D69" w:rsidRDefault="00BD08C0" w:rsidP="00BD08C0">
            <w:pPr>
              <w:jc w:val="right"/>
              <w:rPr>
                <w:rFonts w:ascii="Calibri" w:hAnsi="Calibri" w:cs="Calibri"/>
                <w:b/>
                <w:sz w:val="18"/>
                <w:szCs w:val="18"/>
              </w:rPr>
            </w:pPr>
          </w:p>
        </w:tc>
        <w:tc>
          <w:tcPr>
            <w:tcW w:w="1229" w:type="dxa"/>
            <w:tcBorders>
              <w:bottom w:val="single" w:sz="2" w:space="0" w:color="auto"/>
            </w:tcBorders>
          </w:tcPr>
          <w:p w14:paraId="35A0B49A" w14:textId="2D98EA2B" w:rsidR="00BD08C0" w:rsidRPr="00987D69" w:rsidRDefault="00BD08C0" w:rsidP="00BD08C0">
            <w:pPr>
              <w:jc w:val="right"/>
              <w:rPr>
                <w:rFonts w:ascii="Calibri" w:hAnsi="Calibri" w:cs="Calibri"/>
                <w:b/>
                <w:sz w:val="18"/>
                <w:szCs w:val="18"/>
              </w:rPr>
            </w:pPr>
          </w:p>
        </w:tc>
      </w:tr>
      <w:tr w:rsidR="00BD08C0" w:rsidRPr="008901A5" w14:paraId="3C4CBF18" w14:textId="77777777" w:rsidTr="00BD08C0">
        <w:trPr>
          <w:trHeight w:val="267"/>
        </w:trPr>
        <w:tc>
          <w:tcPr>
            <w:tcW w:w="5103" w:type="dxa"/>
          </w:tcPr>
          <w:p w14:paraId="58633E98" w14:textId="77777777" w:rsidR="00BD08C0" w:rsidRPr="00987D69" w:rsidRDefault="00BD08C0" w:rsidP="00BD08C0">
            <w:pPr>
              <w:rPr>
                <w:rFonts w:ascii="Calibri" w:hAnsi="Calibri" w:cs="Calibri"/>
                <w:b/>
                <w:sz w:val="18"/>
                <w:szCs w:val="18"/>
              </w:rPr>
            </w:pPr>
            <w:r w:rsidRPr="00987D69">
              <w:rPr>
                <w:rFonts w:ascii="Calibri" w:hAnsi="Calibri" w:cs="Calibri"/>
                <w:b/>
                <w:color w:val="000000"/>
                <w:sz w:val="18"/>
                <w:szCs w:val="18"/>
              </w:rPr>
              <w:t>Total assets</w:t>
            </w:r>
            <w:r w:rsidRPr="00987D69">
              <w:rPr>
                <w:rFonts w:ascii="Calibri" w:hAnsi="Calibri" w:cs="Calibri"/>
                <w:color w:val="000000"/>
                <w:sz w:val="18"/>
                <w:szCs w:val="18"/>
              </w:rPr>
              <w:t xml:space="preserve"> </w:t>
            </w:r>
          </w:p>
        </w:tc>
        <w:tc>
          <w:tcPr>
            <w:tcW w:w="851" w:type="dxa"/>
          </w:tcPr>
          <w:p w14:paraId="72654387" w14:textId="77777777" w:rsidR="00BD08C0" w:rsidRPr="00987D69" w:rsidRDefault="00BD08C0" w:rsidP="00BD08C0">
            <w:pPr>
              <w:rPr>
                <w:rFonts w:ascii="Calibri" w:hAnsi="Calibri" w:cs="Calibri"/>
                <w:b/>
                <w:sz w:val="18"/>
                <w:szCs w:val="18"/>
              </w:rPr>
            </w:pPr>
          </w:p>
        </w:tc>
        <w:tc>
          <w:tcPr>
            <w:tcW w:w="1228" w:type="dxa"/>
            <w:tcBorders>
              <w:top w:val="single" w:sz="2" w:space="0" w:color="auto"/>
              <w:bottom w:val="single" w:sz="8" w:space="0" w:color="auto"/>
            </w:tcBorders>
          </w:tcPr>
          <w:p w14:paraId="31DC8AFA" w14:textId="2F7AF92F" w:rsidR="00BD08C0" w:rsidRPr="00863465" w:rsidRDefault="00BD08C0" w:rsidP="00BD08C0">
            <w:pPr>
              <w:jc w:val="right"/>
              <w:rPr>
                <w:rFonts w:ascii="Calibri" w:hAnsi="Calibri" w:cs="Calibri"/>
                <w:b/>
                <w:sz w:val="18"/>
                <w:szCs w:val="18"/>
              </w:rPr>
            </w:pPr>
            <w:r w:rsidRPr="00105250">
              <w:rPr>
                <w:rFonts w:ascii="Calibri" w:hAnsi="Calibri" w:cs="Calibri"/>
                <w:b/>
                <w:sz w:val="18"/>
                <w:szCs w:val="18"/>
              </w:rPr>
              <w:t>1,36</w:t>
            </w:r>
            <w:r>
              <w:rPr>
                <w:rFonts w:ascii="Calibri" w:hAnsi="Calibri" w:cs="Calibri"/>
                <w:b/>
                <w:sz w:val="18"/>
                <w:szCs w:val="18"/>
              </w:rPr>
              <w:t>7</w:t>
            </w:r>
            <w:r w:rsidRPr="00105250">
              <w:rPr>
                <w:rFonts w:ascii="Calibri" w:hAnsi="Calibri" w:cs="Calibri"/>
                <w:b/>
                <w:sz w:val="18"/>
                <w:szCs w:val="18"/>
              </w:rPr>
              <w:t>,</w:t>
            </w:r>
            <w:r>
              <w:rPr>
                <w:rFonts w:ascii="Calibri" w:hAnsi="Calibri" w:cs="Calibri"/>
                <w:b/>
                <w:sz w:val="18"/>
                <w:szCs w:val="18"/>
              </w:rPr>
              <w:t>074</w:t>
            </w:r>
          </w:p>
        </w:tc>
        <w:tc>
          <w:tcPr>
            <w:tcW w:w="1229" w:type="dxa"/>
            <w:tcBorders>
              <w:top w:val="single" w:sz="2" w:space="0" w:color="auto"/>
              <w:bottom w:val="single" w:sz="8" w:space="0" w:color="auto"/>
            </w:tcBorders>
          </w:tcPr>
          <w:p w14:paraId="1D374014" w14:textId="4B888E5D" w:rsidR="00BD08C0" w:rsidRPr="005B12AE" w:rsidRDefault="00BD08C0" w:rsidP="00BD08C0">
            <w:pPr>
              <w:jc w:val="right"/>
              <w:rPr>
                <w:rFonts w:ascii="Calibri" w:hAnsi="Calibri" w:cs="Calibri"/>
                <w:bCs/>
                <w:sz w:val="18"/>
                <w:szCs w:val="18"/>
              </w:rPr>
            </w:pPr>
            <w:r w:rsidRPr="005B12AE">
              <w:rPr>
                <w:rFonts w:ascii="Calibri" w:hAnsi="Calibri" w:cs="Calibri"/>
                <w:bCs/>
                <w:sz w:val="18"/>
                <w:szCs w:val="18"/>
              </w:rPr>
              <w:t>1,387,552</w:t>
            </w:r>
          </w:p>
        </w:tc>
        <w:tc>
          <w:tcPr>
            <w:tcW w:w="1229" w:type="dxa"/>
            <w:tcBorders>
              <w:top w:val="single" w:sz="2" w:space="0" w:color="auto"/>
              <w:bottom w:val="single" w:sz="8" w:space="0" w:color="auto"/>
            </w:tcBorders>
          </w:tcPr>
          <w:p w14:paraId="635483AF" w14:textId="1AFEE11A" w:rsidR="00BD08C0" w:rsidRPr="005B12AE" w:rsidRDefault="00BD08C0" w:rsidP="00BD08C0">
            <w:pPr>
              <w:jc w:val="right"/>
              <w:rPr>
                <w:rFonts w:ascii="Calibri" w:hAnsi="Calibri" w:cs="Calibri"/>
                <w:bCs/>
                <w:sz w:val="18"/>
                <w:szCs w:val="18"/>
              </w:rPr>
            </w:pPr>
            <w:r w:rsidRPr="005B12AE">
              <w:rPr>
                <w:rFonts w:ascii="Calibri" w:hAnsi="Calibri" w:cs="Calibri"/>
                <w:bCs/>
                <w:sz w:val="18"/>
                <w:szCs w:val="18"/>
              </w:rPr>
              <w:t>1,</w:t>
            </w:r>
            <w:r w:rsidR="00A52563" w:rsidRPr="005B12AE">
              <w:rPr>
                <w:rFonts w:ascii="Calibri" w:hAnsi="Calibri" w:cs="Calibri"/>
                <w:bCs/>
                <w:sz w:val="18"/>
                <w:szCs w:val="18"/>
              </w:rPr>
              <w:t>520,82</w:t>
            </w:r>
            <w:r w:rsidR="00054734">
              <w:rPr>
                <w:rFonts w:ascii="Calibri" w:hAnsi="Calibri" w:cs="Calibri"/>
                <w:bCs/>
                <w:sz w:val="18"/>
                <w:szCs w:val="18"/>
              </w:rPr>
              <w:t>1</w:t>
            </w:r>
          </w:p>
        </w:tc>
      </w:tr>
    </w:tbl>
    <w:p w14:paraId="674BD27C" w14:textId="77777777" w:rsidR="00D21BD5" w:rsidRPr="00987D69" w:rsidRDefault="00D21BD5" w:rsidP="00D21BD5">
      <w:pPr>
        <w:rPr>
          <w:rFonts w:ascii="Calibri" w:hAnsi="Calibri" w:cs="Calibri"/>
          <w:b/>
          <w:sz w:val="18"/>
          <w:szCs w:val="18"/>
        </w:rPr>
      </w:pPr>
    </w:p>
    <w:p w14:paraId="668C908B" w14:textId="7DB0264C" w:rsidR="006C2D8A" w:rsidRPr="001D5AED" w:rsidRDefault="00D21BD5" w:rsidP="003B160A">
      <w:pPr>
        <w:tabs>
          <w:tab w:val="right" w:pos="5760"/>
          <w:tab w:val="right" w:pos="7380"/>
          <w:tab w:val="right" w:pos="9360"/>
        </w:tabs>
        <w:rPr>
          <w:rFonts w:asciiTheme="minorHAnsi" w:hAnsiTheme="minorHAnsi" w:cstheme="minorHAnsi"/>
          <w:b/>
          <w:color w:val="000000"/>
          <w:sz w:val="22"/>
        </w:rPr>
      </w:pPr>
      <w:r w:rsidRPr="00880EF3">
        <w:rPr>
          <w:rFonts w:ascii="Calibri" w:hAnsi="Calibri" w:cs="Calibri"/>
          <w:color w:val="000000"/>
          <w:sz w:val="18"/>
          <w:szCs w:val="18"/>
          <w:vertAlign w:val="superscript"/>
          <w:lang w:val="en-IE"/>
        </w:rPr>
        <w:t>1</w:t>
      </w:r>
      <w:r w:rsidRPr="00880EF3">
        <w:rPr>
          <w:rFonts w:ascii="Calibri" w:hAnsi="Calibri" w:cs="Calibri"/>
          <w:color w:val="000000"/>
          <w:sz w:val="18"/>
          <w:szCs w:val="18"/>
          <w:lang w:val="en-IE"/>
        </w:rPr>
        <w:t xml:space="preserve"> </w:t>
      </w:r>
      <w:r>
        <w:rPr>
          <w:rFonts w:ascii="Calibri" w:hAnsi="Calibri" w:cs="Calibri"/>
          <w:color w:val="000000"/>
          <w:sz w:val="18"/>
          <w:szCs w:val="18"/>
          <w:lang w:val="en-IE"/>
        </w:rPr>
        <w:t>On 1 January 2023, IFRS 17 ‘Insurance Contracts’ became effective, replacing IFRS 4 ‘Insurance Contacts’</w:t>
      </w:r>
      <w:r w:rsidRPr="00880EF3">
        <w:rPr>
          <w:rFonts w:ascii="Calibri" w:hAnsi="Calibri" w:cs="Calibri"/>
          <w:color w:val="000000"/>
          <w:sz w:val="18"/>
          <w:szCs w:val="18"/>
          <w:lang w:val="en-IE"/>
        </w:rPr>
        <w:t>.</w:t>
      </w:r>
      <w:r>
        <w:rPr>
          <w:rFonts w:ascii="Calibri" w:hAnsi="Calibri" w:cs="Calibri"/>
          <w:color w:val="000000"/>
          <w:sz w:val="18"/>
          <w:szCs w:val="18"/>
          <w:lang w:val="en-IE"/>
        </w:rPr>
        <w:t xml:space="preserve"> The Group elected, as it met the criteria for a temporary exemption, to defer the application of IFRS 9 ‘Financial Instruments’ </w:t>
      </w:r>
      <w:r w:rsidRPr="003B160A">
        <w:rPr>
          <w:rFonts w:ascii="Calibri" w:hAnsi="Calibri" w:cs="Calibri"/>
          <w:color w:val="000000"/>
          <w:sz w:val="18"/>
          <w:szCs w:val="18"/>
          <w:lang w:val="en-IE"/>
        </w:rPr>
        <w:t xml:space="preserve">(replacing IAS 39) until 1 January 2023. </w:t>
      </w:r>
      <w:r w:rsidR="003B160A" w:rsidRPr="003B160A">
        <w:rPr>
          <w:rFonts w:ascii="Calibri" w:hAnsi="Calibri" w:cs="Calibri"/>
          <w:color w:val="000000"/>
          <w:sz w:val="18"/>
          <w:szCs w:val="18"/>
          <w:lang w:val="en-IE"/>
        </w:rPr>
        <w:t>See note 4 First time adoption of new accounting standards in the Annual Report</w:t>
      </w:r>
      <w:r w:rsidR="003B160A" w:rsidRPr="0032247F">
        <w:rPr>
          <w:rFonts w:ascii="Calibri" w:hAnsi="Calibri" w:cs="Calibri"/>
          <w:color w:val="000000"/>
          <w:sz w:val="18"/>
          <w:szCs w:val="18"/>
          <w:lang w:val="en-IE"/>
        </w:rPr>
        <w:t xml:space="preserve"> </w:t>
      </w:r>
      <w:r w:rsidR="003B160A">
        <w:rPr>
          <w:rFonts w:ascii="Calibri" w:hAnsi="Calibri" w:cs="Calibri"/>
          <w:color w:val="000000"/>
          <w:sz w:val="18"/>
          <w:szCs w:val="18"/>
          <w:lang w:val="en-IE"/>
        </w:rPr>
        <w:t xml:space="preserve">2023 </w:t>
      </w:r>
      <w:r w:rsidR="003B160A" w:rsidRPr="0032247F">
        <w:rPr>
          <w:rFonts w:ascii="Calibri" w:hAnsi="Calibri" w:cs="Calibri"/>
          <w:color w:val="000000"/>
          <w:sz w:val="18"/>
          <w:szCs w:val="18"/>
          <w:lang w:val="en-IE"/>
        </w:rPr>
        <w:t>for transitional impact.</w:t>
      </w:r>
      <w:r w:rsidR="006C2D8A" w:rsidRPr="001D5AED">
        <w:rPr>
          <w:rFonts w:asciiTheme="minorHAnsi" w:hAnsiTheme="minorHAnsi" w:cstheme="minorHAnsi"/>
          <w:b/>
          <w:color w:val="000000"/>
          <w:sz w:val="22"/>
        </w:rPr>
        <w:br w:type="page"/>
      </w:r>
    </w:p>
    <w:p w14:paraId="15C194F6" w14:textId="77777777" w:rsidR="00AE770D" w:rsidRPr="001D5AED" w:rsidRDefault="00AE770D" w:rsidP="00AE770D">
      <w:pPr>
        <w:tabs>
          <w:tab w:val="right" w:pos="9778"/>
        </w:tabs>
        <w:rPr>
          <w:rFonts w:asciiTheme="minorHAnsi" w:hAnsiTheme="minorHAnsi" w:cstheme="minorHAnsi"/>
          <w:b/>
          <w:color w:val="000000"/>
          <w:sz w:val="22"/>
        </w:rPr>
      </w:pPr>
    </w:p>
    <w:p w14:paraId="3E7C56CB" w14:textId="77777777" w:rsidR="00AE770D" w:rsidRPr="00880EF3" w:rsidRDefault="00AE770D" w:rsidP="00AE770D">
      <w:pPr>
        <w:ind w:right="114"/>
        <w:jc w:val="center"/>
        <w:rPr>
          <w:rFonts w:ascii="Calibri" w:hAnsi="Calibri" w:cs="Calibri"/>
          <w:b/>
          <w:sz w:val="18"/>
          <w:szCs w:val="18"/>
        </w:rPr>
      </w:pPr>
      <w:r w:rsidRPr="00880EF3">
        <w:rPr>
          <w:rFonts w:ascii="Calibri" w:hAnsi="Calibri" w:cs="Calibri"/>
          <w:b/>
          <w:sz w:val="18"/>
          <w:szCs w:val="18"/>
        </w:rPr>
        <w:t xml:space="preserve">FBD HOLDINGS PLC </w:t>
      </w:r>
    </w:p>
    <w:p w14:paraId="431A70C7" w14:textId="77777777" w:rsidR="00AE770D" w:rsidRPr="00880EF3" w:rsidRDefault="00AE770D" w:rsidP="00AE770D">
      <w:pPr>
        <w:ind w:right="114"/>
        <w:jc w:val="center"/>
        <w:rPr>
          <w:rFonts w:ascii="Calibri" w:hAnsi="Calibri" w:cs="Calibri"/>
          <w:b/>
          <w:caps/>
          <w:color w:val="000000"/>
          <w:sz w:val="18"/>
          <w:szCs w:val="18"/>
        </w:rPr>
      </w:pPr>
      <w:r w:rsidRPr="00880EF3">
        <w:rPr>
          <w:rFonts w:ascii="Calibri" w:hAnsi="Calibri" w:cs="Calibri"/>
          <w:b/>
          <w:caps/>
          <w:color w:val="000000"/>
          <w:sz w:val="18"/>
          <w:szCs w:val="18"/>
        </w:rPr>
        <w:t xml:space="preserve">Consolidated Statement of </w:t>
      </w:r>
      <w:r>
        <w:rPr>
          <w:rFonts w:ascii="Calibri" w:hAnsi="Calibri" w:cs="Calibri"/>
          <w:b/>
          <w:caps/>
          <w:color w:val="000000"/>
          <w:sz w:val="18"/>
          <w:szCs w:val="18"/>
        </w:rPr>
        <w:t>FINANCIAL Position</w:t>
      </w:r>
    </w:p>
    <w:p w14:paraId="6865639F" w14:textId="77777777" w:rsidR="00AE770D" w:rsidRPr="00880EF3" w:rsidRDefault="00AE770D" w:rsidP="00AE770D">
      <w:pPr>
        <w:tabs>
          <w:tab w:val="left" w:pos="8080"/>
        </w:tabs>
        <w:ind w:right="-28"/>
        <w:jc w:val="center"/>
        <w:rPr>
          <w:rFonts w:ascii="Calibri" w:hAnsi="Calibri" w:cs="Calibri"/>
          <w:b/>
          <w:color w:val="000000"/>
          <w:sz w:val="18"/>
          <w:szCs w:val="18"/>
        </w:rPr>
      </w:pPr>
      <w:r w:rsidRPr="00880EF3">
        <w:rPr>
          <w:rFonts w:ascii="Calibri" w:hAnsi="Calibri" w:cs="Calibri"/>
          <w:b/>
          <w:color w:val="000000"/>
          <w:sz w:val="18"/>
          <w:szCs w:val="18"/>
        </w:rPr>
        <w:t xml:space="preserve">For the </w:t>
      </w:r>
      <w:r>
        <w:rPr>
          <w:rFonts w:ascii="Calibri" w:hAnsi="Calibri" w:cs="Calibri"/>
          <w:b/>
          <w:color w:val="000000"/>
          <w:sz w:val="18"/>
          <w:szCs w:val="18"/>
        </w:rPr>
        <w:t xml:space="preserve">financial </w:t>
      </w:r>
      <w:r w:rsidRPr="00880EF3">
        <w:rPr>
          <w:rFonts w:ascii="Calibri" w:hAnsi="Calibri" w:cs="Calibri"/>
          <w:b/>
          <w:color w:val="000000"/>
          <w:sz w:val="18"/>
          <w:szCs w:val="18"/>
        </w:rPr>
        <w:t>year ended 3</w:t>
      </w:r>
      <w:r>
        <w:rPr>
          <w:rFonts w:ascii="Calibri" w:hAnsi="Calibri" w:cs="Calibri"/>
          <w:b/>
          <w:color w:val="000000"/>
          <w:sz w:val="18"/>
          <w:szCs w:val="18"/>
        </w:rPr>
        <w:t>1 December</w:t>
      </w:r>
      <w:r w:rsidRPr="00880EF3">
        <w:rPr>
          <w:rFonts w:ascii="Calibri" w:hAnsi="Calibri" w:cs="Calibri"/>
          <w:b/>
          <w:color w:val="000000"/>
          <w:sz w:val="18"/>
          <w:szCs w:val="18"/>
        </w:rPr>
        <w:t xml:space="preserve"> 2023</w:t>
      </w:r>
      <w:r>
        <w:rPr>
          <w:rFonts w:ascii="Calibri" w:hAnsi="Calibri" w:cs="Calibri"/>
          <w:b/>
          <w:color w:val="000000"/>
          <w:sz w:val="18"/>
          <w:szCs w:val="18"/>
        </w:rPr>
        <w:t xml:space="preserve"> </w:t>
      </w:r>
    </w:p>
    <w:p w14:paraId="3DEEBBA1" w14:textId="77777777" w:rsidR="004969ED" w:rsidRPr="001D5AED" w:rsidRDefault="004969ED" w:rsidP="004969ED">
      <w:pPr>
        <w:tabs>
          <w:tab w:val="right" w:pos="5760"/>
        </w:tabs>
        <w:rPr>
          <w:rFonts w:asciiTheme="minorHAnsi" w:hAnsiTheme="minorHAnsi" w:cstheme="minorHAnsi"/>
          <w:color w:val="000000"/>
          <w:sz w:val="22"/>
        </w:rPr>
      </w:pPr>
    </w:p>
    <w:tbl>
      <w:tblPr>
        <w:tblStyle w:val="TableGrid"/>
        <w:tblW w:w="9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851"/>
        <w:gridCol w:w="1134"/>
        <w:gridCol w:w="1246"/>
        <w:gridCol w:w="1246"/>
      </w:tblGrid>
      <w:tr w:rsidR="00A52563" w:rsidRPr="008901A5" w14:paraId="6873AE54" w14:textId="77777777" w:rsidTr="00A52563">
        <w:trPr>
          <w:trHeight w:val="279"/>
        </w:trPr>
        <w:tc>
          <w:tcPr>
            <w:tcW w:w="5103" w:type="dxa"/>
          </w:tcPr>
          <w:p w14:paraId="30A6A1A5" w14:textId="77777777" w:rsidR="00A52563" w:rsidRPr="00987D69" w:rsidRDefault="00A52563" w:rsidP="00A52563">
            <w:pPr>
              <w:rPr>
                <w:rFonts w:ascii="Calibri" w:hAnsi="Calibri" w:cs="Calibri"/>
                <w:b/>
                <w:sz w:val="18"/>
                <w:szCs w:val="18"/>
              </w:rPr>
            </w:pPr>
            <w:r w:rsidRPr="00987D69">
              <w:rPr>
                <w:rFonts w:ascii="Calibri" w:hAnsi="Calibri" w:cs="Calibri"/>
                <w:b/>
                <w:sz w:val="18"/>
                <w:szCs w:val="18"/>
              </w:rPr>
              <w:t>Liabilities and equity</w:t>
            </w:r>
          </w:p>
        </w:tc>
        <w:tc>
          <w:tcPr>
            <w:tcW w:w="851" w:type="dxa"/>
          </w:tcPr>
          <w:p w14:paraId="03940E03" w14:textId="77777777" w:rsidR="00A52563" w:rsidRPr="00987D69" w:rsidRDefault="00A52563" w:rsidP="00A52563">
            <w:pPr>
              <w:jc w:val="right"/>
              <w:rPr>
                <w:rFonts w:ascii="Calibri" w:hAnsi="Calibri" w:cs="Calibri"/>
                <w:b/>
                <w:sz w:val="18"/>
                <w:szCs w:val="18"/>
              </w:rPr>
            </w:pPr>
          </w:p>
        </w:tc>
        <w:tc>
          <w:tcPr>
            <w:tcW w:w="1134" w:type="dxa"/>
          </w:tcPr>
          <w:p w14:paraId="61EA3F1D" w14:textId="75A9A77D" w:rsidR="00A52563" w:rsidRPr="00A52563" w:rsidRDefault="00A52563" w:rsidP="00A52563">
            <w:pPr>
              <w:autoSpaceDE w:val="0"/>
              <w:autoSpaceDN w:val="0"/>
              <w:adjustRightInd w:val="0"/>
              <w:jc w:val="right"/>
              <w:rPr>
                <w:rFonts w:ascii="Calibri" w:hAnsi="Calibri" w:cs="Calibri"/>
                <w:b/>
                <w:color w:val="000000"/>
                <w:sz w:val="18"/>
                <w:szCs w:val="18"/>
              </w:rPr>
            </w:pPr>
            <w:r w:rsidRPr="00A52563">
              <w:rPr>
                <w:rFonts w:ascii="Calibri" w:hAnsi="Calibri" w:cs="Calibri"/>
                <w:b/>
                <w:color w:val="000000"/>
                <w:sz w:val="18"/>
                <w:szCs w:val="18"/>
              </w:rPr>
              <w:t>2023</w:t>
            </w:r>
          </w:p>
          <w:p w14:paraId="728413F3" w14:textId="77777777" w:rsidR="00A52563" w:rsidRPr="00A52563" w:rsidRDefault="00A52563" w:rsidP="00A52563">
            <w:pPr>
              <w:jc w:val="right"/>
              <w:rPr>
                <w:rFonts w:ascii="Calibri" w:hAnsi="Calibri" w:cs="Calibri"/>
                <w:b/>
                <w:sz w:val="18"/>
                <w:szCs w:val="18"/>
              </w:rPr>
            </w:pPr>
          </w:p>
        </w:tc>
        <w:tc>
          <w:tcPr>
            <w:tcW w:w="1246" w:type="dxa"/>
          </w:tcPr>
          <w:p w14:paraId="01C04012" w14:textId="77777777" w:rsidR="00A52563" w:rsidRPr="005B12AE" w:rsidRDefault="00A52563" w:rsidP="00A52563">
            <w:pPr>
              <w:autoSpaceDE w:val="0"/>
              <w:autoSpaceDN w:val="0"/>
              <w:adjustRightInd w:val="0"/>
              <w:ind w:left="33"/>
              <w:jc w:val="right"/>
              <w:rPr>
                <w:rFonts w:ascii="Calibri" w:hAnsi="Calibri" w:cs="Calibri"/>
                <w:color w:val="000000"/>
                <w:sz w:val="18"/>
                <w:szCs w:val="18"/>
              </w:rPr>
            </w:pPr>
            <w:r w:rsidRPr="005B12AE">
              <w:rPr>
                <w:rFonts w:ascii="Calibri" w:hAnsi="Calibri" w:cs="Calibri"/>
                <w:color w:val="000000"/>
                <w:sz w:val="18"/>
                <w:szCs w:val="18"/>
              </w:rPr>
              <w:t>2022</w:t>
            </w:r>
          </w:p>
          <w:p w14:paraId="21529E78" w14:textId="4766A81D" w:rsidR="00A52563" w:rsidRPr="005B12AE" w:rsidRDefault="00A52563" w:rsidP="00A52563">
            <w:pPr>
              <w:autoSpaceDE w:val="0"/>
              <w:autoSpaceDN w:val="0"/>
              <w:adjustRightInd w:val="0"/>
              <w:ind w:left="33"/>
              <w:jc w:val="right"/>
              <w:rPr>
                <w:rFonts w:ascii="Calibri" w:hAnsi="Calibri" w:cs="Calibri"/>
                <w:color w:val="000000"/>
                <w:sz w:val="18"/>
                <w:szCs w:val="18"/>
              </w:rPr>
            </w:pPr>
            <w:r w:rsidRPr="005B12AE">
              <w:rPr>
                <w:rFonts w:ascii="Calibri" w:hAnsi="Calibri" w:cs="Calibri"/>
                <w:color w:val="000000"/>
                <w:sz w:val="18"/>
                <w:szCs w:val="18"/>
              </w:rPr>
              <w:t>(restated)</w:t>
            </w:r>
            <w:r w:rsidRPr="005B12AE">
              <w:rPr>
                <w:rFonts w:ascii="Calibri" w:hAnsi="Calibri" w:cs="Calibri"/>
                <w:color w:val="000000"/>
                <w:sz w:val="18"/>
                <w:szCs w:val="18"/>
                <w:vertAlign w:val="superscript"/>
              </w:rPr>
              <w:t>1</w:t>
            </w:r>
          </w:p>
        </w:tc>
        <w:tc>
          <w:tcPr>
            <w:tcW w:w="1246" w:type="dxa"/>
          </w:tcPr>
          <w:p w14:paraId="479AFBB9" w14:textId="02C240EB" w:rsidR="00A52563" w:rsidRPr="005B12AE" w:rsidRDefault="00FB290D" w:rsidP="00A52563">
            <w:pPr>
              <w:autoSpaceDE w:val="0"/>
              <w:autoSpaceDN w:val="0"/>
              <w:adjustRightInd w:val="0"/>
              <w:ind w:left="33"/>
              <w:jc w:val="right"/>
              <w:rPr>
                <w:rFonts w:ascii="Calibri" w:hAnsi="Calibri" w:cs="Calibri"/>
                <w:color w:val="000000"/>
                <w:sz w:val="18"/>
                <w:szCs w:val="18"/>
              </w:rPr>
            </w:pPr>
            <w:r>
              <w:rPr>
                <w:rFonts w:ascii="Calibri" w:hAnsi="Calibri" w:cs="Calibri"/>
                <w:color w:val="000000"/>
                <w:sz w:val="18"/>
                <w:szCs w:val="18"/>
              </w:rPr>
              <w:t>01/01/</w:t>
            </w:r>
            <w:r w:rsidR="00A52563" w:rsidRPr="005B12AE">
              <w:rPr>
                <w:rFonts w:ascii="Calibri" w:hAnsi="Calibri" w:cs="Calibri"/>
                <w:color w:val="000000"/>
                <w:sz w:val="18"/>
                <w:szCs w:val="18"/>
              </w:rPr>
              <w:t>202</w:t>
            </w:r>
            <w:r>
              <w:rPr>
                <w:rFonts w:ascii="Calibri" w:hAnsi="Calibri" w:cs="Calibri"/>
                <w:color w:val="000000"/>
                <w:sz w:val="18"/>
                <w:szCs w:val="18"/>
              </w:rPr>
              <w:t>2</w:t>
            </w:r>
          </w:p>
          <w:p w14:paraId="1FB7C7AB" w14:textId="77777777" w:rsidR="00A52563" w:rsidRPr="005B12AE" w:rsidRDefault="00A52563" w:rsidP="00A52563">
            <w:pPr>
              <w:jc w:val="right"/>
              <w:rPr>
                <w:rFonts w:ascii="Calibri" w:hAnsi="Calibri" w:cs="Calibri"/>
                <w:b/>
                <w:sz w:val="18"/>
                <w:szCs w:val="18"/>
              </w:rPr>
            </w:pPr>
            <w:r w:rsidRPr="005B12AE">
              <w:rPr>
                <w:rFonts w:ascii="Calibri" w:hAnsi="Calibri" w:cs="Calibri"/>
                <w:color w:val="000000"/>
                <w:sz w:val="18"/>
                <w:szCs w:val="18"/>
              </w:rPr>
              <w:t>(restated)</w:t>
            </w:r>
            <w:r w:rsidRPr="005B12AE">
              <w:rPr>
                <w:rFonts w:ascii="Calibri" w:hAnsi="Calibri" w:cs="Calibri"/>
                <w:color w:val="000000"/>
                <w:sz w:val="18"/>
                <w:szCs w:val="18"/>
                <w:vertAlign w:val="superscript"/>
              </w:rPr>
              <w:t>1</w:t>
            </w:r>
          </w:p>
        </w:tc>
      </w:tr>
      <w:tr w:rsidR="00A52563" w:rsidRPr="008901A5" w14:paraId="75094967" w14:textId="77777777" w:rsidTr="00A52563">
        <w:trPr>
          <w:trHeight w:val="271"/>
        </w:trPr>
        <w:tc>
          <w:tcPr>
            <w:tcW w:w="5103" w:type="dxa"/>
          </w:tcPr>
          <w:p w14:paraId="38F3CA19" w14:textId="77777777" w:rsidR="00A52563" w:rsidRPr="00987D69" w:rsidRDefault="00A52563" w:rsidP="00A52563">
            <w:pPr>
              <w:jc w:val="right"/>
              <w:rPr>
                <w:rFonts w:ascii="Calibri" w:hAnsi="Calibri" w:cs="Calibri"/>
                <w:b/>
                <w:sz w:val="18"/>
                <w:szCs w:val="18"/>
              </w:rPr>
            </w:pPr>
          </w:p>
        </w:tc>
        <w:tc>
          <w:tcPr>
            <w:tcW w:w="851" w:type="dxa"/>
          </w:tcPr>
          <w:p w14:paraId="7B9CE50A" w14:textId="0654E168" w:rsidR="00A52563" w:rsidRPr="00987D69" w:rsidRDefault="00A52563" w:rsidP="00A52563">
            <w:pPr>
              <w:rPr>
                <w:rFonts w:ascii="Calibri" w:hAnsi="Calibri" w:cs="Calibri"/>
                <w:b/>
                <w:sz w:val="18"/>
                <w:szCs w:val="18"/>
              </w:rPr>
            </w:pPr>
          </w:p>
        </w:tc>
        <w:tc>
          <w:tcPr>
            <w:tcW w:w="1134" w:type="dxa"/>
          </w:tcPr>
          <w:p w14:paraId="4D0BA72B" w14:textId="77777777" w:rsidR="00A52563" w:rsidRPr="00A52563" w:rsidRDefault="00A52563" w:rsidP="00A52563">
            <w:pPr>
              <w:jc w:val="right"/>
              <w:rPr>
                <w:rFonts w:ascii="Calibri" w:hAnsi="Calibri" w:cs="Calibri"/>
                <w:b/>
                <w:sz w:val="18"/>
                <w:szCs w:val="18"/>
              </w:rPr>
            </w:pPr>
            <w:r w:rsidRPr="00A52563">
              <w:rPr>
                <w:rFonts w:ascii="Calibri" w:hAnsi="Calibri" w:cs="Calibri"/>
                <w:b/>
                <w:color w:val="000000"/>
                <w:sz w:val="18"/>
                <w:szCs w:val="18"/>
              </w:rPr>
              <w:t>€000s</w:t>
            </w:r>
          </w:p>
        </w:tc>
        <w:tc>
          <w:tcPr>
            <w:tcW w:w="1246" w:type="dxa"/>
          </w:tcPr>
          <w:p w14:paraId="0D82476A" w14:textId="484C3582" w:rsidR="00A52563" w:rsidRPr="005B12AE" w:rsidRDefault="00A52563" w:rsidP="00A52563">
            <w:pPr>
              <w:jc w:val="right"/>
              <w:rPr>
                <w:rFonts w:ascii="Calibri" w:hAnsi="Calibri" w:cs="Calibri"/>
                <w:color w:val="000000"/>
                <w:sz w:val="18"/>
                <w:szCs w:val="18"/>
              </w:rPr>
            </w:pPr>
            <w:r w:rsidRPr="005B12AE">
              <w:rPr>
                <w:rFonts w:ascii="Calibri" w:hAnsi="Calibri" w:cs="Calibri"/>
                <w:color w:val="000000"/>
                <w:sz w:val="18"/>
                <w:szCs w:val="18"/>
              </w:rPr>
              <w:t>€000s</w:t>
            </w:r>
          </w:p>
        </w:tc>
        <w:tc>
          <w:tcPr>
            <w:tcW w:w="1246" w:type="dxa"/>
          </w:tcPr>
          <w:p w14:paraId="01C4C6BF" w14:textId="799613CB" w:rsidR="00A52563" w:rsidRPr="005B12AE" w:rsidRDefault="00A52563" w:rsidP="00A52563">
            <w:pPr>
              <w:jc w:val="right"/>
              <w:rPr>
                <w:rFonts w:ascii="Calibri" w:hAnsi="Calibri" w:cs="Calibri"/>
                <w:b/>
                <w:sz w:val="18"/>
                <w:szCs w:val="18"/>
              </w:rPr>
            </w:pPr>
            <w:r w:rsidRPr="005B12AE">
              <w:rPr>
                <w:rFonts w:ascii="Calibri" w:hAnsi="Calibri" w:cs="Calibri"/>
                <w:color w:val="000000"/>
                <w:sz w:val="18"/>
                <w:szCs w:val="18"/>
              </w:rPr>
              <w:t>€000s</w:t>
            </w:r>
          </w:p>
        </w:tc>
      </w:tr>
      <w:tr w:rsidR="00A52563" w:rsidRPr="008901A5" w14:paraId="6ACF0817" w14:textId="77777777" w:rsidTr="00A52563">
        <w:trPr>
          <w:trHeight w:val="279"/>
        </w:trPr>
        <w:tc>
          <w:tcPr>
            <w:tcW w:w="5103" w:type="dxa"/>
          </w:tcPr>
          <w:p w14:paraId="0051E138" w14:textId="77777777" w:rsidR="00A52563" w:rsidRPr="00987D69" w:rsidRDefault="00A52563" w:rsidP="00A52563">
            <w:pPr>
              <w:rPr>
                <w:rFonts w:ascii="Calibri" w:hAnsi="Calibri" w:cs="Calibri"/>
                <w:b/>
                <w:sz w:val="18"/>
                <w:szCs w:val="18"/>
              </w:rPr>
            </w:pPr>
            <w:r w:rsidRPr="00987D69">
              <w:rPr>
                <w:rFonts w:ascii="Calibri" w:hAnsi="Calibri" w:cs="Calibri"/>
                <w:b/>
                <w:sz w:val="18"/>
                <w:szCs w:val="18"/>
              </w:rPr>
              <w:t>Liabilities</w:t>
            </w:r>
          </w:p>
        </w:tc>
        <w:tc>
          <w:tcPr>
            <w:tcW w:w="851" w:type="dxa"/>
          </w:tcPr>
          <w:p w14:paraId="6039E201" w14:textId="77777777" w:rsidR="00A52563" w:rsidRPr="00987D69" w:rsidRDefault="00A52563" w:rsidP="00A52563">
            <w:pPr>
              <w:rPr>
                <w:rFonts w:ascii="Calibri" w:hAnsi="Calibri" w:cs="Calibri"/>
                <w:b/>
                <w:sz w:val="18"/>
                <w:szCs w:val="18"/>
              </w:rPr>
            </w:pPr>
          </w:p>
        </w:tc>
        <w:tc>
          <w:tcPr>
            <w:tcW w:w="1134" w:type="dxa"/>
          </w:tcPr>
          <w:p w14:paraId="27A03734" w14:textId="77777777" w:rsidR="00A52563" w:rsidRPr="00A52563" w:rsidRDefault="00A52563" w:rsidP="00A52563">
            <w:pPr>
              <w:rPr>
                <w:rFonts w:ascii="Calibri" w:hAnsi="Calibri" w:cs="Calibri"/>
                <w:b/>
                <w:sz w:val="18"/>
                <w:szCs w:val="18"/>
              </w:rPr>
            </w:pPr>
          </w:p>
        </w:tc>
        <w:tc>
          <w:tcPr>
            <w:tcW w:w="1246" w:type="dxa"/>
          </w:tcPr>
          <w:p w14:paraId="7459415F" w14:textId="77777777" w:rsidR="00A52563" w:rsidRPr="00987D69" w:rsidRDefault="00A52563" w:rsidP="00A52563">
            <w:pPr>
              <w:rPr>
                <w:rFonts w:ascii="Calibri" w:hAnsi="Calibri" w:cs="Calibri"/>
                <w:b/>
                <w:sz w:val="18"/>
                <w:szCs w:val="18"/>
              </w:rPr>
            </w:pPr>
          </w:p>
        </w:tc>
        <w:tc>
          <w:tcPr>
            <w:tcW w:w="1246" w:type="dxa"/>
          </w:tcPr>
          <w:p w14:paraId="6D477E8E" w14:textId="59FA59F0" w:rsidR="00A52563" w:rsidRPr="00987D69" w:rsidRDefault="00A52563" w:rsidP="00A52563">
            <w:pPr>
              <w:rPr>
                <w:rFonts w:ascii="Calibri" w:hAnsi="Calibri" w:cs="Calibri"/>
                <w:b/>
                <w:sz w:val="18"/>
                <w:szCs w:val="18"/>
              </w:rPr>
            </w:pPr>
          </w:p>
        </w:tc>
      </w:tr>
      <w:tr w:rsidR="00A52563" w:rsidRPr="008901A5" w14:paraId="3C126F61" w14:textId="77777777" w:rsidTr="00A52563">
        <w:trPr>
          <w:trHeight w:val="271"/>
        </w:trPr>
        <w:tc>
          <w:tcPr>
            <w:tcW w:w="5103" w:type="dxa"/>
          </w:tcPr>
          <w:p w14:paraId="237659F6" w14:textId="77777777" w:rsidR="00A52563" w:rsidRPr="00987D69" w:rsidRDefault="00A52563" w:rsidP="00A52563">
            <w:pPr>
              <w:rPr>
                <w:rFonts w:ascii="Calibri" w:hAnsi="Calibri" w:cs="Calibri"/>
                <w:b/>
                <w:sz w:val="18"/>
                <w:szCs w:val="18"/>
              </w:rPr>
            </w:pPr>
            <w:r w:rsidRPr="00987D69">
              <w:rPr>
                <w:rFonts w:ascii="Calibri" w:hAnsi="Calibri" w:cs="Calibri"/>
                <w:color w:val="000000"/>
                <w:sz w:val="18"/>
                <w:szCs w:val="18"/>
              </w:rPr>
              <w:t>Current taxation liabilities</w:t>
            </w:r>
          </w:p>
        </w:tc>
        <w:tc>
          <w:tcPr>
            <w:tcW w:w="851" w:type="dxa"/>
          </w:tcPr>
          <w:p w14:paraId="0E65F2BC" w14:textId="77777777" w:rsidR="00A52563" w:rsidRPr="00987D69" w:rsidRDefault="00A52563" w:rsidP="00A52563">
            <w:pPr>
              <w:rPr>
                <w:rFonts w:ascii="Calibri" w:hAnsi="Calibri" w:cs="Calibri"/>
                <w:sz w:val="18"/>
                <w:szCs w:val="18"/>
              </w:rPr>
            </w:pPr>
          </w:p>
        </w:tc>
        <w:tc>
          <w:tcPr>
            <w:tcW w:w="1134" w:type="dxa"/>
          </w:tcPr>
          <w:p w14:paraId="781DCAE5" w14:textId="7AD83786" w:rsidR="00A52563" w:rsidRPr="00A52563" w:rsidRDefault="00A52563" w:rsidP="00A52563">
            <w:pPr>
              <w:jc w:val="right"/>
              <w:rPr>
                <w:rFonts w:ascii="Calibri" w:hAnsi="Calibri" w:cs="Calibri"/>
                <w:b/>
                <w:sz w:val="18"/>
                <w:szCs w:val="18"/>
              </w:rPr>
            </w:pPr>
            <w:r w:rsidRPr="005B12AE">
              <w:rPr>
                <w:rFonts w:ascii="Calibri" w:hAnsi="Calibri" w:cs="Calibri"/>
                <w:b/>
                <w:sz w:val="18"/>
                <w:szCs w:val="18"/>
              </w:rPr>
              <w:t>2,230</w:t>
            </w:r>
          </w:p>
        </w:tc>
        <w:tc>
          <w:tcPr>
            <w:tcW w:w="1246" w:type="dxa"/>
          </w:tcPr>
          <w:p w14:paraId="3D848D8A" w14:textId="2EAD85F5" w:rsidR="00A52563" w:rsidRPr="00987D69" w:rsidRDefault="00A52563" w:rsidP="00A52563">
            <w:pPr>
              <w:jc w:val="right"/>
              <w:rPr>
                <w:rFonts w:ascii="Calibri" w:hAnsi="Calibri" w:cs="Calibri"/>
                <w:sz w:val="18"/>
                <w:szCs w:val="18"/>
              </w:rPr>
            </w:pPr>
            <w:r w:rsidRPr="00987D69">
              <w:rPr>
                <w:rFonts w:ascii="Calibri" w:hAnsi="Calibri" w:cs="Calibri"/>
                <w:sz w:val="18"/>
                <w:szCs w:val="18"/>
              </w:rPr>
              <w:t>2,399</w:t>
            </w:r>
          </w:p>
        </w:tc>
        <w:tc>
          <w:tcPr>
            <w:tcW w:w="1246" w:type="dxa"/>
          </w:tcPr>
          <w:p w14:paraId="02095BC6" w14:textId="5E125E93" w:rsidR="00A52563" w:rsidRPr="00987D69" w:rsidRDefault="00A52563" w:rsidP="00A52563">
            <w:pPr>
              <w:jc w:val="right"/>
              <w:rPr>
                <w:rFonts w:ascii="Calibri" w:hAnsi="Calibri" w:cs="Calibri"/>
                <w:sz w:val="18"/>
                <w:szCs w:val="18"/>
              </w:rPr>
            </w:pPr>
            <w:r>
              <w:rPr>
                <w:rFonts w:ascii="Calibri" w:hAnsi="Calibri" w:cs="Calibri"/>
                <w:sz w:val="18"/>
                <w:szCs w:val="18"/>
              </w:rPr>
              <w:t>6,437</w:t>
            </w:r>
          </w:p>
        </w:tc>
      </w:tr>
      <w:tr w:rsidR="00A52563" w:rsidRPr="008901A5" w14:paraId="724F38A2" w14:textId="77777777" w:rsidTr="00A52563">
        <w:trPr>
          <w:trHeight w:val="279"/>
        </w:trPr>
        <w:tc>
          <w:tcPr>
            <w:tcW w:w="5103" w:type="dxa"/>
          </w:tcPr>
          <w:p w14:paraId="2A47BBC7" w14:textId="77777777" w:rsidR="00A52563" w:rsidRPr="00987D69" w:rsidRDefault="00A52563" w:rsidP="00A52563">
            <w:pPr>
              <w:rPr>
                <w:rFonts w:ascii="Calibri" w:hAnsi="Calibri" w:cs="Calibri"/>
                <w:sz w:val="18"/>
                <w:szCs w:val="18"/>
              </w:rPr>
            </w:pPr>
            <w:r w:rsidRPr="00987D69">
              <w:rPr>
                <w:rFonts w:ascii="Calibri" w:hAnsi="Calibri" w:cs="Calibri"/>
                <w:sz w:val="18"/>
                <w:szCs w:val="18"/>
              </w:rPr>
              <w:t>Other payables</w:t>
            </w:r>
          </w:p>
        </w:tc>
        <w:tc>
          <w:tcPr>
            <w:tcW w:w="851" w:type="dxa"/>
          </w:tcPr>
          <w:p w14:paraId="1CFB7C1D" w14:textId="0157FCD2" w:rsidR="00A52563" w:rsidRPr="00AE770D" w:rsidRDefault="00A52563" w:rsidP="00A52563">
            <w:pPr>
              <w:rPr>
                <w:rFonts w:ascii="Calibri" w:hAnsi="Calibri" w:cs="Calibri"/>
                <w:sz w:val="18"/>
                <w:szCs w:val="18"/>
                <w:highlight w:val="yellow"/>
              </w:rPr>
            </w:pPr>
          </w:p>
        </w:tc>
        <w:tc>
          <w:tcPr>
            <w:tcW w:w="1134" w:type="dxa"/>
          </w:tcPr>
          <w:p w14:paraId="76D52E90" w14:textId="39E14301" w:rsidR="00A52563" w:rsidRPr="00A52563" w:rsidRDefault="00A52563" w:rsidP="00A52563">
            <w:pPr>
              <w:jc w:val="right"/>
              <w:rPr>
                <w:rFonts w:ascii="Calibri" w:hAnsi="Calibri" w:cs="Calibri"/>
                <w:b/>
                <w:sz w:val="18"/>
                <w:szCs w:val="18"/>
              </w:rPr>
            </w:pPr>
            <w:r w:rsidRPr="005B12AE">
              <w:rPr>
                <w:rFonts w:ascii="Calibri" w:hAnsi="Calibri" w:cs="Calibri"/>
                <w:b/>
                <w:sz w:val="18"/>
                <w:szCs w:val="18"/>
              </w:rPr>
              <w:t>35,852</w:t>
            </w:r>
          </w:p>
        </w:tc>
        <w:tc>
          <w:tcPr>
            <w:tcW w:w="1246" w:type="dxa"/>
          </w:tcPr>
          <w:p w14:paraId="4962A6FD" w14:textId="51F8D7A7" w:rsidR="00A52563" w:rsidRDefault="00A52563" w:rsidP="00A52563">
            <w:pPr>
              <w:jc w:val="right"/>
              <w:rPr>
                <w:rFonts w:ascii="Calibri" w:hAnsi="Calibri" w:cs="Calibri"/>
                <w:sz w:val="18"/>
                <w:szCs w:val="18"/>
              </w:rPr>
            </w:pPr>
            <w:r>
              <w:rPr>
                <w:rFonts w:ascii="Calibri" w:hAnsi="Calibri" w:cs="Calibri"/>
                <w:sz w:val="18"/>
                <w:szCs w:val="18"/>
              </w:rPr>
              <w:t>35,628</w:t>
            </w:r>
          </w:p>
        </w:tc>
        <w:tc>
          <w:tcPr>
            <w:tcW w:w="1246" w:type="dxa"/>
          </w:tcPr>
          <w:p w14:paraId="17E61F66" w14:textId="01C308F8" w:rsidR="00A52563" w:rsidRPr="00987D69" w:rsidRDefault="00A52563" w:rsidP="00A52563">
            <w:pPr>
              <w:jc w:val="right"/>
              <w:rPr>
                <w:rFonts w:ascii="Calibri" w:hAnsi="Calibri" w:cs="Calibri"/>
                <w:sz w:val="18"/>
                <w:szCs w:val="18"/>
              </w:rPr>
            </w:pPr>
            <w:r>
              <w:rPr>
                <w:rFonts w:ascii="Calibri" w:hAnsi="Calibri" w:cs="Calibri"/>
                <w:sz w:val="18"/>
                <w:szCs w:val="18"/>
              </w:rPr>
              <w:t>29,289</w:t>
            </w:r>
          </w:p>
        </w:tc>
      </w:tr>
      <w:tr w:rsidR="00A52563" w:rsidRPr="008901A5" w14:paraId="6CA35D0D" w14:textId="77777777" w:rsidTr="00A52563">
        <w:trPr>
          <w:trHeight w:val="279"/>
        </w:trPr>
        <w:tc>
          <w:tcPr>
            <w:tcW w:w="5103" w:type="dxa"/>
          </w:tcPr>
          <w:p w14:paraId="643CA1F9" w14:textId="77777777" w:rsidR="00A52563" w:rsidRPr="00987D69" w:rsidRDefault="00A52563" w:rsidP="00A52563">
            <w:pPr>
              <w:rPr>
                <w:rFonts w:ascii="Calibri" w:hAnsi="Calibri" w:cs="Calibri"/>
                <w:sz w:val="18"/>
                <w:szCs w:val="18"/>
              </w:rPr>
            </w:pPr>
            <w:r w:rsidRPr="00987D69">
              <w:rPr>
                <w:rFonts w:ascii="Calibri" w:hAnsi="Calibri" w:cs="Calibri"/>
                <w:sz w:val="18"/>
                <w:szCs w:val="18"/>
              </w:rPr>
              <w:t>Other provisions</w:t>
            </w:r>
          </w:p>
        </w:tc>
        <w:tc>
          <w:tcPr>
            <w:tcW w:w="851" w:type="dxa"/>
          </w:tcPr>
          <w:p w14:paraId="051EC8DE" w14:textId="278AB3F2" w:rsidR="00A52563" w:rsidRPr="00AE770D" w:rsidRDefault="00A52563" w:rsidP="00A52563">
            <w:pPr>
              <w:rPr>
                <w:rFonts w:ascii="Calibri" w:hAnsi="Calibri" w:cs="Calibri"/>
                <w:sz w:val="18"/>
                <w:szCs w:val="18"/>
                <w:highlight w:val="yellow"/>
              </w:rPr>
            </w:pPr>
          </w:p>
        </w:tc>
        <w:tc>
          <w:tcPr>
            <w:tcW w:w="1134" w:type="dxa"/>
          </w:tcPr>
          <w:p w14:paraId="090CA659" w14:textId="1FD07EF0" w:rsidR="00A52563" w:rsidRPr="005B12AE" w:rsidRDefault="00A52563" w:rsidP="00A52563">
            <w:pPr>
              <w:jc w:val="right"/>
              <w:rPr>
                <w:rFonts w:ascii="Calibri" w:hAnsi="Calibri" w:cs="Calibri"/>
                <w:b/>
                <w:sz w:val="18"/>
                <w:szCs w:val="18"/>
              </w:rPr>
            </w:pPr>
            <w:r w:rsidRPr="005B12AE">
              <w:rPr>
                <w:rFonts w:ascii="Calibri" w:hAnsi="Calibri" w:cs="Calibri"/>
                <w:b/>
                <w:sz w:val="18"/>
                <w:szCs w:val="18"/>
              </w:rPr>
              <w:t>20,083</w:t>
            </w:r>
          </w:p>
        </w:tc>
        <w:tc>
          <w:tcPr>
            <w:tcW w:w="1246" w:type="dxa"/>
          </w:tcPr>
          <w:p w14:paraId="50473EAD" w14:textId="5275FEBA" w:rsidR="00A52563" w:rsidRPr="00987D69" w:rsidRDefault="00A52563" w:rsidP="00A52563">
            <w:pPr>
              <w:jc w:val="right"/>
              <w:rPr>
                <w:rFonts w:ascii="Calibri" w:hAnsi="Calibri" w:cs="Calibri"/>
                <w:sz w:val="18"/>
                <w:szCs w:val="18"/>
              </w:rPr>
            </w:pPr>
            <w:r w:rsidRPr="00987D69">
              <w:rPr>
                <w:rFonts w:ascii="Calibri" w:hAnsi="Calibri" w:cs="Calibri"/>
                <w:sz w:val="18"/>
                <w:szCs w:val="18"/>
              </w:rPr>
              <w:t>1</w:t>
            </w:r>
            <w:r>
              <w:rPr>
                <w:rFonts w:ascii="Calibri" w:hAnsi="Calibri" w:cs="Calibri"/>
                <w:sz w:val="18"/>
                <w:szCs w:val="18"/>
              </w:rPr>
              <w:t>1,103</w:t>
            </w:r>
          </w:p>
        </w:tc>
        <w:tc>
          <w:tcPr>
            <w:tcW w:w="1246" w:type="dxa"/>
          </w:tcPr>
          <w:p w14:paraId="1BAA3AED" w14:textId="323BC439" w:rsidR="00A52563" w:rsidRPr="00987D69" w:rsidRDefault="00A52563" w:rsidP="00A52563">
            <w:pPr>
              <w:jc w:val="right"/>
              <w:rPr>
                <w:rFonts w:ascii="Calibri" w:hAnsi="Calibri" w:cs="Calibri"/>
                <w:sz w:val="18"/>
                <w:szCs w:val="18"/>
              </w:rPr>
            </w:pPr>
            <w:r w:rsidRPr="00987D69">
              <w:rPr>
                <w:rFonts w:ascii="Calibri" w:hAnsi="Calibri" w:cs="Calibri"/>
                <w:sz w:val="18"/>
                <w:szCs w:val="18"/>
              </w:rPr>
              <w:t>1</w:t>
            </w:r>
            <w:r>
              <w:rPr>
                <w:rFonts w:ascii="Calibri" w:hAnsi="Calibri" w:cs="Calibri"/>
                <w:sz w:val="18"/>
                <w:szCs w:val="18"/>
              </w:rPr>
              <w:t>2,271</w:t>
            </w:r>
          </w:p>
        </w:tc>
      </w:tr>
      <w:tr w:rsidR="00A52563" w:rsidRPr="008901A5" w14:paraId="3BCD5248" w14:textId="77777777" w:rsidTr="00A52563">
        <w:trPr>
          <w:trHeight w:val="279"/>
        </w:trPr>
        <w:tc>
          <w:tcPr>
            <w:tcW w:w="5103" w:type="dxa"/>
          </w:tcPr>
          <w:p w14:paraId="5235BC73" w14:textId="77777777" w:rsidR="00A52563" w:rsidRPr="00987D69" w:rsidRDefault="00A52563" w:rsidP="00A52563">
            <w:pPr>
              <w:rPr>
                <w:rFonts w:ascii="Calibri" w:hAnsi="Calibri" w:cs="Calibri"/>
                <w:sz w:val="18"/>
                <w:szCs w:val="18"/>
              </w:rPr>
            </w:pPr>
            <w:r w:rsidRPr="00987D69">
              <w:rPr>
                <w:rFonts w:ascii="Calibri" w:hAnsi="Calibri" w:cs="Calibri"/>
                <w:sz w:val="18"/>
                <w:szCs w:val="18"/>
              </w:rPr>
              <w:t>Reinsurance contract liabilities</w:t>
            </w:r>
          </w:p>
        </w:tc>
        <w:tc>
          <w:tcPr>
            <w:tcW w:w="851" w:type="dxa"/>
          </w:tcPr>
          <w:p w14:paraId="728B6403" w14:textId="0F26127A" w:rsidR="00A52563" w:rsidRPr="00AE770D" w:rsidRDefault="00A52563" w:rsidP="00A52563">
            <w:pPr>
              <w:rPr>
                <w:rFonts w:ascii="Calibri" w:hAnsi="Calibri" w:cs="Calibri"/>
                <w:sz w:val="18"/>
                <w:szCs w:val="18"/>
                <w:highlight w:val="yellow"/>
              </w:rPr>
            </w:pPr>
          </w:p>
        </w:tc>
        <w:tc>
          <w:tcPr>
            <w:tcW w:w="1134" w:type="dxa"/>
          </w:tcPr>
          <w:p w14:paraId="6888B7EE" w14:textId="1BBBEFA9" w:rsidR="00A52563" w:rsidRPr="005B12AE" w:rsidRDefault="00A52563" w:rsidP="00A52563">
            <w:pPr>
              <w:jc w:val="right"/>
              <w:rPr>
                <w:rFonts w:ascii="Calibri" w:hAnsi="Calibri" w:cs="Calibri"/>
                <w:b/>
                <w:sz w:val="18"/>
                <w:szCs w:val="18"/>
              </w:rPr>
            </w:pPr>
            <w:r w:rsidRPr="005B12AE">
              <w:rPr>
                <w:rFonts w:ascii="Calibri" w:hAnsi="Calibri" w:cs="Calibri"/>
                <w:b/>
                <w:sz w:val="18"/>
                <w:szCs w:val="18"/>
              </w:rPr>
              <w:t>480</w:t>
            </w:r>
          </w:p>
        </w:tc>
        <w:tc>
          <w:tcPr>
            <w:tcW w:w="1246" w:type="dxa"/>
          </w:tcPr>
          <w:p w14:paraId="1B28FB31" w14:textId="13BA1657" w:rsidR="00A52563" w:rsidRPr="00987D69" w:rsidRDefault="00A52563" w:rsidP="00A52563">
            <w:pPr>
              <w:jc w:val="right"/>
              <w:rPr>
                <w:rFonts w:ascii="Calibri" w:hAnsi="Calibri" w:cs="Calibri"/>
                <w:sz w:val="18"/>
                <w:szCs w:val="18"/>
              </w:rPr>
            </w:pPr>
            <w:r w:rsidRPr="00987D69">
              <w:rPr>
                <w:rFonts w:ascii="Calibri" w:hAnsi="Calibri" w:cs="Calibri"/>
                <w:sz w:val="18"/>
                <w:szCs w:val="18"/>
              </w:rPr>
              <w:t>610</w:t>
            </w:r>
          </w:p>
        </w:tc>
        <w:tc>
          <w:tcPr>
            <w:tcW w:w="1246" w:type="dxa"/>
          </w:tcPr>
          <w:p w14:paraId="3DF359EB" w14:textId="39E3860B" w:rsidR="00A52563" w:rsidRPr="00987D69" w:rsidRDefault="00A52563" w:rsidP="00A52563">
            <w:pPr>
              <w:jc w:val="right"/>
              <w:rPr>
                <w:rFonts w:ascii="Calibri" w:hAnsi="Calibri" w:cs="Calibri"/>
                <w:sz w:val="18"/>
                <w:szCs w:val="18"/>
              </w:rPr>
            </w:pPr>
            <w:r>
              <w:rPr>
                <w:rFonts w:ascii="Calibri" w:hAnsi="Calibri" w:cs="Calibri"/>
                <w:sz w:val="18"/>
                <w:szCs w:val="18"/>
              </w:rPr>
              <w:t>788</w:t>
            </w:r>
          </w:p>
        </w:tc>
      </w:tr>
      <w:tr w:rsidR="00A52563" w:rsidRPr="008901A5" w14:paraId="246C3A6F" w14:textId="77777777" w:rsidTr="00A52563">
        <w:trPr>
          <w:trHeight w:val="279"/>
        </w:trPr>
        <w:tc>
          <w:tcPr>
            <w:tcW w:w="5103" w:type="dxa"/>
          </w:tcPr>
          <w:p w14:paraId="4EDA59B0" w14:textId="77777777" w:rsidR="00A52563" w:rsidRPr="00987D69" w:rsidRDefault="00A52563" w:rsidP="00A52563">
            <w:pPr>
              <w:rPr>
                <w:rFonts w:ascii="Calibri" w:hAnsi="Calibri" w:cs="Calibri"/>
                <w:b/>
                <w:sz w:val="18"/>
                <w:szCs w:val="18"/>
              </w:rPr>
            </w:pPr>
            <w:r w:rsidRPr="00987D69">
              <w:rPr>
                <w:rFonts w:ascii="Calibri" w:hAnsi="Calibri" w:cs="Calibri"/>
                <w:sz w:val="18"/>
                <w:szCs w:val="18"/>
              </w:rPr>
              <w:t>Insurance contract liabilities</w:t>
            </w:r>
          </w:p>
        </w:tc>
        <w:tc>
          <w:tcPr>
            <w:tcW w:w="851" w:type="dxa"/>
          </w:tcPr>
          <w:p w14:paraId="29AFA45C" w14:textId="429F7CD8" w:rsidR="00A52563" w:rsidRPr="00AE770D" w:rsidRDefault="00A52563" w:rsidP="00A52563">
            <w:pPr>
              <w:rPr>
                <w:rFonts w:ascii="Calibri" w:hAnsi="Calibri" w:cs="Calibri"/>
                <w:sz w:val="18"/>
                <w:szCs w:val="18"/>
                <w:highlight w:val="yellow"/>
              </w:rPr>
            </w:pPr>
          </w:p>
        </w:tc>
        <w:tc>
          <w:tcPr>
            <w:tcW w:w="1134" w:type="dxa"/>
          </w:tcPr>
          <w:p w14:paraId="524114B8" w14:textId="5D1FEF38" w:rsidR="00A52563" w:rsidRPr="00A52563" w:rsidRDefault="00A52563" w:rsidP="00A52563">
            <w:pPr>
              <w:jc w:val="right"/>
              <w:rPr>
                <w:rFonts w:ascii="Calibri" w:hAnsi="Calibri" w:cs="Calibri"/>
                <w:b/>
                <w:sz w:val="18"/>
                <w:szCs w:val="18"/>
              </w:rPr>
            </w:pPr>
            <w:r w:rsidRPr="005B12AE">
              <w:rPr>
                <w:rFonts w:ascii="Calibri" w:hAnsi="Calibri" w:cs="Calibri"/>
                <w:b/>
                <w:sz w:val="18"/>
                <w:szCs w:val="18"/>
              </w:rPr>
              <w:t>774,921</w:t>
            </w:r>
          </w:p>
        </w:tc>
        <w:tc>
          <w:tcPr>
            <w:tcW w:w="1246" w:type="dxa"/>
          </w:tcPr>
          <w:p w14:paraId="460755BF" w14:textId="64F7C93E" w:rsidR="00A52563" w:rsidRPr="00987D69" w:rsidRDefault="00A52563" w:rsidP="00A52563">
            <w:pPr>
              <w:jc w:val="right"/>
              <w:rPr>
                <w:rFonts w:ascii="Calibri" w:hAnsi="Calibri" w:cs="Calibri"/>
                <w:sz w:val="18"/>
                <w:szCs w:val="18"/>
              </w:rPr>
            </w:pPr>
            <w:r w:rsidRPr="00987D69">
              <w:rPr>
                <w:rFonts w:ascii="Calibri" w:hAnsi="Calibri" w:cs="Calibri"/>
                <w:sz w:val="18"/>
                <w:szCs w:val="18"/>
              </w:rPr>
              <w:t>826,621</w:t>
            </w:r>
          </w:p>
        </w:tc>
        <w:tc>
          <w:tcPr>
            <w:tcW w:w="1246" w:type="dxa"/>
          </w:tcPr>
          <w:p w14:paraId="0605B7E3" w14:textId="689A1B7A" w:rsidR="00A52563" w:rsidRPr="00987D69" w:rsidRDefault="00A52563" w:rsidP="00A52563">
            <w:pPr>
              <w:jc w:val="right"/>
              <w:rPr>
                <w:rFonts w:ascii="Calibri" w:hAnsi="Calibri" w:cs="Calibri"/>
                <w:sz w:val="18"/>
                <w:szCs w:val="18"/>
              </w:rPr>
            </w:pPr>
            <w:r>
              <w:rPr>
                <w:rFonts w:ascii="Calibri" w:hAnsi="Calibri" w:cs="Calibri"/>
                <w:sz w:val="18"/>
                <w:szCs w:val="18"/>
              </w:rPr>
              <w:t>929,981</w:t>
            </w:r>
          </w:p>
        </w:tc>
      </w:tr>
      <w:tr w:rsidR="00A52563" w:rsidRPr="008901A5" w14:paraId="3B17E13A" w14:textId="77777777" w:rsidTr="00A52563">
        <w:trPr>
          <w:trHeight w:val="279"/>
        </w:trPr>
        <w:tc>
          <w:tcPr>
            <w:tcW w:w="5103" w:type="dxa"/>
          </w:tcPr>
          <w:p w14:paraId="670A8C4A" w14:textId="77777777" w:rsidR="00A52563" w:rsidRPr="00987D69" w:rsidRDefault="00A52563" w:rsidP="00A52563">
            <w:pPr>
              <w:rPr>
                <w:rFonts w:ascii="Calibri" w:hAnsi="Calibri" w:cs="Calibri"/>
                <w:b/>
                <w:sz w:val="18"/>
                <w:szCs w:val="18"/>
              </w:rPr>
            </w:pPr>
            <w:r w:rsidRPr="00987D69">
              <w:rPr>
                <w:rFonts w:ascii="Calibri" w:hAnsi="Calibri" w:cs="Calibri"/>
                <w:sz w:val="18"/>
                <w:szCs w:val="18"/>
              </w:rPr>
              <w:t>Lease liabilities</w:t>
            </w:r>
          </w:p>
        </w:tc>
        <w:tc>
          <w:tcPr>
            <w:tcW w:w="851" w:type="dxa"/>
          </w:tcPr>
          <w:p w14:paraId="1AB4D62A" w14:textId="77777777" w:rsidR="00A52563" w:rsidRPr="00AE770D" w:rsidRDefault="00A52563" w:rsidP="00A52563">
            <w:pPr>
              <w:rPr>
                <w:rFonts w:ascii="Calibri" w:hAnsi="Calibri" w:cs="Calibri"/>
                <w:sz w:val="18"/>
                <w:szCs w:val="18"/>
                <w:highlight w:val="yellow"/>
              </w:rPr>
            </w:pPr>
          </w:p>
        </w:tc>
        <w:tc>
          <w:tcPr>
            <w:tcW w:w="1134" w:type="dxa"/>
          </w:tcPr>
          <w:p w14:paraId="2688D696" w14:textId="05706E7A" w:rsidR="00A52563" w:rsidRPr="00A52563" w:rsidRDefault="00A52563" w:rsidP="00A52563">
            <w:pPr>
              <w:jc w:val="right"/>
              <w:rPr>
                <w:rFonts w:ascii="Calibri" w:hAnsi="Calibri" w:cs="Calibri"/>
                <w:b/>
                <w:sz w:val="18"/>
                <w:szCs w:val="18"/>
              </w:rPr>
            </w:pPr>
            <w:r w:rsidRPr="005B12AE">
              <w:rPr>
                <w:rFonts w:ascii="Calibri" w:hAnsi="Calibri" w:cs="Calibri"/>
                <w:b/>
                <w:sz w:val="18"/>
                <w:szCs w:val="18"/>
              </w:rPr>
              <w:t>3,828</w:t>
            </w:r>
          </w:p>
        </w:tc>
        <w:tc>
          <w:tcPr>
            <w:tcW w:w="1246" w:type="dxa"/>
          </w:tcPr>
          <w:p w14:paraId="732EC2C3" w14:textId="10F02DDD" w:rsidR="00A52563" w:rsidRPr="00987D69" w:rsidRDefault="00A52563" w:rsidP="00A52563">
            <w:pPr>
              <w:jc w:val="right"/>
              <w:rPr>
                <w:rFonts w:ascii="Calibri" w:hAnsi="Calibri" w:cs="Calibri"/>
                <w:sz w:val="18"/>
                <w:szCs w:val="18"/>
              </w:rPr>
            </w:pPr>
            <w:r w:rsidRPr="00987D69">
              <w:rPr>
                <w:rFonts w:ascii="Calibri" w:hAnsi="Calibri" w:cs="Calibri"/>
                <w:sz w:val="18"/>
                <w:szCs w:val="18"/>
              </w:rPr>
              <w:t>4,600</w:t>
            </w:r>
          </w:p>
        </w:tc>
        <w:tc>
          <w:tcPr>
            <w:tcW w:w="1246" w:type="dxa"/>
          </w:tcPr>
          <w:p w14:paraId="23B03CC4" w14:textId="7B1CFC18" w:rsidR="00A52563" w:rsidRPr="00987D69" w:rsidRDefault="00A52563" w:rsidP="00A52563">
            <w:pPr>
              <w:jc w:val="right"/>
              <w:rPr>
                <w:rFonts w:ascii="Calibri" w:hAnsi="Calibri" w:cs="Calibri"/>
                <w:sz w:val="18"/>
                <w:szCs w:val="18"/>
              </w:rPr>
            </w:pPr>
            <w:r>
              <w:rPr>
                <w:rFonts w:ascii="Calibri" w:hAnsi="Calibri" w:cs="Calibri"/>
                <w:sz w:val="18"/>
                <w:szCs w:val="18"/>
              </w:rPr>
              <w:t>5,349</w:t>
            </w:r>
          </w:p>
        </w:tc>
      </w:tr>
      <w:tr w:rsidR="00A52563" w:rsidRPr="008901A5" w14:paraId="073CAC7E" w14:textId="77777777" w:rsidTr="00A52563">
        <w:trPr>
          <w:trHeight w:val="279"/>
        </w:trPr>
        <w:tc>
          <w:tcPr>
            <w:tcW w:w="5103" w:type="dxa"/>
          </w:tcPr>
          <w:p w14:paraId="1E28467D" w14:textId="77777777" w:rsidR="00A52563" w:rsidRPr="00987D69" w:rsidRDefault="00A52563" w:rsidP="00A52563">
            <w:pPr>
              <w:rPr>
                <w:rFonts w:ascii="Calibri" w:hAnsi="Calibri" w:cs="Calibri"/>
                <w:b/>
                <w:sz w:val="18"/>
                <w:szCs w:val="18"/>
              </w:rPr>
            </w:pPr>
            <w:r w:rsidRPr="00987D69">
              <w:rPr>
                <w:rFonts w:ascii="Calibri" w:hAnsi="Calibri" w:cs="Calibri"/>
                <w:sz w:val="18"/>
                <w:szCs w:val="18"/>
              </w:rPr>
              <w:t>Subordinated debt</w:t>
            </w:r>
          </w:p>
        </w:tc>
        <w:tc>
          <w:tcPr>
            <w:tcW w:w="851" w:type="dxa"/>
          </w:tcPr>
          <w:p w14:paraId="0A24E9C7" w14:textId="77777777" w:rsidR="00A52563" w:rsidRPr="00AE770D" w:rsidRDefault="00A52563" w:rsidP="00A52563">
            <w:pPr>
              <w:rPr>
                <w:rFonts w:ascii="Calibri" w:hAnsi="Calibri" w:cs="Calibri"/>
                <w:sz w:val="18"/>
                <w:szCs w:val="18"/>
                <w:highlight w:val="yellow"/>
              </w:rPr>
            </w:pPr>
          </w:p>
        </w:tc>
        <w:tc>
          <w:tcPr>
            <w:tcW w:w="1134" w:type="dxa"/>
          </w:tcPr>
          <w:p w14:paraId="45292BE5" w14:textId="19FCD93F" w:rsidR="00A52563" w:rsidRPr="00A52563" w:rsidRDefault="00A52563" w:rsidP="00A52563">
            <w:pPr>
              <w:jc w:val="right"/>
              <w:rPr>
                <w:rFonts w:ascii="Calibri" w:hAnsi="Calibri" w:cs="Calibri"/>
                <w:b/>
                <w:sz w:val="18"/>
                <w:szCs w:val="18"/>
              </w:rPr>
            </w:pPr>
            <w:r w:rsidRPr="005B12AE">
              <w:rPr>
                <w:rFonts w:ascii="Calibri" w:hAnsi="Calibri" w:cs="Calibri"/>
                <w:b/>
                <w:sz w:val="18"/>
                <w:szCs w:val="18"/>
              </w:rPr>
              <w:t>49,721</w:t>
            </w:r>
          </w:p>
        </w:tc>
        <w:tc>
          <w:tcPr>
            <w:tcW w:w="1246" w:type="dxa"/>
          </w:tcPr>
          <w:p w14:paraId="711EDAEA" w14:textId="691C1EB2" w:rsidR="00A52563" w:rsidRPr="00A52563" w:rsidRDefault="00A52563" w:rsidP="00A52563">
            <w:pPr>
              <w:jc w:val="right"/>
              <w:rPr>
                <w:rFonts w:ascii="Calibri" w:hAnsi="Calibri" w:cs="Calibri"/>
                <w:sz w:val="18"/>
                <w:szCs w:val="18"/>
              </w:rPr>
            </w:pPr>
            <w:r w:rsidRPr="00A52563">
              <w:rPr>
                <w:rFonts w:ascii="Calibri" w:hAnsi="Calibri" w:cs="Calibri"/>
                <w:sz w:val="18"/>
                <w:szCs w:val="18"/>
              </w:rPr>
              <w:t>49,662</w:t>
            </w:r>
          </w:p>
        </w:tc>
        <w:tc>
          <w:tcPr>
            <w:tcW w:w="1246" w:type="dxa"/>
          </w:tcPr>
          <w:p w14:paraId="3FD5C6E9" w14:textId="220030B0" w:rsidR="00A52563" w:rsidRPr="00A52563" w:rsidRDefault="00A52563" w:rsidP="00A52563">
            <w:pPr>
              <w:jc w:val="right"/>
              <w:rPr>
                <w:rFonts w:ascii="Calibri" w:hAnsi="Calibri" w:cs="Calibri"/>
                <w:sz w:val="18"/>
                <w:szCs w:val="18"/>
              </w:rPr>
            </w:pPr>
            <w:r w:rsidRPr="00A52563">
              <w:rPr>
                <w:rFonts w:ascii="Calibri" w:hAnsi="Calibri" w:cs="Calibri"/>
                <w:sz w:val="18"/>
                <w:szCs w:val="18"/>
              </w:rPr>
              <w:t>49,603</w:t>
            </w:r>
          </w:p>
        </w:tc>
      </w:tr>
      <w:tr w:rsidR="00A52563" w:rsidRPr="008901A5" w14:paraId="45B52A00" w14:textId="77777777" w:rsidTr="00A52563">
        <w:trPr>
          <w:trHeight w:val="271"/>
        </w:trPr>
        <w:tc>
          <w:tcPr>
            <w:tcW w:w="5103" w:type="dxa"/>
          </w:tcPr>
          <w:p w14:paraId="3DB21B11" w14:textId="40F5F8A6" w:rsidR="00A52563" w:rsidRPr="00987D69" w:rsidRDefault="006F4D74" w:rsidP="00A52563">
            <w:pPr>
              <w:rPr>
                <w:rFonts w:ascii="Calibri" w:hAnsi="Calibri" w:cs="Calibri"/>
                <w:sz w:val="18"/>
                <w:szCs w:val="18"/>
              </w:rPr>
            </w:pPr>
            <w:r>
              <w:rPr>
                <w:rFonts w:ascii="Calibri" w:hAnsi="Calibri" w:cs="Calibri"/>
                <w:sz w:val="18"/>
                <w:szCs w:val="18"/>
              </w:rPr>
              <w:t>Deferred taxation liabilities</w:t>
            </w:r>
          </w:p>
        </w:tc>
        <w:tc>
          <w:tcPr>
            <w:tcW w:w="851" w:type="dxa"/>
          </w:tcPr>
          <w:p w14:paraId="74C524FA" w14:textId="77777777" w:rsidR="00A52563" w:rsidRPr="00AE770D" w:rsidRDefault="00A52563" w:rsidP="00A52563">
            <w:pPr>
              <w:rPr>
                <w:rFonts w:ascii="Calibri" w:hAnsi="Calibri" w:cs="Calibri"/>
                <w:sz w:val="18"/>
                <w:szCs w:val="18"/>
                <w:highlight w:val="yellow"/>
              </w:rPr>
            </w:pPr>
          </w:p>
        </w:tc>
        <w:tc>
          <w:tcPr>
            <w:tcW w:w="1134" w:type="dxa"/>
            <w:tcBorders>
              <w:bottom w:val="single" w:sz="2" w:space="0" w:color="auto"/>
            </w:tcBorders>
          </w:tcPr>
          <w:p w14:paraId="4A2887CD" w14:textId="5981C459" w:rsidR="00A52563" w:rsidRPr="00A52563" w:rsidRDefault="006F4D74" w:rsidP="005B12AE">
            <w:pPr>
              <w:jc w:val="right"/>
              <w:rPr>
                <w:rFonts w:ascii="Calibri" w:hAnsi="Calibri" w:cs="Calibri"/>
                <w:b/>
                <w:sz w:val="18"/>
                <w:szCs w:val="18"/>
              </w:rPr>
            </w:pPr>
            <w:r>
              <w:rPr>
                <w:rFonts w:ascii="Calibri" w:hAnsi="Calibri" w:cs="Calibri"/>
                <w:b/>
                <w:sz w:val="18"/>
                <w:szCs w:val="18"/>
              </w:rPr>
              <w:t>-</w:t>
            </w:r>
          </w:p>
        </w:tc>
        <w:tc>
          <w:tcPr>
            <w:tcW w:w="1246" w:type="dxa"/>
            <w:tcBorders>
              <w:bottom w:val="single" w:sz="2" w:space="0" w:color="auto"/>
            </w:tcBorders>
          </w:tcPr>
          <w:p w14:paraId="5B8168D8" w14:textId="547269A2" w:rsidR="00A52563" w:rsidRPr="00A52563" w:rsidRDefault="006F4D74" w:rsidP="00A52563">
            <w:pPr>
              <w:jc w:val="right"/>
              <w:rPr>
                <w:rFonts w:ascii="Calibri" w:hAnsi="Calibri" w:cs="Calibri"/>
                <w:sz w:val="18"/>
                <w:szCs w:val="18"/>
              </w:rPr>
            </w:pPr>
            <w:r>
              <w:rPr>
                <w:rFonts w:ascii="Calibri" w:hAnsi="Calibri" w:cs="Calibri"/>
                <w:sz w:val="18"/>
                <w:szCs w:val="18"/>
              </w:rPr>
              <w:t>-</w:t>
            </w:r>
          </w:p>
        </w:tc>
        <w:tc>
          <w:tcPr>
            <w:tcW w:w="1246" w:type="dxa"/>
            <w:tcBorders>
              <w:bottom w:val="single" w:sz="2" w:space="0" w:color="auto"/>
            </w:tcBorders>
          </w:tcPr>
          <w:p w14:paraId="4FF35949" w14:textId="0A6A9E33" w:rsidR="00A52563" w:rsidRPr="00A52563" w:rsidRDefault="00A52563" w:rsidP="00A52563">
            <w:pPr>
              <w:jc w:val="right"/>
              <w:rPr>
                <w:rFonts w:ascii="Calibri" w:hAnsi="Calibri" w:cs="Calibri"/>
                <w:sz w:val="18"/>
                <w:szCs w:val="18"/>
              </w:rPr>
            </w:pPr>
            <w:r w:rsidRPr="00A52563">
              <w:rPr>
                <w:rFonts w:ascii="Calibri" w:hAnsi="Calibri" w:cs="Calibri"/>
                <w:sz w:val="18"/>
                <w:szCs w:val="18"/>
              </w:rPr>
              <w:t>3,891</w:t>
            </w:r>
          </w:p>
        </w:tc>
      </w:tr>
      <w:tr w:rsidR="00A52563" w:rsidRPr="008901A5" w14:paraId="044C6E2B" w14:textId="77777777" w:rsidTr="00A52563">
        <w:trPr>
          <w:trHeight w:val="271"/>
        </w:trPr>
        <w:tc>
          <w:tcPr>
            <w:tcW w:w="5103" w:type="dxa"/>
          </w:tcPr>
          <w:p w14:paraId="52190BBB" w14:textId="77777777" w:rsidR="00A52563" w:rsidRPr="00987D69" w:rsidRDefault="00A52563" w:rsidP="00A52563">
            <w:pPr>
              <w:rPr>
                <w:rFonts w:ascii="Calibri" w:hAnsi="Calibri" w:cs="Calibri"/>
                <w:sz w:val="18"/>
                <w:szCs w:val="18"/>
              </w:rPr>
            </w:pPr>
            <w:r w:rsidRPr="00987D69">
              <w:rPr>
                <w:rFonts w:ascii="Calibri" w:hAnsi="Calibri" w:cs="Calibri"/>
                <w:b/>
                <w:color w:val="000000"/>
                <w:sz w:val="18"/>
                <w:szCs w:val="18"/>
              </w:rPr>
              <w:t>Total liabilities</w:t>
            </w:r>
          </w:p>
        </w:tc>
        <w:tc>
          <w:tcPr>
            <w:tcW w:w="851" w:type="dxa"/>
          </w:tcPr>
          <w:p w14:paraId="25E3D496" w14:textId="77777777" w:rsidR="00A52563" w:rsidRPr="00AE770D" w:rsidRDefault="00A52563" w:rsidP="00A52563">
            <w:pPr>
              <w:rPr>
                <w:rFonts w:ascii="Calibri" w:hAnsi="Calibri" w:cs="Calibri"/>
                <w:sz w:val="18"/>
                <w:szCs w:val="18"/>
                <w:highlight w:val="yellow"/>
              </w:rPr>
            </w:pPr>
          </w:p>
        </w:tc>
        <w:tc>
          <w:tcPr>
            <w:tcW w:w="1134" w:type="dxa"/>
            <w:tcBorders>
              <w:top w:val="single" w:sz="2" w:space="0" w:color="auto"/>
              <w:bottom w:val="single" w:sz="8" w:space="0" w:color="auto"/>
            </w:tcBorders>
          </w:tcPr>
          <w:p w14:paraId="305F3531" w14:textId="1DA44402" w:rsidR="00A52563" w:rsidRPr="00A52563" w:rsidRDefault="00A52563" w:rsidP="00A52563">
            <w:pPr>
              <w:jc w:val="right"/>
              <w:rPr>
                <w:rFonts w:ascii="Calibri" w:hAnsi="Calibri" w:cs="Calibri"/>
                <w:b/>
                <w:sz w:val="18"/>
                <w:szCs w:val="18"/>
              </w:rPr>
            </w:pPr>
            <w:r w:rsidRPr="00A52563">
              <w:rPr>
                <w:rFonts w:ascii="Calibri" w:hAnsi="Calibri" w:cs="Calibri"/>
                <w:b/>
                <w:sz w:val="18"/>
                <w:szCs w:val="18"/>
              </w:rPr>
              <w:t>887,115</w:t>
            </w:r>
          </w:p>
        </w:tc>
        <w:tc>
          <w:tcPr>
            <w:tcW w:w="1246" w:type="dxa"/>
            <w:tcBorders>
              <w:top w:val="single" w:sz="2" w:space="0" w:color="auto"/>
              <w:bottom w:val="single" w:sz="8" w:space="0" w:color="auto"/>
            </w:tcBorders>
          </w:tcPr>
          <w:p w14:paraId="2D243242" w14:textId="76D28155" w:rsidR="00A52563" w:rsidRPr="005B12AE" w:rsidRDefault="00A52563" w:rsidP="00A52563">
            <w:pPr>
              <w:jc w:val="right"/>
              <w:rPr>
                <w:rFonts w:ascii="Calibri" w:hAnsi="Calibri" w:cs="Calibri"/>
                <w:sz w:val="18"/>
                <w:szCs w:val="18"/>
              </w:rPr>
            </w:pPr>
            <w:r w:rsidRPr="005B12AE">
              <w:rPr>
                <w:rFonts w:ascii="Calibri" w:hAnsi="Calibri" w:cs="Calibri"/>
                <w:sz w:val="18"/>
                <w:szCs w:val="18"/>
              </w:rPr>
              <w:t>930,623</w:t>
            </w:r>
          </w:p>
        </w:tc>
        <w:tc>
          <w:tcPr>
            <w:tcW w:w="1246" w:type="dxa"/>
            <w:tcBorders>
              <w:top w:val="single" w:sz="2" w:space="0" w:color="auto"/>
              <w:bottom w:val="single" w:sz="8" w:space="0" w:color="auto"/>
            </w:tcBorders>
          </w:tcPr>
          <w:p w14:paraId="3E52A9E4" w14:textId="7C588F19" w:rsidR="00A52563" w:rsidRPr="005B12AE" w:rsidRDefault="00A52563" w:rsidP="00A52563">
            <w:pPr>
              <w:jc w:val="right"/>
              <w:rPr>
                <w:rFonts w:ascii="Calibri" w:hAnsi="Calibri" w:cs="Calibri"/>
                <w:sz w:val="18"/>
                <w:szCs w:val="18"/>
              </w:rPr>
            </w:pPr>
            <w:r w:rsidRPr="005B12AE">
              <w:rPr>
                <w:rFonts w:ascii="Calibri" w:hAnsi="Calibri" w:cs="Calibri"/>
                <w:sz w:val="18"/>
                <w:szCs w:val="18"/>
              </w:rPr>
              <w:t>1,037,609</w:t>
            </w:r>
          </w:p>
        </w:tc>
      </w:tr>
      <w:tr w:rsidR="00A52563" w:rsidRPr="008901A5" w14:paraId="6E495D4D" w14:textId="77777777" w:rsidTr="00A52563">
        <w:trPr>
          <w:trHeight w:val="271"/>
        </w:trPr>
        <w:tc>
          <w:tcPr>
            <w:tcW w:w="5103" w:type="dxa"/>
          </w:tcPr>
          <w:p w14:paraId="032B0F0A" w14:textId="77777777" w:rsidR="00A52563" w:rsidRPr="00987D69" w:rsidRDefault="00A52563" w:rsidP="00A52563">
            <w:pPr>
              <w:rPr>
                <w:rFonts w:ascii="Calibri" w:hAnsi="Calibri" w:cs="Calibri"/>
                <w:sz w:val="18"/>
                <w:szCs w:val="18"/>
              </w:rPr>
            </w:pPr>
          </w:p>
        </w:tc>
        <w:tc>
          <w:tcPr>
            <w:tcW w:w="851" w:type="dxa"/>
          </w:tcPr>
          <w:p w14:paraId="25EC9494" w14:textId="77777777" w:rsidR="00A52563" w:rsidRPr="00AE770D" w:rsidRDefault="00A52563" w:rsidP="00A52563">
            <w:pPr>
              <w:rPr>
                <w:rFonts w:ascii="Calibri" w:hAnsi="Calibri" w:cs="Calibri"/>
                <w:sz w:val="18"/>
                <w:szCs w:val="18"/>
                <w:highlight w:val="yellow"/>
              </w:rPr>
            </w:pPr>
          </w:p>
        </w:tc>
        <w:tc>
          <w:tcPr>
            <w:tcW w:w="1134" w:type="dxa"/>
            <w:tcBorders>
              <w:top w:val="single" w:sz="8" w:space="0" w:color="auto"/>
            </w:tcBorders>
          </w:tcPr>
          <w:p w14:paraId="000CB01D" w14:textId="77777777" w:rsidR="00A52563" w:rsidRPr="00A52563" w:rsidRDefault="00A52563" w:rsidP="00A52563">
            <w:pPr>
              <w:rPr>
                <w:rFonts w:ascii="Calibri" w:hAnsi="Calibri" w:cs="Calibri"/>
                <w:b/>
                <w:sz w:val="18"/>
                <w:szCs w:val="18"/>
              </w:rPr>
            </w:pPr>
          </w:p>
        </w:tc>
        <w:tc>
          <w:tcPr>
            <w:tcW w:w="1246" w:type="dxa"/>
            <w:tcBorders>
              <w:top w:val="single" w:sz="8" w:space="0" w:color="auto"/>
            </w:tcBorders>
          </w:tcPr>
          <w:p w14:paraId="48A187D1" w14:textId="77777777" w:rsidR="00A52563" w:rsidRPr="005B12AE" w:rsidRDefault="00A52563" w:rsidP="00A52563">
            <w:pPr>
              <w:rPr>
                <w:rFonts w:ascii="Calibri" w:hAnsi="Calibri" w:cs="Calibri"/>
                <w:sz w:val="18"/>
                <w:szCs w:val="18"/>
              </w:rPr>
            </w:pPr>
          </w:p>
        </w:tc>
        <w:tc>
          <w:tcPr>
            <w:tcW w:w="1246" w:type="dxa"/>
            <w:tcBorders>
              <w:top w:val="single" w:sz="8" w:space="0" w:color="auto"/>
            </w:tcBorders>
          </w:tcPr>
          <w:p w14:paraId="2E578300" w14:textId="60A8D934" w:rsidR="00A52563" w:rsidRPr="005B12AE" w:rsidRDefault="00A52563" w:rsidP="00A52563">
            <w:pPr>
              <w:rPr>
                <w:rFonts w:ascii="Calibri" w:hAnsi="Calibri" w:cs="Calibri"/>
                <w:sz w:val="18"/>
                <w:szCs w:val="18"/>
              </w:rPr>
            </w:pPr>
          </w:p>
        </w:tc>
      </w:tr>
      <w:tr w:rsidR="00A52563" w:rsidRPr="008901A5" w14:paraId="60E4743D" w14:textId="77777777" w:rsidTr="00A52563">
        <w:trPr>
          <w:trHeight w:val="271"/>
        </w:trPr>
        <w:tc>
          <w:tcPr>
            <w:tcW w:w="5103" w:type="dxa"/>
          </w:tcPr>
          <w:p w14:paraId="0F8D337C" w14:textId="77777777" w:rsidR="00A52563" w:rsidRPr="00987D69" w:rsidRDefault="00A52563" w:rsidP="00A52563">
            <w:pPr>
              <w:rPr>
                <w:rFonts w:ascii="Calibri" w:hAnsi="Calibri" w:cs="Calibri"/>
                <w:b/>
                <w:color w:val="000000"/>
                <w:sz w:val="18"/>
                <w:szCs w:val="18"/>
              </w:rPr>
            </w:pPr>
            <w:r w:rsidRPr="00987D69">
              <w:rPr>
                <w:rFonts w:ascii="Calibri" w:hAnsi="Calibri" w:cs="Calibri"/>
                <w:b/>
                <w:color w:val="000000"/>
                <w:sz w:val="18"/>
                <w:szCs w:val="18"/>
              </w:rPr>
              <w:t>Equity</w:t>
            </w:r>
          </w:p>
        </w:tc>
        <w:tc>
          <w:tcPr>
            <w:tcW w:w="851" w:type="dxa"/>
          </w:tcPr>
          <w:p w14:paraId="36FCCDBA" w14:textId="77777777" w:rsidR="00A52563" w:rsidRPr="00AE770D" w:rsidRDefault="00A52563" w:rsidP="00A52563">
            <w:pPr>
              <w:rPr>
                <w:rFonts w:ascii="Calibri" w:hAnsi="Calibri" w:cs="Calibri"/>
                <w:sz w:val="18"/>
                <w:szCs w:val="18"/>
                <w:highlight w:val="yellow"/>
              </w:rPr>
            </w:pPr>
          </w:p>
        </w:tc>
        <w:tc>
          <w:tcPr>
            <w:tcW w:w="1134" w:type="dxa"/>
          </w:tcPr>
          <w:p w14:paraId="1B6D1C75" w14:textId="77777777" w:rsidR="00A52563" w:rsidRPr="00A52563" w:rsidRDefault="00A52563" w:rsidP="00A52563">
            <w:pPr>
              <w:rPr>
                <w:rFonts w:ascii="Calibri" w:hAnsi="Calibri" w:cs="Calibri"/>
                <w:b/>
                <w:sz w:val="18"/>
                <w:szCs w:val="18"/>
              </w:rPr>
            </w:pPr>
          </w:p>
        </w:tc>
        <w:tc>
          <w:tcPr>
            <w:tcW w:w="1246" w:type="dxa"/>
          </w:tcPr>
          <w:p w14:paraId="08B6F325" w14:textId="77777777" w:rsidR="00A52563" w:rsidRPr="00A52563" w:rsidRDefault="00A52563" w:rsidP="00A52563">
            <w:pPr>
              <w:jc w:val="right"/>
              <w:rPr>
                <w:rFonts w:ascii="Calibri" w:hAnsi="Calibri" w:cs="Calibri"/>
                <w:sz w:val="18"/>
                <w:szCs w:val="18"/>
              </w:rPr>
            </w:pPr>
          </w:p>
        </w:tc>
        <w:tc>
          <w:tcPr>
            <w:tcW w:w="1246" w:type="dxa"/>
          </w:tcPr>
          <w:p w14:paraId="6F887459" w14:textId="77E4344A" w:rsidR="00A52563" w:rsidRPr="00A52563" w:rsidRDefault="00A52563" w:rsidP="00A52563">
            <w:pPr>
              <w:jc w:val="right"/>
              <w:rPr>
                <w:rFonts w:ascii="Calibri" w:hAnsi="Calibri" w:cs="Calibri"/>
                <w:sz w:val="18"/>
                <w:szCs w:val="18"/>
              </w:rPr>
            </w:pPr>
          </w:p>
        </w:tc>
      </w:tr>
      <w:tr w:rsidR="00A52563" w:rsidRPr="008901A5" w14:paraId="03EBDDCE" w14:textId="77777777" w:rsidTr="00A52563">
        <w:trPr>
          <w:trHeight w:val="271"/>
        </w:trPr>
        <w:tc>
          <w:tcPr>
            <w:tcW w:w="5103" w:type="dxa"/>
          </w:tcPr>
          <w:p w14:paraId="374C3661" w14:textId="77777777" w:rsidR="00A52563" w:rsidRPr="00987D69" w:rsidRDefault="00A52563" w:rsidP="00A52563">
            <w:pPr>
              <w:rPr>
                <w:rFonts w:ascii="Calibri" w:hAnsi="Calibri" w:cs="Calibri"/>
                <w:sz w:val="18"/>
                <w:szCs w:val="18"/>
              </w:rPr>
            </w:pPr>
            <w:r w:rsidRPr="00987D69">
              <w:rPr>
                <w:rFonts w:ascii="Calibri" w:hAnsi="Calibri" w:cs="Calibri"/>
                <w:color w:val="000000"/>
                <w:sz w:val="18"/>
                <w:szCs w:val="18"/>
              </w:rPr>
              <w:t>Called up share capital presented as equity</w:t>
            </w:r>
          </w:p>
        </w:tc>
        <w:tc>
          <w:tcPr>
            <w:tcW w:w="851" w:type="dxa"/>
          </w:tcPr>
          <w:p w14:paraId="01CF0880" w14:textId="7B85343B" w:rsidR="00A52563" w:rsidRPr="00AE770D" w:rsidRDefault="00A52563" w:rsidP="00A52563">
            <w:pPr>
              <w:rPr>
                <w:rFonts w:ascii="Calibri" w:hAnsi="Calibri" w:cs="Calibri"/>
                <w:sz w:val="18"/>
                <w:szCs w:val="18"/>
                <w:highlight w:val="yellow"/>
              </w:rPr>
            </w:pPr>
          </w:p>
        </w:tc>
        <w:tc>
          <w:tcPr>
            <w:tcW w:w="1134" w:type="dxa"/>
          </w:tcPr>
          <w:p w14:paraId="7E85C121" w14:textId="386F7CFB" w:rsidR="00A52563" w:rsidRPr="00A52563" w:rsidRDefault="00A52563" w:rsidP="00A52563">
            <w:pPr>
              <w:jc w:val="right"/>
              <w:rPr>
                <w:rFonts w:ascii="Calibri" w:hAnsi="Calibri" w:cs="Calibri"/>
                <w:b/>
                <w:sz w:val="18"/>
                <w:szCs w:val="18"/>
              </w:rPr>
            </w:pPr>
            <w:r w:rsidRPr="005B12AE">
              <w:rPr>
                <w:rFonts w:ascii="Calibri" w:hAnsi="Calibri" w:cs="Calibri"/>
                <w:b/>
                <w:sz w:val="18"/>
                <w:szCs w:val="18"/>
              </w:rPr>
              <w:t>21,744</w:t>
            </w:r>
          </w:p>
        </w:tc>
        <w:tc>
          <w:tcPr>
            <w:tcW w:w="1246" w:type="dxa"/>
          </w:tcPr>
          <w:p w14:paraId="5F23F69B" w14:textId="04B87E96" w:rsidR="00A52563" w:rsidRPr="00A52563" w:rsidRDefault="00A52563" w:rsidP="00A52563">
            <w:pPr>
              <w:jc w:val="right"/>
              <w:rPr>
                <w:rFonts w:ascii="Calibri" w:hAnsi="Calibri" w:cs="Calibri"/>
                <w:sz w:val="18"/>
                <w:szCs w:val="18"/>
              </w:rPr>
            </w:pPr>
            <w:r w:rsidRPr="00A52563">
              <w:rPr>
                <w:rFonts w:ascii="Calibri" w:hAnsi="Calibri" w:cs="Calibri"/>
                <w:sz w:val="18"/>
                <w:szCs w:val="18"/>
              </w:rPr>
              <w:t>21,583</w:t>
            </w:r>
          </w:p>
        </w:tc>
        <w:tc>
          <w:tcPr>
            <w:tcW w:w="1246" w:type="dxa"/>
          </w:tcPr>
          <w:p w14:paraId="320EFC25" w14:textId="6C76B701" w:rsidR="00A52563" w:rsidRPr="00A52563" w:rsidRDefault="00A52563" w:rsidP="00A52563">
            <w:pPr>
              <w:jc w:val="right"/>
              <w:rPr>
                <w:rFonts w:ascii="Calibri" w:hAnsi="Calibri" w:cs="Calibri"/>
                <w:sz w:val="18"/>
                <w:szCs w:val="18"/>
              </w:rPr>
            </w:pPr>
            <w:r w:rsidRPr="00A52563">
              <w:rPr>
                <w:rFonts w:ascii="Calibri" w:hAnsi="Calibri" w:cs="Calibri"/>
                <w:sz w:val="18"/>
                <w:szCs w:val="18"/>
              </w:rPr>
              <w:t>21</w:t>
            </w:r>
            <w:r w:rsidR="006F4D74">
              <w:rPr>
                <w:rFonts w:ascii="Calibri" w:hAnsi="Calibri" w:cs="Calibri"/>
                <w:sz w:val="18"/>
                <w:szCs w:val="18"/>
              </w:rPr>
              <w:t>,409</w:t>
            </w:r>
          </w:p>
        </w:tc>
      </w:tr>
      <w:tr w:rsidR="00A52563" w:rsidRPr="008901A5" w14:paraId="7B3CF01D" w14:textId="77777777" w:rsidTr="00A52563">
        <w:trPr>
          <w:trHeight w:val="271"/>
        </w:trPr>
        <w:tc>
          <w:tcPr>
            <w:tcW w:w="5103" w:type="dxa"/>
          </w:tcPr>
          <w:p w14:paraId="0AA8CA75" w14:textId="77777777" w:rsidR="00A52563" w:rsidRPr="00987D69" w:rsidRDefault="00A52563" w:rsidP="00A52563">
            <w:pPr>
              <w:rPr>
                <w:rFonts w:ascii="Calibri" w:hAnsi="Calibri" w:cs="Calibri"/>
                <w:sz w:val="18"/>
                <w:szCs w:val="18"/>
              </w:rPr>
            </w:pPr>
            <w:r w:rsidRPr="00987D69">
              <w:rPr>
                <w:rFonts w:ascii="Calibri" w:hAnsi="Calibri" w:cs="Calibri"/>
                <w:color w:val="000000"/>
                <w:sz w:val="18"/>
                <w:szCs w:val="18"/>
              </w:rPr>
              <w:t>Capital reserves</w:t>
            </w:r>
          </w:p>
        </w:tc>
        <w:tc>
          <w:tcPr>
            <w:tcW w:w="851" w:type="dxa"/>
          </w:tcPr>
          <w:p w14:paraId="086B9AD6" w14:textId="77777777" w:rsidR="00A52563" w:rsidRPr="00AE770D" w:rsidRDefault="00A52563" w:rsidP="00A52563">
            <w:pPr>
              <w:rPr>
                <w:rFonts w:ascii="Calibri" w:hAnsi="Calibri" w:cs="Calibri"/>
                <w:sz w:val="18"/>
                <w:szCs w:val="18"/>
                <w:highlight w:val="yellow"/>
              </w:rPr>
            </w:pPr>
          </w:p>
        </w:tc>
        <w:tc>
          <w:tcPr>
            <w:tcW w:w="1134" w:type="dxa"/>
          </w:tcPr>
          <w:p w14:paraId="231FBD4A" w14:textId="387B28DC" w:rsidR="00A52563" w:rsidRPr="00A52563" w:rsidRDefault="00A52563" w:rsidP="00A52563">
            <w:pPr>
              <w:jc w:val="right"/>
              <w:rPr>
                <w:rFonts w:ascii="Calibri" w:hAnsi="Calibri" w:cs="Calibri"/>
                <w:b/>
                <w:sz w:val="18"/>
                <w:szCs w:val="18"/>
              </w:rPr>
            </w:pPr>
            <w:r w:rsidRPr="005B12AE">
              <w:rPr>
                <w:rFonts w:ascii="Calibri" w:hAnsi="Calibri" w:cs="Calibri"/>
                <w:b/>
                <w:sz w:val="18"/>
                <w:szCs w:val="18"/>
              </w:rPr>
              <w:t>34,479</w:t>
            </w:r>
          </w:p>
        </w:tc>
        <w:tc>
          <w:tcPr>
            <w:tcW w:w="1246" w:type="dxa"/>
          </w:tcPr>
          <w:p w14:paraId="1F3048C0" w14:textId="34DCF8C4" w:rsidR="00A52563" w:rsidRPr="00A52563" w:rsidRDefault="00A52563" w:rsidP="00A52563">
            <w:pPr>
              <w:jc w:val="right"/>
              <w:rPr>
                <w:rFonts w:ascii="Calibri" w:hAnsi="Calibri" w:cs="Calibri"/>
                <w:sz w:val="18"/>
                <w:szCs w:val="18"/>
              </w:rPr>
            </w:pPr>
            <w:r w:rsidRPr="00A52563">
              <w:rPr>
                <w:rFonts w:ascii="Calibri" w:hAnsi="Calibri" w:cs="Calibri"/>
                <w:sz w:val="18"/>
                <w:szCs w:val="18"/>
              </w:rPr>
              <w:t>30,192</w:t>
            </w:r>
          </w:p>
        </w:tc>
        <w:tc>
          <w:tcPr>
            <w:tcW w:w="1246" w:type="dxa"/>
          </w:tcPr>
          <w:p w14:paraId="030F40FE" w14:textId="21578432" w:rsidR="00A52563" w:rsidRPr="00A52563" w:rsidRDefault="006F4D74" w:rsidP="00A52563">
            <w:pPr>
              <w:jc w:val="right"/>
              <w:rPr>
                <w:rFonts w:ascii="Calibri" w:hAnsi="Calibri" w:cs="Calibri"/>
                <w:sz w:val="18"/>
                <w:szCs w:val="18"/>
              </w:rPr>
            </w:pPr>
            <w:r>
              <w:rPr>
                <w:rFonts w:ascii="Calibri" w:hAnsi="Calibri" w:cs="Calibri"/>
                <w:sz w:val="18"/>
                <w:szCs w:val="18"/>
              </w:rPr>
              <w:t>27,406</w:t>
            </w:r>
          </w:p>
        </w:tc>
      </w:tr>
      <w:tr w:rsidR="00A52563" w:rsidRPr="008901A5" w14:paraId="40272B62" w14:textId="77777777" w:rsidTr="00A52563">
        <w:trPr>
          <w:trHeight w:val="271"/>
        </w:trPr>
        <w:tc>
          <w:tcPr>
            <w:tcW w:w="5103" w:type="dxa"/>
          </w:tcPr>
          <w:p w14:paraId="6BD4904E" w14:textId="77777777" w:rsidR="00A52563" w:rsidRPr="00987D69" w:rsidRDefault="00A52563" w:rsidP="00A52563">
            <w:pPr>
              <w:rPr>
                <w:rFonts w:ascii="Calibri" w:hAnsi="Calibri" w:cs="Calibri"/>
                <w:sz w:val="18"/>
                <w:szCs w:val="18"/>
              </w:rPr>
            </w:pPr>
            <w:r w:rsidRPr="00987D69">
              <w:rPr>
                <w:rFonts w:ascii="Calibri" w:hAnsi="Calibri" w:cs="Calibri"/>
                <w:color w:val="000000"/>
                <w:sz w:val="18"/>
                <w:szCs w:val="18"/>
              </w:rPr>
              <w:t>Retained earnings</w:t>
            </w:r>
          </w:p>
        </w:tc>
        <w:tc>
          <w:tcPr>
            <w:tcW w:w="851" w:type="dxa"/>
          </w:tcPr>
          <w:p w14:paraId="54B0F659" w14:textId="77777777" w:rsidR="00A52563" w:rsidRPr="00AE770D" w:rsidRDefault="00A52563" w:rsidP="00A52563">
            <w:pPr>
              <w:rPr>
                <w:rFonts w:ascii="Calibri" w:hAnsi="Calibri" w:cs="Calibri"/>
                <w:sz w:val="18"/>
                <w:szCs w:val="18"/>
                <w:highlight w:val="yellow"/>
              </w:rPr>
            </w:pPr>
          </w:p>
        </w:tc>
        <w:tc>
          <w:tcPr>
            <w:tcW w:w="1134" w:type="dxa"/>
          </w:tcPr>
          <w:p w14:paraId="23E79178" w14:textId="18B8D873" w:rsidR="00A52563" w:rsidRPr="00A52563" w:rsidRDefault="00A52563" w:rsidP="00A52563">
            <w:pPr>
              <w:jc w:val="right"/>
              <w:rPr>
                <w:rFonts w:ascii="Calibri" w:hAnsi="Calibri" w:cs="Calibri"/>
                <w:b/>
                <w:sz w:val="18"/>
                <w:szCs w:val="18"/>
              </w:rPr>
            </w:pPr>
            <w:r w:rsidRPr="005B12AE">
              <w:rPr>
                <w:rFonts w:ascii="Calibri" w:hAnsi="Calibri" w:cs="Calibri"/>
                <w:b/>
                <w:sz w:val="18"/>
                <w:szCs w:val="18"/>
              </w:rPr>
              <w:t>444,617</w:t>
            </w:r>
          </w:p>
        </w:tc>
        <w:tc>
          <w:tcPr>
            <w:tcW w:w="1246" w:type="dxa"/>
          </w:tcPr>
          <w:p w14:paraId="7DF036ED" w14:textId="1C403A7E" w:rsidR="00A52563" w:rsidRPr="00A52563" w:rsidRDefault="00A52563" w:rsidP="00A52563">
            <w:pPr>
              <w:jc w:val="right"/>
              <w:rPr>
                <w:rFonts w:ascii="Calibri" w:hAnsi="Calibri" w:cs="Calibri"/>
                <w:sz w:val="18"/>
                <w:szCs w:val="18"/>
              </w:rPr>
            </w:pPr>
            <w:r w:rsidRPr="00A52563">
              <w:rPr>
                <w:rFonts w:ascii="Calibri" w:hAnsi="Calibri" w:cs="Calibri"/>
                <w:sz w:val="18"/>
                <w:szCs w:val="18"/>
              </w:rPr>
              <w:t>450,318</w:t>
            </w:r>
          </w:p>
        </w:tc>
        <w:tc>
          <w:tcPr>
            <w:tcW w:w="1246" w:type="dxa"/>
          </w:tcPr>
          <w:p w14:paraId="5D87DC9C" w14:textId="3A4A2F74" w:rsidR="00A52563" w:rsidRPr="00A52563" w:rsidRDefault="00A52563" w:rsidP="00A52563">
            <w:pPr>
              <w:jc w:val="right"/>
              <w:rPr>
                <w:rFonts w:ascii="Calibri" w:hAnsi="Calibri" w:cs="Calibri"/>
                <w:sz w:val="18"/>
                <w:szCs w:val="18"/>
              </w:rPr>
            </w:pPr>
            <w:r w:rsidRPr="00A52563">
              <w:rPr>
                <w:rFonts w:ascii="Calibri" w:hAnsi="Calibri" w:cs="Calibri"/>
                <w:sz w:val="18"/>
                <w:szCs w:val="18"/>
              </w:rPr>
              <w:t>4</w:t>
            </w:r>
            <w:r w:rsidR="006F4D74">
              <w:rPr>
                <w:rFonts w:ascii="Calibri" w:hAnsi="Calibri" w:cs="Calibri"/>
                <w:sz w:val="18"/>
                <w:szCs w:val="18"/>
              </w:rPr>
              <w:t>30</w:t>
            </w:r>
            <w:r w:rsidRPr="00A52563">
              <w:rPr>
                <w:rFonts w:ascii="Calibri" w:hAnsi="Calibri" w:cs="Calibri"/>
                <w:sz w:val="18"/>
                <w:szCs w:val="18"/>
              </w:rPr>
              <w:t>,</w:t>
            </w:r>
            <w:r w:rsidR="006F4D74">
              <w:rPr>
                <w:rFonts w:ascii="Calibri" w:hAnsi="Calibri" w:cs="Calibri"/>
                <w:sz w:val="18"/>
                <w:szCs w:val="18"/>
              </w:rPr>
              <w:t>899</w:t>
            </w:r>
          </w:p>
        </w:tc>
      </w:tr>
      <w:tr w:rsidR="00A52563" w:rsidRPr="008901A5" w14:paraId="65440514" w14:textId="77777777" w:rsidTr="00A52563">
        <w:trPr>
          <w:trHeight w:val="271"/>
        </w:trPr>
        <w:tc>
          <w:tcPr>
            <w:tcW w:w="5103" w:type="dxa"/>
          </w:tcPr>
          <w:p w14:paraId="39B818DB" w14:textId="77777777" w:rsidR="00A52563" w:rsidRPr="00987D69" w:rsidRDefault="00A52563" w:rsidP="00A52563">
            <w:pPr>
              <w:rPr>
                <w:rFonts w:ascii="Calibri" w:hAnsi="Calibri" w:cs="Calibri"/>
                <w:color w:val="000000"/>
                <w:sz w:val="18"/>
                <w:szCs w:val="18"/>
              </w:rPr>
            </w:pPr>
            <w:r w:rsidRPr="00987D69">
              <w:rPr>
                <w:rFonts w:ascii="Calibri" w:hAnsi="Calibri" w:cs="Calibri"/>
                <w:color w:val="000000"/>
                <w:sz w:val="18"/>
                <w:szCs w:val="18"/>
              </w:rPr>
              <w:t>Other reserves</w:t>
            </w:r>
          </w:p>
        </w:tc>
        <w:tc>
          <w:tcPr>
            <w:tcW w:w="851" w:type="dxa"/>
          </w:tcPr>
          <w:p w14:paraId="669E639F" w14:textId="4031C826" w:rsidR="00A52563" w:rsidRPr="00AE770D" w:rsidRDefault="00A52563" w:rsidP="00A52563">
            <w:pPr>
              <w:rPr>
                <w:rFonts w:ascii="Calibri" w:hAnsi="Calibri" w:cs="Calibri"/>
                <w:sz w:val="18"/>
                <w:szCs w:val="18"/>
                <w:highlight w:val="yellow"/>
              </w:rPr>
            </w:pPr>
          </w:p>
        </w:tc>
        <w:tc>
          <w:tcPr>
            <w:tcW w:w="1134" w:type="dxa"/>
          </w:tcPr>
          <w:p w14:paraId="6560B156" w14:textId="5F84DD16" w:rsidR="00A52563" w:rsidRPr="00A52563" w:rsidRDefault="00A52563" w:rsidP="00A52563">
            <w:pPr>
              <w:jc w:val="right"/>
              <w:rPr>
                <w:rFonts w:ascii="Calibri" w:hAnsi="Calibri" w:cs="Calibri"/>
                <w:b/>
                <w:sz w:val="18"/>
                <w:szCs w:val="18"/>
              </w:rPr>
            </w:pPr>
            <w:r w:rsidRPr="005B12AE">
              <w:rPr>
                <w:rFonts w:ascii="Calibri" w:hAnsi="Calibri" w:cs="Calibri"/>
                <w:b/>
                <w:sz w:val="18"/>
                <w:szCs w:val="18"/>
              </w:rPr>
              <w:t>(23,804)</w:t>
            </w:r>
          </w:p>
        </w:tc>
        <w:tc>
          <w:tcPr>
            <w:tcW w:w="1246" w:type="dxa"/>
          </w:tcPr>
          <w:p w14:paraId="34A8C033" w14:textId="6710AB98" w:rsidR="00A52563" w:rsidRPr="00A52563" w:rsidRDefault="00A52563" w:rsidP="00A52563">
            <w:pPr>
              <w:jc w:val="right"/>
              <w:rPr>
                <w:rFonts w:ascii="Calibri" w:hAnsi="Calibri" w:cs="Calibri"/>
                <w:sz w:val="18"/>
                <w:szCs w:val="18"/>
              </w:rPr>
            </w:pPr>
            <w:r w:rsidRPr="00A52563">
              <w:rPr>
                <w:rFonts w:ascii="Calibri" w:hAnsi="Calibri" w:cs="Calibri"/>
                <w:sz w:val="18"/>
                <w:szCs w:val="18"/>
              </w:rPr>
              <w:t>(48,087)</w:t>
            </w:r>
          </w:p>
        </w:tc>
        <w:tc>
          <w:tcPr>
            <w:tcW w:w="1246" w:type="dxa"/>
          </w:tcPr>
          <w:p w14:paraId="53E3CD33" w14:textId="4B0B45D7" w:rsidR="00A52563" w:rsidRPr="00A52563" w:rsidRDefault="006F4D74" w:rsidP="00A52563">
            <w:pPr>
              <w:jc w:val="right"/>
              <w:rPr>
                <w:rFonts w:ascii="Calibri" w:hAnsi="Calibri" w:cs="Calibri"/>
                <w:sz w:val="18"/>
                <w:szCs w:val="18"/>
              </w:rPr>
            </w:pPr>
            <w:r>
              <w:rPr>
                <w:rFonts w:ascii="Calibri" w:hAnsi="Calibri" w:cs="Calibri"/>
                <w:sz w:val="18"/>
                <w:szCs w:val="18"/>
              </w:rPr>
              <w:t>575</w:t>
            </w:r>
          </w:p>
        </w:tc>
      </w:tr>
      <w:tr w:rsidR="00A52563" w:rsidRPr="008901A5" w14:paraId="301DECB1" w14:textId="77777777" w:rsidTr="00A52563">
        <w:trPr>
          <w:trHeight w:val="271"/>
        </w:trPr>
        <w:tc>
          <w:tcPr>
            <w:tcW w:w="5103" w:type="dxa"/>
          </w:tcPr>
          <w:p w14:paraId="7D83AB26" w14:textId="77777777" w:rsidR="00A52563" w:rsidRPr="00987D69" w:rsidRDefault="00A52563" w:rsidP="00A52563">
            <w:pPr>
              <w:rPr>
                <w:rFonts w:ascii="Calibri" w:hAnsi="Calibri" w:cs="Calibri"/>
                <w:color w:val="000000"/>
                <w:sz w:val="18"/>
                <w:szCs w:val="18"/>
              </w:rPr>
            </w:pPr>
          </w:p>
        </w:tc>
        <w:tc>
          <w:tcPr>
            <w:tcW w:w="851" w:type="dxa"/>
          </w:tcPr>
          <w:p w14:paraId="3F49DDAC" w14:textId="77777777" w:rsidR="00A52563" w:rsidRPr="00AE770D" w:rsidRDefault="00A52563" w:rsidP="00A52563">
            <w:pPr>
              <w:rPr>
                <w:rFonts w:ascii="Calibri" w:hAnsi="Calibri" w:cs="Calibri"/>
                <w:sz w:val="18"/>
                <w:szCs w:val="18"/>
                <w:highlight w:val="yellow"/>
              </w:rPr>
            </w:pPr>
          </w:p>
        </w:tc>
        <w:tc>
          <w:tcPr>
            <w:tcW w:w="1134" w:type="dxa"/>
            <w:tcBorders>
              <w:bottom w:val="single" w:sz="2" w:space="0" w:color="auto"/>
            </w:tcBorders>
          </w:tcPr>
          <w:p w14:paraId="0FC9D58C" w14:textId="77777777" w:rsidR="00A52563" w:rsidRPr="00A52563" w:rsidRDefault="00A52563" w:rsidP="00A52563">
            <w:pPr>
              <w:rPr>
                <w:rFonts w:ascii="Calibri" w:hAnsi="Calibri" w:cs="Calibri"/>
                <w:b/>
                <w:sz w:val="18"/>
                <w:szCs w:val="18"/>
              </w:rPr>
            </w:pPr>
          </w:p>
        </w:tc>
        <w:tc>
          <w:tcPr>
            <w:tcW w:w="1246" w:type="dxa"/>
            <w:tcBorders>
              <w:bottom w:val="single" w:sz="2" w:space="0" w:color="auto"/>
            </w:tcBorders>
          </w:tcPr>
          <w:p w14:paraId="271E34C0" w14:textId="77777777" w:rsidR="00A52563" w:rsidRPr="00A52563" w:rsidRDefault="00A52563" w:rsidP="00A52563">
            <w:pPr>
              <w:jc w:val="right"/>
              <w:rPr>
                <w:rFonts w:ascii="Calibri" w:hAnsi="Calibri" w:cs="Calibri"/>
                <w:sz w:val="18"/>
                <w:szCs w:val="18"/>
              </w:rPr>
            </w:pPr>
          </w:p>
        </w:tc>
        <w:tc>
          <w:tcPr>
            <w:tcW w:w="1246" w:type="dxa"/>
            <w:tcBorders>
              <w:bottom w:val="single" w:sz="2" w:space="0" w:color="auto"/>
            </w:tcBorders>
          </w:tcPr>
          <w:p w14:paraId="47EED2E8" w14:textId="48E227D0" w:rsidR="00A52563" w:rsidRPr="00A52563" w:rsidRDefault="00A52563" w:rsidP="00A52563">
            <w:pPr>
              <w:jc w:val="right"/>
              <w:rPr>
                <w:rFonts w:ascii="Calibri" w:hAnsi="Calibri" w:cs="Calibri"/>
                <w:sz w:val="18"/>
                <w:szCs w:val="18"/>
              </w:rPr>
            </w:pPr>
          </w:p>
        </w:tc>
      </w:tr>
      <w:tr w:rsidR="00A52563" w:rsidRPr="008901A5" w14:paraId="4B64ACB2" w14:textId="77777777" w:rsidTr="00A52563">
        <w:trPr>
          <w:trHeight w:val="271"/>
        </w:trPr>
        <w:tc>
          <w:tcPr>
            <w:tcW w:w="5103" w:type="dxa"/>
          </w:tcPr>
          <w:p w14:paraId="070E170C" w14:textId="77777777" w:rsidR="00A52563" w:rsidRPr="00987D69" w:rsidRDefault="00A52563" w:rsidP="00A52563">
            <w:pPr>
              <w:rPr>
                <w:rFonts w:ascii="Calibri" w:hAnsi="Calibri" w:cs="Calibri"/>
                <w:color w:val="000000"/>
                <w:sz w:val="18"/>
                <w:szCs w:val="18"/>
              </w:rPr>
            </w:pPr>
            <w:r w:rsidRPr="00987D69">
              <w:rPr>
                <w:rFonts w:ascii="Calibri" w:hAnsi="Calibri" w:cs="Calibri"/>
                <w:b/>
                <w:color w:val="000000"/>
                <w:sz w:val="18"/>
                <w:szCs w:val="18"/>
              </w:rPr>
              <w:t>Shareholders' funds equity interests</w:t>
            </w:r>
          </w:p>
        </w:tc>
        <w:tc>
          <w:tcPr>
            <w:tcW w:w="851" w:type="dxa"/>
          </w:tcPr>
          <w:p w14:paraId="4296EB8B" w14:textId="77777777" w:rsidR="00A52563" w:rsidRPr="00AE770D" w:rsidRDefault="00A52563" w:rsidP="00A52563">
            <w:pPr>
              <w:rPr>
                <w:rFonts w:ascii="Calibri" w:hAnsi="Calibri" w:cs="Calibri"/>
                <w:sz w:val="18"/>
                <w:szCs w:val="18"/>
                <w:highlight w:val="yellow"/>
              </w:rPr>
            </w:pPr>
          </w:p>
        </w:tc>
        <w:tc>
          <w:tcPr>
            <w:tcW w:w="1134" w:type="dxa"/>
            <w:tcBorders>
              <w:top w:val="single" w:sz="2" w:space="0" w:color="auto"/>
              <w:bottom w:val="single" w:sz="2" w:space="0" w:color="auto"/>
            </w:tcBorders>
          </w:tcPr>
          <w:p w14:paraId="32D71893" w14:textId="34DFA95A" w:rsidR="00A52563" w:rsidRPr="00A52563" w:rsidRDefault="00A52563" w:rsidP="00A52563">
            <w:pPr>
              <w:jc w:val="right"/>
              <w:rPr>
                <w:rFonts w:ascii="Calibri" w:hAnsi="Calibri" w:cs="Calibri"/>
                <w:b/>
                <w:sz w:val="18"/>
                <w:szCs w:val="18"/>
              </w:rPr>
            </w:pPr>
            <w:r w:rsidRPr="00A52563">
              <w:rPr>
                <w:rFonts w:ascii="Calibri" w:hAnsi="Calibri" w:cs="Calibri"/>
                <w:b/>
                <w:sz w:val="18"/>
                <w:szCs w:val="18"/>
              </w:rPr>
              <w:t>477,036</w:t>
            </w:r>
          </w:p>
        </w:tc>
        <w:tc>
          <w:tcPr>
            <w:tcW w:w="1246" w:type="dxa"/>
            <w:tcBorders>
              <w:top w:val="single" w:sz="2" w:space="0" w:color="auto"/>
              <w:bottom w:val="single" w:sz="2" w:space="0" w:color="auto"/>
            </w:tcBorders>
          </w:tcPr>
          <w:p w14:paraId="72119667" w14:textId="0593CC6D" w:rsidR="00A52563" w:rsidRPr="005B12AE" w:rsidRDefault="00A52563" w:rsidP="00A52563">
            <w:pPr>
              <w:jc w:val="right"/>
              <w:rPr>
                <w:rFonts w:ascii="Calibri" w:hAnsi="Calibri" w:cs="Calibri"/>
                <w:sz w:val="18"/>
                <w:szCs w:val="18"/>
              </w:rPr>
            </w:pPr>
            <w:r w:rsidRPr="005B12AE">
              <w:rPr>
                <w:rFonts w:ascii="Calibri" w:hAnsi="Calibri" w:cs="Calibri"/>
                <w:sz w:val="18"/>
                <w:szCs w:val="18"/>
              </w:rPr>
              <w:t>454,006</w:t>
            </w:r>
          </w:p>
        </w:tc>
        <w:tc>
          <w:tcPr>
            <w:tcW w:w="1246" w:type="dxa"/>
            <w:tcBorders>
              <w:top w:val="single" w:sz="2" w:space="0" w:color="auto"/>
              <w:bottom w:val="single" w:sz="2" w:space="0" w:color="auto"/>
            </w:tcBorders>
          </w:tcPr>
          <w:p w14:paraId="43F28EFF" w14:textId="0A8314A3" w:rsidR="00A52563" w:rsidRPr="005B12AE" w:rsidRDefault="00A52563" w:rsidP="00A52563">
            <w:pPr>
              <w:jc w:val="right"/>
              <w:rPr>
                <w:rFonts w:ascii="Calibri" w:hAnsi="Calibri" w:cs="Calibri"/>
                <w:sz w:val="18"/>
                <w:szCs w:val="18"/>
              </w:rPr>
            </w:pPr>
            <w:r w:rsidRPr="005B12AE">
              <w:rPr>
                <w:rFonts w:ascii="Calibri" w:hAnsi="Calibri" w:cs="Calibri"/>
                <w:sz w:val="18"/>
                <w:szCs w:val="18"/>
              </w:rPr>
              <w:t>4</w:t>
            </w:r>
            <w:r w:rsidR="006F4D74">
              <w:rPr>
                <w:rFonts w:ascii="Calibri" w:hAnsi="Calibri" w:cs="Calibri"/>
                <w:sz w:val="18"/>
                <w:szCs w:val="18"/>
              </w:rPr>
              <w:t>80,289</w:t>
            </w:r>
          </w:p>
        </w:tc>
      </w:tr>
      <w:tr w:rsidR="00A52563" w:rsidRPr="008901A5" w14:paraId="357103DE" w14:textId="77777777" w:rsidTr="00A52563">
        <w:trPr>
          <w:trHeight w:val="271"/>
        </w:trPr>
        <w:tc>
          <w:tcPr>
            <w:tcW w:w="5103" w:type="dxa"/>
          </w:tcPr>
          <w:p w14:paraId="704208B8" w14:textId="77777777" w:rsidR="00A52563" w:rsidRPr="00987D69" w:rsidRDefault="00A52563" w:rsidP="00A52563">
            <w:pPr>
              <w:rPr>
                <w:rFonts w:ascii="Calibri" w:hAnsi="Calibri" w:cs="Calibri"/>
                <w:b/>
                <w:color w:val="000000"/>
                <w:sz w:val="18"/>
                <w:szCs w:val="18"/>
              </w:rPr>
            </w:pPr>
          </w:p>
        </w:tc>
        <w:tc>
          <w:tcPr>
            <w:tcW w:w="851" w:type="dxa"/>
          </w:tcPr>
          <w:p w14:paraId="305575CD" w14:textId="77777777" w:rsidR="00A52563" w:rsidRPr="00AE770D" w:rsidRDefault="00A52563" w:rsidP="00A52563">
            <w:pPr>
              <w:rPr>
                <w:rFonts w:ascii="Calibri" w:hAnsi="Calibri" w:cs="Calibri"/>
                <w:sz w:val="18"/>
                <w:szCs w:val="18"/>
                <w:highlight w:val="yellow"/>
              </w:rPr>
            </w:pPr>
          </w:p>
        </w:tc>
        <w:tc>
          <w:tcPr>
            <w:tcW w:w="1134" w:type="dxa"/>
            <w:tcBorders>
              <w:top w:val="single" w:sz="2" w:space="0" w:color="auto"/>
            </w:tcBorders>
          </w:tcPr>
          <w:p w14:paraId="59951628" w14:textId="77777777" w:rsidR="00A52563" w:rsidRPr="00A52563" w:rsidRDefault="00A52563" w:rsidP="00A52563">
            <w:pPr>
              <w:jc w:val="right"/>
              <w:rPr>
                <w:rFonts w:ascii="Calibri" w:hAnsi="Calibri" w:cs="Calibri"/>
                <w:b/>
                <w:sz w:val="18"/>
                <w:szCs w:val="18"/>
              </w:rPr>
            </w:pPr>
          </w:p>
        </w:tc>
        <w:tc>
          <w:tcPr>
            <w:tcW w:w="1246" w:type="dxa"/>
            <w:tcBorders>
              <w:top w:val="single" w:sz="2" w:space="0" w:color="auto"/>
            </w:tcBorders>
          </w:tcPr>
          <w:p w14:paraId="1E440F57" w14:textId="77777777" w:rsidR="00A52563" w:rsidRPr="005B12AE" w:rsidRDefault="00A52563" w:rsidP="00A52563">
            <w:pPr>
              <w:jc w:val="right"/>
              <w:rPr>
                <w:rFonts w:ascii="Calibri" w:hAnsi="Calibri" w:cs="Calibri"/>
                <w:sz w:val="18"/>
                <w:szCs w:val="18"/>
              </w:rPr>
            </w:pPr>
          </w:p>
        </w:tc>
        <w:tc>
          <w:tcPr>
            <w:tcW w:w="1246" w:type="dxa"/>
            <w:tcBorders>
              <w:top w:val="single" w:sz="2" w:space="0" w:color="auto"/>
            </w:tcBorders>
          </w:tcPr>
          <w:p w14:paraId="12467E89" w14:textId="27C3D160" w:rsidR="00A52563" w:rsidRPr="005B12AE" w:rsidRDefault="00A52563" w:rsidP="00A52563">
            <w:pPr>
              <w:jc w:val="right"/>
              <w:rPr>
                <w:rFonts w:ascii="Calibri" w:hAnsi="Calibri" w:cs="Calibri"/>
                <w:sz w:val="18"/>
                <w:szCs w:val="18"/>
              </w:rPr>
            </w:pPr>
          </w:p>
        </w:tc>
      </w:tr>
      <w:tr w:rsidR="00A52563" w:rsidRPr="008901A5" w14:paraId="50B706B2" w14:textId="77777777" w:rsidTr="00A52563">
        <w:trPr>
          <w:trHeight w:val="271"/>
        </w:trPr>
        <w:tc>
          <w:tcPr>
            <w:tcW w:w="5103" w:type="dxa"/>
          </w:tcPr>
          <w:p w14:paraId="4BAE3B08" w14:textId="77777777" w:rsidR="00A52563" w:rsidRPr="00987D69" w:rsidRDefault="00A52563" w:rsidP="00A52563">
            <w:pPr>
              <w:rPr>
                <w:rFonts w:ascii="Calibri" w:hAnsi="Calibri" w:cs="Calibri"/>
                <w:b/>
                <w:color w:val="000000"/>
                <w:sz w:val="18"/>
                <w:szCs w:val="18"/>
              </w:rPr>
            </w:pPr>
            <w:r w:rsidRPr="00987D69">
              <w:rPr>
                <w:rFonts w:ascii="Calibri" w:hAnsi="Calibri" w:cs="Calibri"/>
                <w:color w:val="000000"/>
                <w:sz w:val="18"/>
                <w:szCs w:val="18"/>
              </w:rPr>
              <w:t>Preference share capital</w:t>
            </w:r>
          </w:p>
        </w:tc>
        <w:tc>
          <w:tcPr>
            <w:tcW w:w="851" w:type="dxa"/>
          </w:tcPr>
          <w:p w14:paraId="761B8482" w14:textId="77777777" w:rsidR="00A52563" w:rsidRPr="00AE770D" w:rsidRDefault="00A52563" w:rsidP="00A52563">
            <w:pPr>
              <w:rPr>
                <w:rFonts w:ascii="Calibri" w:hAnsi="Calibri" w:cs="Calibri"/>
                <w:sz w:val="18"/>
                <w:szCs w:val="18"/>
                <w:highlight w:val="yellow"/>
              </w:rPr>
            </w:pPr>
          </w:p>
        </w:tc>
        <w:tc>
          <w:tcPr>
            <w:tcW w:w="1134" w:type="dxa"/>
          </w:tcPr>
          <w:p w14:paraId="18B770EE" w14:textId="77777777" w:rsidR="00A52563" w:rsidRPr="00A52563" w:rsidRDefault="00A52563" w:rsidP="00A52563">
            <w:pPr>
              <w:jc w:val="right"/>
              <w:rPr>
                <w:rFonts w:ascii="Calibri" w:hAnsi="Calibri" w:cs="Calibri"/>
                <w:b/>
                <w:sz w:val="18"/>
                <w:szCs w:val="18"/>
              </w:rPr>
            </w:pPr>
            <w:r w:rsidRPr="005B12AE">
              <w:rPr>
                <w:rFonts w:ascii="Calibri" w:hAnsi="Calibri" w:cs="Calibri"/>
                <w:b/>
                <w:sz w:val="18"/>
                <w:szCs w:val="18"/>
              </w:rPr>
              <w:t>2,923</w:t>
            </w:r>
          </w:p>
        </w:tc>
        <w:tc>
          <w:tcPr>
            <w:tcW w:w="1246" w:type="dxa"/>
          </w:tcPr>
          <w:p w14:paraId="7DDCCF0A" w14:textId="12161BC9" w:rsidR="00A52563" w:rsidRPr="00A52563" w:rsidRDefault="00A52563" w:rsidP="00A52563">
            <w:pPr>
              <w:jc w:val="right"/>
              <w:rPr>
                <w:rFonts w:ascii="Calibri" w:hAnsi="Calibri" w:cs="Calibri"/>
                <w:sz w:val="18"/>
                <w:szCs w:val="18"/>
              </w:rPr>
            </w:pPr>
            <w:r w:rsidRPr="00A52563">
              <w:rPr>
                <w:rFonts w:ascii="Calibri" w:hAnsi="Calibri" w:cs="Calibri"/>
                <w:sz w:val="18"/>
                <w:szCs w:val="18"/>
              </w:rPr>
              <w:t>2,923</w:t>
            </w:r>
          </w:p>
        </w:tc>
        <w:tc>
          <w:tcPr>
            <w:tcW w:w="1246" w:type="dxa"/>
          </w:tcPr>
          <w:p w14:paraId="11B465EE" w14:textId="340D50AD" w:rsidR="00A52563" w:rsidRPr="00A52563" w:rsidRDefault="00A52563" w:rsidP="00A52563">
            <w:pPr>
              <w:jc w:val="right"/>
              <w:rPr>
                <w:rFonts w:ascii="Calibri" w:hAnsi="Calibri" w:cs="Calibri"/>
                <w:sz w:val="18"/>
                <w:szCs w:val="18"/>
              </w:rPr>
            </w:pPr>
            <w:r w:rsidRPr="00A52563">
              <w:rPr>
                <w:rFonts w:ascii="Calibri" w:hAnsi="Calibri" w:cs="Calibri"/>
                <w:sz w:val="18"/>
                <w:szCs w:val="18"/>
              </w:rPr>
              <w:t>2,923</w:t>
            </w:r>
          </w:p>
        </w:tc>
      </w:tr>
      <w:tr w:rsidR="00A52563" w:rsidRPr="008901A5" w14:paraId="699BECB1" w14:textId="77777777" w:rsidTr="00A52563">
        <w:trPr>
          <w:trHeight w:val="271"/>
        </w:trPr>
        <w:tc>
          <w:tcPr>
            <w:tcW w:w="5103" w:type="dxa"/>
          </w:tcPr>
          <w:p w14:paraId="1888AD17" w14:textId="77777777" w:rsidR="00A52563" w:rsidRPr="00987D69" w:rsidRDefault="00A52563" w:rsidP="00A52563">
            <w:pPr>
              <w:rPr>
                <w:rFonts w:ascii="Calibri" w:hAnsi="Calibri" w:cs="Calibri"/>
                <w:color w:val="000000"/>
                <w:sz w:val="18"/>
                <w:szCs w:val="18"/>
              </w:rPr>
            </w:pPr>
          </w:p>
        </w:tc>
        <w:tc>
          <w:tcPr>
            <w:tcW w:w="851" w:type="dxa"/>
          </w:tcPr>
          <w:p w14:paraId="4E64F756" w14:textId="77777777" w:rsidR="00A52563" w:rsidRPr="00AE770D" w:rsidRDefault="00A52563" w:rsidP="00A52563">
            <w:pPr>
              <w:rPr>
                <w:rFonts w:ascii="Calibri" w:hAnsi="Calibri" w:cs="Calibri"/>
                <w:sz w:val="18"/>
                <w:szCs w:val="18"/>
                <w:highlight w:val="yellow"/>
              </w:rPr>
            </w:pPr>
          </w:p>
        </w:tc>
        <w:tc>
          <w:tcPr>
            <w:tcW w:w="1134" w:type="dxa"/>
            <w:tcBorders>
              <w:bottom w:val="single" w:sz="2" w:space="0" w:color="auto"/>
            </w:tcBorders>
          </w:tcPr>
          <w:p w14:paraId="12718FFD" w14:textId="77777777" w:rsidR="00A52563" w:rsidRPr="00A52563" w:rsidRDefault="00A52563" w:rsidP="00A52563">
            <w:pPr>
              <w:jc w:val="right"/>
              <w:rPr>
                <w:rFonts w:ascii="Calibri" w:hAnsi="Calibri" w:cs="Calibri"/>
                <w:b/>
                <w:sz w:val="18"/>
                <w:szCs w:val="18"/>
              </w:rPr>
            </w:pPr>
          </w:p>
        </w:tc>
        <w:tc>
          <w:tcPr>
            <w:tcW w:w="1246" w:type="dxa"/>
            <w:tcBorders>
              <w:bottom w:val="single" w:sz="2" w:space="0" w:color="auto"/>
            </w:tcBorders>
          </w:tcPr>
          <w:p w14:paraId="5FFADC36" w14:textId="77777777" w:rsidR="00A52563" w:rsidRPr="005B12AE" w:rsidRDefault="00A52563" w:rsidP="00A52563">
            <w:pPr>
              <w:jc w:val="right"/>
              <w:rPr>
                <w:rFonts w:ascii="Calibri" w:hAnsi="Calibri" w:cs="Calibri"/>
                <w:sz w:val="18"/>
                <w:szCs w:val="18"/>
              </w:rPr>
            </w:pPr>
          </w:p>
        </w:tc>
        <w:tc>
          <w:tcPr>
            <w:tcW w:w="1246" w:type="dxa"/>
            <w:tcBorders>
              <w:bottom w:val="single" w:sz="2" w:space="0" w:color="auto"/>
            </w:tcBorders>
          </w:tcPr>
          <w:p w14:paraId="00FC497D" w14:textId="1AFFBCCE" w:rsidR="00A52563" w:rsidRPr="005B12AE" w:rsidRDefault="00A52563" w:rsidP="00A52563">
            <w:pPr>
              <w:jc w:val="right"/>
              <w:rPr>
                <w:rFonts w:ascii="Calibri" w:hAnsi="Calibri" w:cs="Calibri"/>
                <w:sz w:val="18"/>
                <w:szCs w:val="18"/>
              </w:rPr>
            </w:pPr>
          </w:p>
        </w:tc>
      </w:tr>
      <w:tr w:rsidR="00A52563" w:rsidRPr="008901A5" w14:paraId="07C45BF0" w14:textId="77777777" w:rsidTr="00A52563">
        <w:trPr>
          <w:trHeight w:val="271"/>
        </w:trPr>
        <w:tc>
          <w:tcPr>
            <w:tcW w:w="5103" w:type="dxa"/>
          </w:tcPr>
          <w:p w14:paraId="1DD4298E" w14:textId="77777777" w:rsidR="00A52563" w:rsidRPr="00987D69" w:rsidRDefault="00A52563" w:rsidP="00A52563">
            <w:pPr>
              <w:rPr>
                <w:rFonts w:ascii="Calibri" w:hAnsi="Calibri" w:cs="Calibri"/>
                <w:color w:val="000000"/>
                <w:sz w:val="18"/>
                <w:szCs w:val="18"/>
              </w:rPr>
            </w:pPr>
            <w:r w:rsidRPr="00987D69">
              <w:rPr>
                <w:rFonts w:ascii="Calibri" w:hAnsi="Calibri" w:cs="Calibri"/>
                <w:b/>
                <w:color w:val="000000"/>
                <w:sz w:val="18"/>
                <w:szCs w:val="18"/>
              </w:rPr>
              <w:t>Total equity</w:t>
            </w:r>
          </w:p>
        </w:tc>
        <w:tc>
          <w:tcPr>
            <w:tcW w:w="851" w:type="dxa"/>
          </w:tcPr>
          <w:p w14:paraId="6F4AF710" w14:textId="77777777" w:rsidR="00A52563" w:rsidRPr="00AE770D" w:rsidRDefault="00A52563" w:rsidP="00A52563">
            <w:pPr>
              <w:rPr>
                <w:rFonts w:ascii="Calibri" w:hAnsi="Calibri" w:cs="Calibri"/>
                <w:sz w:val="18"/>
                <w:szCs w:val="18"/>
                <w:highlight w:val="yellow"/>
              </w:rPr>
            </w:pPr>
          </w:p>
        </w:tc>
        <w:tc>
          <w:tcPr>
            <w:tcW w:w="1134" w:type="dxa"/>
            <w:tcBorders>
              <w:top w:val="single" w:sz="2" w:space="0" w:color="auto"/>
              <w:bottom w:val="single" w:sz="8" w:space="0" w:color="auto"/>
            </w:tcBorders>
          </w:tcPr>
          <w:p w14:paraId="29F50FC8" w14:textId="1F4A3835" w:rsidR="00A52563" w:rsidRPr="00A52563" w:rsidRDefault="00A52563" w:rsidP="00A52563">
            <w:pPr>
              <w:jc w:val="right"/>
              <w:rPr>
                <w:rFonts w:ascii="Calibri" w:hAnsi="Calibri" w:cs="Calibri"/>
                <w:b/>
                <w:sz w:val="18"/>
                <w:szCs w:val="18"/>
              </w:rPr>
            </w:pPr>
            <w:r w:rsidRPr="00A52563">
              <w:rPr>
                <w:rFonts w:ascii="Calibri" w:hAnsi="Calibri" w:cs="Calibri"/>
                <w:b/>
                <w:sz w:val="18"/>
                <w:szCs w:val="18"/>
              </w:rPr>
              <w:t>479,959</w:t>
            </w:r>
          </w:p>
        </w:tc>
        <w:tc>
          <w:tcPr>
            <w:tcW w:w="1246" w:type="dxa"/>
            <w:tcBorders>
              <w:top w:val="single" w:sz="2" w:space="0" w:color="auto"/>
              <w:bottom w:val="single" w:sz="8" w:space="0" w:color="auto"/>
            </w:tcBorders>
          </w:tcPr>
          <w:p w14:paraId="45EA94BF" w14:textId="7534AB9C" w:rsidR="00A52563" w:rsidRPr="005B12AE" w:rsidRDefault="00A52563" w:rsidP="00A52563">
            <w:pPr>
              <w:jc w:val="right"/>
              <w:rPr>
                <w:rFonts w:ascii="Calibri" w:hAnsi="Calibri" w:cs="Calibri"/>
                <w:sz w:val="18"/>
                <w:szCs w:val="18"/>
              </w:rPr>
            </w:pPr>
            <w:r w:rsidRPr="005B12AE">
              <w:rPr>
                <w:rFonts w:ascii="Calibri" w:hAnsi="Calibri" w:cs="Calibri"/>
                <w:sz w:val="18"/>
                <w:szCs w:val="18"/>
              </w:rPr>
              <w:t>456,929</w:t>
            </w:r>
          </w:p>
        </w:tc>
        <w:tc>
          <w:tcPr>
            <w:tcW w:w="1246" w:type="dxa"/>
            <w:tcBorders>
              <w:top w:val="single" w:sz="2" w:space="0" w:color="auto"/>
              <w:bottom w:val="single" w:sz="8" w:space="0" w:color="auto"/>
            </w:tcBorders>
          </w:tcPr>
          <w:p w14:paraId="63672A08" w14:textId="61BB6849" w:rsidR="00A52563" w:rsidRPr="005B12AE" w:rsidRDefault="00A52563" w:rsidP="00A52563">
            <w:pPr>
              <w:jc w:val="right"/>
              <w:rPr>
                <w:rFonts w:ascii="Calibri" w:hAnsi="Calibri" w:cs="Calibri"/>
                <w:sz w:val="18"/>
                <w:szCs w:val="18"/>
              </w:rPr>
            </w:pPr>
            <w:r w:rsidRPr="005B12AE">
              <w:rPr>
                <w:rFonts w:ascii="Calibri" w:hAnsi="Calibri" w:cs="Calibri"/>
                <w:sz w:val="18"/>
                <w:szCs w:val="18"/>
              </w:rPr>
              <w:t>4</w:t>
            </w:r>
            <w:r w:rsidR="006F4D74">
              <w:rPr>
                <w:rFonts w:ascii="Calibri" w:hAnsi="Calibri" w:cs="Calibri"/>
                <w:sz w:val="18"/>
                <w:szCs w:val="18"/>
              </w:rPr>
              <w:t>83,212</w:t>
            </w:r>
          </w:p>
        </w:tc>
      </w:tr>
      <w:tr w:rsidR="00A52563" w:rsidRPr="008901A5" w14:paraId="297BE3F4" w14:textId="77777777" w:rsidTr="00A52563">
        <w:trPr>
          <w:trHeight w:val="271"/>
        </w:trPr>
        <w:tc>
          <w:tcPr>
            <w:tcW w:w="5103" w:type="dxa"/>
          </w:tcPr>
          <w:p w14:paraId="1307B04D" w14:textId="77777777" w:rsidR="00A52563" w:rsidRPr="00987D69" w:rsidRDefault="00A52563" w:rsidP="00A52563">
            <w:pPr>
              <w:rPr>
                <w:rFonts w:ascii="Calibri" w:hAnsi="Calibri" w:cs="Calibri"/>
                <w:b/>
                <w:color w:val="000000"/>
                <w:sz w:val="18"/>
                <w:szCs w:val="18"/>
              </w:rPr>
            </w:pPr>
          </w:p>
        </w:tc>
        <w:tc>
          <w:tcPr>
            <w:tcW w:w="851" w:type="dxa"/>
          </w:tcPr>
          <w:p w14:paraId="29033099" w14:textId="77777777" w:rsidR="00A52563" w:rsidRPr="00AE770D" w:rsidRDefault="00A52563" w:rsidP="00A52563">
            <w:pPr>
              <w:rPr>
                <w:rFonts w:ascii="Calibri" w:hAnsi="Calibri" w:cs="Calibri"/>
                <w:sz w:val="18"/>
                <w:szCs w:val="18"/>
                <w:highlight w:val="yellow"/>
              </w:rPr>
            </w:pPr>
          </w:p>
        </w:tc>
        <w:tc>
          <w:tcPr>
            <w:tcW w:w="1134" w:type="dxa"/>
            <w:tcBorders>
              <w:top w:val="single" w:sz="8" w:space="0" w:color="auto"/>
              <w:bottom w:val="single" w:sz="2" w:space="0" w:color="auto"/>
            </w:tcBorders>
          </w:tcPr>
          <w:p w14:paraId="7A6C2104" w14:textId="77777777" w:rsidR="00A52563" w:rsidRPr="00A52563" w:rsidRDefault="00A52563" w:rsidP="00A52563">
            <w:pPr>
              <w:jc w:val="right"/>
              <w:rPr>
                <w:rFonts w:ascii="Calibri" w:hAnsi="Calibri" w:cs="Calibri"/>
                <w:b/>
                <w:sz w:val="18"/>
                <w:szCs w:val="18"/>
              </w:rPr>
            </w:pPr>
          </w:p>
        </w:tc>
        <w:tc>
          <w:tcPr>
            <w:tcW w:w="1246" w:type="dxa"/>
            <w:tcBorders>
              <w:top w:val="single" w:sz="8" w:space="0" w:color="auto"/>
              <w:bottom w:val="single" w:sz="2" w:space="0" w:color="auto"/>
            </w:tcBorders>
          </w:tcPr>
          <w:p w14:paraId="23FE6FAE" w14:textId="77777777" w:rsidR="00A52563" w:rsidRPr="005B12AE" w:rsidRDefault="00A52563" w:rsidP="00A52563">
            <w:pPr>
              <w:jc w:val="right"/>
              <w:rPr>
                <w:rFonts w:ascii="Calibri" w:hAnsi="Calibri" w:cs="Calibri"/>
                <w:sz w:val="18"/>
                <w:szCs w:val="18"/>
              </w:rPr>
            </w:pPr>
          </w:p>
        </w:tc>
        <w:tc>
          <w:tcPr>
            <w:tcW w:w="1246" w:type="dxa"/>
            <w:tcBorders>
              <w:top w:val="single" w:sz="8" w:space="0" w:color="auto"/>
              <w:bottom w:val="single" w:sz="2" w:space="0" w:color="auto"/>
            </w:tcBorders>
          </w:tcPr>
          <w:p w14:paraId="030D1F71" w14:textId="53594D7C" w:rsidR="00A52563" w:rsidRPr="005B12AE" w:rsidRDefault="00A52563" w:rsidP="00A52563">
            <w:pPr>
              <w:jc w:val="right"/>
              <w:rPr>
                <w:rFonts w:ascii="Calibri" w:hAnsi="Calibri" w:cs="Calibri"/>
                <w:sz w:val="18"/>
                <w:szCs w:val="18"/>
              </w:rPr>
            </w:pPr>
          </w:p>
        </w:tc>
      </w:tr>
      <w:tr w:rsidR="00A52563" w:rsidRPr="008901A5" w14:paraId="10BBA578" w14:textId="77777777" w:rsidTr="00A52563">
        <w:trPr>
          <w:trHeight w:val="271"/>
        </w:trPr>
        <w:tc>
          <w:tcPr>
            <w:tcW w:w="5103" w:type="dxa"/>
          </w:tcPr>
          <w:p w14:paraId="10E4E070" w14:textId="77777777" w:rsidR="00A52563" w:rsidRPr="00987D69" w:rsidRDefault="00A52563" w:rsidP="00A52563">
            <w:pPr>
              <w:rPr>
                <w:rFonts w:ascii="Calibri" w:hAnsi="Calibri" w:cs="Calibri"/>
                <w:b/>
                <w:color w:val="000000"/>
                <w:sz w:val="18"/>
                <w:szCs w:val="18"/>
              </w:rPr>
            </w:pPr>
            <w:r w:rsidRPr="00987D69">
              <w:rPr>
                <w:rFonts w:ascii="Calibri" w:hAnsi="Calibri" w:cs="Calibri"/>
                <w:b/>
                <w:color w:val="000000"/>
                <w:sz w:val="18"/>
                <w:szCs w:val="18"/>
              </w:rPr>
              <w:t>Total liabilities and equity</w:t>
            </w:r>
            <w:r w:rsidRPr="00987D69">
              <w:rPr>
                <w:rFonts w:ascii="Calibri" w:hAnsi="Calibri" w:cs="Calibri"/>
                <w:color w:val="000000"/>
                <w:sz w:val="18"/>
                <w:szCs w:val="18"/>
              </w:rPr>
              <w:t xml:space="preserve"> </w:t>
            </w:r>
          </w:p>
        </w:tc>
        <w:tc>
          <w:tcPr>
            <w:tcW w:w="851" w:type="dxa"/>
          </w:tcPr>
          <w:p w14:paraId="3782D62B" w14:textId="77777777" w:rsidR="00A52563" w:rsidRPr="00987D69" w:rsidRDefault="00A52563" w:rsidP="00A52563">
            <w:pPr>
              <w:jc w:val="right"/>
              <w:rPr>
                <w:rFonts w:ascii="Calibri" w:hAnsi="Calibri" w:cs="Calibri"/>
                <w:sz w:val="18"/>
                <w:szCs w:val="18"/>
              </w:rPr>
            </w:pPr>
          </w:p>
        </w:tc>
        <w:tc>
          <w:tcPr>
            <w:tcW w:w="1134" w:type="dxa"/>
            <w:tcBorders>
              <w:top w:val="single" w:sz="2" w:space="0" w:color="auto"/>
              <w:bottom w:val="single" w:sz="8" w:space="0" w:color="auto"/>
            </w:tcBorders>
          </w:tcPr>
          <w:p w14:paraId="315F1347" w14:textId="276A7A6D" w:rsidR="00A52563" w:rsidRPr="00A52563" w:rsidRDefault="00A52563" w:rsidP="00A52563">
            <w:pPr>
              <w:jc w:val="right"/>
              <w:rPr>
                <w:rFonts w:ascii="Calibri" w:hAnsi="Calibri" w:cs="Calibri"/>
                <w:b/>
                <w:sz w:val="18"/>
                <w:szCs w:val="18"/>
              </w:rPr>
            </w:pPr>
            <w:r w:rsidRPr="00A52563">
              <w:rPr>
                <w:rFonts w:ascii="Calibri" w:hAnsi="Calibri" w:cs="Calibri"/>
                <w:b/>
                <w:sz w:val="18"/>
                <w:szCs w:val="18"/>
              </w:rPr>
              <w:t>1,367,074</w:t>
            </w:r>
          </w:p>
        </w:tc>
        <w:tc>
          <w:tcPr>
            <w:tcW w:w="1246" w:type="dxa"/>
            <w:tcBorders>
              <w:top w:val="single" w:sz="2" w:space="0" w:color="auto"/>
              <w:bottom w:val="single" w:sz="8" w:space="0" w:color="auto"/>
            </w:tcBorders>
          </w:tcPr>
          <w:p w14:paraId="293EB9BC" w14:textId="00A8655B" w:rsidR="00A52563" w:rsidRPr="005B12AE" w:rsidRDefault="00A52563" w:rsidP="00A52563">
            <w:pPr>
              <w:jc w:val="right"/>
              <w:rPr>
                <w:rFonts w:ascii="Calibri" w:hAnsi="Calibri" w:cs="Calibri"/>
                <w:sz w:val="18"/>
                <w:szCs w:val="18"/>
              </w:rPr>
            </w:pPr>
            <w:r w:rsidRPr="005B12AE">
              <w:rPr>
                <w:rFonts w:ascii="Calibri" w:hAnsi="Calibri" w:cs="Calibri"/>
                <w:sz w:val="18"/>
                <w:szCs w:val="18"/>
              </w:rPr>
              <w:t>1,387,552</w:t>
            </w:r>
          </w:p>
        </w:tc>
        <w:tc>
          <w:tcPr>
            <w:tcW w:w="1246" w:type="dxa"/>
            <w:tcBorders>
              <w:top w:val="single" w:sz="2" w:space="0" w:color="auto"/>
              <w:bottom w:val="single" w:sz="8" w:space="0" w:color="auto"/>
            </w:tcBorders>
          </w:tcPr>
          <w:p w14:paraId="0E814834" w14:textId="6D9CA5C3" w:rsidR="00A52563" w:rsidRPr="005B12AE" w:rsidRDefault="00A52563" w:rsidP="00A52563">
            <w:pPr>
              <w:jc w:val="right"/>
              <w:rPr>
                <w:rFonts w:ascii="Calibri" w:hAnsi="Calibri" w:cs="Calibri"/>
                <w:sz w:val="18"/>
                <w:szCs w:val="18"/>
              </w:rPr>
            </w:pPr>
            <w:r w:rsidRPr="005B12AE">
              <w:rPr>
                <w:rFonts w:ascii="Calibri" w:hAnsi="Calibri" w:cs="Calibri"/>
                <w:sz w:val="18"/>
                <w:szCs w:val="18"/>
              </w:rPr>
              <w:t>1,</w:t>
            </w:r>
            <w:r w:rsidR="006F4D74">
              <w:rPr>
                <w:rFonts w:ascii="Calibri" w:hAnsi="Calibri" w:cs="Calibri"/>
                <w:sz w:val="18"/>
                <w:szCs w:val="18"/>
              </w:rPr>
              <w:t>520,821</w:t>
            </w:r>
          </w:p>
        </w:tc>
      </w:tr>
    </w:tbl>
    <w:p w14:paraId="09C7B760" w14:textId="77777777" w:rsidR="00AE770D" w:rsidRPr="00987D69" w:rsidRDefault="00AE770D" w:rsidP="00AE770D">
      <w:pPr>
        <w:tabs>
          <w:tab w:val="left" w:pos="8080"/>
        </w:tabs>
        <w:ind w:right="-28"/>
        <w:rPr>
          <w:rFonts w:ascii="Calibri" w:hAnsi="Calibri" w:cs="Calibri"/>
          <w:b/>
          <w:color w:val="000000"/>
          <w:sz w:val="18"/>
          <w:szCs w:val="18"/>
        </w:rPr>
      </w:pPr>
    </w:p>
    <w:p w14:paraId="4DD29BFD" w14:textId="69BF5298" w:rsidR="00AE770D" w:rsidRDefault="00AE770D" w:rsidP="00AE770D">
      <w:pPr>
        <w:tabs>
          <w:tab w:val="left" w:pos="3915"/>
        </w:tabs>
        <w:spacing w:after="200" w:line="276" w:lineRule="auto"/>
        <w:jc w:val="both"/>
        <w:rPr>
          <w:rFonts w:ascii="Calibri" w:hAnsi="Calibri" w:cs="Calibri"/>
          <w:b/>
          <w:color w:val="000000"/>
          <w:sz w:val="18"/>
          <w:szCs w:val="18"/>
        </w:rPr>
      </w:pPr>
      <w:r w:rsidRPr="00880EF3">
        <w:rPr>
          <w:rFonts w:ascii="Calibri" w:hAnsi="Calibri" w:cs="Calibri"/>
          <w:color w:val="000000"/>
          <w:sz w:val="18"/>
          <w:szCs w:val="18"/>
          <w:vertAlign w:val="superscript"/>
          <w:lang w:val="en-IE"/>
        </w:rPr>
        <w:t>1</w:t>
      </w:r>
      <w:r w:rsidRPr="00880EF3">
        <w:rPr>
          <w:rFonts w:ascii="Calibri" w:hAnsi="Calibri" w:cs="Calibri"/>
          <w:color w:val="000000"/>
          <w:sz w:val="18"/>
          <w:szCs w:val="18"/>
          <w:lang w:val="en-IE"/>
        </w:rPr>
        <w:t xml:space="preserve"> </w:t>
      </w:r>
      <w:r>
        <w:rPr>
          <w:rFonts w:ascii="Calibri" w:hAnsi="Calibri" w:cs="Calibri"/>
          <w:color w:val="000000"/>
          <w:sz w:val="18"/>
          <w:szCs w:val="18"/>
          <w:lang w:val="en-IE"/>
        </w:rPr>
        <w:t>On 1 January 2023, IFRS 17 ‘Insurance Contracts’ became effective, replacing IFRS 4 ‘Insurance Contacts’</w:t>
      </w:r>
      <w:r w:rsidRPr="00880EF3">
        <w:rPr>
          <w:rFonts w:ascii="Calibri" w:hAnsi="Calibri" w:cs="Calibri"/>
          <w:color w:val="000000"/>
          <w:sz w:val="18"/>
          <w:szCs w:val="18"/>
          <w:lang w:val="en-IE"/>
        </w:rPr>
        <w:t>.</w:t>
      </w:r>
      <w:r>
        <w:rPr>
          <w:rFonts w:ascii="Calibri" w:hAnsi="Calibri" w:cs="Calibri"/>
          <w:color w:val="000000"/>
          <w:sz w:val="18"/>
          <w:szCs w:val="18"/>
          <w:lang w:val="en-IE"/>
        </w:rPr>
        <w:t xml:space="preserve"> The Group elected, as it met the criteria for a temporary exemption, to defer the application of IFRS 9 ‘Financial Instruments’ (replacing IAS 39) until 1 January 2023. </w:t>
      </w:r>
      <w:r w:rsidR="005D4461" w:rsidRPr="005D4461">
        <w:rPr>
          <w:rFonts w:ascii="Calibri" w:hAnsi="Calibri" w:cs="Calibri"/>
          <w:color w:val="000000"/>
          <w:sz w:val="18"/>
          <w:szCs w:val="18"/>
          <w:lang w:val="en-IE"/>
        </w:rPr>
        <w:t>See note 3 for updated accounting policies and note 4 for transitional impact</w:t>
      </w:r>
      <w:r w:rsidR="005D4461">
        <w:rPr>
          <w:rFonts w:ascii="Calibri" w:hAnsi="Calibri" w:cs="Calibri"/>
          <w:color w:val="000000"/>
          <w:sz w:val="18"/>
          <w:szCs w:val="18"/>
          <w:lang w:val="en-IE"/>
        </w:rPr>
        <w:t xml:space="preserve"> </w:t>
      </w:r>
      <w:r w:rsidR="005D4461" w:rsidRPr="0032247F">
        <w:rPr>
          <w:rFonts w:ascii="Calibri" w:hAnsi="Calibri" w:cs="Calibri"/>
          <w:color w:val="000000"/>
          <w:sz w:val="18"/>
          <w:szCs w:val="18"/>
          <w:lang w:val="en-IE"/>
        </w:rPr>
        <w:t xml:space="preserve">in the Annual Report </w:t>
      </w:r>
      <w:r w:rsidR="005D4461">
        <w:rPr>
          <w:rFonts w:ascii="Calibri" w:hAnsi="Calibri" w:cs="Calibri"/>
          <w:color w:val="000000"/>
          <w:sz w:val="18"/>
          <w:szCs w:val="18"/>
          <w:lang w:val="en-IE"/>
        </w:rPr>
        <w:t>2023</w:t>
      </w:r>
      <w:r w:rsidR="005D4461">
        <w:rPr>
          <w:rFonts w:ascii="Calibri" w:hAnsi="Calibri" w:cs="Calibri"/>
          <w:b/>
          <w:color w:val="000000"/>
          <w:sz w:val="18"/>
          <w:szCs w:val="18"/>
        </w:rPr>
        <w:t>.</w:t>
      </w:r>
    </w:p>
    <w:p w14:paraId="23B72901" w14:textId="77777777" w:rsidR="00AE770D" w:rsidRDefault="00AE770D" w:rsidP="00AE770D">
      <w:pPr>
        <w:tabs>
          <w:tab w:val="left" w:pos="3915"/>
        </w:tabs>
        <w:spacing w:after="200" w:line="276" w:lineRule="auto"/>
        <w:rPr>
          <w:rFonts w:ascii="Calibri" w:hAnsi="Calibri" w:cs="Calibri"/>
          <w:sz w:val="18"/>
          <w:szCs w:val="18"/>
        </w:rPr>
      </w:pPr>
    </w:p>
    <w:p w14:paraId="0AA0F76B" w14:textId="77777777" w:rsidR="00E950A0" w:rsidRDefault="00E950A0" w:rsidP="004969ED">
      <w:pPr>
        <w:tabs>
          <w:tab w:val="right" w:pos="5760"/>
        </w:tabs>
        <w:rPr>
          <w:rFonts w:asciiTheme="minorHAnsi" w:hAnsiTheme="minorHAnsi" w:cstheme="minorHAnsi"/>
          <w:color w:val="000000"/>
          <w:sz w:val="22"/>
        </w:rPr>
      </w:pPr>
    </w:p>
    <w:p w14:paraId="7F7E596E" w14:textId="77777777" w:rsidR="00AE770D" w:rsidRDefault="00AE770D">
      <w:pPr>
        <w:spacing w:after="200" w:line="276" w:lineRule="auto"/>
        <w:rPr>
          <w:rFonts w:asciiTheme="minorHAnsi" w:hAnsiTheme="minorHAnsi" w:cstheme="minorHAnsi"/>
          <w:b/>
          <w:color w:val="000000"/>
          <w:sz w:val="22"/>
        </w:rPr>
      </w:pPr>
      <w:r>
        <w:rPr>
          <w:rFonts w:asciiTheme="minorHAnsi" w:hAnsiTheme="minorHAnsi" w:cstheme="minorHAnsi"/>
          <w:b/>
          <w:color w:val="000000"/>
          <w:sz w:val="22"/>
        </w:rPr>
        <w:br w:type="page"/>
      </w:r>
    </w:p>
    <w:p w14:paraId="16A66E94" w14:textId="77777777" w:rsidR="00DB7D80" w:rsidRPr="00880EF3" w:rsidRDefault="00DB7D80" w:rsidP="00B87E67">
      <w:pPr>
        <w:ind w:right="114"/>
        <w:jc w:val="center"/>
        <w:rPr>
          <w:rFonts w:ascii="Calibri" w:hAnsi="Calibri" w:cs="Calibri"/>
          <w:b/>
          <w:sz w:val="18"/>
          <w:szCs w:val="18"/>
        </w:rPr>
      </w:pPr>
      <w:r w:rsidRPr="00880EF3">
        <w:rPr>
          <w:rFonts w:ascii="Calibri" w:hAnsi="Calibri" w:cs="Calibri"/>
          <w:b/>
          <w:sz w:val="18"/>
          <w:szCs w:val="18"/>
        </w:rPr>
        <w:t xml:space="preserve">FBD HOLDINGS PLC </w:t>
      </w:r>
    </w:p>
    <w:p w14:paraId="09ECE4BB" w14:textId="542A0B5B" w:rsidR="00DB7D80" w:rsidRPr="00880EF3" w:rsidRDefault="00DB7D80" w:rsidP="00B87E67">
      <w:pPr>
        <w:ind w:right="114"/>
        <w:jc w:val="center"/>
        <w:rPr>
          <w:rFonts w:ascii="Calibri" w:hAnsi="Calibri" w:cs="Calibri"/>
          <w:b/>
          <w:caps/>
          <w:color w:val="000000"/>
          <w:sz w:val="18"/>
          <w:szCs w:val="18"/>
        </w:rPr>
      </w:pPr>
      <w:r w:rsidRPr="00880EF3">
        <w:rPr>
          <w:rFonts w:ascii="Calibri" w:hAnsi="Calibri" w:cs="Calibri"/>
          <w:b/>
          <w:caps/>
          <w:color w:val="000000"/>
          <w:sz w:val="18"/>
          <w:szCs w:val="18"/>
        </w:rPr>
        <w:t>Consolidated Statement</w:t>
      </w:r>
      <w:r w:rsidRPr="00DB7D80">
        <w:rPr>
          <w:rFonts w:ascii="Calibri" w:hAnsi="Calibri" w:cs="Calibri"/>
          <w:b/>
          <w:caps/>
          <w:color w:val="000000"/>
          <w:sz w:val="18"/>
          <w:szCs w:val="18"/>
        </w:rPr>
        <w:t xml:space="preserve"> </w:t>
      </w:r>
      <w:r w:rsidRPr="00987D69">
        <w:rPr>
          <w:rFonts w:ascii="Calibri" w:hAnsi="Calibri" w:cs="Calibri"/>
          <w:b/>
          <w:caps/>
          <w:color w:val="000000"/>
          <w:sz w:val="18"/>
          <w:szCs w:val="18"/>
        </w:rPr>
        <w:t>of Cash Flows</w:t>
      </w:r>
      <w:r w:rsidRPr="00880EF3">
        <w:rPr>
          <w:rFonts w:ascii="Calibri" w:hAnsi="Calibri" w:cs="Calibri"/>
          <w:b/>
          <w:caps/>
          <w:color w:val="000000"/>
          <w:sz w:val="18"/>
          <w:szCs w:val="18"/>
        </w:rPr>
        <w:t xml:space="preserve"> </w:t>
      </w:r>
    </w:p>
    <w:p w14:paraId="600F9FEA" w14:textId="77777777" w:rsidR="00DB7D80" w:rsidRPr="005B12AE" w:rsidRDefault="00DB7D80" w:rsidP="00DB7D80">
      <w:pPr>
        <w:tabs>
          <w:tab w:val="left" w:pos="8080"/>
        </w:tabs>
        <w:ind w:right="-28"/>
        <w:jc w:val="center"/>
        <w:rPr>
          <w:rFonts w:ascii="Calibri" w:hAnsi="Calibri" w:cs="Calibri"/>
          <w:bCs/>
          <w:color w:val="000000"/>
          <w:sz w:val="18"/>
          <w:szCs w:val="18"/>
        </w:rPr>
      </w:pPr>
      <w:r w:rsidRPr="00880EF3">
        <w:rPr>
          <w:rFonts w:ascii="Calibri" w:hAnsi="Calibri" w:cs="Calibri"/>
          <w:b/>
          <w:color w:val="000000"/>
          <w:sz w:val="18"/>
          <w:szCs w:val="18"/>
        </w:rPr>
        <w:t xml:space="preserve">For the </w:t>
      </w:r>
      <w:r>
        <w:rPr>
          <w:rFonts w:ascii="Calibri" w:hAnsi="Calibri" w:cs="Calibri"/>
          <w:b/>
          <w:color w:val="000000"/>
          <w:sz w:val="18"/>
          <w:szCs w:val="18"/>
        </w:rPr>
        <w:t xml:space="preserve">financial </w:t>
      </w:r>
      <w:r w:rsidRPr="00880EF3">
        <w:rPr>
          <w:rFonts w:ascii="Calibri" w:hAnsi="Calibri" w:cs="Calibri"/>
          <w:b/>
          <w:color w:val="000000"/>
          <w:sz w:val="18"/>
          <w:szCs w:val="18"/>
        </w:rPr>
        <w:t>year ended 3</w:t>
      </w:r>
      <w:r>
        <w:rPr>
          <w:rFonts w:ascii="Calibri" w:hAnsi="Calibri" w:cs="Calibri"/>
          <w:b/>
          <w:color w:val="000000"/>
          <w:sz w:val="18"/>
          <w:szCs w:val="18"/>
        </w:rPr>
        <w:t>1 December</w:t>
      </w:r>
      <w:r w:rsidRPr="00880EF3">
        <w:rPr>
          <w:rFonts w:ascii="Calibri" w:hAnsi="Calibri" w:cs="Calibri"/>
          <w:b/>
          <w:color w:val="000000"/>
          <w:sz w:val="18"/>
          <w:szCs w:val="18"/>
        </w:rPr>
        <w:t xml:space="preserve"> 2023</w:t>
      </w:r>
      <w:r>
        <w:rPr>
          <w:rFonts w:ascii="Calibri" w:hAnsi="Calibri" w:cs="Calibri"/>
          <w:b/>
          <w:color w:val="000000"/>
          <w:sz w:val="18"/>
          <w:szCs w:val="18"/>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3"/>
        <w:gridCol w:w="1275"/>
        <w:gridCol w:w="1134"/>
      </w:tblGrid>
      <w:tr w:rsidR="00DB7D80" w:rsidRPr="008901A5" w14:paraId="32885384" w14:textId="77777777" w:rsidTr="005B12AE">
        <w:trPr>
          <w:trHeight w:val="477"/>
        </w:trPr>
        <w:tc>
          <w:tcPr>
            <w:tcW w:w="6663" w:type="dxa"/>
          </w:tcPr>
          <w:p w14:paraId="012D5FD8" w14:textId="77777777" w:rsidR="00DB7D80" w:rsidRPr="00987D69" w:rsidRDefault="00DB7D80" w:rsidP="00B87E67">
            <w:pPr>
              <w:tabs>
                <w:tab w:val="left" w:pos="8080"/>
              </w:tabs>
              <w:ind w:right="-28"/>
              <w:rPr>
                <w:rFonts w:ascii="Calibri" w:hAnsi="Calibri" w:cs="Calibri"/>
                <w:b/>
                <w:color w:val="000000"/>
                <w:sz w:val="18"/>
                <w:szCs w:val="18"/>
              </w:rPr>
            </w:pPr>
          </w:p>
        </w:tc>
        <w:tc>
          <w:tcPr>
            <w:tcW w:w="1275" w:type="dxa"/>
          </w:tcPr>
          <w:p w14:paraId="44C298D7" w14:textId="4024AE1B" w:rsidR="00DB7D80" w:rsidRPr="00A52563" w:rsidRDefault="00DB7D80" w:rsidP="00B87E67">
            <w:pPr>
              <w:autoSpaceDE w:val="0"/>
              <w:autoSpaceDN w:val="0"/>
              <w:adjustRightInd w:val="0"/>
              <w:ind w:left="-250"/>
              <w:jc w:val="right"/>
              <w:rPr>
                <w:rFonts w:ascii="Calibri" w:hAnsi="Calibri" w:cs="Calibri"/>
                <w:b/>
                <w:color w:val="000000"/>
                <w:sz w:val="18"/>
                <w:szCs w:val="18"/>
              </w:rPr>
            </w:pPr>
            <w:r w:rsidRPr="00A52563">
              <w:rPr>
                <w:rFonts w:ascii="Calibri" w:hAnsi="Calibri" w:cs="Calibri"/>
                <w:b/>
                <w:color w:val="000000"/>
                <w:sz w:val="18"/>
                <w:szCs w:val="18"/>
              </w:rPr>
              <w:t>2023</w:t>
            </w:r>
          </w:p>
          <w:p w14:paraId="786E52DC" w14:textId="77777777" w:rsidR="00DB7D80" w:rsidRPr="00A52563" w:rsidRDefault="00DB7D80" w:rsidP="00B87E67">
            <w:pPr>
              <w:tabs>
                <w:tab w:val="left" w:pos="8080"/>
              </w:tabs>
              <w:ind w:right="-28"/>
              <w:jc w:val="right"/>
              <w:rPr>
                <w:rFonts w:ascii="Calibri" w:hAnsi="Calibri" w:cs="Calibri"/>
                <w:b/>
                <w:color w:val="000000"/>
                <w:sz w:val="18"/>
                <w:szCs w:val="18"/>
              </w:rPr>
            </w:pPr>
          </w:p>
        </w:tc>
        <w:tc>
          <w:tcPr>
            <w:tcW w:w="1134" w:type="dxa"/>
          </w:tcPr>
          <w:p w14:paraId="234BEB23" w14:textId="12A014DB" w:rsidR="00DB7D80" w:rsidRPr="005B12AE" w:rsidRDefault="00DB7D80" w:rsidP="00B87E67">
            <w:pPr>
              <w:tabs>
                <w:tab w:val="left" w:pos="8080"/>
              </w:tabs>
              <w:ind w:right="-28"/>
              <w:jc w:val="right"/>
              <w:rPr>
                <w:rFonts w:ascii="Calibri" w:hAnsi="Calibri" w:cs="Calibri"/>
                <w:color w:val="000000"/>
                <w:sz w:val="18"/>
                <w:szCs w:val="18"/>
              </w:rPr>
            </w:pPr>
            <w:r w:rsidRPr="00815F07">
              <w:rPr>
                <w:rFonts w:ascii="Calibri" w:hAnsi="Calibri" w:cs="Calibri"/>
                <w:color w:val="000000"/>
                <w:sz w:val="18"/>
                <w:szCs w:val="18"/>
              </w:rPr>
              <w:t>2022 (restated)</w:t>
            </w:r>
            <w:r w:rsidRPr="00815F07">
              <w:rPr>
                <w:rFonts w:ascii="Calibri" w:hAnsi="Calibri" w:cs="Calibri"/>
                <w:color w:val="000000"/>
                <w:sz w:val="18"/>
                <w:szCs w:val="18"/>
                <w:vertAlign w:val="superscript"/>
              </w:rPr>
              <w:t>1</w:t>
            </w:r>
          </w:p>
        </w:tc>
      </w:tr>
      <w:tr w:rsidR="00DB7D80" w:rsidRPr="008901A5" w14:paraId="25DF359F" w14:textId="77777777" w:rsidTr="005B12AE">
        <w:trPr>
          <w:trHeight w:val="228"/>
        </w:trPr>
        <w:tc>
          <w:tcPr>
            <w:tcW w:w="6663" w:type="dxa"/>
          </w:tcPr>
          <w:p w14:paraId="32F8B277" w14:textId="77777777" w:rsidR="00DB7D80" w:rsidRPr="00987D69" w:rsidRDefault="00DB7D80" w:rsidP="00B87E67">
            <w:pPr>
              <w:tabs>
                <w:tab w:val="left" w:pos="8080"/>
              </w:tabs>
              <w:ind w:right="-28"/>
              <w:rPr>
                <w:rFonts w:ascii="Calibri" w:hAnsi="Calibri" w:cs="Calibri"/>
                <w:b/>
                <w:color w:val="000000"/>
                <w:sz w:val="18"/>
                <w:szCs w:val="18"/>
              </w:rPr>
            </w:pPr>
          </w:p>
        </w:tc>
        <w:tc>
          <w:tcPr>
            <w:tcW w:w="1275" w:type="dxa"/>
          </w:tcPr>
          <w:p w14:paraId="09E34BF6" w14:textId="77777777" w:rsidR="00DB7D80" w:rsidRPr="00A52563" w:rsidRDefault="00DB7D80" w:rsidP="00B87E67">
            <w:pPr>
              <w:tabs>
                <w:tab w:val="left" w:pos="8080"/>
              </w:tabs>
              <w:ind w:right="-28"/>
              <w:jc w:val="right"/>
              <w:rPr>
                <w:rFonts w:ascii="Calibri" w:hAnsi="Calibri" w:cs="Calibri"/>
                <w:b/>
                <w:color w:val="000000"/>
                <w:sz w:val="18"/>
                <w:szCs w:val="18"/>
              </w:rPr>
            </w:pPr>
            <w:r w:rsidRPr="00A52563">
              <w:rPr>
                <w:rFonts w:ascii="Calibri" w:hAnsi="Calibri" w:cs="Calibri"/>
                <w:b/>
                <w:color w:val="000000"/>
                <w:sz w:val="18"/>
                <w:szCs w:val="18"/>
              </w:rPr>
              <w:t>€000s</w:t>
            </w:r>
          </w:p>
        </w:tc>
        <w:tc>
          <w:tcPr>
            <w:tcW w:w="1134" w:type="dxa"/>
          </w:tcPr>
          <w:p w14:paraId="5E636324" w14:textId="77777777" w:rsidR="00DB7D80" w:rsidRPr="005B12AE" w:rsidRDefault="00DB7D80" w:rsidP="00B87E67">
            <w:pPr>
              <w:tabs>
                <w:tab w:val="left" w:pos="8080"/>
              </w:tabs>
              <w:ind w:right="-28"/>
              <w:jc w:val="right"/>
              <w:rPr>
                <w:rFonts w:ascii="Calibri" w:hAnsi="Calibri" w:cs="Calibri"/>
                <w:color w:val="000000"/>
                <w:sz w:val="18"/>
                <w:szCs w:val="18"/>
              </w:rPr>
            </w:pPr>
            <w:r w:rsidRPr="00815F07">
              <w:rPr>
                <w:rFonts w:ascii="Calibri" w:hAnsi="Calibri" w:cs="Calibri"/>
                <w:color w:val="000000"/>
                <w:sz w:val="18"/>
                <w:szCs w:val="18"/>
              </w:rPr>
              <w:t>€000s</w:t>
            </w:r>
          </w:p>
        </w:tc>
      </w:tr>
      <w:tr w:rsidR="00DB7D80" w:rsidRPr="008901A5" w14:paraId="7603B1B2" w14:textId="77777777" w:rsidTr="005B12AE">
        <w:trPr>
          <w:trHeight w:val="228"/>
        </w:trPr>
        <w:tc>
          <w:tcPr>
            <w:tcW w:w="6663" w:type="dxa"/>
          </w:tcPr>
          <w:p w14:paraId="7F18CA8F" w14:textId="77777777" w:rsidR="00DB7D80" w:rsidRPr="00987D69" w:rsidRDefault="00DB7D80" w:rsidP="00B87E67">
            <w:pPr>
              <w:tabs>
                <w:tab w:val="left" w:pos="8080"/>
              </w:tabs>
              <w:ind w:right="-28"/>
              <w:rPr>
                <w:rFonts w:ascii="Calibri" w:hAnsi="Calibri" w:cs="Calibri"/>
                <w:b/>
                <w:color w:val="000000"/>
                <w:sz w:val="18"/>
                <w:szCs w:val="18"/>
              </w:rPr>
            </w:pPr>
            <w:r w:rsidRPr="00987D69">
              <w:rPr>
                <w:rFonts w:ascii="Calibri" w:hAnsi="Calibri" w:cs="Calibri"/>
                <w:b/>
                <w:color w:val="000000"/>
                <w:sz w:val="18"/>
                <w:szCs w:val="18"/>
              </w:rPr>
              <w:t>Cash flows from operating activities</w:t>
            </w:r>
          </w:p>
        </w:tc>
        <w:tc>
          <w:tcPr>
            <w:tcW w:w="1275" w:type="dxa"/>
          </w:tcPr>
          <w:p w14:paraId="751FB9D2" w14:textId="77777777" w:rsidR="00DB7D80" w:rsidRPr="005B12AE" w:rsidRDefault="00DB7D80" w:rsidP="00B87E67">
            <w:pPr>
              <w:tabs>
                <w:tab w:val="left" w:pos="8080"/>
              </w:tabs>
              <w:ind w:right="-28"/>
              <w:jc w:val="right"/>
              <w:rPr>
                <w:rFonts w:ascii="Calibri" w:hAnsi="Calibri" w:cs="Calibri"/>
                <w:b/>
                <w:color w:val="000000"/>
                <w:sz w:val="18"/>
                <w:szCs w:val="18"/>
              </w:rPr>
            </w:pPr>
          </w:p>
        </w:tc>
        <w:tc>
          <w:tcPr>
            <w:tcW w:w="1134" w:type="dxa"/>
          </w:tcPr>
          <w:p w14:paraId="7AA06305" w14:textId="77777777" w:rsidR="00DB7D80" w:rsidRPr="00815F07" w:rsidRDefault="00DB7D80" w:rsidP="00B87E67">
            <w:pPr>
              <w:tabs>
                <w:tab w:val="left" w:pos="8080"/>
              </w:tabs>
              <w:ind w:right="-28"/>
              <w:jc w:val="right"/>
              <w:rPr>
                <w:rFonts w:ascii="Calibri" w:hAnsi="Calibri" w:cs="Calibri"/>
                <w:color w:val="000000"/>
                <w:sz w:val="18"/>
                <w:szCs w:val="18"/>
              </w:rPr>
            </w:pPr>
          </w:p>
        </w:tc>
      </w:tr>
      <w:tr w:rsidR="00DB7D80" w:rsidRPr="008901A5" w14:paraId="7289D27A" w14:textId="77777777" w:rsidTr="005B12AE">
        <w:trPr>
          <w:trHeight w:val="228"/>
        </w:trPr>
        <w:tc>
          <w:tcPr>
            <w:tcW w:w="6663" w:type="dxa"/>
          </w:tcPr>
          <w:p w14:paraId="06C4F5AD" w14:textId="77777777" w:rsidR="00DB7D80" w:rsidRPr="00987D69" w:rsidRDefault="00DB7D80" w:rsidP="00B87E67">
            <w:pPr>
              <w:tabs>
                <w:tab w:val="left" w:pos="8080"/>
              </w:tabs>
              <w:ind w:right="-28"/>
              <w:rPr>
                <w:rFonts w:ascii="Calibri" w:hAnsi="Calibri" w:cs="Calibri"/>
                <w:color w:val="000000"/>
                <w:sz w:val="18"/>
                <w:szCs w:val="18"/>
              </w:rPr>
            </w:pPr>
            <w:r w:rsidRPr="00987D69">
              <w:rPr>
                <w:rFonts w:ascii="Calibri" w:hAnsi="Calibri" w:cs="Calibri"/>
                <w:color w:val="000000"/>
                <w:sz w:val="18"/>
                <w:szCs w:val="18"/>
              </w:rPr>
              <w:t>Profit before taxation</w:t>
            </w:r>
          </w:p>
        </w:tc>
        <w:tc>
          <w:tcPr>
            <w:tcW w:w="1275" w:type="dxa"/>
          </w:tcPr>
          <w:p w14:paraId="4D1192A3" w14:textId="485CF9D4" w:rsidR="00DB7D80" w:rsidRPr="005B12AE" w:rsidRDefault="001C1868" w:rsidP="00B87E67">
            <w:pPr>
              <w:tabs>
                <w:tab w:val="left" w:pos="8080"/>
              </w:tabs>
              <w:ind w:right="-28"/>
              <w:jc w:val="right"/>
              <w:rPr>
                <w:rFonts w:ascii="Calibri" w:hAnsi="Calibri" w:cs="Calibri"/>
                <w:b/>
                <w:sz w:val="18"/>
                <w:szCs w:val="18"/>
              </w:rPr>
            </w:pPr>
            <w:r w:rsidRPr="005B12AE">
              <w:rPr>
                <w:rFonts w:ascii="Calibri" w:hAnsi="Calibri" w:cs="Calibri"/>
                <w:b/>
                <w:sz w:val="18"/>
                <w:szCs w:val="18"/>
              </w:rPr>
              <w:t>81,410</w:t>
            </w:r>
          </w:p>
        </w:tc>
        <w:tc>
          <w:tcPr>
            <w:tcW w:w="1134" w:type="dxa"/>
          </w:tcPr>
          <w:p w14:paraId="6ACA6B78" w14:textId="77777777" w:rsidR="00DB7D80" w:rsidRPr="00815F07" w:rsidRDefault="00DB7D80" w:rsidP="00B87E67">
            <w:pPr>
              <w:tabs>
                <w:tab w:val="left" w:pos="8080"/>
              </w:tabs>
              <w:ind w:right="-28"/>
              <w:jc w:val="right"/>
              <w:rPr>
                <w:rFonts w:ascii="Calibri" w:hAnsi="Calibri" w:cs="Calibri"/>
                <w:color w:val="000000"/>
                <w:sz w:val="18"/>
                <w:szCs w:val="18"/>
              </w:rPr>
            </w:pPr>
            <w:r w:rsidRPr="00815F07">
              <w:rPr>
                <w:rFonts w:ascii="Calibri" w:hAnsi="Calibri" w:cs="Calibri"/>
                <w:color w:val="000000"/>
                <w:sz w:val="18"/>
                <w:szCs w:val="18"/>
              </w:rPr>
              <w:t>65,840</w:t>
            </w:r>
          </w:p>
        </w:tc>
      </w:tr>
      <w:tr w:rsidR="00DB7D80" w:rsidRPr="008901A5" w14:paraId="454C6131" w14:textId="77777777" w:rsidTr="005B12AE">
        <w:trPr>
          <w:trHeight w:val="221"/>
        </w:trPr>
        <w:tc>
          <w:tcPr>
            <w:tcW w:w="6663" w:type="dxa"/>
          </w:tcPr>
          <w:p w14:paraId="2C5C8423" w14:textId="77777777" w:rsidR="00DB7D80" w:rsidRPr="00987D69" w:rsidRDefault="00DB7D80" w:rsidP="00B87E67">
            <w:pPr>
              <w:tabs>
                <w:tab w:val="left" w:pos="8080"/>
              </w:tabs>
              <w:ind w:right="-28"/>
              <w:rPr>
                <w:rFonts w:ascii="Calibri" w:hAnsi="Calibri" w:cs="Calibri"/>
                <w:color w:val="000000"/>
                <w:sz w:val="18"/>
                <w:szCs w:val="18"/>
              </w:rPr>
            </w:pPr>
            <w:r w:rsidRPr="00987D69">
              <w:rPr>
                <w:rFonts w:ascii="Calibri" w:hAnsi="Calibri" w:cs="Calibri"/>
                <w:color w:val="000000"/>
                <w:sz w:val="18"/>
                <w:szCs w:val="18"/>
              </w:rPr>
              <w:t xml:space="preserve">Adjustments for: </w:t>
            </w:r>
          </w:p>
        </w:tc>
        <w:tc>
          <w:tcPr>
            <w:tcW w:w="1275" w:type="dxa"/>
          </w:tcPr>
          <w:p w14:paraId="74460941" w14:textId="77777777" w:rsidR="00DB7D80" w:rsidRPr="005B12AE" w:rsidRDefault="00DB7D80" w:rsidP="00B87E67">
            <w:pPr>
              <w:tabs>
                <w:tab w:val="left" w:pos="8080"/>
              </w:tabs>
              <w:ind w:right="-28"/>
              <w:jc w:val="right"/>
              <w:rPr>
                <w:rFonts w:ascii="Calibri" w:hAnsi="Calibri" w:cs="Calibri"/>
                <w:b/>
                <w:sz w:val="18"/>
                <w:szCs w:val="18"/>
              </w:rPr>
            </w:pPr>
          </w:p>
        </w:tc>
        <w:tc>
          <w:tcPr>
            <w:tcW w:w="1134" w:type="dxa"/>
          </w:tcPr>
          <w:p w14:paraId="07F10B55" w14:textId="77777777" w:rsidR="00DB7D80" w:rsidRPr="00815F07" w:rsidRDefault="00DB7D80" w:rsidP="00B87E67">
            <w:pPr>
              <w:tabs>
                <w:tab w:val="left" w:pos="8080"/>
              </w:tabs>
              <w:ind w:right="-28"/>
              <w:jc w:val="right"/>
              <w:rPr>
                <w:rFonts w:ascii="Calibri" w:hAnsi="Calibri" w:cs="Calibri"/>
                <w:color w:val="000000"/>
                <w:sz w:val="18"/>
                <w:szCs w:val="18"/>
              </w:rPr>
            </w:pPr>
          </w:p>
        </w:tc>
      </w:tr>
      <w:tr w:rsidR="00DB7D80" w:rsidRPr="008901A5" w14:paraId="7E407AEE" w14:textId="77777777" w:rsidTr="005B12AE">
        <w:trPr>
          <w:trHeight w:val="189"/>
        </w:trPr>
        <w:tc>
          <w:tcPr>
            <w:tcW w:w="6663" w:type="dxa"/>
          </w:tcPr>
          <w:p w14:paraId="1E39802D" w14:textId="77777777" w:rsidR="00DB7D80" w:rsidRPr="00987D69" w:rsidRDefault="00DB7D80" w:rsidP="00B87E67">
            <w:pPr>
              <w:tabs>
                <w:tab w:val="left" w:pos="8080"/>
              </w:tabs>
              <w:ind w:right="-28"/>
              <w:rPr>
                <w:rFonts w:ascii="Calibri" w:hAnsi="Calibri" w:cs="Calibri"/>
                <w:color w:val="000000"/>
                <w:sz w:val="18"/>
                <w:szCs w:val="18"/>
              </w:rPr>
            </w:pPr>
            <w:r w:rsidRPr="00987D69">
              <w:rPr>
                <w:rFonts w:ascii="Calibri" w:hAnsi="Calibri" w:cs="Calibri"/>
                <w:color w:val="000000"/>
                <w:sz w:val="18"/>
                <w:szCs w:val="18"/>
              </w:rPr>
              <w:t xml:space="preserve">Movement on investments classified as fair value </w:t>
            </w:r>
          </w:p>
        </w:tc>
        <w:tc>
          <w:tcPr>
            <w:tcW w:w="1275" w:type="dxa"/>
          </w:tcPr>
          <w:p w14:paraId="1EF6FCFD" w14:textId="1AE469E3" w:rsidR="00DB7D80" w:rsidRPr="005B12AE" w:rsidRDefault="00DB7D80" w:rsidP="00B87E67">
            <w:pPr>
              <w:tabs>
                <w:tab w:val="left" w:pos="8080"/>
              </w:tabs>
              <w:ind w:right="-28"/>
              <w:jc w:val="right"/>
              <w:rPr>
                <w:rFonts w:ascii="Calibri" w:hAnsi="Calibri" w:cs="Calibri"/>
                <w:b/>
                <w:sz w:val="18"/>
                <w:szCs w:val="18"/>
              </w:rPr>
            </w:pPr>
            <w:r w:rsidRPr="005B12AE">
              <w:rPr>
                <w:rFonts w:ascii="Calibri" w:hAnsi="Calibri" w:cs="Calibri"/>
                <w:b/>
                <w:sz w:val="18"/>
                <w:szCs w:val="18"/>
              </w:rPr>
              <w:t>(</w:t>
            </w:r>
            <w:r w:rsidR="001C1868" w:rsidRPr="005B12AE">
              <w:rPr>
                <w:rFonts w:ascii="Calibri" w:hAnsi="Calibri" w:cs="Calibri"/>
                <w:b/>
                <w:sz w:val="18"/>
                <w:szCs w:val="18"/>
              </w:rPr>
              <w:t>7,960</w:t>
            </w:r>
            <w:r w:rsidRPr="005B12AE">
              <w:rPr>
                <w:rFonts w:ascii="Calibri" w:hAnsi="Calibri" w:cs="Calibri"/>
                <w:b/>
                <w:sz w:val="18"/>
                <w:szCs w:val="18"/>
              </w:rPr>
              <w:t>)</w:t>
            </w:r>
          </w:p>
        </w:tc>
        <w:tc>
          <w:tcPr>
            <w:tcW w:w="1134" w:type="dxa"/>
          </w:tcPr>
          <w:p w14:paraId="30A9D440" w14:textId="77777777" w:rsidR="00DB7D80" w:rsidRPr="00815F07" w:rsidRDefault="00DB7D80" w:rsidP="00B87E67">
            <w:pPr>
              <w:tabs>
                <w:tab w:val="left" w:pos="8080"/>
              </w:tabs>
              <w:ind w:right="-28"/>
              <w:jc w:val="right"/>
              <w:rPr>
                <w:rFonts w:ascii="Calibri" w:hAnsi="Calibri" w:cs="Calibri"/>
                <w:sz w:val="18"/>
                <w:szCs w:val="18"/>
              </w:rPr>
            </w:pPr>
            <w:r w:rsidRPr="00815F07">
              <w:rPr>
                <w:rFonts w:ascii="Calibri" w:hAnsi="Calibri" w:cs="Calibri"/>
                <w:sz w:val="18"/>
                <w:szCs w:val="18"/>
              </w:rPr>
              <w:t>19,616</w:t>
            </w:r>
          </w:p>
        </w:tc>
      </w:tr>
      <w:tr w:rsidR="00DB7D80" w:rsidRPr="008901A5" w14:paraId="10D561BF" w14:textId="77777777" w:rsidTr="005B12AE">
        <w:trPr>
          <w:trHeight w:val="228"/>
        </w:trPr>
        <w:tc>
          <w:tcPr>
            <w:tcW w:w="6663" w:type="dxa"/>
          </w:tcPr>
          <w:p w14:paraId="0AB8FAF2" w14:textId="77777777" w:rsidR="00DB7D80" w:rsidRPr="00987D69" w:rsidRDefault="00DB7D80" w:rsidP="00B87E67">
            <w:pPr>
              <w:tabs>
                <w:tab w:val="left" w:pos="8080"/>
              </w:tabs>
              <w:ind w:right="-28"/>
              <w:rPr>
                <w:rFonts w:ascii="Calibri" w:hAnsi="Calibri" w:cs="Calibri"/>
                <w:color w:val="000000"/>
                <w:sz w:val="18"/>
                <w:szCs w:val="18"/>
              </w:rPr>
            </w:pPr>
            <w:r w:rsidRPr="00987D69">
              <w:rPr>
                <w:rFonts w:ascii="Calibri" w:hAnsi="Calibri" w:cs="Calibri"/>
                <w:color w:val="000000"/>
                <w:sz w:val="18"/>
                <w:szCs w:val="18"/>
              </w:rPr>
              <w:t>Interest and dividend income</w:t>
            </w:r>
          </w:p>
        </w:tc>
        <w:tc>
          <w:tcPr>
            <w:tcW w:w="1275" w:type="dxa"/>
          </w:tcPr>
          <w:p w14:paraId="757FBA67" w14:textId="605A29F5" w:rsidR="00DB7D80" w:rsidRPr="005B12AE" w:rsidRDefault="00DB7D80" w:rsidP="00B87E67">
            <w:pPr>
              <w:tabs>
                <w:tab w:val="left" w:pos="8080"/>
              </w:tabs>
              <w:ind w:right="-28"/>
              <w:jc w:val="right"/>
              <w:rPr>
                <w:rFonts w:ascii="Calibri" w:hAnsi="Calibri" w:cs="Calibri"/>
                <w:b/>
                <w:sz w:val="18"/>
                <w:szCs w:val="18"/>
              </w:rPr>
            </w:pPr>
            <w:r w:rsidRPr="005B12AE">
              <w:rPr>
                <w:rFonts w:ascii="Calibri" w:hAnsi="Calibri" w:cs="Calibri"/>
                <w:b/>
                <w:sz w:val="18"/>
                <w:szCs w:val="18"/>
              </w:rPr>
              <w:t>(</w:t>
            </w:r>
            <w:r w:rsidR="0006598B" w:rsidRPr="005B12AE">
              <w:rPr>
                <w:rFonts w:ascii="Calibri" w:hAnsi="Calibri" w:cs="Calibri"/>
                <w:b/>
                <w:sz w:val="18"/>
                <w:szCs w:val="18"/>
              </w:rPr>
              <w:t>15,653</w:t>
            </w:r>
            <w:r w:rsidRPr="005B12AE">
              <w:rPr>
                <w:rFonts w:ascii="Calibri" w:hAnsi="Calibri" w:cs="Calibri"/>
                <w:b/>
                <w:sz w:val="18"/>
                <w:szCs w:val="18"/>
              </w:rPr>
              <w:t>)</w:t>
            </w:r>
          </w:p>
        </w:tc>
        <w:tc>
          <w:tcPr>
            <w:tcW w:w="1134" w:type="dxa"/>
          </w:tcPr>
          <w:p w14:paraId="7D71C667" w14:textId="0DB284DE" w:rsidR="00DB7D80" w:rsidRPr="00815F07" w:rsidRDefault="00DB7D80" w:rsidP="00B87E67">
            <w:pPr>
              <w:tabs>
                <w:tab w:val="left" w:pos="8080"/>
              </w:tabs>
              <w:ind w:right="-28"/>
              <w:jc w:val="right"/>
              <w:rPr>
                <w:rFonts w:ascii="Calibri" w:hAnsi="Calibri" w:cs="Calibri"/>
                <w:sz w:val="18"/>
                <w:szCs w:val="18"/>
              </w:rPr>
            </w:pPr>
            <w:r w:rsidRPr="00815F07">
              <w:rPr>
                <w:rFonts w:ascii="Calibri" w:hAnsi="Calibri" w:cs="Calibri"/>
                <w:sz w:val="18"/>
                <w:szCs w:val="18"/>
              </w:rPr>
              <w:t>(1</w:t>
            </w:r>
            <w:r w:rsidR="00815F07" w:rsidRPr="00815F07">
              <w:rPr>
                <w:rFonts w:ascii="Calibri" w:hAnsi="Calibri" w:cs="Calibri"/>
                <w:sz w:val="18"/>
                <w:szCs w:val="18"/>
              </w:rPr>
              <w:t>0</w:t>
            </w:r>
            <w:r w:rsidRPr="00815F07">
              <w:rPr>
                <w:rFonts w:ascii="Calibri" w:hAnsi="Calibri" w:cs="Calibri"/>
                <w:sz w:val="18"/>
                <w:szCs w:val="18"/>
              </w:rPr>
              <w:t>,</w:t>
            </w:r>
            <w:r w:rsidR="00815F07" w:rsidRPr="00815F07">
              <w:rPr>
                <w:rFonts w:ascii="Calibri" w:hAnsi="Calibri" w:cs="Calibri"/>
                <w:sz w:val="18"/>
                <w:szCs w:val="18"/>
              </w:rPr>
              <w:t>998</w:t>
            </w:r>
            <w:r w:rsidRPr="00815F07">
              <w:rPr>
                <w:rFonts w:ascii="Calibri" w:hAnsi="Calibri" w:cs="Calibri"/>
                <w:sz w:val="18"/>
                <w:szCs w:val="18"/>
              </w:rPr>
              <w:t>)</w:t>
            </w:r>
          </w:p>
        </w:tc>
      </w:tr>
      <w:tr w:rsidR="00DB7D80" w:rsidRPr="008901A5" w14:paraId="2A948626" w14:textId="77777777" w:rsidTr="005B12AE">
        <w:trPr>
          <w:trHeight w:val="450"/>
        </w:trPr>
        <w:tc>
          <w:tcPr>
            <w:tcW w:w="6663" w:type="dxa"/>
          </w:tcPr>
          <w:p w14:paraId="65138778" w14:textId="77777777" w:rsidR="00DB7D80" w:rsidRPr="00987D69" w:rsidRDefault="00DB7D80" w:rsidP="00B87E67">
            <w:pPr>
              <w:tabs>
                <w:tab w:val="left" w:pos="8080"/>
              </w:tabs>
              <w:ind w:right="-28"/>
              <w:rPr>
                <w:rFonts w:ascii="Calibri" w:hAnsi="Calibri" w:cs="Calibri"/>
                <w:color w:val="000000"/>
                <w:sz w:val="18"/>
                <w:szCs w:val="18"/>
              </w:rPr>
            </w:pPr>
            <w:r w:rsidRPr="00987D69">
              <w:rPr>
                <w:rFonts w:ascii="Calibri" w:hAnsi="Calibri" w:cs="Calibri"/>
                <w:color w:val="000000"/>
                <w:sz w:val="18"/>
                <w:szCs w:val="18"/>
              </w:rPr>
              <w:t xml:space="preserve">Depreciation/amortisation of property, plant and equipment, intangible </w:t>
            </w:r>
            <w:proofErr w:type="gramStart"/>
            <w:r w:rsidRPr="00987D69">
              <w:rPr>
                <w:rFonts w:ascii="Calibri" w:hAnsi="Calibri" w:cs="Calibri"/>
                <w:color w:val="000000"/>
                <w:sz w:val="18"/>
                <w:szCs w:val="18"/>
              </w:rPr>
              <w:t>assets</w:t>
            </w:r>
            <w:proofErr w:type="gramEnd"/>
            <w:r w:rsidRPr="00987D69">
              <w:rPr>
                <w:rFonts w:ascii="Calibri" w:hAnsi="Calibri" w:cs="Calibri"/>
                <w:color w:val="000000"/>
                <w:sz w:val="18"/>
                <w:szCs w:val="18"/>
              </w:rPr>
              <w:t xml:space="preserve"> </w:t>
            </w:r>
            <w:r>
              <w:rPr>
                <w:rFonts w:ascii="Calibri" w:hAnsi="Calibri" w:cs="Calibri"/>
                <w:color w:val="000000"/>
                <w:sz w:val="18"/>
                <w:szCs w:val="18"/>
              </w:rPr>
              <w:t>and</w:t>
            </w:r>
            <w:r w:rsidRPr="00987D69">
              <w:rPr>
                <w:rFonts w:ascii="Calibri" w:hAnsi="Calibri" w:cs="Calibri"/>
                <w:color w:val="000000"/>
                <w:sz w:val="18"/>
                <w:szCs w:val="18"/>
              </w:rPr>
              <w:t xml:space="preserve"> policy administration system</w:t>
            </w:r>
          </w:p>
        </w:tc>
        <w:tc>
          <w:tcPr>
            <w:tcW w:w="1275" w:type="dxa"/>
          </w:tcPr>
          <w:p w14:paraId="3940F171" w14:textId="77777777" w:rsidR="00DB7D80" w:rsidRPr="005B12AE" w:rsidRDefault="00DB7D80" w:rsidP="00B87E67">
            <w:pPr>
              <w:tabs>
                <w:tab w:val="left" w:pos="8080"/>
              </w:tabs>
              <w:ind w:right="-28"/>
              <w:jc w:val="right"/>
              <w:rPr>
                <w:rFonts w:ascii="Calibri" w:hAnsi="Calibri" w:cs="Calibri"/>
                <w:b/>
                <w:sz w:val="18"/>
                <w:szCs w:val="18"/>
              </w:rPr>
            </w:pPr>
          </w:p>
          <w:p w14:paraId="0B7B56A5" w14:textId="149FFBCA" w:rsidR="00DB7D80" w:rsidRPr="005B12AE" w:rsidRDefault="009E4EA2" w:rsidP="00B87E67">
            <w:pPr>
              <w:tabs>
                <w:tab w:val="left" w:pos="8080"/>
              </w:tabs>
              <w:ind w:right="-28"/>
              <w:jc w:val="right"/>
              <w:rPr>
                <w:rFonts w:ascii="Calibri" w:hAnsi="Calibri" w:cs="Calibri"/>
                <w:b/>
                <w:sz w:val="18"/>
                <w:szCs w:val="18"/>
              </w:rPr>
            </w:pPr>
            <w:r w:rsidRPr="005B12AE">
              <w:rPr>
                <w:rFonts w:ascii="Calibri" w:hAnsi="Calibri" w:cs="Calibri"/>
                <w:b/>
                <w:sz w:val="18"/>
                <w:szCs w:val="18"/>
              </w:rPr>
              <w:t>12,012</w:t>
            </w:r>
          </w:p>
        </w:tc>
        <w:tc>
          <w:tcPr>
            <w:tcW w:w="1134" w:type="dxa"/>
          </w:tcPr>
          <w:p w14:paraId="06972B16" w14:textId="77777777" w:rsidR="00DB7D80" w:rsidRPr="00815F07" w:rsidRDefault="00DB7D80" w:rsidP="00B87E67">
            <w:pPr>
              <w:tabs>
                <w:tab w:val="left" w:pos="8080"/>
              </w:tabs>
              <w:ind w:right="-28"/>
              <w:jc w:val="right"/>
              <w:rPr>
                <w:rFonts w:ascii="Calibri" w:hAnsi="Calibri" w:cs="Calibri"/>
                <w:sz w:val="18"/>
                <w:szCs w:val="18"/>
              </w:rPr>
            </w:pPr>
          </w:p>
          <w:p w14:paraId="705C9387" w14:textId="77777777" w:rsidR="00DB7D80" w:rsidRPr="00815F07" w:rsidRDefault="00DB7D80" w:rsidP="00B87E67">
            <w:pPr>
              <w:tabs>
                <w:tab w:val="left" w:pos="8080"/>
              </w:tabs>
              <w:ind w:right="-28"/>
              <w:jc w:val="right"/>
              <w:rPr>
                <w:rFonts w:ascii="Calibri" w:hAnsi="Calibri" w:cs="Calibri"/>
                <w:sz w:val="18"/>
                <w:szCs w:val="18"/>
              </w:rPr>
            </w:pPr>
            <w:r w:rsidRPr="00815F07">
              <w:rPr>
                <w:rFonts w:ascii="Calibri" w:hAnsi="Calibri" w:cs="Calibri"/>
                <w:sz w:val="18"/>
                <w:szCs w:val="18"/>
              </w:rPr>
              <w:t>13,239</w:t>
            </w:r>
          </w:p>
        </w:tc>
      </w:tr>
      <w:tr w:rsidR="00DB7D80" w:rsidRPr="008901A5" w14:paraId="28226B6A" w14:textId="77777777" w:rsidTr="005B12AE">
        <w:trPr>
          <w:trHeight w:val="228"/>
        </w:trPr>
        <w:tc>
          <w:tcPr>
            <w:tcW w:w="6663" w:type="dxa"/>
          </w:tcPr>
          <w:p w14:paraId="1EEB2D0F" w14:textId="77777777" w:rsidR="00DB7D80" w:rsidRPr="00987D69" w:rsidRDefault="00DB7D80" w:rsidP="00B87E67">
            <w:pPr>
              <w:tabs>
                <w:tab w:val="left" w:pos="8080"/>
              </w:tabs>
              <w:ind w:right="-28"/>
              <w:rPr>
                <w:rFonts w:ascii="Calibri" w:hAnsi="Calibri" w:cs="Calibri"/>
                <w:color w:val="000000"/>
                <w:sz w:val="18"/>
                <w:szCs w:val="18"/>
              </w:rPr>
            </w:pPr>
            <w:r w:rsidRPr="00987D69">
              <w:rPr>
                <w:rFonts w:ascii="Calibri" w:hAnsi="Calibri" w:cs="Calibri"/>
                <w:color w:val="000000"/>
                <w:sz w:val="18"/>
                <w:szCs w:val="18"/>
              </w:rPr>
              <w:t>Depreciation on right of use assets</w:t>
            </w:r>
          </w:p>
        </w:tc>
        <w:tc>
          <w:tcPr>
            <w:tcW w:w="1275" w:type="dxa"/>
          </w:tcPr>
          <w:p w14:paraId="3F2C5657" w14:textId="588B1E44" w:rsidR="00DB7D80" w:rsidRPr="005B12AE" w:rsidRDefault="009E4EA2" w:rsidP="00B87E67">
            <w:pPr>
              <w:tabs>
                <w:tab w:val="left" w:pos="8080"/>
              </w:tabs>
              <w:ind w:right="-28"/>
              <w:jc w:val="right"/>
              <w:rPr>
                <w:rFonts w:ascii="Calibri" w:hAnsi="Calibri" w:cs="Calibri"/>
                <w:b/>
                <w:sz w:val="18"/>
                <w:szCs w:val="18"/>
              </w:rPr>
            </w:pPr>
            <w:r w:rsidRPr="005B12AE">
              <w:rPr>
                <w:rFonts w:ascii="Calibri" w:hAnsi="Calibri" w:cs="Calibri"/>
                <w:b/>
                <w:sz w:val="18"/>
                <w:szCs w:val="18"/>
              </w:rPr>
              <w:t>787</w:t>
            </w:r>
          </w:p>
        </w:tc>
        <w:tc>
          <w:tcPr>
            <w:tcW w:w="1134" w:type="dxa"/>
          </w:tcPr>
          <w:p w14:paraId="4AB8A1C2" w14:textId="77777777" w:rsidR="00DB7D80" w:rsidRPr="00815F07" w:rsidRDefault="00DB7D80" w:rsidP="00B87E67">
            <w:pPr>
              <w:tabs>
                <w:tab w:val="left" w:pos="8080"/>
              </w:tabs>
              <w:ind w:right="-28"/>
              <w:jc w:val="right"/>
              <w:rPr>
                <w:rFonts w:ascii="Calibri" w:hAnsi="Calibri" w:cs="Calibri"/>
                <w:sz w:val="18"/>
                <w:szCs w:val="18"/>
              </w:rPr>
            </w:pPr>
            <w:r w:rsidRPr="00815F07">
              <w:rPr>
                <w:rFonts w:ascii="Calibri" w:hAnsi="Calibri" w:cs="Calibri"/>
                <w:sz w:val="18"/>
                <w:szCs w:val="18"/>
              </w:rPr>
              <w:t>788</w:t>
            </w:r>
          </w:p>
        </w:tc>
      </w:tr>
      <w:tr w:rsidR="009E4EA2" w:rsidRPr="008901A5" w14:paraId="25EE455B" w14:textId="77777777" w:rsidTr="00B87E67">
        <w:trPr>
          <w:trHeight w:val="221"/>
        </w:trPr>
        <w:tc>
          <w:tcPr>
            <w:tcW w:w="6663" w:type="dxa"/>
          </w:tcPr>
          <w:p w14:paraId="33E2210D" w14:textId="77777777" w:rsidR="009E4EA2" w:rsidRPr="00987D69" w:rsidRDefault="009E4EA2" w:rsidP="00B87E67">
            <w:pPr>
              <w:tabs>
                <w:tab w:val="left" w:pos="8080"/>
              </w:tabs>
              <w:ind w:right="-28"/>
              <w:rPr>
                <w:rFonts w:ascii="Calibri" w:hAnsi="Calibri" w:cs="Calibri"/>
                <w:color w:val="000000"/>
                <w:sz w:val="18"/>
                <w:szCs w:val="18"/>
              </w:rPr>
            </w:pPr>
            <w:r w:rsidRPr="00987D69">
              <w:rPr>
                <w:rFonts w:ascii="Calibri" w:hAnsi="Calibri" w:cs="Calibri"/>
                <w:color w:val="000000"/>
                <w:sz w:val="18"/>
                <w:szCs w:val="18"/>
              </w:rPr>
              <w:t>Fair value movement on investment property</w:t>
            </w:r>
          </w:p>
        </w:tc>
        <w:tc>
          <w:tcPr>
            <w:tcW w:w="1275" w:type="dxa"/>
          </w:tcPr>
          <w:p w14:paraId="051AC3CC" w14:textId="0299ABAE" w:rsidR="009E4EA2" w:rsidRPr="00125E31" w:rsidRDefault="00815F07" w:rsidP="00B87E67">
            <w:pPr>
              <w:tabs>
                <w:tab w:val="left" w:pos="8080"/>
              </w:tabs>
              <w:ind w:right="-28"/>
              <w:jc w:val="right"/>
              <w:rPr>
                <w:rFonts w:ascii="Calibri" w:hAnsi="Calibri" w:cs="Calibri"/>
                <w:b/>
                <w:sz w:val="18"/>
                <w:szCs w:val="18"/>
              </w:rPr>
            </w:pPr>
            <w:r>
              <w:rPr>
                <w:rFonts w:ascii="Calibri" w:hAnsi="Calibri" w:cs="Calibri"/>
                <w:b/>
                <w:sz w:val="18"/>
                <w:szCs w:val="18"/>
              </w:rPr>
              <w:t>3,099</w:t>
            </w:r>
          </w:p>
        </w:tc>
        <w:tc>
          <w:tcPr>
            <w:tcW w:w="1134" w:type="dxa"/>
          </w:tcPr>
          <w:p w14:paraId="6ED614F1" w14:textId="77777777" w:rsidR="009E4EA2" w:rsidRPr="00815F07" w:rsidRDefault="009E4EA2" w:rsidP="00B87E67">
            <w:pPr>
              <w:tabs>
                <w:tab w:val="left" w:pos="8080"/>
              </w:tabs>
              <w:ind w:right="-28"/>
              <w:jc w:val="right"/>
              <w:rPr>
                <w:rFonts w:ascii="Calibri" w:hAnsi="Calibri" w:cs="Calibri"/>
                <w:sz w:val="18"/>
                <w:szCs w:val="18"/>
              </w:rPr>
            </w:pPr>
            <w:r w:rsidRPr="00815F07">
              <w:rPr>
                <w:rFonts w:ascii="Calibri" w:hAnsi="Calibri" w:cs="Calibri"/>
                <w:sz w:val="18"/>
                <w:szCs w:val="18"/>
              </w:rPr>
              <w:t>1,003</w:t>
            </w:r>
          </w:p>
        </w:tc>
      </w:tr>
      <w:tr w:rsidR="00815F07" w:rsidRPr="008901A5" w14:paraId="4EEE95DB" w14:textId="77777777" w:rsidTr="00B87E67">
        <w:trPr>
          <w:trHeight w:val="228"/>
        </w:trPr>
        <w:tc>
          <w:tcPr>
            <w:tcW w:w="6663" w:type="dxa"/>
          </w:tcPr>
          <w:p w14:paraId="522CEC0D" w14:textId="77777777" w:rsidR="00815F07" w:rsidRPr="00987D69" w:rsidRDefault="00815F07" w:rsidP="00815F07">
            <w:pPr>
              <w:tabs>
                <w:tab w:val="left" w:pos="8080"/>
              </w:tabs>
              <w:ind w:right="-28"/>
              <w:rPr>
                <w:rFonts w:ascii="Calibri" w:hAnsi="Calibri" w:cs="Calibri"/>
                <w:color w:val="000000"/>
                <w:sz w:val="18"/>
                <w:szCs w:val="18"/>
              </w:rPr>
            </w:pPr>
            <w:r w:rsidRPr="00987D69">
              <w:rPr>
                <w:rFonts w:ascii="Calibri" w:hAnsi="Calibri" w:cs="Calibri"/>
                <w:color w:val="000000"/>
                <w:sz w:val="18"/>
                <w:szCs w:val="18"/>
              </w:rPr>
              <w:t xml:space="preserve">Revaluation of property, </w:t>
            </w:r>
            <w:proofErr w:type="gramStart"/>
            <w:r w:rsidRPr="00987D69">
              <w:rPr>
                <w:rFonts w:ascii="Calibri" w:hAnsi="Calibri" w:cs="Calibri"/>
                <w:color w:val="000000"/>
                <w:sz w:val="18"/>
                <w:szCs w:val="18"/>
              </w:rPr>
              <w:t>plant</w:t>
            </w:r>
            <w:proofErr w:type="gramEnd"/>
            <w:r w:rsidRPr="00987D69">
              <w:rPr>
                <w:rFonts w:ascii="Calibri" w:hAnsi="Calibri" w:cs="Calibri"/>
                <w:color w:val="000000"/>
                <w:sz w:val="18"/>
                <w:szCs w:val="18"/>
              </w:rPr>
              <w:t xml:space="preserve"> and equipment</w:t>
            </w:r>
          </w:p>
        </w:tc>
        <w:tc>
          <w:tcPr>
            <w:tcW w:w="1275" w:type="dxa"/>
          </w:tcPr>
          <w:p w14:paraId="2068A14A" w14:textId="616C0ADA" w:rsidR="00815F07" w:rsidRPr="00125E31" w:rsidRDefault="00815F07" w:rsidP="00815F07">
            <w:pPr>
              <w:tabs>
                <w:tab w:val="left" w:pos="8080"/>
              </w:tabs>
              <w:ind w:right="-28"/>
              <w:jc w:val="right"/>
              <w:rPr>
                <w:rFonts w:ascii="Calibri" w:hAnsi="Calibri" w:cs="Calibri"/>
                <w:b/>
                <w:sz w:val="18"/>
                <w:szCs w:val="18"/>
              </w:rPr>
            </w:pPr>
            <w:r w:rsidRPr="00125E31">
              <w:rPr>
                <w:rFonts w:ascii="Calibri" w:hAnsi="Calibri" w:cs="Calibri"/>
                <w:b/>
                <w:sz w:val="18"/>
                <w:szCs w:val="18"/>
              </w:rPr>
              <w:t>1,708</w:t>
            </w:r>
          </w:p>
        </w:tc>
        <w:tc>
          <w:tcPr>
            <w:tcW w:w="1134" w:type="dxa"/>
          </w:tcPr>
          <w:p w14:paraId="6900634E" w14:textId="77777777" w:rsidR="00815F07" w:rsidRPr="00815F07" w:rsidRDefault="00815F07" w:rsidP="00815F07">
            <w:pPr>
              <w:tabs>
                <w:tab w:val="left" w:pos="8080"/>
              </w:tabs>
              <w:ind w:right="-28"/>
              <w:jc w:val="right"/>
              <w:rPr>
                <w:rFonts w:ascii="Calibri" w:hAnsi="Calibri" w:cs="Calibri"/>
                <w:sz w:val="18"/>
                <w:szCs w:val="18"/>
              </w:rPr>
            </w:pPr>
            <w:r w:rsidRPr="00815F07">
              <w:rPr>
                <w:rFonts w:ascii="Calibri" w:hAnsi="Calibri" w:cs="Calibri"/>
                <w:sz w:val="18"/>
                <w:szCs w:val="18"/>
              </w:rPr>
              <w:t>287</w:t>
            </w:r>
          </w:p>
        </w:tc>
      </w:tr>
      <w:tr w:rsidR="00815F07" w:rsidRPr="008901A5" w14:paraId="3EE54C01" w14:textId="77777777" w:rsidTr="005B12AE">
        <w:trPr>
          <w:trHeight w:val="228"/>
        </w:trPr>
        <w:tc>
          <w:tcPr>
            <w:tcW w:w="6663" w:type="dxa"/>
          </w:tcPr>
          <w:p w14:paraId="4B4BC363" w14:textId="3242BF78" w:rsidR="00815F07" w:rsidRPr="00987D69" w:rsidRDefault="00815F07" w:rsidP="00815F07">
            <w:pPr>
              <w:tabs>
                <w:tab w:val="left" w:pos="8080"/>
              </w:tabs>
              <w:ind w:right="-28"/>
              <w:rPr>
                <w:rFonts w:ascii="Calibri" w:hAnsi="Calibri" w:cs="Calibri"/>
                <w:color w:val="000000"/>
                <w:sz w:val="18"/>
                <w:szCs w:val="18"/>
              </w:rPr>
            </w:pPr>
            <w:r>
              <w:rPr>
                <w:rFonts w:ascii="Calibri" w:hAnsi="Calibri" w:cs="Calibri"/>
                <w:color w:val="000000"/>
                <w:sz w:val="18"/>
                <w:szCs w:val="18"/>
              </w:rPr>
              <w:t xml:space="preserve">Other non-cash adjustments </w:t>
            </w:r>
          </w:p>
        </w:tc>
        <w:tc>
          <w:tcPr>
            <w:tcW w:w="1275" w:type="dxa"/>
            <w:tcBorders>
              <w:bottom w:val="single" w:sz="4" w:space="0" w:color="auto"/>
            </w:tcBorders>
          </w:tcPr>
          <w:p w14:paraId="34939BC9" w14:textId="5D1221D2" w:rsidR="00815F07" w:rsidRPr="005B12AE" w:rsidRDefault="00815F07" w:rsidP="00815F07">
            <w:pPr>
              <w:tabs>
                <w:tab w:val="left" w:pos="8080"/>
              </w:tabs>
              <w:ind w:right="-28"/>
              <w:jc w:val="right"/>
              <w:rPr>
                <w:rFonts w:ascii="Calibri" w:hAnsi="Calibri" w:cs="Calibri"/>
                <w:b/>
                <w:sz w:val="18"/>
                <w:szCs w:val="18"/>
              </w:rPr>
            </w:pPr>
            <w:r w:rsidRPr="00125E31">
              <w:rPr>
                <w:rFonts w:ascii="Calibri" w:hAnsi="Calibri" w:cs="Calibri"/>
                <w:b/>
                <w:sz w:val="18"/>
                <w:szCs w:val="18"/>
              </w:rPr>
              <w:t>2,602</w:t>
            </w:r>
          </w:p>
        </w:tc>
        <w:tc>
          <w:tcPr>
            <w:tcW w:w="1134" w:type="dxa"/>
            <w:tcBorders>
              <w:bottom w:val="single" w:sz="4" w:space="0" w:color="auto"/>
            </w:tcBorders>
          </w:tcPr>
          <w:p w14:paraId="1DCC3A4D" w14:textId="6BD092B1" w:rsidR="00815F07" w:rsidRPr="00815F07" w:rsidRDefault="00815F07" w:rsidP="00815F07">
            <w:pPr>
              <w:tabs>
                <w:tab w:val="left" w:pos="8080"/>
              </w:tabs>
              <w:ind w:right="-28"/>
              <w:jc w:val="right"/>
              <w:rPr>
                <w:rFonts w:ascii="Calibri" w:hAnsi="Calibri" w:cs="Calibri"/>
                <w:sz w:val="18"/>
                <w:szCs w:val="18"/>
              </w:rPr>
            </w:pPr>
            <w:r w:rsidRPr="00815F07">
              <w:rPr>
                <w:rFonts w:ascii="Calibri" w:hAnsi="Calibri" w:cs="Calibri"/>
                <w:sz w:val="18"/>
                <w:szCs w:val="18"/>
              </w:rPr>
              <w:t>3,00</w:t>
            </w:r>
            <w:r w:rsidR="005D4461">
              <w:rPr>
                <w:rFonts w:ascii="Calibri" w:hAnsi="Calibri" w:cs="Calibri"/>
                <w:sz w:val="18"/>
                <w:szCs w:val="18"/>
              </w:rPr>
              <w:t>7</w:t>
            </w:r>
          </w:p>
        </w:tc>
      </w:tr>
      <w:tr w:rsidR="00DB7D80" w:rsidRPr="008901A5" w14:paraId="65A88D27" w14:textId="77777777" w:rsidTr="005B12AE">
        <w:trPr>
          <w:trHeight w:val="228"/>
        </w:trPr>
        <w:tc>
          <w:tcPr>
            <w:tcW w:w="6663" w:type="dxa"/>
          </w:tcPr>
          <w:p w14:paraId="6BC0E22B" w14:textId="77777777" w:rsidR="00DB7D80" w:rsidRPr="00987D69" w:rsidRDefault="00DB7D80" w:rsidP="00B87E67">
            <w:pPr>
              <w:tabs>
                <w:tab w:val="left" w:pos="8080"/>
              </w:tabs>
              <w:ind w:right="-28"/>
              <w:rPr>
                <w:rFonts w:ascii="Calibri" w:hAnsi="Calibri" w:cs="Calibri"/>
                <w:b/>
                <w:color w:val="000000"/>
                <w:sz w:val="18"/>
                <w:szCs w:val="18"/>
              </w:rPr>
            </w:pPr>
            <w:r w:rsidRPr="00987D69">
              <w:rPr>
                <w:rFonts w:ascii="Calibri" w:hAnsi="Calibri" w:cs="Calibri"/>
                <w:b/>
                <w:color w:val="000000"/>
                <w:sz w:val="18"/>
                <w:szCs w:val="18"/>
              </w:rPr>
              <w:t>Operating cash flows before movement in working capital</w:t>
            </w:r>
          </w:p>
        </w:tc>
        <w:tc>
          <w:tcPr>
            <w:tcW w:w="1275" w:type="dxa"/>
            <w:tcBorders>
              <w:top w:val="single" w:sz="4" w:space="0" w:color="auto"/>
              <w:bottom w:val="single" w:sz="4" w:space="0" w:color="auto"/>
            </w:tcBorders>
          </w:tcPr>
          <w:p w14:paraId="61B16DA0" w14:textId="6C150525" w:rsidR="00DB7D80" w:rsidRPr="005B12AE" w:rsidRDefault="009E4EA2" w:rsidP="00B87E67">
            <w:pPr>
              <w:tabs>
                <w:tab w:val="left" w:pos="8080"/>
              </w:tabs>
              <w:ind w:right="-28"/>
              <w:jc w:val="right"/>
              <w:rPr>
                <w:rFonts w:ascii="Calibri" w:hAnsi="Calibri" w:cs="Calibri"/>
                <w:b/>
                <w:sz w:val="18"/>
                <w:szCs w:val="18"/>
              </w:rPr>
            </w:pPr>
            <w:r w:rsidRPr="005B12AE">
              <w:rPr>
                <w:rFonts w:ascii="Calibri" w:hAnsi="Calibri" w:cs="Calibri"/>
                <w:b/>
                <w:sz w:val="18"/>
                <w:szCs w:val="18"/>
              </w:rPr>
              <w:t>78,005</w:t>
            </w:r>
          </w:p>
        </w:tc>
        <w:tc>
          <w:tcPr>
            <w:tcW w:w="1134" w:type="dxa"/>
            <w:tcBorders>
              <w:top w:val="single" w:sz="4" w:space="0" w:color="auto"/>
              <w:bottom w:val="single" w:sz="4" w:space="0" w:color="auto"/>
            </w:tcBorders>
          </w:tcPr>
          <w:p w14:paraId="770A6A9A" w14:textId="3B988BB5" w:rsidR="00DB7D80" w:rsidRPr="005B12AE" w:rsidRDefault="00DB7D80" w:rsidP="00B87E67">
            <w:pPr>
              <w:tabs>
                <w:tab w:val="left" w:pos="8080"/>
              </w:tabs>
              <w:ind w:right="-28"/>
              <w:jc w:val="right"/>
              <w:rPr>
                <w:rFonts w:ascii="Calibri" w:hAnsi="Calibri" w:cs="Calibri"/>
                <w:sz w:val="18"/>
                <w:szCs w:val="18"/>
              </w:rPr>
            </w:pPr>
            <w:r w:rsidRPr="005B12AE">
              <w:rPr>
                <w:rFonts w:ascii="Calibri" w:hAnsi="Calibri" w:cs="Calibri"/>
                <w:sz w:val="18"/>
                <w:szCs w:val="18"/>
              </w:rPr>
              <w:t>9</w:t>
            </w:r>
            <w:r w:rsidR="005D4461">
              <w:rPr>
                <w:rFonts w:ascii="Calibri" w:hAnsi="Calibri" w:cs="Calibri"/>
                <w:sz w:val="18"/>
                <w:szCs w:val="18"/>
              </w:rPr>
              <w:t>2,782</w:t>
            </w:r>
          </w:p>
        </w:tc>
      </w:tr>
      <w:tr w:rsidR="00DB7D80" w:rsidRPr="008901A5" w14:paraId="133858C9" w14:textId="77777777" w:rsidTr="005B12AE">
        <w:trPr>
          <w:trHeight w:val="221"/>
        </w:trPr>
        <w:tc>
          <w:tcPr>
            <w:tcW w:w="6663" w:type="dxa"/>
          </w:tcPr>
          <w:p w14:paraId="0E3C1113" w14:textId="77777777" w:rsidR="00DB7D80" w:rsidRPr="00987D69" w:rsidRDefault="00DB7D80" w:rsidP="00B87E67">
            <w:pPr>
              <w:tabs>
                <w:tab w:val="left" w:pos="8080"/>
              </w:tabs>
              <w:ind w:right="-28"/>
              <w:rPr>
                <w:rFonts w:ascii="Calibri" w:hAnsi="Calibri" w:cs="Calibri"/>
                <w:color w:val="000000"/>
                <w:sz w:val="18"/>
                <w:szCs w:val="18"/>
              </w:rPr>
            </w:pPr>
          </w:p>
        </w:tc>
        <w:tc>
          <w:tcPr>
            <w:tcW w:w="1275" w:type="dxa"/>
            <w:tcBorders>
              <w:top w:val="single" w:sz="4" w:space="0" w:color="auto"/>
            </w:tcBorders>
          </w:tcPr>
          <w:p w14:paraId="3167BBB4" w14:textId="77777777" w:rsidR="00DB7D80" w:rsidRPr="005B12AE" w:rsidRDefault="00DB7D80" w:rsidP="00B87E67">
            <w:pPr>
              <w:tabs>
                <w:tab w:val="left" w:pos="8080"/>
              </w:tabs>
              <w:ind w:right="-28"/>
              <w:jc w:val="right"/>
              <w:rPr>
                <w:rFonts w:ascii="Calibri" w:hAnsi="Calibri" w:cs="Calibri"/>
                <w:b/>
                <w:sz w:val="18"/>
                <w:szCs w:val="18"/>
                <w:highlight w:val="yellow"/>
              </w:rPr>
            </w:pPr>
          </w:p>
        </w:tc>
        <w:tc>
          <w:tcPr>
            <w:tcW w:w="1134" w:type="dxa"/>
            <w:tcBorders>
              <w:top w:val="single" w:sz="4" w:space="0" w:color="auto"/>
            </w:tcBorders>
          </w:tcPr>
          <w:p w14:paraId="430789A5" w14:textId="77777777" w:rsidR="00DB7D80" w:rsidRPr="00815F07" w:rsidRDefault="00DB7D80" w:rsidP="00B87E67">
            <w:pPr>
              <w:tabs>
                <w:tab w:val="left" w:pos="8080"/>
              </w:tabs>
              <w:ind w:right="-28"/>
              <w:jc w:val="right"/>
              <w:rPr>
                <w:rFonts w:ascii="Calibri" w:hAnsi="Calibri" w:cs="Calibri"/>
                <w:sz w:val="18"/>
                <w:szCs w:val="18"/>
              </w:rPr>
            </w:pPr>
          </w:p>
        </w:tc>
      </w:tr>
      <w:tr w:rsidR="00DB7D80" w:rsidRPr="008901A5" w14:paraId="17EF700E" w14:textId="77777777" w:rsidTr="005B12AE">
        <w:trPr>
          <w:trHeight w:val="228"/>
        </w:trPr>
        <w:tc>
          <w:tcPr>
            <w:tcW w:w="6663" w:type="dxa"/>
          </w:tcPr>
          <w:p w14:paraId="73B2C253" w14:textId="77777777" w:rsidR="00DB7D80" w:rsidRPr="00987D69" w:rsidRDefault="00DB7D80" w:rsidP="00B87E67">
            <w:pPr>
              <w:tabs>
                <w:tab w:val="left" w:pos="8080"/>
              </w:tabs>
              <w:ind w:right="-28"/>
              <w:rPr>
                <w:rFonts w:ascii="Calibri" w:hAnsi="Calibri" w:cs="Calibri"/>
                <w:color w:val="000000"/>
                <w:sz w:val="18"/>
                <w:szCs w:val="18"/>
              </w:rPr>
            </w:pPr>
            <w:r w:rsidRPr="00987D69">
              <w:rPr>
                <w:rFonts w:ascii="Calibri" w:hAnsi="Calibri" w:cs="Calibri"/>
                <w:color w:val="000000"/>
                <w:sz w:val="18"/>
                <w:szCs w:val="18"/>
              </w:rPr>
              <w:t>Movement on insurance and reinsurance contract liabilities/assets</w:t>
            </w:r>
          </w:p>
        </w:tc>
        <w:tc>
          <w:tcPr>
            <w:tcW w:w="1275" w:type="dxa"/>
          </w:tcPr>
          <w:p w14:paraId="2BD5E9E8" w14:textId="7D73529A" w:rsidR="00DB7D80" w:rsidRPr="005B12AE" w:rsidRDefault="00DB7D80" w:rsidP="00B87E67">
            <w:pPr>
              <w:tabs>
                <w:tab w:val="left" w:pos="8080"/>
              </w:tabs>
              <w:ind w:right="-28"/>
              <w:jc w:val="right"/>
              <w:rPr>
                <w:rFonts w:ascii="Calibri" w:hAnsi="Calibri" w:cs="Calibri"/>
                <w:b/>
                <w:sz w:val="18"/>
                <w:szCs w:val="18"/>
              </w:rPr>
            </w:pPr>
            <w:r w:rsidRPr="005B12AE">
              <w:rPr>
                <w:rFonts w:ascii="Calibri" w:hAnsi="Calibri" w:cs="Calibri"/>
                <w:b/>
                <w:sz w:val="18"/>
                <w:szCs w:val="18"/>
              </w:rPr>
              <w:t>(2</w:t>
            </w:r>
            <w:r w:rsidR="009E4EA2" w:rsidRPr="005B12AE">
              <w:rPr>
                <w:rFonts w:ascii="Calibri" w:hAnsi="Calibri" w:cs="Calibri"/>
                <w:b/>
                <w:sz w:val="18"/>
                <w:szCs w:val="18"/>
              </w:rPr>
              <w:t>6,270</w:t>
            </w:r>
            <w:r w:rsidRPr="005B12AE">
              <w:rPr>
                <w:rFonts w:ascii="Calibri" w:hAnsi="Calibri" w:cs="Calibri"/>
                <w:b/>
                <w:sz w:val="18"/>
                <w:szCs w:val="18"/>
              </w:rPr>
              <w:t>)</w:t>
            </w:r>
          </w:p>
        </w:tc>
        <w:tc>
          <w:tcPr>
            <w:tcW w:w="1134" w:type="dxa"/>
          </w:tcPr>
          <w:p w14:paraId="3A1021DA" w14:textId="77777777" w:rsidR="00DB7D80" w:rsidRPr="00815F07" w:rsidRDefault="00DB7D80" w:rsidP="00B87E67">
            <w:pPr>
              <w:tabs>
                <w:tab w:val="left" w:pos="8080"/>
              </w:tabs>
              <w:ind w:right="-28"/>
              <w:jc w:val="right"/>
              <w:rPr>
                <w:rFonts w:ascii="Calibri" w:hAnsi="Calibri" w:cs="Calibri"/>
                <w:sz w:val="18"/>
                <w:szCs w:val="18"/>
              </w:rPr>
            </w:pPr>
            <w:r w:rsidRPr="00815F07">
              <w:rPr>
                <w:rFonts w:ascii="Calibri" w:hAnsi="Calibri" w:cs="Calibri"/>
                <w:sz w:val="18"/>
                <w:szCs w:val="18"/>
              </w:rPr>
              <w:t>2,879</w:t>
            </w:r>
          </w:p>
        </w:tc>
      </w:tr>
      <w:tr w:rsidR="00DB7D80" w:rsidRPr="008901A5" w14:paraId="34D539DE" w14:textId="77777777" w:rsidTr="005B12AE">
        <w:trPr>
          <w:trHeight w:val="228"/>
        </w:trPr>
        <w:tc>
          <w:tcPr>
            <w:tcW w:w="6663" w:type="dxa"/>
          </w:tcPr>
          <w:p w14:paraId="57AA83FA" w14:textId="77777777" w:rsidR="00DB7D80" w:rsidRPr="00E07258" w:rsidRDefault="00DB7D80" w:rsidP="00B87E67">
            <w:pPr>
              <w:tabs>
                <w:tab w:val="left" w:pos="8080"/>
              </w:tabs>
              <w:ind w:right="-28"/>
              <w:rPr>
                <w:rFonts w:ascii="Calibri" w:hAnsi="Calibri" w:cs="Calibri"/>
                <w:color w:val="000000"/>
                <w:sz w:val="18"/>
                <w:szCs w:val="18"/>
              </w:rPr>
            </w:pPr>
            <w:r w:rsidRPr="00E07258">
              <w:rPr>
                <w:rFonts w:ascii="Calibri" w:hAnsi="Calibri" w:cs="Calibri"/>
                <w:color w:val="000000"/>
                <w:sz w:val="18"/>
                <w:szCs w:val="18"/>
              </w:rPr>
              <w:t>Movement on other provisions</w:t>
            </w:r>
          </w:p>
        </w:tc>
        <w:tc>
          <w:tcPr>
            <w:tcW w:w="1275" w:type="dxa"/>
          </w:tcPr>
          <w:p w14:paraId="4396052E" w14:textId="4C34C904" w:rsidR="00DB7D80" w:rsidRPr="005B12AE" w:rsidRDefault="009E4EA2" w:rsidP="00B87E67">
            <w:pPr>
              <w:tabs>
                <w:tab w:val="left" w:pos="8080"/>
              </w:tabs>
              <w:ind w:right="-28"/>
              <w:jc w:val="right"/>
              <w:rPr>
                <w:rFonts w:ascii="Calibri" w:hAnsi="Calibri" w:cs="Calibri"/>
                <w:b/>
                <w:sz w:val="18"/>
                <w:szCs w:val="18"/>
              </w:rPr>
            </w:pPr>
            <w:r w:rsidRPr="005B12AE">
              <w:rPr>
                <w:rFonts w:ascii="Calibri" w:hAnsi="Calibri" w:cs="Calibri"/>
                <w:b/>
                <w:sz w:val="18"/>
                <w:szCs w:val="18"/>
              </w:rPr>
              <w:t>8,980</w:t>
            </w:r>
          </w:p>
        </w:tc>
        <w:tc>
          <w:tcPr>
            <w:tcW w:w="1134" w:type="dxa"/>
          </w:tcPr>
          <w:p w14:paraId="6F052E7C" w14:textId="77777777" w:rsidR="00DB7D80" w:rsidRPr="00815F07" w:rsidRDefault="00DB7D80" w:rsidP="00B87E67">
            <w:pPr>
              <w:tabs>
                <w:tab w:val="left" w:pos="8080"/>
              </w:tabs>
              <w:ind w:right="-28"/>
              <w:jc w:val="right"/>
              <w:rPr>
                <w:rFonts w:ascii="Calibri" w:hAnsi="Calibri" w:cs="Calibri"/>
                <w:sz w:val="18"/>
                <w:szCs w:val="18"/>
              </w:rPr>
            </w:pPr>
            <w:r w:rsidRPr="00815F07">
              <w:rPr>
                <w:rFonts w:ascii="Calibri" w:hAnsi="Calibri" w:cs="Calibri"/>
                <w:sz w:val="18"/>
                <w:szCs w:val="18"/>
              </w:rPr>
              <w:t>(1,168)</w:t>
            </w:r>
          </w:p>
        </w:tc>
      </w:tr>
      <w:tr w:rsidR="00DB7D80" w:rsidRPr="008901A5" w14:paraId="1616A843" w14:textId="77777777" w:rsidTr="005B12AE">
        <w:trPr>
          <w:trHeight w:val="228"/>
        </w:trPr>
        <w:tc>
          <w:tcPr>
            <w:tcW w:w="6663" w:type="dxa"/>
          </w:tcPr>
          <w:p w14:paraId="7319C5FF" w14:textId="77777777" w:rsidR="00DB7D80" w:rsidRPr="00E07258" w:rsidRDefault="00DB7D80" w:rsidP="00B87E67">
            <w:pPr>
              <w:tabs>
                <w:tab w:val="left" w:pos="8080"/>
              </w:tabs>
              <w:ind w:right="-28"/>
              <w:rPr>
                <w:rFonts w:ascii="Calibri" w:hAnsi="Calibri" w:cs="Calibri"/>
                <w:color w:val="000000"/>
                <w:sz w:val="18"/>
                <w:szCs w:val="18"/>
              </w:rPr>
            </w:pPr>
            <w:r w:rsidRPr="00E07258">
              <w:rPr>
                <w:rFonts w:ascii="Calibri" w:hAnsi="Calibri" w:cs="Calibri"/>
                <w:color w:val="000000"/>
                <w:sz w:val="18"/>
                <w:szCs w:val="18"/>
              </w:rPr>
              <w:t xml:space="preserve">Movement on </w:t>
            </w:r>
            <w:r>
              <w:rPr>
                <w:rFonts w:ascii="Calibri" w:hAnsi="Calibri" w:cs="Calibri"/>
                <w:color w:val="000000"/>
                <w:sz w:val="18"/>
                <w:szCs w:val="18"/>
              </w:rPr>
              <w:t xml:space="preserve">other </w:t>
            </w:r>
            <w:r w:rsidRPr="00E07258">
              <w:rPr>
                <w:rFonts w:ascii="Calibri" w:hAnsi="Calibri" w:cs="Calibri"/>
                <w:color w:val="000000"/>
                <w:sz w:val="18"/>
                <w:szCs w:val="18"/>
              </w:rPr>
              <w:t>receivables</w:t>
            </w:r>
          </w:p>
        </w:tc>
        <w:tc>
          <w:tcPr>
            <w:tcW w:w="1275" w:type="dxa"/>
          </w:tcPr>
          <w:p w14:paraId="3ECDCB5C" w14:textId="20108E06" w:rsidR="00DB7D80" w:rsidRPr="005B12AE" w:rsidRDefault="00DB7D80" w:rsidP="00B87E67">
            <w:pPr>
              <w:tabs>
                <w:tab w:val="left" w:pos="8080"/>
              </w:tabs>
              <w:ind w:right="-28"/>
              <w:jc w:val="right"/>
              <w:rPr>
                <w:rFonts w:ascii="Calibri" w:hAnsi="Calibri" w:cs="Calibri"/>
                <w:b/>
                <w:sz w:val="18"/>
                <w:szCs w:val="18"/>
              </w:rPr>
            </w:pPr>
            <w:r w:rsidRPr="005B12AE">
              <w:rPr>
                <w:rFonts w:ascii="Calibri" w:hAnsi="Calibri" w:cs="Calibri"/>
                <w:b/>
                <w:sz w:val="18"/>
                <w:szCs w:val="18"/>
              </w:rPr>
              <w:t>(</w:t>
            </w:r>
            <w:r w:rsidR="009E4EA2" w:rsidRPr="005B12AE">
              <w:rPr>
                <w:rFonts w:ascii="Calibri" w:hAnsi="Calibri" w:cs="Calibri"/>
                <w:b/>
                <w:sz w:val="18"/>
                <w:szCs w:val="18"/>
              </w:rPr>
              <w:t>3,961</w:t>
            </w:r>
            <w:r w:rsidRPr="005B12AE">
              <w:rPr>
                <w:rFonts w:ascii="Calibri" w:hAnsi="Calibri" w:cs="Calibri"/>
                <w:b/>
                <w:sz w:val="18"/>
                <w:szCs w:val="18"/>
              </w:rPr>
              <w:t>)</w:t>
            </w:r>
          </w:p>
        </w:tc>
        <w:tc>
          <w:tcPr>
            <w:tcW w:w="1134" w:type="dxa"/>
          </w:tcPr>
          <w:p w14:paraId="1D4C604A" w14:textId="3625416A" w:rsidR="00DB7D80" w:rsidRPr="00815F07" w:rsidRDefault="00815F07" w:rsidP="00B87E67">
            <w:pPr>
              <w:tabs>
                <w:tab w:val="left" w:pos="8080"/>
              </w:tabs>
              <w:ind w:right="-28"/>
              <w:jc w:val="right"/>
              <w:rPr>
                <w:rFonts w:ascii="Calibri" w:hAnsi="Calibri" w:cs="Calibri"/>
                <w:sz w:val="18"/>
                <w:szCs w:val="18"/>
              </w:rPr>
            </w:pPr>
            <w:r w:rsidRPr="00815F07">
              <w:rPr>
                <w:rFonts w:ascii="Calibri" w:hAnsi="Calibri" w:cs="Calibri"/>
                <w:sz w:val="18"/>
                <w:szCs w:val="18"/>
              </w:rPr>
              <w:t>322</w:t>
            </w:r>
          </w:p>
        </w:tc>
      </w:tr>
      <w:tr w:rsidR="00DB7D80" w:rsidRPr="008901A5" w14:paraId="1F1254B0" w14:textId="77777777" w:rsidTr="005B12AE">
        <w:trPr>
          <w:trHeight w:val="221"/>
        </w:trPr>
        <w:tc>
          <w:tcPr>
            <w:tcW w:w="6663" w:type="dxa"/>
          </w:tcPr>
          <w:p w14:paraId="7E41E0B6" w14:textId="77777777" w:rsidR="00DB7D80" w:rsidRPr="00E07258" w:rsidRDefault="00DB7D80" w:rsidP="00B87E67">
            <w:pPr>
              <w:tabs>
                <w:tab w:val="left" w:pos="8080"/>
              </w:tabs>
              <w:ind w:right="-28"/>
              <w:rPr>
                <w:rFonts w:ascii="Calibri" w:hAnsi="Calibri" w:cs="Calibri"/>
                <w:color w:val="000000"/>
                <w:sz w:val="18"/>
                <w:szCs w:val="18"/>
              </w:rPr>
            </w:pPr>
            <w:r w:rsidRPr="00E07258">
              <w:rPr>
                <w:rFonts w:ascii="Calibri" w:hAnsi="Calibri" w:cs="Calibri"/>
                <w:color w:val="000000"/>
                <w:sz w:val="18"/>
                <w:szCs w:val="18"/>
              </w:rPr>
              <w:t>Movement on other payables</w:t>
            </w:r>
          </w:p>
        </w:tc>
        <w:tc>
          <w:tcPr>
            <w:tcW w:w="1275" w:type="dxa"/>
          </w:tcPr>
          <w:p w14:paraId="4056A62C" w14:textId="4E4B530D" w:rsidR="00DB7D80" w:rsidRPr="005B12AE" w:rsidRDefault="009E4EA2" w:rsidP="00B87E67">
            <w:pPr>
              <w:tabs>
                <w:tab w:val="left" w:pos="8080"/>
              </w:tabs>
              <w:ind w:right="-28"/>
              <w:jc w:val="right"/>
              <w:rPr>
                <w:rFonts w:ascii="Calibri" w:hAnsi="Calibri" w:cs="Calibri"/>
                <w:b/>
                <w:sz w:val="18"/>
                <w:szCs w:val="18"/>
              </w:rPr>
            </w:pPr>
            <w:r w:rsidRPr="005B12AE">
              <w:rPr>
                <w:rFonts w:ascii="Calibri" w:hAnsi="Calibri" w:cs="Calibri"/>
                <w:b/>
                <w:sz w:val="18"/>
                <w:szCs w:val="18"/>
              </w:rPr>
              <w:t>2,642</w:t>
            </w:r>
          </w:p>
        </w:tc>
        <w:tc>
          <w:tcPr>
            <w:tcW w:w="1134" w:type="dxa"/>
          </w:tcPr>
          <w:p w14:paraId="274BB959" w14:textId="77777777" w:rsidR="00DB7D80" w:rsidRPr="00815F07" w:rsidRDefault="00DB7D80" w:rsidP="00B87E67">
            <w:pPr>
              <w:tabs>
                <w:tab w:val="left" w:pos="8080"/>
              </w:tabs>
              <w:ind w:right="-28"/>
              <w:jc w:val="right"/>
              <w:rPr>
                <w:rFonts w:ascii="Calibri" w:hAnsi="Calibri" w:cs="Calibri"/>
                <w:sz w:val="18"/>
                <w:szCs w:val="18"/>
              </w:rPr>
            </w:pPr>
            <w:r w:rsidRPr="00815F07">
              <w:rPr>
                <w:rFonts w:ascii="Calibri" w:hAnsi="Calibri" w:cs="Calibri"/>
                <w:sz w:val="18"/>
                <w:szCs w:val="18"/>
              </w:rPr>
              <w:t>9,023</w:t>
            </w:r>
          </w:p>
        </w:tc>
      </w:tr>
      <w:tr w:rsidR="00DB7D80" w:rsidRPr="008901A5" w14:paraId="31568F97" w14:textId="77777777" w:rsidTr="005B12AE">
        <w:trPr>
          <w:trHeight w:val="228"/>
        </w:trPr>
        <w:tc>
          <w:tcPr>
            <w:tcW w:w="6663" w:type="dxa"/>
          </w:tcPr>
          <w:p w14:paraId="00DC6770" w14:textId="77777777" w:rsidR="00DB7D80" w:rsidRPr="00987D69" w:rsidRDefault="00DB7D80" w:rsidP="00B87E67">
            <w:pPr>
              <w:tabs>
                <w:tab w:val="left" w:pos="8080"/>
              </w:tabs>
              <w:ind w:right="-28"/>
              <w:rPr>
                <w:rFonts w:ascii="Calibri" w:hAnsi="Calibri" w:cs="Calibri"/>
                <w:b/>
                <w:color w:val="000000"/>
                <w:sz w:val="18"/>
                <w:szCs w:val="18"/>
              </w:rPr>
            </w:pPr>
            <w:r w:rsidRPr="00987D69">
              <w:rPr>
                <w:rFonts w:ascii="Calibri" w:hAnsi="Calibri" w:cs="Calibri"/>
                <w:b/>
                <w:color w:val="000000"/>
                <w:sz w:val="18"/>
                <w:szCs w:val="18"/>
              </w:rPr>
              <w:t>Cash generated from operations</w:t>
            </w:r>
          </w:p>
        </w:tc>
        <w:tc>
          <w:tcPr>
            <w:tcW w:w="1275" w:type="dxa"/>
            <w:tcBorders>
              <w:top w:val="single" w:sz="4" w:space="0" w:color="auto"/>
              <w:bottom w:val="single" w:sz="4" w:space="0" w:color="auto"/>
            </w:tcBorders>
          </w:tcPr>
          <w:p w14:paraId="2278DCD3" w14:textId="3ABE07DE" w:rsidR="00DB7D80" w:rsidRPr="00A52563" w:rsidRDefault="009E4EA2" w:rsidP="00B87E67">
            <w:pPr>
              <w:tabs>
                <w:tab w:val="left" w:pos="8080"/>
              </w:tabs>
              <w:ind w:right="-28"/>
              <w:jc w:val="right"/>
              <w:rPr>
                <w:rFonts w:ascii="Calibri" w:hAnsi="Calibri" w:cs="Calibri"/>
                <w:b/>
                <w:sz w:val="18"/>
                <w:szCs w:val="18"/>
                <w:highlight w:val="yellow"/>
              </w:rPr>
            </w:pPr>
            <w:r w:rsidRPr="005B12AE">
              <w:rPr>
                <w:rFonts w:ascii="Calibri" w:hAnsi="Calibri" w:cs="Calibri"/>
                <w:b/>
                <w:sz w:val="18"/>
                <w:szCs w:val="18"/>
              </w:rPr>
              <w:t>59,396</w:t>
            </w:r>
          </w:p>
        </w:tc>
        <w:tc>
          <w:tcPr>
            <w:tcW w:w="1134" w:type="dxa"/>
            <w:tcBorders>
              <w:top w:val="single" w:sz="4" w:space="0" w:color="auto"/>
              <w:bottom w:val="single" w:sz="4" w:space="0" w:color="auto"/>
            </w:tcBorders>
          </w:tcPr>
          <w:p w14:paraId="01CD0572" w14:textId="2740A9F0" w:rsidR="00DB7D80" w:rsidRPr="005B12AE" w:rsidRDefault="00815F07" w:rsidP="00B87E67">
            <w:pPr>
              <w:tabs>
                <w:tab w:val="left" w:pos="8080"/>
              </w:tabs>
              <w:ind w:right="-28"/>
              <w:jc w:val="right"/>
              <w:rPr>
                <w:rFonts w:ascii="Calibri" w:hAnsi="Calibri" w:cs="Calibri"/>
                <w:color w:val="000000"/>
                <w:sz w:val="18"/>
                <w:szCs w:val="18"/>
              </w:rPr>
            </w:pPr>
            <w:r w:rsidRPr="005B12AE">
              <w:rPr>
                <w:rFonts w:ascii="Calibri" w:hAnsi="Calibri" w:cs="Calibri"/>
                <w:color w:val="000000"/>
                <w:sz w:val="18"/>
                <w:szCs w:val="18"/>
              </w:rPr>
              <w:t>103,838</w:t>
            </w:r>
          </w:p>
        </w:tc>
      </w:tr>
      <w:tr w:rsidR="00DB7D80" w:rsidRPr="008901A5" w14:paraId="693E50B7" w14:textId="77777777" w:rsidTr="005B12AE">
        <w:trPr>
          <w:trHeight w:val="221"/>
        </w:trPr>
        <w:tc>
          <w:tcPr>
            <w:tcW w:w="6663" w:type="dxa"/>
          </w:tcPr>
          <w:p w14:paraId="60CF5348" w14:textId="77777777" w:rsidR="00DB7D80" w:rsidRPr="00987D69" w:rsidRDefault="00DB7D80" w:rsidP="00B87E67">
            <w:pPr>
              <w:tabs>
                <w:tab w:val="left" w:pos="8080"/>
              </w:tabs>
              <w:ind w:right="-28"/>
              <w:rPr>
                <w:rFonts w:ascii="Calibri" w:hAnsi="Calibri" w:cs="Calibri"/>
                <w:color w:val="000000"/>
                <w:sz w:val="18"/>
                <w:szCs w:val="18"/>
              </w:rPr>
            </w:pPr>
            <w:r w:rsidRPr="00987D69">
              <w:rPr>
                <w:rFonts w:ascii="Calibri" w:hAnsi="Calibri" w:cs="Calibri"/>
                <w:color w:val="000000"/>
                <w:sz w:val="18"/>
                <w:szCs w:val="18"/>
              </w:rPr>
              <w:t>Interest and dividend income received</w:t>
            </w:r>
          </w:p>
        </w:tc>
        <w:tc>
          <w:tcPr>
            <w:tcW w:w="1275" w:type="dxa"/>
          </w:tcPr>
          <w:p w14:paraId="0CBAEBEE" w14:textId="76C4314E" w:rsidR="00DB7D80" w:rsidRPr="005B12AE" w:rsidRDefault="009E4EA2" w:rsidP="00B87E67">
            <w:pPr>
              <w:tabs>
                <w:tab w:val="left" w:pos="8080"/>
              </w:tabs>
              <w:ind w:right="-28"/>
              <w:jc w:val="right"/>
              <w:rPr>
                <w:rFonts w:ascii="Calibri" w:hAnsi="Calibri" w:cs="Calibri"/>
                <w:b/>
                <w:sz w:val="18"/>
                <w:szCs w:val="18"/>
              </w:rPr>
            </w:pPr>
            <w:r w:rsidRPr="005B12AE">
              <w:rPr>
                <w:rFonts w:ascii="Calibri" w:hAnsi="Calibri" w:cs="Calibri"/>
                <w:b/>
                <w:sz w:val="18"/>
                <w:szCs w:val="18"/>
              </w:rPr>
              <w:t>17,854</w:t>
            </w:r>
          </w:p>
        </w:tc>
        <w:tc>
          <w:tcPr>
            <w:tcW w:w="1134" w:type="dxa"/>
          </w:tcPr>
          <w:p w14:paraId="7D816CF8" w14:textId="5FA4645C" w:rsidR="00DB7D80" w:rsidRPr="00815F07" w:rsidRDefault="00815F07" w:rsidP="00B87E67">
            <w:pPr>
              <w:tabs>
                <w:tab w:val="left" w:pos="8080"/>
              </w:tabs>
              <w:ind w:right="-28"/>
              <w:jc w:val="right"/>
              <w:rPr>
                <w:rFonts w:ascii="Calibri" w:hAnsi="Calibri" w:cs="Calibri"/>
                <w:color w:val="000000"/>
                <w:sz w:val="18"/>
                <w:szCs w:val="18"/>
              </w:rPr>
            </w:pPr>
            <w:r w:rsidRPr="00815F07">
              <w:rPr>
                <w:rFonts w:ascii="Calibri" w:hAnsi="Calibri" w:cs="Calibri"/>
                <w:color w:val="000000"/>
                <w:sz w:val="18"/>
                <w:szCs w:val="18"/>
              </w:rPr>
              <w:t>11,510</w:t>
            </w:r>
          </w:p>
        </w:tc>
      </w:tr>
      <w:tr w:rsidR="00DB7D80" w:rsidRPr="008901A5" w14:paraId="067E0BAF" w14:textId="77777777" w:rsidTr="005B12AE">
        <w:trPr>
          <w:trHeight w:val="228"/>
        </w:trPr>
        <w:tc>
          <w:tcPr>
            <w:tcW w:w="6663" w:type="dxa"/>
          </w:tcPr>
          <w:p w14:paraId="16AB689B" w14:textId="77777777" w:rsidR="00DB7D80" w:rsidRPr="00987D69" w:rsidRDefault="00DB7D80" w:rsidP="00B87E67">
            <w:pPr>
              <w:tabs>
                <w:tab w:val="left" w:pos="8080"/>
              </w:tabs>
              <w:ind w:right="-28"/>
              <w:rPr>
                <w:rFonts w:ascii="Calibri" w:hAnsi="Calibri" w:cs="Calibri"/>
                <w:color w:val="000000"/>
                <w:sz w:val="18"/>
                <w:szCs w:val="18"/>
              </w:rPr>
            </w:pPr>
            <w:r w:rsidRPr="00987D69">
              <w:rPr>
                <w:rFonts w:ascii="Calibri" w:hAnsi="Calibri" w:cs="Calibri"/>
                <w:color w:val="000000"/>
                <w:sz w:val="18"/>
                <w:szCs w:val="18"/>
              </w:rPr>
              <w:t xml:space="preserve">Income taxes </w:t>
            </w:r>
            <w:r>
              <w:rPr>
                <w:rFonts w:ascii="Calibri" w:hAnsi="Calibri" w:cs="Calibri"/>
                <w:color w:val="000000"/>
                <w:sz w:val="18"/>
                <w:szCs w:val="18"/>
              </w:rPr>
              <w:t>(paid)/</w:t>
            </w:r>
            <w:r w:rsidRPr="00987D69">
              <w:rPr>
                <w:rFonts w:ascii="Calibri" w:hAnsi="Calibri" w:cs="Calibri"/>
                <w:color w:val="000000"/>
                <w:sz w:val="18"/>
                <w:szCs w:val="18"/>
              </w:rPr>
              <w:t>refunded</w:t>
            </w:r>
          </w:p>
        </w:tc>
        <w:tc>
          <w:tcPr>
            <w:tcW w:w="1275" w:type="dxa"/>
            <w:tcBorders>
              <w:bottom w:val="single" w:sz="4" w:space="0" w:color="auto"/>
            </w:tcBorders>
          </w:tcPr>
          <w:p w14:paraId="48D8B9E8" w14:textId="40AB1455" w:rsidR="00DB7D80" w:rsidRPr="005B12AE" w:rsidRDefault="00DB7D80" w:rsidP="00B87E67">
            <w:pPr>
              <w:tabs>
                <w:tab w:val="left" w:pos="8080"/>
              </w:tabs>
              <w:ind w:right="-28"/>
              <w:jc w:val="right"/>
              <w:rPr>
                <w:rFonts w:ascii="Calibri" w:hAnsi="Calibri" w:cs="Calibri"/>
                <w:b/>
                <w:sz w:val="18"/>
                <w:szCs w:val="18"/>
              </w:rPr>
            </w:pPr>
            <w:r w:rsidRPr="005B12AE">
              <w:rPr>
                <w:rFonts w:ascii="Calibri" w:hAnsi="Calibri" w:cs="Calibri"/>
                <w:b/>
                <w:sz w:val="18"/>
                <w:szCs w:val="18"/>
              </w:rPr>
              <w:t>(</w:t>
            </w:r>
            <w:r w:rsidR="009E4EA2" w:rsidRPr="005B12AE">
              <w:rPr>
                <w:rFonts w:ascii="Calibri" w:hAnsi="Calibri" w:cs="Calibri"/>
                <w:b/>
                <w:sz w:val="18"/>
                <w:szCs w:val="18"/>
              </w:rPr>
              <w:t>12,161</w:t>
            </w:r>
            <w:r w:rsidRPr="005B12AE">
              <w:rPr>
                <w:rFonts w:ascii="Calibri" w:hAnsi="Calibri" w:cs="Calibri"/>
                <w:b/>
                <w:sz w:val="18"/>
                <w:szCs w:val="18"/>
              </w:rPr>
              <w:t>)</w:t>
            </w:r>
          </w:p>
        </w:tc>
        <w:tc>
          <w:tcPr>
            <w:tcW w:w="1134" w:type="dxa"/>
            <w:tcBorders>
              <w:bottom w:val="single" w:sz="4" w:space="0" w:color="auto"/>
            </w:tcBorders>
          </w:tcPr>
          <w:p w14:paraId="45486CAD" w14:textId="7E37E4D4" w:rsidR="00DB7D80" w:rsidRPr="00815F07" w:rsidRDefault="00DB7D80" w:rsidP="00B87E67">
            <w:pPr>
              <w:tabs>
                <w:tab w:val="left" w:pos="8080"/>
              </w:tabs>
              <w:ind w:right="-28"/>
              <w:jc w:val="right"/>
              <w:rPr>
                <w:rFonts w:ascii="Calibri" w:hAnsi="Calibri" w:cs="Calibri"/>
                <w:color w:val="000000"/>
                <w:sz w:val="18"/>
                <w:szCs w:val="18"/>
              </w:rPr>
            </w:pPr>
            <w:r w:rsidRPr="00815F07">
              <w:rPr>
                <w:rFonts w:ascii="Calibri" w:hAnsi="Calibri" w:cs="Calibri"/>
                <w:color w:val="000000"/>
                <w:sz w:val="18"/>
                <w:szCs w:val="18"/>
              </w:rPr>
              <w:t>(12,60</w:t>
            </w:r>
            <w:r w:rsidR="00815F07" w:rsidRPr="00815F07">
              <w:rPr>
                <w:rFonts w:ascii="Calibri" w:hAnsi="Calibri" w:cs="Calibri"/>
                <w:color w:val="000000"/>
                <w:sz w:val="18"/>
                <w:szCs w:val="18"/>
              </w:rPr>
              <w:t>2</w:t>
            </w:r>
            <w:r w:rsidRPr="00815F07">
              <w:rPr>
                <w:rFonts w:ascii="Calibri" w:hAnsi="Calibri" w:cs="Calibri"/>
                <w:color w:val="000000"/>
                <w:sz w:val="18"/>
                <w:szCs w:val="18"/>
              </w:rPr>
              <w:t>)</w:t>
            </w:r>
          </w:p>
        </w:tc>
      </w:tr>
      <w:tr w:rsidR="00DB7D80" w:rsidRPr="008901A5" w14:paraId="5D8D0ECA" w14:textId="77777777" w:rsidTr="005B12AE">
        <w:trPr>
          <w:trHeight w:val="228"/>
        </w:trPr>
        <w:tc>
          <w:tcPr>
            <w:tcW w:w="6663" w:type="dxa"/>
          </w:tcPr>
          <w:p w14:paraId="2C92DC17" w14:textId="77777777" w:rsidR="00DB7D80" w:rsidRPr="00987D69" w:rsidRDefault="00DB7D80" w:rsidP="00B87E67">
            <w:pPr>
              <w:tabs>
                <w:tab w:val="left" w:pos="8080"/>
              </w:tabs>
              <w:ind w:right="-28"/>
              <w:rPr>
                <w:rFonts w:ascii="Calibri" w:hAnsi="Calibri" w:cs="Calibri"/>
                <w:b/>
                <w:color w:val="000000"/>
                <w:sz w:val="18"/>
                <w:szCs w:val="18"/>
              </w:rPr>
            </w:pPr>
            <w:r w:rsidRPr="00987D69">
              <w:rPr>
                <w:rFonts w:ascii="Calibri" w:hAnsi="Calibri" w:cs="Calibri"/>
                <w:b/>
                <w:color w:val="000000"/>
                <w:sz w:val="18"/>
                <w:szCs w:val="18"/>
              </w:rPr>
              <w:t>Net cash generated from operating activities</w:t>
            </w:r>
          </w:p>
        </w:tc>
        <w:tc>
          <w:tcPr>
            <w:tcW w:w="1275" w:type="dxa"/>
            <w:tcBorders>
              <w:top w:val="single" w:sz="4" w:space="0" w:color="auto"/>
              <w:bottom w:val="single" w:sz="8" w:space="0" w:color="auto"/>
            </w:tcBorders>
          </w:tcPr>
          <w:p w14:paraId="19123BF2" w14:textId="4152A50F" w:rsidR="00DB7D80" w:rsidRPr="005B12AE" w:rsidRDefault="009E4EA2" w:rsidP="00B87E67">
            <w:pPr>
              <w:tabs>
                <w:tab w:val="left" w:pos="8080"/>
              </w:tabs>
              <w:ind w:right="-28"/>
              <w:jc w:val="right"/>
              <w:rPr>
                <w:rFonts w:ascii="Calibri" w:hAnsi="Calibri" w:cs="Calibri"/>
                <w:b/>
                <w:sz w:val="18"/>
                <w:szCs w:val="18"/>
              </w:rPr>
            </w:pPr>
            <w:r w:rsidRPr="005B12AE">
              <w:rPr>
                <w:rFonts w:ascii="Calibri" w:hAnsi="Calibri" w:cs="Calibri"/>
                <w:b/>
                <w:sz w:val="18"/>
                <w:szCs w:val="18"/>
              </w:rPr>
              <w:t>65,089</w:t>
            </w:r>
          </w:p>
        </w:tc>
        <w:tc>
          <w:tcPr>
            <w:tcW w:w="1134" w:type="dxa"/>
            <w:tcBorders>
              <w:top w:val="single" w:sz="4" w:space="0" w:color="auto"/>
              <w:bottom w:val="single" w:sz="8" w:space="0" w:color="auto"/>
            </w:tcBorders>
          </w:tcPr>
          <w:p w14:paraId="69AE44AA" w14:textId="1A92F6A9" w:rsidR="00DB7D80" w:rsidRPr="005B12AE" w:rsidRDefault="00DB7D80" w:rsidP="00B87E67">
            <w:pPr>
              <w:tabs>
                <w:tab w:val="left" w:pos="8080"/>
              </w:tabs>
              <w:ind w:right="-28"/>
              <w:jc w:val="right"/>
              <w:rPr>
                <w:rFonts w:ascii="Calibri" w:hAnsi="Calibri" w:cs="Calibri"/>
                <w:color w:val="000000"/>
                <w:sz w:val="18"/>
                <w:szCs w:val="18"/>
              </w:rPr>
            </w:pPr>
            <w:r w:rsidRPr="005B12AE">
              <w:rPr>
                <w:rFonts w:ascii="Calibri" w:hAnsi="Calibri" w:cs="Calibri"/>
                <w:color w:val="000000"/>
                <w:sz w:val="18"/>
                <w:szCs w:val="18"/>
              </w:rPr>
              <w:t>102,</w:t>
            </w:r>
            <w:r w:rsidR="00815F07" w:rsidRPr="005B12AE">
              <w:rPr>
                <w:rFonts w:ascii="Calibri" w:hAnsi="Calibri" w:cs="Calibri"/>
                <w:color w:val="000000"/>
                <w:sz w:val="18"/>
                <w:szCs w:val="18"/>
              </w:rPr>
              <w:t>746</w:t>
            </w:r>
          </w:p>
        </w:tc>
      </w:tr>
      <w:tr w:rsidR="00DB7D80" w:rsidRPr="008901A5" w14:paraId="33D770AB" w14:textId="77777777" w:rsidTr="005B12AE">
        <w:trPr>
          <w:trHeight w:val="221"/>
        </w:trPr>
        <w:tc>
          <w:tcPr>
            <w:tcW w:w="6663" w:type="dxa"/>
          </w:tcPr>
          <w:p w14:paraId="077D3DD8" w14:textId="77777777" w:rsidR="00DB7D80" w:rsidRPr="00987D69" w:rsidRDefault="00DB7D80" w:rsidP="00B87E67">
            <w:pPr>
              <w:tabs>
                <w:tab w:val="left" w:pos="8080"/>
              </w:tabs>
              <w:ind w:right="-28"/>
              <w:rPr>
                <w:rFonts w:ascii="Calibri" w:hAnsi="Calibri" w:cs="Calibri"/>
                <w:color w:val="000000"/>
                <w:sz w:val="18"/>
                <w:szCs w:val="18"/>
              </w:rPr>
            </w:pPr>
          </w:p>
        </w:tc>
        <w:tc>
          <w:tcPr>
            <w:tcW w:w="1275" w:type="dxa"/>
            <w:tcBorders>
              <w:top w:val="single" w:sz="8" w:space="0" w:color="auto"/>
            </w:tcBorders>
          </w:tcPr>
          <w:p w14:paraId="6ABA2E81" w14:textId="77777777" w:rsidR="00DB7D80" w:rsidRPr="005B12AE" w:rsidRDefault="00DB7D80" w:rsidP="00B87E67">
            <w:pPr>
              <w:tabs>
                <w:tab w:val="left" w:pos="8080"/>
              </w:tabs>
              <w:ind w:right="-28"/>
              <w:jc w:val="right"/>
              <w:rPr>
                <w:rFonts w:ascii="Calibri" w:hAnsi="Calibri" w:cs="Calibri"/>
                <w:b/>
                <w:sz w:val="18"/>
                <w:szCs w:val="18"/>
                <w:highlight w:val="yellow"/>
              </w:rPr>
            </w:pPr>
          </w:p>
        </w:tc>
        <w:tc>
          <w:tcPr>
            <w:tcW w:w="1134" w:type="dxa"/>
            <w:tcBorders>
              <w:top w:val="single" w:sz="8" w:space="0" w:color="auto"/>
            </w:tcBorders>
          </w:tcPr>
          <w:p w14:paraId="5276D508" w14:textId="77777777" w:rsidR="00DB7D80" w:rsidRPr="00815F07" w:rsidRDefault="00DB7D80" w:rsidP="00B87E67">
            <w:pPr>
              <w:tabs>
                <w:tab w:val="left" w:pos="8080"/>
              </w:tabs>
              <w:ind w:right="-28"/>
              <w:jc w:val="right"/>
              <w:rPr>
                <w:rFonts w:ascii="Calibri" w:hAnsi="Calibri" w:cs="Calibri"/>
                <w:color w:val="000000"/>
                <w:sz w:val="18"/>
                <w:szCs w:val="18"/>
              </w:rPr>
            </w:pPr>
          </w:p>
        </w:tc>
      </w:tr>
      <w:tr w:rsidR="00DB7D80" w:rsidRPr="008901A5" w14:paraId="2ECDE40D" w14:textId="77777777" w:rsidTr="005B12AE">
        <w:trPr>
          <w:trHeight w:val="228"/>
        </w:trPr>
        <w:tc>
          <w:tcPr>
            <w:tcW w:w="6663" w:type="dxa"/>
          </w:tcPr>
          <w:p w14:paraId="6B0A2503" w14:textId="77777777" w:rsidR="00DB7D80" w:rsidRPr="00987D69" w:rsidRDefault="00DB7D80" w:rsidP="00B87E67">
            <w:pPr>
              <w:tabs>
                <w:tab w:val="left" w:pos="8080"/>
              </w:tabs>
              <w:ind w:right="-28"/>
              <w:rPr>
                <w:rFonts w:ascii="Calibri" w:hAnsi="Calibri" w:cs="Calibri"/>
                <w:b/>
                <w:color w:val="000000"/>
                <w:sz w:val="18"/>
                <w:szCs w:val="18"/>
              </w:rPr>
            </w:pPr>
            <w:r w:rsidRPr="00987D69">
              <w:rPr>
                <w:rFonts w:ascii="Calibri" w:hAnsi="Calibri" w:cs="Calibri"/>
                <w:b/>
                <w:color w:val="000000"/>
                <w:sz w:val="18"/>
                <w:szCs w:val="18"/>
              </w:rPr>
              <w:t>Cash flows from investing activities</w:t>
            </w:r>
          </w:p>
        </w:tc>
        <w:tc>
          <w:tcPr>
            <w:tcW w:w="1275" w:type="dxa"/>
          </w:tcPr>
          <w:p w14:paraId="7F3ADC92" w14:textId="77777777" w:rsidR="00DB7D80" w:rsidRPr="005B12AE" w:rsidRDefault="00DB7D80" w:rsidP="00B87E67">
            <w:pPr>
              <w:tabs>
                <w:tab w:val="left" w:pos="8080"/>
              </w:tabs>
              <w:ind w:right="-28"/>
              <w:jc w:val="right"/>
              <w:rPr>
                <w:rFonts w:ascii="Calibri" w:hAnsi="Calibri" w:cs="Calibri"/>
                <w:b/>
                <w:sz w:val="18"/>
                <w:szCs w:val="18"/>
                <w:highlight w:val="yellow"/>
              </w:rPr>
            </w:pPr>
          </w:p>
        </w:tc>
        <w:tc>
          <w:tcPr>
            <w:tcW w:w="1134" w:type="dxa"/>
          </w:tcPr>
          <w:p w14:paraId="223D9019" w14:textId="77777777" w:rsidR="00DB7D80" w:rsidRPr="00815F07" w:rsidRDefault="00DB7D80" w:rsidP="00B87E67">
            <w:pPr>
              <w:tabs>
                <w:tab w:val="left" w:pos="8080"/>
              </w:tabs>
              <w:ind w:right="-28"/>
              <w:jc w:val="right"/>
              <w:rPr>
                <w:rFonts w:ascii="Calibri" w:hAnsi="Calibri" w:cs="Calibri"/>
                <w:color w:val="000000"/>
                <w:sz w:val="18"/>
                <w:szCs w:val="18"/>
              </w:rPr>
            </w:pPr>
          </w:p>
        </w:tc>
      </w:tr>
      <w:tr w:rsidR="00DB7D80" w:rsidRPr="008901A5" w14:paraId="437DCA71" w14:textId="77777777" w:rsidTr="005B12AE">
        <w:trPr>
          <w:trHeight w:val="228"/>
        </w:trPr>
        <w:tc>
          <w:tcPr>
            <w:tcW w:w="6663" w:type="dxa"/>
          </w:tcPr>
          <w:p w14:paraId="2BB29FD0" w14:textId="4119AF54" w:rsidR="00DB7D80" w:rsidRPr="00987D69" w:rsidRDefault="00DB7D80" w:rsidP="00B87E67">
            <w:pPr>
              <w:tabs>
                <w:tab w:val="left" w:pos="8080"/>
              </w:tabs>
              <w:ind w:right="-28"/>
              <w:rPr>
                <w:rFonts w:ascii="Calibri" w:hAnsi="Calibri" w:cs="Calibri"/>
                <w:color w:val="000000"/>
                <w:sz w:val="18"/>
                <w:szCs w:val="18"/>
              </w:rPr>
            </w:pPr>
            <w:r w:rsidRPr="00987D69">
              <w:rPr>
                <w:rFonts w:ascii="Calibri" w:hAnsi="Calibri" w:cs="Calibri"/>
                <w:color w:val="000000"/>
                <w:sz w:val="18"/>
                <w:szCs w:val="18"/>
              </w:rPr>
              <w:t xml:space="preserve">Purchase of investments classified as fair value through </w:t>
            </w:r>
            <w:r w:rsidR="00FB290D">
              <w:rPr>
                <w:rFonts w:ascii="Calibri" w:hAnsi="Calibri" w:cs="Calibri"/>
                <w:color w:val="000000"/>
                <w:sz w:val="18"/>
                <w:szCs w:val="18"/>
              </w:rPr>
              <w:t>profit or loss</w:t>
            </w:r>
          </w:p>
        </w:tc>
        <w:tc>
          <w:tcPr>
            <w:tcW w:w="1275" w:type="dxa"/>
          </w:tcPr>
          <w:p w14:paraId="7EA9C746" w14:textId="130D6C71" w:rsidR="00DB7D80" w:rsidRPr="005B12AE" w:rsidRDefault="00DB7D80" w:rsidP="00B87E67">
            <w:pPr>
              <w:tabs>
                <w:tab w:val="left" w:pos="8080"/>
              </w:tabs>
              <w:ind w:right="-28"/>
              <w:jc w:val="right"/>
              <w:rPr>
                <w:rFonts w:ascii="Calibri" w:hAnsi="Calibri" w:cs="Calibri"/>
                <w:b/>
                <w:sz w:val="18"/>
                <w:szCs w:val="18"/>
              </w:rPr>
            </w:pPr>
            <w:r w:rsidRPr="005B12AE">
              <w:rPr>
                <w:rFonts w:ascii="Calibri" w:hAnsi="Calibri" w:cs="Calibri"/>
                <w:b/>
                <w:sz w:val="18"/>
                <w:szCs w:val="18"/>
              </w:rPr>
              <w:t>(</w:t>
            </w:r>
            <w:r w:rsidR="00815F07" w:rsidRPr="005B12AE">
              <w:rPr>
                <w:rFonts w:ascii="Calibri" w:hAnsi="Calibri" w:cs="Calibri"/>
                <w:b/>
                <w:sz w:val="18"/>
                <w:szCs w:val="18"/>
              </w:rPr>
              <w:t>34,803</w:t>
            </w:r>
            <w:r w:rsidRPr="005B12AE">
              <w:rPr>
                <w:rFonts w:ascii="Calibri" w:hAnsi="Calibri" w:cs="Calibri"/>
                <w:b/>
                <w:sz w:val="18"/>
                <w:szCs w:val="18"/>
              </w:rPr>
              <w:t>)</w:t>
            </w:r>
          </w:p>
        </w:tc>
        <w:tc>
          <w:tcPr>
            <w:tcW w:w="1134" w:type="dxa"/>
          </w:tcPr>
          <w:p w14:paraId="33CFBC76" w14:textId="0505E3A0" w:rsidR="00DB7D80" w:rsidRPr="00815F07" w:rsidRDefault="00DB7D80" w:rsidP="00B87E67">
            <w:pPr>
              <w:tabs>
                <w:tab w:val="left" w:pos="8080"/>
              </w:tabs>
              <w:ind w:right="-28"/>
              <w:jc w:val="right"/>
              <w:rPr>
                <w:rFonts w:ascii="Calibri" w:hAnsi="Calibri" w:cs="Calibri"/>
                <w:color w:val="000000"/>
                <w:sz w:val="18"/>
                <w:szCs w:val="18"/>
              </w:rPr>
            </w:pPr>
            <w:r w:rsidRPr="00815F07">
              <w:rPr>
                <w:rFonts w:ascii="Calibri" w:hAnsi="Calibri" w:cs="Calibri"/>
                <w:color w:val="000000"/>
                <w:sz w:val="18"/>
                <w:szCs w:val="18"/>
              </w:rPr>
              <w:t>(2</w:t>
            </w:r>
            <w:r w:rsidR="00815F07" w:rsidRPr="00815F07">
              <w:rPr>
                <w:rFonts w:ascii="Calibri" w:hAnsi="Calibri" w:cs="Calibri"/>
                <w:color w:val="000000"/>
                <w:sz w:val="18"/>
                <w:szCs w:val="18"/>
              </w:rPr>
              <w:t>5,312</w:t>
            </w:r>
            <w:r w:rsidRPr="00815F07">
              <w:rPr>
                <w:rFonts w:ascii="Calibri" w:hAnsi="Calibri" w:cs="Calibri"/>
                <w:color w:val="000000"/>
                <w:sz w:val="18"/>
                <w:szCs w:val="18"/>
              </w:rPr>
              <w:t>)</w:t>
            </w:r>
          </w:p>
        </w:tc>
      </w:tr>
      <w:tr w:rsidR="00DB7D80" w:rsidRPr="008901A5" w14:paraId="0A5DDE56" w14:textId="77777777" w:rsidTr="005B12AE">
        <w:trPr>
          <w:trHeight w:val="221"/>
        </w:trPr>
        <w:tc>
          <w:tcPr>
            <w:tcW w:w="6663" w:type="dxa"/>
          </w:tcPr>
          <w:p w14:paraId="4BCC2725" w14:textId="5E7AEA0C" w:rsidR="00DB7D80" w:rsidRPr="00987D69" w:rsidRDefault="00DB7D80" w:rsidP="00B87E67">
            <w:pPr>
              <w:tabs>
                <w:tab w:val="left" w:pos="8080"/>
              </w:tabs>
              <w:ind w:right="-28"/>
              <w:rPr>
                <w:rFonts w:ascii="Calibri" w:hAnsi="Calibri" w:cs="Calibri"/>
                <w:color w:val="000000"/>
                <w:sz w:val="18"/>
                <w:szCs w:val="18"/>
              </w:rPr>
            </w:pPr>
            <w:r w:rsidRPr="00987D69">
              <w:rPr>
                <w:rFonts w:ascii="Calibri" w:hAnsi="Calibri" w:cs="Calibri"/>
                <w:color w:val="000000"/>
                <w:sz w:val="18"/>
                <w:szCs w:val="18"/>
              </w:rPr>
              <w:t xml:space="preserve">Sale of investments classified as fair value through </w:t>
            </w:r>
            <w:r w:rsidR="00FB290D">
              <w:rPr>
                <w:rFonts w:ascii="Calibri" w:hAnsi="Calibri" w:cs="Calibri"/>
                <w:color w:val="000000"/>
                <w:sz w:val="18"/>
                <w:szCs w:val="18"/>
              </w:rPr>
              <w:t>profit or loss</w:t>
            </w:r>
          </w:p>
        </w:tc>
        <w:tc>
          <w:tcPr>
            <w:tcW w:w="1275" w:type="dxa"/>
          </w:tcPr>
          <w:p w14:paraId="720684F7" w14:textId="4DFA29EC" w:rsidR="00DB7D80" w:rsidRPr="005B12AE" w:rsidRDefault="00815F07" w:rsidP="00B87E67">
            <w:pPr>
              <w:tabs>
                <w:tab w:val="left" w:pos="8080"/>
              </w:tabs>
              <w:ind w:right="-28"/>
              <w:jc w:val="right"/>
              <w:rPr>
                <w:rFonts w:ascii="Calibri" w:hAnsi="Calibri" w:cs="Calibri"/>
                <w:b/>
                <w:sz w:val="18"/>
                <w:szCs w:val="18"/>
              </w:rPr>
            </w:pPr>
            <w:r w:rsidRPr="005B12AE">
              <w:rPr>
                <w:rFonts w:ascii="Calibri" w:hAnsi="Calibri" w:cs="Calibri"/>
                <w:b/>
                <w:sz w:val="18"/>
                <w:szCs w:val="18"/>
              </w:rPr>
              <w:t>19,041</w:t>
            </w:r>
          </w:p>
        </w:tc>
        <w:tc>
          <w:tcPr>
            <w:tcW w:w="1134" w:type="dxa"/>
          </w:tcPr>
          <w:p w14:paraId="37B087FE" w14:textId="11271070" w:rsidR="00DB7D80" w:rsidRPr="00815F07" w:rsidRDefault="00815F07" w:rsidP="00B87E67">
            <w:pPr>
              <w:tabs>
                <w:tab w:val="left" w:pos="8080"/>
              </w:tabs>
              <w:ind w:right="-28"/>
              <w:jc w:val="right"/>
              <w:rPr>
                <w:rFonts w:ascii="Calibri" w:hAnsi="Calibri" w:cs="Calibri"/>
                <w:color w:val="000000"/>
                <w:sz w:val="18"/>
                <w:szCs w:val="18"/>
              </w:rPr>
            </w:pPr>
            <w:r w:rsidRPr="00815F07">
              <w:rPr>
                <w:rFonts w:ascii="Calibri" w:hAnsi="Calibri" w:cs="Calibri"/>
                <w:color w:val="000000"/>
                <w:sz w:val="18"/>
                <w:szCs w:val="18"/>
              </w:rPr>
              <w:t>13,573</w:t>
            </w:r>
          </w:p>
        </w:tc>
      </w:tr>
      <w:tr w:rsidR="00DB7D80" w:rsidRPr="008901A5" w14:paraId="739FB94B" w14:textId="77777777" w:rsidTr="005B12AE">
        <w:trPr>
          <w:trHeight w:val="228"/>
        </w:trPr>
        <w:tc>
          <w:tcPr>
            <w:tcW w:w="6663" w:type="dxa"/>
          </w:tcPr>
          <w:p w14:paraId="4E275286" w14:textId="2C71BEE7" w:rsidR="00DB7D80" w:rsidRPr="00987D69" w:rsidRDefault="00DB7D80" w:rsidP="00B87E67">
            <w:pPr>
              <w:tabs>
                <w:tab w:val="left" w:pos="8080"/>
              </w:tabs>
              <w:ind w:right="-28"/>
              <w:rPr>
                <w:rFonts w:ascii="Calibri" w:hAnsi="Calibri" w:cs="Calibri"/>
                <w:color w:val="000000"/>
                <w:sz w:val="18"/>
                <w:szCs w:val="18"/>
              </w:rPr>
            </w:pPr>
            <w:r w:rsidRPr="00987D69">
              <w:rPr>
                <w:rFonts w:ascii="Calibri" w:hAnsi="Calibri" w:cs="Calibri"/>
                <w:color w:val="000000"/>
                <w:sz w:val="18"/>
                <w:szCs w:val="18"/>
              </w:rPr>
              <w:t xml:space="preserve">Purchase of investments classified as </w:t>
            </w:r>
            <w:r w:rsidR="00B14E86">
              <w:rPr>
                <w:rFonts w:ascii="Calibri" w:hAnsi="Calibri" w:cs="Calibri"/>
                <w:color w:val="000000"/>
                <w:sz w:val="18"/>
                <w:szCs w:val="18"/>
              </w:rPr>
              <w:t>FVOCI</w:t>
            </w:r>
          </w:p>
        </w:tc>
        <w:tc>
          <w:tcPr>
            <w:tcW w:w="1275" w:type="dxa"/>
          </w:tcPr>
          <w:p w14:paraId="5595AAE1" w14:textId="22AE5A07" w:rsidR="00DB7D80" w:rsidRPr="005B12AE" w:rsidRDefault="00DB7D80" w:rsidP="00B87E67">
            <w:pPr>
              <w:tabs>
                <w:tab w:val="left" w:pos="8080"/>
              </w:tabs>
              <w:ind w:right="-28"/>
              <w:jc w:val="right"/>
              <w:rPr>
                <w:rFonts w:ascii="Calibri" w:hAnsi="Calibri" w:cs="Calibri"/>
                <w:b/>
                <w:sz w:val="18"/>
                <w:szCs w:val="18"/>
              </w:rPr>
            </w:pPr>
            <w:r w:rsidRPr="005B12AE">
              <w:rPr>
                <w:rFonts w:ascii="Calibri" w:hAnsi="Calibri" w:cs="Calibri"/>
                <w:b/>
                <w:sz w:val="18"/>
                <w:szCs w:val="18"/>
              </w:rPr>
              <w:t>(</w:t>
            </w:r>
            <w:r w:rsidR="00815F07" w:rsidRPr="005B12AE">
              <w:rPr>
                <w:rFonts w:ascii="Calibri" w:hAnsi="Calibri" w:cs="Calibri"/>
                <w:b/>
                <w:sz w:val="18"/>
                <w:szCs w:val="18"/>
              </w:rPr>
              <w:t>135,372</w:t>
            </w:r>
            <w:r w:rsidRPr="005B12AE">
              <w:rPr>
                <w:rFonts w:ascii="Calibri" w:hAnsi="Calibri" w:cs="Calibri"/>
                <w:b/>
                <w:sz w:val="18"/>
                <w:szCs w:val="18"/>
              </w:rPr>
              <w:t>)</w:t>
            </w:r>
          </w:p>
        </w:tc>
        <w:tc>
          <w:tcPr>
            <w:tcW w:w="1134" w:type="dxa"/>
          </w:tcPr>
          <w:p w14:paraId="6FC85632" w14:textId="15C08102" w:rsidR="00DB7D80" w:rsidRPr="00815F07" w:rsidRDefault="00DB7D80" w:rsidP="00B87E67">
            <w:pPr>
              <w:tabs>
                <w:tab w:val="left" w:pos="8080"/>
              </w:tabs>
              <w:ind w:right="-28"/>
              <w:jc w:val="right"/>
              <w:rPr>
                <w:rFonts w:ascii="Calibri" w:hAnsi="Calibri" w:cs="Calibri"/>
                <w:color w:val="000000"/>
                <w:sz w:val="18"/>
                <w:szCs w:val="18"/>
              </w:rPr>
            </w:pPr>
            <w:r w:rsidRPr="00815F07">
              <w:rPr>
                <w:rFonts w:ascii="Calibri" w:hAnsi="Calibri" w:cs="Calibri"/>
                <w:color w:val="000000"/>
                <w:sz w:val="18"/>
                <w:szCs w:val="18"/>
              </w:rPr>
              <w:t>(</w:t>
            </w:r>
            <w:r w:rsidR="00815F07" w:rsidRPr="00815F07">
              <w:rPr>
                <w:rFonts w:ascii="Calibri" w:hAnsi="Calibri" w:cs="Calibri"/>
                <w:color w:val="000000"/>
                <w:sz w:val="18"/>
                <w:szCs w:val="18"/>
              </w:rPr>
              <w:t>238,126</w:t>
            </w:r>
            <w:r w:rsidRPr="00815F07">
              <w:rPr>
                <w:rFonts w:ascii="Calibri" w:hAnsi="Calibri" w:cs="Calibri"/>
                <w:color w:val="000000"/>
                <w:sz w:val="18"/>
                <w:szCs w:val="18"/>
              </w:rPr>
              <w:t>)</w:t>
            </w:r>
          </w:p>
        </w:tc>
      </w:tr>
      <w:tr w:rsidR="00DB7D80" w:rsidRPr="008901A5" w14:paraId="14A3A7CF" w14:textId="77777777" w:rsidTr="005B12AE">
        <w:trPr>
          <w:trHeight w:val="228"/>
        </w:trPr>
        <w:tc>
          <w:tcPr>
            <w:tcW w:w="6663" w:type="dxa"/>
          </w:tcPr>
          <w:p w14:paraId="51945946" w14:textId="22B57704" w:rsidR="00DB7D80" w:rsidRPr="00987D69" w:rsidRDefault="00DB7D80" w:rsidP="00B87E67">
            <w:pPr>
              <w:tabs>
                <w:tab w:val="left" w:pos="8080"/>
              </w:tabs>
              <w:ind w:right="-28"/>
              <w:rPr>
                <w:rFonts w:ascii="Calibri" w:hAnsi="Calibri" w:cs="Calibri"/>
                <w:color w:val="000000"/>
                <w:sz w:val="18"/>
                <w:szCs w:val="18"/>
              </w:rPr>
            </w:pPr>
            <w:r w:rsidRPr="00987D69">
              <w:rPr>
                <w:rFonts w:ascii="Calibri" w:hAnsi="Calibri" w:cs="Calibri"/>
                <w:color w:val="000000"/>
                <w:sz w:val="18"/>
                <w:szCs w:val="18"/>
              </w:rPr>
              <w:t xml:space="preserve">Sale of investments classified as </w:t>
            </w:r>
            <w:r w:rsidR="00B14E86">
              <w:rPr>
                <w:rFonts w:ascii="Calibri" w:hAnsi="Calibri" w:cs="Calibri"/>
                <w:color w:val="000000"/>
                <w:sz w:val="18"/>
                <w:szCs w:val="18"/>
              </w:rPr>
              <w:t>FVOCI</w:t>
            </w:r>
          </w:p>
        </w:tc>
        <w:tc>
          <w:tcPr>
            <w:tcW w:w="1275" w:type="dxa"/>
          </w:tcPr>
          <w:p w14:paraId="4331A2FA" w14:textId="1521E1A0" w:rsidR="00DB7D80" w:rsidRPr="005B12AE" w:rsidRDefault="00815F07" w:rsidP="00B87E67">
            <w:pPr>
              <w:tabs>
                <w:tab w:val="left" w:pos="8080"/>
              </w:tabs>
              <w:ind w:right="-28"/>
              <w:jc w:val="right"/>
              <w:rPr>
                <w:rFonts w:ascii="Calibri" w:hAnsi="Calibri" w:cs="Calibri"/>
                <w:b/>
                <w:sz w:val="18"/>
                <w:szCs w:val="18"/>
              </w:rPr>
            </w:pPr>
            <w:r w:rsidRPr="005B12AE">
              <w:rPr>
                <w:rFonts w:ascii="Calibri" w:hAnsi="Calibri" w:cs="Calibri"/>
                <w:b/>
                <w:sz w:val="18"/>
                <w:szCs w:val="18"/>
              </w:rPr>
              <w:t>151,277</w:t>
            </w:r>
          </w:p>
        </w:tc>
        <w:tc>
          <w:tcPr>
            <w:tcW w:w="1134" w:type="dxa"/>
          </w:tcPr>
          <w:p w14:paraId="3A63759C" w14:textId="4FD97DEE" w:rsidR="00DB7D80" w:rsidRPr="00815F07" w:rsidRDefault="00815F07" w:rsidP="00B87E67">
            <w:pPr>
              <w:tabs>
                <w:tab w:val="left" w:pos="8080"/>
              </w:tabs>
              <w:ind w:right="-28"/>
              <w:jc w:val="right"/>
              <w:rPr>
                <w:rFonts w:ascii="Calibri" w:hAnsi="Calibri" w:cs="Calibri"/>
                <w:color w:val="000000"/>
                <w:sz w:val="18"/>
                <w:szCs w:val="18"/>
              </w:rPr>
            </w:pPr>
            <w:r w:rsidRPr="00815F07">
              <w:rPr>
                <w:rFonts w:ascii="Calibri" w:hAnsi="Calibri" w:cs="Calibri"/>
                <w:color w:val="000000"/>
                <w:sz w:val="18"/>
                <w:szCs w:val="18"/>
              </w:rPr>
              <w:t>203,750</w:t>
            </w:r>
          </w:p>
        </w:tc>
      </w:tr>
      <w:tr w:rsidR="00DB7D80" w:rsidRPr="008901A5" w14:paraId="0BA004E4" w14:textId="77777777" w:rsidTr="005B12AE">
        <w:trPr>
          <w:trHeight w:val="228"/>
        </w:trPr>
        <w:tc>
          <w:tcPr>
            <w:tcW w:w="6663" w:type="dxa"/>
          </w:tcPr>
          <w:p w14:paraId="65696446" w14:textId="77777777" w:rsidR="00DB7D80" w:rsidRPr="00987D69" w:rsidRDefault="00DB7D80" w:rsidP="00B87E67">
            <w:pPr>
              <w:tabs>
                <w:tab w:val="left" w:pos="8080"/>
              </w:tabs>
              <w:ind w:right="-28"/>
              <w:rPr>
                <w:rFonts w:ascii="Calibri" w:hAnsi="Calibri" w:cs="Calibri"/>
                <w:color w:val="000000"/>
                <w:sz w:val="18"/>
                <w:szCs w:val="18"/>
              </w:rPr>
            </w:pPr>
            <w:r w:rsidRPr="00987D69">
              <w:rPr>
                <w:rFonts w:ascii="Calibri" w:hAnsi="Calibri" w:cs="Calibri"/>
                <w:color w:val="000000"/>
                <w:sz w:val="18"/>
                <w:szCs w:val="18"/>
              </w:rPr>
              <w:t xml:space="preserve">Purchase of property, </w:t>
            </w:r>
            <w:proofErr w:type="gramStart"/>
            <w:r w:rsidRPr="00987D69">
              <w:rPr>
                <w:rFonts w:ascii="Calibri" w:hAnsi="Calibri" w:cs="Calibri"/>
                <w:color w:val="000000"/>
                <w:sz w:val="18"/>
                <w:szCs w:val="18"/>
              </w:rPr>
              <w:t>plant</w:t>
            </w:r>
            <w:proofErr w:type="gramEnd"/>
            <w:r w:rsidRPr="00987D69">
              <w:rPr>
                <w:rFonts w:ascii="Calibri" w:hAnsi="Calibri" w:cs="Calibri"/>
                <w:color w:val="000000"/>
                <w:sz w:val="18"/>
                <w:szCs w:val="18"/>
              </w:rPr>
              <w:t xml:space="preserve"> and equipment</w:t>
            </w:r>
          </w:p>
        </w:tc>
        <w:tc>
          <w:tcPr>
            <w:tcW w:w="1275" w:type="dxa"/>
          </w:tcPr>
          <w:p w14:paraId="1738B47D" w14:textId="65C10640" w:rsidR="00DB7D80" w:rsidRPr="005B12AE" w:rsidRDefault="00DB7D80" w:rsidP="00B87E67">
            <w:pPr>
              <w:tabs>
                <w:tab w:val="left" w:pos="8080"/>
              </w:tabs>
              <w:ind w:right="-28"/>
              <w:jc w:val="right"/>
              <w:rPr>
                <w:rFonts w:ascii="Calibri" w:hAnsi="Calibri" w:cs="Calibri"/>
                <w:b/>
                <w:sz w:val="18"/>
                <w:szCs w:val="18"/>
              </w:rPr>
            </w:pPr>
            <w:r w:rsidRPr="005B12AE">
              <w:rPr>
                <w:rFonts w:ascii="Calibri" w:hAnsi="Calibri" w:cs="Calibri"/>
                <w:b/>
                <w:sz w:val="18"/>
                <w:szCs w:val="18"/>
              </w:rPr>
              <w:t>(</w:t>
            </w:r>
            <w:r w:rsidR="00815F07" w:rsidRPr="005B12AE">
              <w:rPr>
                <w:rFonts w:ascii="Calibri" w:hAnsi="Calibri" w:cs="Calibri"/>
                <w:b/>
                <w:sz w:val="18"/>
                <w:szCs w:val="18"/>
              </w:rPr>
              <w:t>2,188</w:t>
            </w:r>
            <w:r w:rsidRPr="005B12AE">
              <w:rPr>
                <w:rFonts w:ascii="Calibri" w:hAnsi="Calibri" w:cs="Calibri"/>
                <w:b/>
                <w:sz w:val="18"/>
                <w:szCs w:val="18"/>
              </w:rPr>
              <w:t>)</w:t>
            </w:r>
          </w:p>
        </w:tc>
        <w:tc>
          <w:tcPr>
            <w:tcW w:w="1134" w:type="dxa"/>
          </w:tcPr>
          <w:p w14:paraId="0514D79B" w14:textId="77777777" w:rsidR="00DB7D80" w:rsidRPr="00815F07" w:rsidRDefault="00DB7D80" w:rsidP="00B87E67">
            <w:pPr>
              <w:tabs>
                <w:tab w:val="left" w:pos="8080"/>
              </w:tabs>
              <w:ind w:right="-28"/>
              <w:jc w:val="right"/>
              <w:rPr>
                <w:rFonts w:ascii="Calibri" w:hAnsi="Calibri" w:cs="Calibri"/>
                <w:color w:val="000000"/>
                <w:sz w:val="18"/>
                <w:szCs w:val="18"/>
              </w:rPr>
            </w:pPr>
            <w:r w:rsidRPr="00815F07">
              <w:rPr>
                <w:rFonts w:ascii="Calibri" w:hAnsi="Calibri" w:cs="Calibri"/>
                <w:color w:val="000000"/>
                <w:sz w:val="18"/>
                <w:szCs w:val="18"/>
              </w:rPr>
              <w:t>(1,288)</w:t>
            </w:r>
          </w:p>
        </w:tc>
      </w:tr>
      <w:tr w:rsidR="00DB7D80" w:rsidRPr="008901A5" w14:paraId="73D01BF3" w14:textId="77777777" w:rsidTr="005B12AE">
        <w:trPr>
          <w:trHeight w:val="228"/>
        </w:trPr>
        <w:tc>
          <w:tcPr>
            <w:tcW w:w="6663" w:type="dxa"/>
          </w:tcPr>
          <w:p w14:paraId="14E85F6B" w14:textId="77777777" w:rsidR="00DB7D80" w:rsidRPr="00987D69" w:rsidRDefault="00DB7D80" w:rsidP="00B87E67">
            <w:pPr>
              <w:tabs>
                <w:tab w:val="left" w:pos="8080"/>
              </w:tabs>
              <w:ind w:right="-28"/>
              <w:rPr>
                <w:rFonts w:ascii="Calibri" w:hAnsi="Calibri" w:cs="Calibri"/>
                <w:color w:val="000000"/>
                <w:sz w:val="18"/>
                <w:szCs w:val="18"/>
              </w:rPr>
            </w:pPr>
            <w:r w:rsidRPr="00987D69">
              <w:rPr>
                <w:rFonts w:ascii="Calibri" w:hAnsi="Calibri" w:cs="Calibri"/>
                <w:color w:val="000000"/>
                <w:sz w:val="18"/>
                <w:szCs w:val="18"/>
              </w:rPr>
              <w:t>Additions to policy administration system</w:t>
            </w:r>
          </w:p>
        </w:tc>
        <w:tc>
          <w:tcPr>
            <w:tcW w:w="1275" w:type="dxa"/>
          </w:tcPr>
          <w:p w14:paraId="31A15560" w14:textId="3919A994" w:rsidR="00DB7D80" w:rsidRPr="005B12AE" w:rsidRDefault="00DB7D80" w:rsidP="00B87E67">
            <w:pPr>
              <w:tabs>
                <w:tab w:val="left" w:pos="8080"/>
              </w:tabs>
              <w:ind w:right="-28"/>
              <w:jc w:val="right"/>
              <w:rPr>
                <w:rFonts w:ascii="Calibri" w:hAnsi="Calibri" w:cs="Calibri"/>
                <w:b/>
                <w:sz w:val="18"/>
                <w:szCs w:val="18"/>
              </w:rPr>
            </w:pPr>
            <w:r w:rsidRPr="005B12AE">
              <w:rPr>
                <w:rFonts w:ascii="Calibri" w:hAnsi="Calibri" w:cs="Calibri"/>
                <w:b/>
                <w:sz w:val="18"/>
                <w:szCs w:val="18"/>
              </w:rPr>
              <w:t>(1</w:t>
            </w:r>
            <w:r w:rsidR="00815F07" w:rsidRPr="005B12AE">
              <w:rPr>
                <w:rFonts w:ascii="Calibri" w:hAnsi="Calibri" w:cs="Calibri"/>
                <w:b/>
                <w:sz w:val="18"/>
                <w:szCs w:val="18"/>
              </w:rPr>
              <w:t>,401</w:t>
            </w:r>
            <w:r w:rsidRPr="005B12AE">
              <w:rPr>
                <w:rFonts w:ascii="Calibri" w:hAnsi="Calibri" w:cs="Calibri"/>
                <w:b/>
                <w:sz w:val="18"/>
                <w:szCs w:val="18"/>
              </w:rPr>
              <w:t>)</w:t>
            </w:r>
          </w:p>
        </w:tc>
        <w:tc>
          <w:tcPr>
            <w:tcW w:w="1134" w:type="dxa"/>
          </w:tcPr>
          <w:p w14:paraId="7E789A9B" w14:textId="77777777" w:rsidR="00DB7D80" w:rsidRPr="00815F07" w:rsidRDefault="00DB7D80" w:rsidP="00B87E67">
            <w:pPr>
              <w:tabs>
                <w:tab w:val="left" w:pos="8080"/>
              </w:tabs>
              <w:ind w:right="-28"/>
              <w:jc w:val="right"/>
              <w:rPr>
                <w:rFonts w:ascii="Calibri" w:hAnsi="Calibri" w:cs="Calibri"/>
                <w:color w:val="000000"/>
                <w:sz w:val="18"/>
                <w:szCs w:val="18"/>
              </w:rPr>
            </w:pPr>
            <w:r w:rsidRPr="00815F07">
              <w:rPr>
                <w:rFonts w:ascii="Calibri" w:hAnsi="Calibri" w:cs="Calibri"/>
                <w:color w:val="000000"/>
                <w:sz w:val="18"/>
                <w:szCs w:val="18"/>
              </w:rPr>
              <w:t>(4,566)</w:t>
            </w:r>
          </w:p>
        </w:tc>
      </w:tr>
      <w:tr w:rsidR="00DB7D80" w:rsidRPr="008901A5" w14:paraId="0A159AE7" w14:textId="77777777" w:rsidTr="004C6E1E">
        <w:trPr>
          <w:trHeight w:val="228"/>
        </w:trPr>
        <w:tc>
          <w:tcPr>
            <w:tcW w:w="6663" w:type="dxa"/>
          </w:tcPr>
          <w:p w14:paraId="11CD2BFF" w14:textId="77777777" w:rsidR="00DB7D80" w:rsidRPr="00987D69" w:rsidRDefault="00DB7D80" w:rsidP="00B87E67">
            <w:pPr>
              <w:tabs>
                <w:tab w:val="left" w:pos="8080"/>
              </w:tabs>
              <w:ind w:right="-28"/>
              <w:rPr>
                <w:rFonts w:ascii="Calibri" w:hAnsi="Calibri" w:cs="Calibri"/>
                <w:color w:val="000000"/>
                <w:sz w:val="18"/>
                <w:szCs w:val="18"/>
              </w:rPr>
            </w:pPr>
            <w:r w:rsidRPr="00987D69">
              <w:rPr>
                <w:rFonts w:ascii="Calibri" w:hAnsi="Calibri" w:cs="Calibri"/>
                <w:color w:val="000000"/>
                <w:sz w:val="18"/>
                <w:szCs w:val="18"/>
              </w:rPr>
              <w:t>Purchase of intangible assets</w:t>
            </w:r>
          </w:p>
        </w:tc>
        <w:tc>
          <w:tcPr>
            <w:tcW w:w="1275" w:type="dxa"/>
          </w:tcPr>
          <w:p w14:paraId="071D8CB6" w14:textId="288B74EC" w:rsidR="00DB7D80" w:rsidRPr="005B12AE" w:rsidRDefault="00DB7D80" w:rsidP="00B87E67">
            <w:pPr>
              <w:tabs>
                <w:tab w:val="left" w:pos="8080"/>
              </w:tabs>
              <w:ind w:right="-28"/>
              <w:jc w:val="right"/>
              <w:rPr>
                <w:rFonts w:ascii="Calibri" w:hAnsi="Calibri" w:cs="Calibri"/>
                <w:b/>
                <w:sz w:val="18"/>
                <w:szCs w:val="18"/>
              </w:rPr>
            </w:pPr>
            <w:r w:rsidRPr="005B12AE">
              <w:rPr>
                <w:rFonts w:ascii="Calibri" w:hAnsi="Calibri" w:cs="Calibri"/>
                <w:b/>
                <w:sz w:val="18"/>
                <w:szCs w:val="18"/>
              </w:rPr>
              <w:t>(</w:t>
            </w:r>
            <w:r w:rsidR="00815F07" w:rsidRPr="005B12AE">
              <w:rPr>
                <w:rFonts w:ascii="Calibri" w:hAnsi="Calibri" w:cs="Calibri"/>
                <w:b/>
                <w:sz w:val="18"/>
                <w:szCs w:val="18"/>
              </w:rPr>
              <w:t>1</w:t>
            </w:r>
            <w:r w:rsidRPr="005B12AE">
              <w:rPr>
                <w:rFonts w:ascii="Calibri" w:hAnsi="Calibri" w:cs="Calibri"/>
                <w:b/>
                <w:sz w:val="18"/>
                <w:szCs w:val="18"/>
              </w:rPr>
              <w:t>6</w:t>
            </w:r>
            <w:r w:rsidR="00815F07" w:rsidRPr="005B12AE">
              <w:rPr>
                <w:rFonts w:ascii="Calibri" w:hAnsi="Calibri" w:cs="Calibri"/>
                <w:b/>
                <w:sz w:val="18"/>
                <w:szCs w:val="18"/>
              </w:rPr>
              <w:t>,186</w:t>
            </w:r>
            <w:r w:rsidRPr="005B12AE">
              <w:rPr>
                <w:rFonts w:ascii="Calibri" w:hAnsi="Calibri" w:cs="Calibri"/>
                <w:b/>
                <w:sz w:val="18"/>
                <w:szCs w:val="18"/>
              </w:rPr>
              <w:t>)</w:t>
            </w:r>
          </w:p>
        </w:tc>
        <w:tc>
          <w:tcPr>
            <w:tcW w:w="1134" w:type="dxa"/>
          </w:tcPr>
          <w:p w14:paraId="45167865" w14:textId="77777777" w:rsidR="00DB7D80" w:rsidRPr="00815F07" w:rsidRDefault="00DB7D80" w:rsidP="00B87E67">
            <w:pPr>
              <w:tabs>
                <w:tab w:val="left" w:pos="8080"/>
              </w:tabs>
              <w:ind w:right="-28"/>
              <w:jc w:val="right"/>
              <w:rPr>
                <w:rFonts w:ascii="Calibri" w:hAnsi="Calibri" w:cs="Calibri"/>
                <w:color w:val="000000"/>
                <w:sz w:val="18"/>
                <w:szCs w:val="18"/>
              </w:rPr>
            </w:pPr>
            <w:r w:rsidRPr="00815F07">
              <w:rPr>
                <w:rFonts w:ascii="Calibri" w:hAnsi="Calibri" w:cs="Calibri"/>
                <w:color w:val="000000"/>
                <w:sz w:val="18"/>
                <w:szCs w:val="18"/>
              </w:rPr>
              <w:t>(6,987)</w:t>
            </w:r>
          </w:p>
        </w:tc>
      </w:tr>
      <w:tr w:rsidR="00DB7D80" w:rsidRPr="008901A5" w14:paraId="7E6635FC" w14:textId="77777777" w:rsidTr="004C6E1E">
        <w:trPr>
          <w:trHeight w:val="228"/>
        </w:trPr>
        <w:tc>
          <w:tcPr>
            <w:tcW w:w="6663" w:type="dxa"/>
          </w:tcPr>
          <w:p w14:paraId="1FC17710" w14:textId="191AAAD7" w:rsidR="00DB7D80" w:rsidRPr="00987D69" w:rsidRDefault="00EE5E0F" w:rsidP="00B87E67">
            <w:pPr>
              <w:tabs>
                <w:tab w:val="left" w:pos="8080"/>
              </w:tabs>
              <w:ind w:right="-28"/>
              <w:rPr>
                <w:rFonts w:ascii="Calibri" w:hAnsi="Calibri" w:cs="Calibri"/>
                <w:color w:val="000000"/>
                <w:sz w:val="18"/>
                <w:szCs w:val="18"/>
              </w:rPr>
            </w:pPr>
            <w:r>
              <w:rPr>
                <w:rFonts w:ascii="Calibri" w:hAnsi="Calibri" w:cs="Calibri"/>
                <w:color w:val="000000"/>
                <w:sz w:val="18"/>
                <w:szCs w:val="18"/>
              </w:rPr>
              <w:t>Maturities of</w:t>
            </w:r>
            <w:r w:rsidRPr="00987D69">
              <w:rPr>
                <w:rFonts w:ascii="Calibri" w:hAnsi="Calibri" w:cs="Calibri"/>
                <w:color w:val="000000"/>
                <w:sz w:val="18"/>
                <w:szCs w:val="18"/>
              </w:rPr>
              <w:t xml:space="preserve"> </w:t>
            </w:r>
            <w:r w:rsidR="00DB7D80" w:rsidRPr="00987D69">
              <w:rPr>
                <w:rFonts w:ascii="Calibri" w:hAnsi="Calibri" w:cs="Calibri"/>
                <w:color w:val="000000"/>
                <w:sz w:val="18"/>
                <w:szCs w:val="18"/>
              </w:rPr>
              <w:t>deposits invested with banks</w:t>
            </w:r>
          </w:p>
        </w:tc>
        <w:tc>
          <w:tcPr>
            <w:tcW w:w="1275" w:type="dxa"/>
          </w:tcPr>
          <w:p w14:paraId="5C016DC3" w14:textId="091159A1" w:rsidR="00DB7D80" w:rsidRPr="005B12AE" w:rsidRDefault="00815F07" w:rsidP="00B87E67">
            <w:pPr>
              <w:tabs>
                <w:tab w:val="left" w:pos="8080"/>
              </w:tabs>
              <w:ind w:right="-28"/>
              <w:jc w:val="right"/>
              <w:rPr>
                <w:rFonts w:ascii="Calibri" w:hAnsi="Calibri" w:cs="Calibri"/>
                <w:b/>
                <w:sz w:val="18"/>
                <w:szCs w:val="18"/>
              </w:rPr>
            </w:pPr>
            <w:r w:rsidRPr="005B12AE">
              <w:rPr>
                <w:rFonts w:ascii="Calibri" w:hAnsi="Calibri" w:cs="Calibri"/>
                <w:b/>
                <w:sz w:val="18"/>
                <w:szCs w:val="18"/>
              </w:rPr>
              <w:t>10,000</w:t>
            </w:r>
          </w:p>
        </w:tc>
        <w:tc>
          <w:tcPr>
            <w:tcW w:w="1134" w:type="dxa"/>
          </w:tcPr>
          <w:p w14:paraId="58D4FFCD" w14:textId="2F18B5AD" w:rsidR="00DB7D80" w:rsidRPr="00815F07" w:rsidRDefault="00EE5E0F" w:rsidP="00B87E67">
            <w:pPr>
              <w:tabs>
                <w:tab w:val="left" w:pos="8080"/>
              </w:tabs>
              <w:ind w:right="-28"/>
              <w:jc w:val="right"/>
              <w:rPr>
                <w:rFonts w:ascii="Calibri" w:hAnsi="Calibri" w:cs="Calibri"/>
                <w:color w:val="000000"/>
                <w:sz w:val="18"/>
                <w:szCs w:val="18"/>
              </w:rPr>
            </w:pPr>
            <w:r>
              <w:rPr>
                <w:rFonts w:ascii="Calibri" w:hAnsi="Calibri" w:cs="Calibri"/>
                <w:color w:val="000000"/>
                <w:sz w:val="18"/>
                <w:szCs w:val="18"/>
              </w:rPr>
              <w:t>-</w:t>
            </w:r>
          </w:p>
        </w:tc>
      </w:tr>
      <w:tr w:rsidR="00EE5E0F" w:rsidRPr="008901A5" w14:paraId="6808974D" w14:textId="77777777" w:rsidTr="004C6E1E">
        <w:trPr>
          <w:trHeight w:val="228"/>
        </w:trPr>
        <w:tc>
          <w:tcPr>
            <w:tcW w:w="6663" w:type="dxa"/>
          </w:tcPr>
          <w:p w14:paraId="2FF2D504" w14:textId="77777777" w:rsidR="00EE5E0F" w:rsidRPr="00987D69" w:rsidRDefault="00EE5E0F" w:rsidP="00957C52">
            <w:pPr>
              <w:tabs>
                <w:tab w:val="left" w:pos="8080"/>
              </w:tabs>
              <w:ind w:right="-28"/>
              <w:rPr>
                <w:rFonts w:ascii="Calibri" w:hAnsi="Calibri" w:cs="Calibri"/>
                <w:color w:val="000000"/>
                <w:sz w:val="18"/>
                <w:szCs w:val="18"/>
              </w:rPr>
            </w:pPr>
            <w:r w:rsidRPr="00987D69">
              <w:rPr>
                <w:rFonts w:ascii="Calibri" w:hAnsi="Calibri" w:cs="Calibri"/>
                <w:color w:val="000000"/>
                <w:sz w:val="18"/>
                <w:szCs w:val="18"/>
              </w:rPr>
              <w:t>Additional deposits invested with banks</w:t>
            </w:r>
          </w:p>
        </w:tc>
        <w:tc>
          <w:tcPr>
            <w:tcW w:w="1275" w:type="dxa"/>
            <w:tcBorders>
              <w:bottom w:val="single" w:sz="4" w:space="0" w:color="auto"/>
            </w:tcBorders>
          </w:tcPr>
          <w:p w14:paraId="11E2CA54" w14:textId="07F61F21" w:rsidR="00EE5E0F" w:rsidRPr="005B12AE" w:rsidRDefault="00EE5E0F" w:rsidP="00957C52">
            <w:pPr>
              <w:tabs>
                <w:tab w:val="left" w:pos="8080"/>
              </w:tabs>
              <w:ind w:right="-28"/>
              <w:jc w:val="right"/>
              <w:rPr>
                <w:rFonts w:ascii="Calibri" w:hAnsi="Calibri" w:cs="Calibri"/>
                <w:b/>
                <w:sz w:val="18"/>
                <w:szCs w:val="18"/>
              </w:rPr>
            </w:pPr>
            <w:r>
              <w:rPr>
                <w:rFonts w:ascii="Calibri" w:hAnsi="Calibri" w:cs="Calibri"/>
                <w:b/>
                <w:sz w:val="18"/>
                <w:szCs w:val="18"/>
              </w:rPr>
              <w:t>(2,885)</w:t>
            </w:r>
          </w:p>
        </w:tc>
        <w:tc>
          <w:tcPr>
            <w:tcW w:w="1134" w:type="dxa"/>
            <w:tcBorders>
              <w:bottom w:val="single" w:sz="4" w:space="0" w:color="auto"/>
            </w:tcBorders>
          </w:tcPr>
          <w:p w14:paraId="4478C41E" w14:textId="77777777" w:rsidR="00EE5E0F" w:rsidRPr="00815F07" w:rsidRDefault="00EE5E0F" w:rsidP="00957C52">
            <w:pPr>
              <w:tabs>
                <w:tab w:val="left" w:pos="8080"/>
              </w:tabs>
              <w:ind w:right="-28"/>
              <w:jc w:val="right"/>
              <w:rPr>
                <w:rFonts w:ascii="Calibri" w:hAnsi="Calibri" w:cs="Calibri"/>
                <w:color w:val="000000"/>
                <w:sz w:val="18"/>
                <w:szCs w:val="18"/>
              </w:rPr>
            </w:pPr>
            <w:r w:rsidRPr="00815F07">
              <w:rPr>
                <w:rFonts w:ascii="Calibri" w:hAnsi="Calibri" w:cs="Calibri"/>
                <w:color w:val="000000"/>
                <w:sz w:val="18"/>
                <w:szCs w:val="18"/>
              </w:rPr>
              <w:t>(10,000)</w:t>
            </w:r>
          </w:p>
        </w:tc>
      </w:tr>
      <w:tr w:rsidR="00DB7D80" w:rsidRPr="008901A5" w14:paraId="0C66BA82" w14:textId="77777777" w:rsidTr="005B12AE">
        <w:trPr>
          <w:trHeight w:val="228"/>
        </w:trPr>
        <w:tc>
          <w:tcPr>
            <w:tcW w:w="6663" w:type="dxa"/>
          </w:tcPr>
          <w:p w14:paraId="3231EE92" w14:textId="77777777" w:rsidR="00DB7D80" w:rsidRPr="00987D69" w:rsidRDefault="00DB7D80" w:rsidP="00B87E67">
            <w:pPr>
              <w:tabs>
                <w:tab w:val="left" w:pos="8080"/>
              </w:tabs>
              <w:ind w:right="-28"/>
              <w:rPr>
                <w:rFonts w:ascii="Calibri" w:hAnsi="Calibri" w:cs="Calibri"/>
                <w:b/>
                <w:color w:val="000000"/>
                <w:sz w:val="18"/>
                <w:szCs w:val="18"/>
              </w:rPr>
            </w:pPr>
            <w:r w:rsidRPr="00987D69">
              <w:rPr>
                <w:rFonts w:ascii="Calibri" w:hAnsi="Calibri" w:cs="Calibri"/>
                <w:b/>
                <w:color w:val="000000"/>
                <w:sz w:val="18"/>
                <w:szCs w:val="18"/>
              </w:rPr>
              <w:t xml:space="preserve">Net cash </w:t>
            </w:r>
            <w:r>
              <w:rPr>
                <w:rFonts w:ascii="Calibri" w:hAnsi="Calibri" w:cs="Calibri"/>
                <w:b/>
                <w:color w:val="000000"/>
                <w:sz w:val="18"/>
                <w:szCs w:val="18"/>
              </w:rPr>
              <w:t xml:space="preserve">used in </w:t>
            </w:r>
            <w:r w:rsidRPr="00987D69">
              <w:rPr>
                <w:rFonts w:ascii="Calibri" w:hAnsi="Calibri" w:cs="Calibri"/>
                <w:b/>
                <w:color w:val="000000"/>
                <w:sz w:val="18"/>
                <w:szCs w:val="18"/>
              </w:rPr>
              <w:t>investing activities</w:t>
            </w:r>
          </w:p>
        </w:tc>
        <w:tc>
          <w:tcPr>
            <w:tcW w:w="1275" w:type="dxa"/>
            <w:tcBorders>
              <w:top w:val="single" w:sz="4" w:space="0" w:color="auto"/>
              <w:bottom w:val="single" w:sz="8" w:space="0" w:color="auto"/>
            </w:tcBorders>
          </w:tcPr>
          <w:p w14:paraId="409A31C7" w14:textId="61FE70D5" w:rsidR="00DB7D80" w:rsidRPr="005B12AE" w:rsidRDefault="00DB7D80" w:rsidP="00B87E67">
            <w:pPr>
              <w:tabs>
                <w:tab w:val="left" w:pos="8080"/>
              </w:tabs>
              <w:ind w:right="-28"/>
              <w:jc w:val="right"/>
              <w:rPr>
                <w:rFonts w:ascii="Calibri" w:hAnsi="Calibri" w:cs="Calibri"/>
                <w:b/>
                <w:sz w:val="18"/>
                <w:szCs w:val="18"/>
              </w:rPr>
            </w:pPr>
            <w:r w:rsidRPr="005B12AE">
              <w:rPr>
                <w:rFonts w:ascii="Calibri" w:hAnsi="Calibri" w:cs="Calibri"/>
                <w:b/>
                <w:sz w:val="18"/>
                <w:szCs w:val="18"/>
              </w:rPr>
              <w:t>(</w:t>
            </w:r>
            <w:r w:rsidR="00EE5E0F">
              <w:rPr>
                <w:rFonts w:ascii="Calibri" w:hAnsi="Calibri" w:cs="Calibri"/>
                <w:b/>
                <w:sz w:val="18"/>
                <w:szCs w:val="18"/>
              </w:rPr>
              <w:t>12,517</w:t>
            </w:r>
            <w:r w:rsidRPr="005B12AE">
              <w:rPr>
                <w:rFonts w:ascii="Calibri" w:hAnsi="Calibri" w:cs="Calibri"/>
                <w:b/>
                <w:sz w:val="18"/>
                <w:szCs w:val="18"/>
              </w:rPr>
              <w:t>)</w:t>
            </w:r>
          </w:p>
        </w:tc>
        <w:tc>
          <w:tcPr>
            <w:tcW w:w="1134" w:type="dxa"/>
            <w:tcBorders>
              <w:top w:val="single" w:sz="4" w:space="0" w:color="auto"/>
              <w:bottom w:val="single" w:sz="8" w:space="0" w:color="auto"/>
            </w:tcBorders>
          </w:tcPr>
          <w:p w14:paraId="6D270138" w14:textId="43973922" w:rsidR="00DB7D80" w:rsidRPr="005B12AE" w:rsidRDefault="00DB7D80" w:rsidP="00B87E67">
            <w:pPr>
              <w:tabs>
                <w:tab w:val="left" w:pos="8080"/>
              </w:tabs>
              <w:ind w:right="-28"/>
              <w:jc w:val="right"/>
              <w:rPr>
                <w:rFonts w:ascii="Calibri" w:hAnsi="Calibri" w:cs="Calibri"/>
                <w:color w:val="000000"/>
                <w:sz w:val="18"/>
                <w:szCs w:val="18"/>
              </w:rPr>
            </w:pPr>
            <w:r w:rsidRPr="005B12AE">
              <w:rPr>
                <w:rFonts w:ascii="Calibri" w:hAnsi="Calibri" w:cs="Calibri"/>
                <w:color w:val="000000"/>
                <w:sz w:val="18"/>
                <w:szCs w:val="18"/>
              </w:rPr>
              <w:t>(68,9</w:t>
            </w:r>
            <w:r w:rsidR="00815F07" w:rsidRPr="005B12AE">
              <w:rPr>
                <w:rFonts w:ascii="Calibri" w:hAnsi="Calibri" w:cs="Calibri"/>
                <w:color w:val="000000"/>
                <w:sz w:val="18"/>
                <w:szCs w:val="18"/>
              </w:rPr>
              <w:t>56</w:t>
            </w:r>
            <w:r w:rsidRPr="005B12AE">
              <w:rPr>
                <w:rFonts w:ascii="Calibri" w:hAnsi="Calibri" w:cs="Calibri"/>
                <w:color w:val="000000"/>
                <w:sz w:val="18"/>
                <w:szCs w:val="18"/>
              </w:rPr>
              <w:t>)</w:t>
            </w:r>
          </w:p>
        </w:tc>
      </w:tr>
      <w:tr w:rsidR="00DB7D80" w:rsidRPr="008901A5" w14:paraId="58DC39C7" w14:textId="77777777" w:rsidTr="005B12AE">
        <w:trPr>
          <w:trHeight w:val="221"/>
        </w:trPr>
        <w:tc>
          <w:tcPr>
            <w:tcW w:w="6663" w:type="dxa"/>
          </w:tcPr>
          <w:p w14:paraId="5C0DB5C3" w14:textId="77777777" w:rsidR="00DB7D80" w:rsidRPr="00987D69" w:rsidRDefault="00DB7D80" w:rsidP="00B87E67">
            <w:pPr>
              <w:tabs>
                <w:tab w:val="left" w:pos="8080"/>
              </w:tabs>
              <w:ind w:right="-28"/>
              <w:rPr>
                <w:rFonts w:ascii="Calibri" w:hAnsi="Calibri" w:cs="Calibri"/>
                <w:b/>
                <w:color w:val="000000"/>
                <w:sz w:val="18"/>
                <w:szCs w:val="18"/>
              </w:rPr>
            </w:pPr>
          </w:p>
        </w:tc>
        <w:tc>
          <w:tcPr>
            <w:tcW w:w="1275" w:type="dxa"/>
            <w:tcBorders>
              <w:top w:val="single" w:sz="8" w:space="0" w:color="auto"/>
            </w:tcBorders>
          </w:tcPr>
          <w:p w14:paraId="1502DDF2" w14:textId="77777777" w:rsidR="00DB7D80" w:rsidRPr="005B12AE" w:rsidRDefault="00DB7D80" w:rsidP="00B87E67">
            <w:pPr>
              <w:tabs>
                <w:tab w:val="left" w:pos="8080"/>
              </w:tabs>
              <w:ind w:right="-28"/>
              <w:jc w:val="right"/>
              <w:rPr>
                <w:rFonts w:ascii="Calibri" w:hAnsi="Calibri" w:cs="Calibri"/>
                <w:b/>
                <w:sz w:val="18"/>
                <w:szCs w:val="18"/>
                <w:highlight w:val="yellow"/>
              </w:rPr>
            </w:pPr>
          </w:p>
        </w:tc>
        <w:tc>
          <w:tcPr>
            <w:tcW w:w="1134" w:type="dxa"/>
            <w:tcBorders>
              <w:top w:val="single" w:sz="8" w:space="0" w:color="auto"/>
            </w:tcBorders>
          </w:tcPr>
          <w:p w14:paraId="43D4E183" w14:textId="77777777" w:rsidR="00DB7D80" w:rsidRPr="00815F07" w:rsidRDefault="00DB7D80" w:rsidP="00B87E67">
            <w:pPr>
              <w:tabs>
                <w:tab w:val="left" w:pos="8080"/>
              </w:tabs>
              <w:ind w:right="-28"/>
              <w:jc w:val="right"/>
              <w:rPr>
                <w:rFonts w:ascii="Calibri" w:hAnsi="Calibri" w:cs="Calibri"/>
                <w:color w:val="000000"/>
                <w:sz w:val="18"/>
                <w:szCs w:val="18"/>
              </w:rPr>
            </w:pPr>
          </w:p>
        </w:tc>
      </w:tr>
      <w:tr w:rsidR="00DB7D80" w:rsidRPr="008901A5" w14:paraId="3AA1AF28" w14:textId="77777777" w:rsidTr="005B12AE">
        <w:trPr>
          <w:trHeight w:val="228"/>
        </w:trPr>
        <w:tc>
          <w:tcPr>
            <w:tcW w:w="6663" w:type="dxa"/>
          </w:tcPr>
          <w:p w14:paraId="13A1634F" w14:textId="77777777" w:rsidR="00DB7D80" w:rsidRPr="00987D69" w:rsidRDefault="00DB7D80" w:rsidP="00B87E67">
            <w:pPr>
              <w:tabs>
                <w:tab w:val="left" w:pos="8080"/>
              </w:tabs>
              <w:ind w:right="-28"/>
              <w:rPr>
                <w:rFonts w:ascii="Calibri" w:hAnsi="Calibri" w:cs="Calibri"/>
                <w:b/>
                <w:color w:val="000000"/>
                <w:sz w:val="18"/>
                <w:szCs w:val="18"/>
              </w:rPr>
            </w:pPr>
            <w:r w:rsidRPr="00987D69">
              <w:rPr>
                <w:rFonts w:ascii="Calibri" w:hAnsi="Calibri" w:cs="Calibri"/>
                <w:b/>
                <w:color w:val="000000"/>
                <w:sz w:val="18"/>
                <w:szCs w:val="18"/>
              </w:rPr>
              <w:t>Cash flows from financing activities</w:t>
            </w:r>
          </w:p>
        </w:tc>
        <w:tc>
          <w:tcPr>
            <w:tcW w:w="1275" w:type="dxa"/>
          </w:tcPr>
          <w:p w14:paraId="316B8346" w14:textId="77777777" w:rsidR="00DB7D80" w:rsidRPr="005B12AE" w:rsidRDefault="00DB7D80" w:rsidP="00B87E67">
            <w:pPr>
              <w:tabs>
                <w:tab w:val="left" w:pos="8080"/>
              </w:tabs>
              <w:ind w:right="-28"/>
              <w:jc w:val="right"/>
              <w:rPr>
                <w:rFonts w:ascii="Calibri" w:hAnsi="Calibri" w:cs="Calibri"/>
                <w:b/>
                <w:sz w:val="18"/>
                <w:szCs w:val="18"/>
                <w:highlight w:val="yellow"/>
              </w:rPr>
            </w:pPr>
          </w:p>
        </w:tc>
        <w:tc>
          <w:tcPr>
            <w:tcW w:w="1134" w:type="dxa"/>
          </w:tcPr>
          <w:p w14:paraId="52E1C725" w14:textId="77777777" w:rsidR="00DB7D80" w:rsidRPr="00815F07" w:rsidRDefault="00DB7D80" w:rsidP="00B87E67">
            <w:pPr>
              <w:tabs>
                <w:tab w:val="left" w:pos="8080"/>
              </w:tabs>
              <w:ind w:right="-28"/>
              <w:jc w:val="right"/>
              <w:rPr>
                <w:rFonts w:ascii="Calibri" w:hAnsi="Calibri" w:cs="Calibri"/>
                <w:color w:val="000000"/>
                <w:sz w:val="18"/>
                <w:szCs w:val="18"/>
              </w:rPr>
            </w:pPr>
          </w:p>
        </w:tc>
      </w:tr>
      <w:tr w:rsidR="00DB7D80" w:rsidRPr="008901A5" w14:paraId="3D731C11" w14:textId="77777777" w:rsidTr="005B12AE">
        <w:trPr>
          <w:trHeight w:val="228"/>
        </w:trPr>
        <w:tc>
          <w:tcPr>
            <w:tcW w:w="6663" w:type="dxa"/>
          </w:tcPr>
          <w:p w14:paraId="67C96DC4" w14:textId="77777777" w:rsidR="00DB7D80" w:rsidRPr="00987D69" w:rsidRDefault="00DB7D80" w:rsidP="00B87E67">
            <w:pPr>
              <w:tabs>
                <w:tab w:val="left" w:pos="8080"/>
              </w:tabs>
              <w:ind w:right="-28"/>
              <w:rPr>
                <w:rFonts w:ascii="Calibri" w:hAnsi="Calibri" w:cs="Calibri"/>
                <w:color w:val="000000"/>
                <w:sz w:val="18"/>
                <w:szCs w:val="18"/>
              </w:rPr>
            </w:pPr>
            <w:r w:rsidRPr="00987D69">
              <w:rPr>
                <w:rFonts w:ascii="Calibri" w:hAnsi="Calibri" w:cs="Calibri"/>
                <w:color w:val="000000"/>
                <w:sz w:val="18"/>
                <w:szCs w:val="18"/>
              </w:rPr>
              <w:t>Ordinary and preference dividends paid</w:t>
            </w:r>
          </w:p>
        </w:tc>
        <w:tc>
          <w:tcPr>
            <w:tcW w:w="1275" w:type="dxa"/>
          </w:tcPr>
          <w:p w14:paraId="3584E90C" w14:textId="0096C54B" w:rsidR="00DB7D80" w:rsidRPr="005B12AE" w:rsidRDefault="00DB7D80" w:rsidP="00B87E67">
            <w:pPr>
              <w:tabs>
                <w:tab w:val="left" w:pos="8080"/>
              </w:tabs>
              <w:ind w:right="-28"/>
              <w:jc w:val="right"/>
              <w:rPr>
                <w:rFonts w:ascii="Calibri" w:hAnsi="Calibri" w:cs="Calibri"/>
                <w:b/>
                <w:sz w:val="18"/>
                <w:szCs w:val="18"/>
              </w:rPr>
            </w:pPr>
            <w:r w:rsidRPr="005B12AE">
              <w:rPr>
                <w:rFonts w:ascii="Calibri" w:hAnsi="Calibri" w:cs="Calibri"/>
                <w:b/>
                <w:sz w:val="18"/>
                <w:szCs w:val="18"/>
              </w:rPr>
              <w:t>(</w:t>
            </w:r>
            <w:r w:rsidR="0006598B" w:rsidRPr="005B12AE">
              <w:rPr>
                <w:rFonts w:ascii="Calibri" w:hAnsi="Calibri" w:cs="Calibri"/>
                <w:b/>
                <w:sz w:val="18"/>
                <w:szCs w:val="18"/>
              </w:rPr>
              <w:t>72,026</w:t>
            </w:r>
            <w:r w:rsidRPr="005B12AE">
              <w:rPr>
                <w:rFonts w:ascii="Calibri" w:hAnsi="Calibri" w:cs="Calibri"/>
                <w:b/>
                <w:sz w:val="18"/>
                <w:szCs w:val="18"/>
              </w:rPr>
              <w:t>)</w:t>
            </w:r>
          </w:p>
        </w:tc>
        <w:tc>
          <w:tcPr>
            <w:tcW w:w="1134" w:type="dxa"/>
          </w:tcPr>
          <w:p w14:paraId="15D592F2" w14:textId="77777777" w:rsidR="00DB7D80" w:rsidRPr="00815F07" w:rsidRDefault="00DB7D80" w:rsidP="00B87E67">
            <w:pPr>
              <w:tabs>
                <w:tab w:val="left" w:pos="8080"/>
              </w:tabs>
              <w:ind w:right="-28"/>
              <w:jc w:val="right"/>
              <w:rPr>
                <w:rFonts w:ascii="Calibri" w:hAnsi="Calibri" w:cs="Calibri"/>
                <w:color w:val="000000"/>
                <w:sz w:val="18"/>
                <w:szCs w:val="18"/>
                <w:highlight w:val="yellow"/>
              </w:rPr>
            </w:pPr>
            <w:r w:rsidRPr="00815F07">
              <w:rPr>
                <w:rFonts w:ascii="Calibri" w:hAnsi="Calibri" w:cs="Calibri"/>
                <w:color w:val="000000"/>
                <w:sz w:val="18"/>
                <w:szCs w:val="18"/>
              </w:rPr>
              <w:t>(35,870)</w:t>
            </w:r>
          </w:p>
        </w:tc>
      </w:tr>
      <w:tr w:rsidR="00DB7D80" w:rsidRPr="008901A5" w14:paraId="3A06B947" w14:textId="77777777" w:rsidTr="005B12AE">
        <w:trPr>
          <w:trHeight w:val="228"/>
        </w:trPr>
        <w:tc>
          <w:tcPr>
            <w:tcW w:w="6663" w:type="dxa"/>
          </w:tcPr>
          <w:p w14:paraId="04087CF7" w14:textId="77777777" w:rsidR="00DB7D80" w:rsidRPr="00987D69" w:rsidRDefault="00DB7D80" w:rsidP="00B87E67">
            <w:pPr>
              <w:tabs>
                <w:tab w:val="left" w:pos="8080"/>
              </w:tabs>
              <w:ind w:right="-28"/>
              <w:rPr>
                <w:rFonts w:ascii="Calibri" w:hAnsi="Calibri" w:cs="Calibri"/>
                <w:color w:val="000000"/>
                <w:sz w:val="18"/>
                <w:szCs w:val="18"/>
              </w:rPr>
            </w:pPr>
            <w:r w:rsidRPr="00987D69">
              <w:rPr>
                <w:rFonts w:ascii="Calibri" w:hAnsi="Calibri" w:cs="Calibri"/>
                <w:color w:val="000000"/>
                <w:sz w:val="18"/>
                <w:szCs w:val="18"/>
              </w:rPr>
              <w:t>Interest payment on subordinate</w:t>
            </w:r>
            <w:r>
              <w:rPr>
                <w:rFonts w:ascii="Calibri" w:hAnsi="Calibri" w:cs="Calibri"/>
                <w:color w:val="000000"/>
                <w:sz w:val="18"/>
                <w:szCs w:val="18"/>
              </w:rPr>
              <w:t>d</w:t>
            </w:r>
            <w:r w:rsidRPr="00987D69">
              <w:rPr>
                <w:rFonts w:ascii="Calibri" w:hAnsi="Calibri" w:cs="Calibri"/>
                <w:color w:val="000000"/>
                <w:sz w:val="18"/>
                <w:szCs w:val="18"/>
              </w:rPr>
              <w:t xml:space="preserve"> debt</w:t>
            </w:r>
          </w:p>
        </w:tc>
        <w:tc>
          <w:tcPr>
            <w:tcW w:w="1275" w:type="dxa"/>
          </w:tcPr>
          <w:p w14:paraId="54AEB977" w14:textId="6E66771D" w:rsidR="00DB7D80" w:rsidRPr="005B12AE" w:rsidRDefault="00DB7D80" w:rsidP="00B87E67">
            <w:pPr>
              <w:tabs>
                <w:tab w:val="left" w:pos="8080"/>
              </w:tabs>
              <w:ind w:right="-28"/>
              <w:jc w:val="right"/>
              <w:rPr>
                <w:rFonts w:ascii="Calibri" w:hAnsi="Calibri" w:cs="Calibri"/>
                <w:b/>
                <w:sz w:val="18"/>
                <w:szCs w:val="18"/>
              </w:rPr>
            </w:pPr>
            <w:r w:rsidRPr="005B12AE">
              <w:rPr>
                <w:rFonts w:ascii="Calibri" w:hAnsi="Calibri" w:cs="Calibri"/>
                <w:b/>
                <w:sz w:val="18"/>
                <w:szCs w:val="18"/>
              </w:rPr>
              <w:t>(</w:t>
            </w:r>
            <w:r w:rsidR="0006598B" w:rsidRPr="005B12AE">
              <w:rPr>
                <w:rFonts w:ascii="Calibri" w:hAnsi="Calibri" w:cs="Calibri"/>
                <w:b/>
                <w:sz w:val="18"/>
                <w:szCs w:val="18"/>
              </w:rPr>
              <w:t>2,500</w:t>
            </w:r>
            <w:r w:rsidRPr="005B12AE">
              <w:rPr>
                <w:rFonts w:ascii="Calibri" w:hAnsi="Calibri" w:cs="Calibri"/>
                <w:b/>
                <w:sz w:val="18"/>
                <w:szCs w:val="18"/>
              </w:rPr>
              <w:t>)</w:t>
            </w:r>
          </w:p>
        </w:tc>
        <w:tc>
          <w:tcPr>
            <w:tcW w:w="1134" w:type="dxa"/>
          </w:tcPr>
          <w:p w14:paraId="06F32CB4" w14:textId="77777777" w:rsidR="00DB7D80" w:rsidRPr="00815F07" w:rsidRDefault="00DB7D80" w:rsidP="00B87E67">
            <w:pPr>
              <w:tabs>
                <w:tab w:val="left" w:pos="8080"/>
              </w:tabs>
              <w:ind w:right="-28"/>
              <w:jc w:val="right"/>
              <w:rPr>
                <w:rFonts w:ascii="Calibri" w:hAnsi="Calibri" w:cs="Calibri"/>
                <w:color w:val="000000"/>
                <w:sz w:val="18"/>
                <w:szCs w:val="18"/>
              </w:rPr>
            </w:pPr>
            <w:r w:rsidRPr="00815F07">
              <w:rPr>
                <w:rFonts w:ascii="Calibri" w:hAnsi="Calibri" w:cs="Calibri"/>
                <w:color w:val="000000"/>
                <w:sz w:val="18"/>
                <w:szCs w:val="18"/>
              </w:rPr>
              <w:t>(2,500)</w:t>
            </w:r>
          </w:p>
        </w:tc>
      </w:tr>
      <w:tr w:rsidR="00DB7D80" w:rsidRPr="008901A5" w14:paraId="0DEB6EEA" w14:textId="77777777" w:rsidTr="005B12AE">
        <w:trPr>
          <w:trHeight w:val="221"/>
        </w:trPr>
        <w:tc>
          <w:tcPr>
            <w:tcW w:w="6663" w:type="dxa"/>
          </w:tcPr>
          <w:p w14:paraId="2EFEA200" w14:textId="77777777" w:rsidR="00DB7D80" w:rsidRPr="00987D69" w:rsidRDefault="00DB7D80" w:rsidP="00B87E67">
            <w:pPr>
              <w:tabs>
                <w:tab w:val="left" w:pos="8080"/>
              </w:tabs>
              <w:ind w:right="-28"/>
              <w:rPr>
                <w:rFonts w:ascii="Calibri" w:hAnsi="Calibri" w:cs="Calibri"/>
                <w:color w:val="000000"/>
                <w:sz w:val="18"/>
                <w:szCs w:val="18"/>
              </w:rPr>
            </w:pPr>
            <w:r w:rsidRPr="00987D69">
              <w:rPr>
                <w:rFonts w:ascii="Calibri" w:hAnsi="Calibri" w:cs="Calibri"/>
                <w:color w:val="000000"/>
                <w:sz w:val="18"/>
                <w:szCs w:val="18"/>
              </w:rPr>
              <w:t>Principal elements of lease payments</w:t>
            </w:r>
          </w:p>
        </w:tc>
        <w:tc>
          <w:tcPr>
            <w:tcW w:w="1275" w:type="dxa"/>
            <w:tcBorders>
              <w:bottom w:val="single" w:sz="4" w:space="0" w:color="auto"/>
            </w:tcBorders>
          </w:tcPr>
          <w:p w14:paraId="79999F3B" w14:textId="1667C88D" w:rsidR="00DB7D80" w:rsidRPr="005B12AE" w:rsidRDefault="00DB7D80" w:rsidP="00B87E67">
            <w:pPr>
              <w:tabs>
                <w:tab w:val="left" w:pos="8080"/>
              </w:tabs>
              <w:ind w:right="-28"/>
              <w:jc w:val="right"/>
              <w:rPr>
                <w:rFonts w:ascii="Calibri" w:hAnsi="Calibri" w:cs="Calibri"/>
                <w:b/>
                <w:sz w:val="18"/>
                <w:szCs w:val="18"/>
              </w:rPr>
            </w:pPr>
            <w:r w:rsidRPr="005B12AE">
              <w:rPr>
                <w:rFonts w:ascii="Calibri" w:hAnsi="Calibri" w:cs="Calibri"/>
                <w:b/>
                <w:sz w:val="18"/>
                <w:szCs w:val="18"/>
              </w:rPr>
              <w:t>(</w:t>
            </w:r>
            <w:r w:rsidR="0006598B" w:rsidRPr="005B12AE">
              <w:rPr>
                <w:rFonts w:ascii="Calibri" w:hAnsi="Calibri" w:cs="Calibri"/>
                <w:b/>
                <w:sz w:val="18"/>
                <w:szCs w:val="18"/>
              </w:rPr>
              <w:t>955</w:t>
            </w:r>
            <w:r w:rsidRPr="005B12AE">
              <w:rPr>
                <w:rFonts w:ascii="Calibri" w:hAnsi="Calibri" w:cs="Calibri"/>
                <w:b/>
                <w:sz w:val="18"/>
                <w:szCs w:val="18"/>
              </w:rPr>
              <w:t>)</w:t>
            </w:r>
          </w:p>
        </w:tc>
        <w:tc>
          <w:tcPr>
            <w:tcW w:w="1134" w:type="dxa"/>
            <w:tcBorders>
              <w:bottom w:val="single" w:sz="4" w:space="0" w:color="auto"/>
            </w:tcBorders>
          </w:tcPr>
          <w:p w14:paraId="340DBBD3" w14:textId="77777777" w:rsidR="00DB7D80" w:rsidRPr="00815F07" w:rsidRDefault="00DB7D80" w:rsidP="00B87E67">
            <w:pPr>
              <w:tabs>
                <w:tab w:val="left" w:pos="8080"/>
              </w:tabs>
              <w:ind w:right="-28"/>
              <w:jc w:val="right"/>
              <w:rPr>
                <w:rFonts w:ascii="Calibri" w:hAnsi="Calibri" w:cs="Calibri"/>
                <w:color w:val="000000"/>
                <w:sz w:val="18"/>
                <w:szCs w:val="18"/>
              </w:rPr>
            </w:pPr>
            <w:r w:rsidRPr="00815F07">
              <w:rPr>
                <w:rFonts w:ascii="Calibri" w:hAnsi="Calibri" w:cs="Calibri"/>
                <w:color w:val="000000"/>
                <w:sz w:val="18"/>
                <w:szCs w:val="18"/>
              </w:rPr>
              <w:t>(965)</w:t>
            </w:r>
          </w:p>
        </w:tc>
      </w:tr>
      <w:tr w:rsidR="00DB7D80" w:rsidRPr="008901A5" w14:paraId="757B2C8A" w14:textId="77777777" w:rsidTr="005B12AE">
        <w:trPr>
          <w:trHeight w:val="228"/>
        </w:trPr>
        <w:tc>
          <w:tcPr>
            <w:tcW w:w="6663" w:type="dxa"/>
          </w:tcPr>
          <w:p w14:paraId="1C0AB1A5" w14:textId="77777777" w:rsidR="00DB7D80" w:rsidRPr="00987D69" w:rsidRDefault="00DB7D80" w:rsidP="00B87E67">
            <w:pPr>
              <w:tabs>
                <w:tab w:val="left" w:pos="8080"/>
              </w:tabs>
              <w:ind w:right="-28"/>
              <w:rPr>
                <w:rFonts w:ascii="Calibri" w:hAnsi="Calibri" w:cs="Calibri"/>
                <w:b/>
                <w:color w:val="000000"/>
                <w:sz w:val="18"/>
                <w:szCs w:val="18"/>
              </w:rPr>
            </w:pPr>
            <w:r w:rsidRPr="00987D69">
              <w:rPr>
                <w:rFonts w:ascii="Calibri" w:hAnsi="Calibri" w:cs="Calibri"/>
                <w:b/>
                <w:color w:val="000000"/>
                <w:sz w:val="18"/>
                <w:szCs w:val="18"/>
              </w:rPr>
              <w:t>Net cash used in financing activities</w:t>
            </w:r>
          </w:p>
        </w:tc>
        <w:tc>
          <w:tcPr>
            <w:tcW w:w="1275" w:type="dxa"/>
            <w:tcBorders>
              <w:top w:val="single" w:sz="4" w:space="0" w:color="auto"/>
              <w:bottom w:val="single" w:sz="8" w:space="0" w:color="auto"/>
            </w:tcBorders>
          </w:tcPr>
          <w:p w14:paraId="614DC7FA" w14:textId="6D82CA75" w:rsidR="00DB7D80" w:rsidRPr="00A52563" w:rsidRDefault="00DB7D80" w:rsidP="00B87E67">
            <w:pPr>
              <w:tabs>
                <w:tab w:val="left" w:pos="8080"/>
              </w:tabs>
              <w:ind w:right="-28"/>
              <w:jc w:val="right"/>
              <w:rPr>
                <w:rFonts w:ascii="Calibri" w:hAnsi="Calibri" w:cs="Calibri"/>
                <w:b/>
                <w:sz w:val="18"/>
                <w:szCs w:val="18"/>
              </w:rPr>
            </w:pPr>
            <w:r w:rsidRPr="00A52563">
              <w:rPr>
                <w:rFonts w:ascii="Calibri" w:hAnsi="Calibri" w:cs="Calibri"/>
                <w:b/>
                <w:sz w:val="18"/>
                <w:szCs w:val="18"/>
              </w:rPr>
              <w:t>(</w:t>
            </w:r>
            <w:r w:rsidR="0006598B" w:rsidRPr="00A52563">
              <w:rPr>
                <w:rFonts w:ascii="Calibri" w:hAnsi="Calibri" w:cs="Calibri"/>
                <w:b/>
                <w:sz w:val="18"/>
                <w:szCs w:val="18"/>
              </w:rPr>
              <w:t>75,481</w:t>
            </w:r>
            <w:r w:rsidRPr="00A52563">
              <w:rPr>
                <w:rFonts w:ascii="Calibri" w:hAnsi="Calibri" w:cs="Calibri"/>
                <w:b/>
                <w:sz w:val="18"/>
                <w:szCs w:val="18"/>
              </w:rPr>
              <w:t>)</w:t>
            </w:r>
          </w:p>
        </w:tc>
        <w:tc>
          <w:tcPr>
            <w:tcW w:w="1134" w:type="dxa"/>
            <w:tcBorders>
              <w:top w:val="single" w:sz="4" w:space="0" w:color="auto"/>
              <w:bottom w:val="single" w:sz="8" w:space="0" w:color="auto"/>
            </w:tcBorders>
          </w:tcPr>
          <w:p w14:paraId="431AC819" w14:textId="77777777" w:rsidR="00DB7D80" w:rsidRPr="005B12AE" w:rsidRDefault="00DB7D80" w:rsidP="00B87E67">
            <w:pPr>
              <w:tabs>
                <w:tab w:val="left" w:pos="8080"/>
              </w:tabs>
              <w:ind w:right="-28"/>
              <w:jc w:val="right"/>
              <w:rPr>
                <w:rFonts w:ascii="Calibri" w:hAnsi="Calibri" w:cs="Calibri"/>
                <w:color w:val="000000"/>
                <w:sz w:val="18"/>
                <w:szCs w:val="18"/>
              </w:rPr>
            </w:pPr>
            <w:r w:rsidRPr="005B12AE">
              <w:rPr>
                <w:rFonts w:ascii="Calibri" w:hAnsi="Calibri" w:cs="Calibri"/>
                <w:color w:val="000000"/>
                <w:sz w:val="18"/>
                <w:szCs w:val="18"/>
              </w:rPr>
              <w:t>(39,335)</w:t>
            </w:r>
          </w:p>
        </w:tc>
      </w:tr>
      <w:tr w:rsidR="00DB7D80" w:rsidRPr="008901A5" w14:paraId="4A83A929" w14:textId="77777777" w:rsidTr="005B12AE">
        <w:trPr>
          <w:trHeight w:val="228"/>
        </w:trPr>
        <w:tc>
          <w:tcPr>
            <w:tcW w:w="6663" w:type="dxa"/>
          </w:tcPr>
          <w:p w14:paraId="11689296" w14:textId="77777777" w:rsidR="00DB7D80" w:rsidRPr="00987D69" w:rsidRDefault="00DB7D80" w:rsidP="00B87E67">
            <w:pPr>
              <w:tabs>
                <w:tab w:val="left" w:pos="8080"/>
              </w:tabs>
              <w:ind w:right="-28"/>
              <w:rPr>
                <w:rFonts w:ascii="Calibri" w:hAnsi="Calibri" w:cs="Calibri"/>
                <w:color w:val="000000"/>
                <w:sz w:val="18"/>
                <w:szCs w:val="18"/>
              </w:rPr>
            </w:pPr>
            <w:r w:rsidRPr="00987D69">
              <w:rPr>
                <w:rFonts w:ascii="Calibri" w:hAnsi="Calibri" w:cs="Calibri"/>
                <w:color w:val="000000"/>
                <w:sz w:val="18"/>
                <w:szCs w:val="18"/>
              </w:rPr>
              <w:t>Net decrease in cash and cash equivalents</w:t>
            </w:r>
          </w:p>
        </w:tc>
        <w:tc>
          <w:tcPr>
            <w:tcW w:w="1275" w:type="dxa"/>
          </w:tcPr>
          <w:p w14:paraId="73CC400F" w14:textId="793B840D" w:rsidR="00DB7D80" w:rsidRPr="005B12AE" w:rsidRDefault="00DB7D80" w:rsidP="00B87E67">
            <w:pPr>
              <w:tabs>
                <w:tab w:val="left" w:pos="8080"/>
              </w:tabs>
              <w:ind w:right="-28"/>
              <w:jc w:val="right"/>
              <w:rPr>
                <w:rFonts w:ascii="Calibri" w:hAnsi="Calibri" w:cs="Calibri"/>
                <w:b/>
                <w:sz w:val="18"/>
                <w:szCs w:val="18"/>
              </w:rPr>
            </w:pPr>
            <w:r w:rsidRPr="005B12AE">
              <w:rPr>
                <w:rFonts w:ascii="Calibri" w:hAnsi="Calibri" w:cs="Calibri"/>
                <w:b/>
                <w:sz w:val="18"/>
                <w:szCs w:val="18"/>
              </w:rPr>
              <w:t>(</w:t>
            </w:r>
            <w:r w:rsidR="001C1868" w:rsidRPr="005B12AE">
              <w:rPr>
                <w:rFonts w:ascii="Calibri" w:hAnsi="Calibri" w:cs="Calibri"/>
                <w:b/>
                <w:sz w:val="18"/>
                <w:szCs w:val="18"/>
              </w:rPr>
              <w:t>2</w:t>
            </w:r>
            <w:r w:rsidR="00EE5E0F">
              <w:rPr>
                <w:rFonts w:ascii="Calibri" w:hAnsi="Calibri" w:cs="Calibri"/>
                <w:b/>
                <w:sz w:val="18"/>
                <w:szCs w:val="18"/>
              </w:rPr>
              <w:t>2,909</w:t>
            </w:r>
            <w:r w:rsidRPr="005B12AE">
              <w:rPr>
                <w:rFonts w:ascii="Calibri" w:hAnsi="Calibri" w:cs="Calibri"/>
                <w:b/>
                <w:sz w:val="18"/>
                <w:szCs w:val="18"/>
              </w:rPr>
              <w:t>)</w:t>
            </w:r>
          </w:p>
        </w:tc>
        <w:tc>
          <w:tcPr>
            <w:tcW w:w="1134" w:type="dxa"/>
          </w:tcPr>
          <w:p w14:paraId="263B42F0" w14:textId="1B77B847" w:rsidR="00DB7D80" w:rsidRPr="00815F07" w:rsidRDefault="00DB7D80" w:rsidP="00B87E67">
            <w:pPr>
              <w:tabs>
                <w:tab w:val="left" w:pos="8080"/>
              </w:tabs>
              <w:ind w:right="-28"/>
              <w:jc w:val="right"/>
              <w:rPr>
                <w:rFonts w:ascii="Calibri" w:hAnsi="Calibri" w:cs="Calibri"/>
                <w:color w:val="000000"/>
                <w:sz w:val="18"/>
                <w:szCs w:val="18"/>
              </w:rPr>
            </w:pPr>
            <w:r w:rsidRPr="00815F07">
              <w:rPr>
                <w:rFonts w:ascii="Calibri" w:hAnsi="Calibri" w:cs="Calibri"/>
                <w:color w:val="000000"/>
                <w:sz w:val="18"/>
                <w:szCs w:val="18"/>
              </w:rPr>
              <w:t>(5,</w:t>
            </w:r>
            <w:r w:rsidR="00815F07" w:rsidRPr="00815F07">
              <w:rPr>
                <w:rFonts w:ascii="Calibri" w:hAnsi="Calibri" w:cs="Calibri"/>
                <w:color w:val="000000"/>
                <w:sz w:val="18"/>
                <w:szCs w:val="18"/>
              </w:rPr>
              <w:t>545</w:t>
            </w:r>
            <w:r w:rsidRPr="00815F07">
              <w:rPr>
                <w:rFonts w:ascii="Calibri" w:hAnsi="Calibri" w:cs="Calibri"/>
                <w:color w:val="000000"/>
                <w:sz w:val="18"/>
                <w:szCs w:val="18"/>
              </w:rPr>
              <w:t>)</w:t>
            </w:r>
          </w:p>
        </w:tc>
      </w:tr>
      <w:tr w:rsidR="00DB7D80" w:rsidRPr="008901A5" w14:paraId="13ABECC7" w14:textId="77777777" w:rsidTr="005B12AE">
        <w:trPr>
          <w:trHeight w:val="228"/>
        </w:trPr>
        <w:tc>
          <w:tcPr>
            <w:tcW w:w="6663" w:type="dxa"/>
          </w:tcPr>
          <w:p w14:paraId="37FD57AC" w14:textId="77777777" w:rsidR="00DB7D80" w:rsidRPr="00987D69" w:rsidRDefault="00DB7D80" w:rsidP="00B87E67">
            <w:pPr>
              <w:tabs>
                <w:tab w:val="left" w:pos="8080"/>
              </w:tabs>
              <w:ind w:right="-28"/>
              <w:rPr>
                <w:rFonts w:ascii="Calibri" w:hAnsi="Calibri" w:cs="Calibri"/>
                <w:color w:val="000000"/>
                <w:sz w:val="18"/>
                <w:szCs w:val="18"/>
              </w:rPr>
            </w:pPr>
            <w:r w:rsidRPr="00987D69">
              <w:rPr>
                <w:rFonts w:ascii="Calibri" w:hAnsi="Calibri" w:cs="Calibri"/>
                <w:color w:val="000000"/>
                <w:sz w:val="18"/>
                <w:szCs w:val="18"/>
              </w:rPr>
              <w:t>Cash and cash equivalents at the beginning of the period</w:t>
            </w:r>
          </w:p>
        </w:tc>
        <w:tc>
          <w:tcPr>
            <w:tcW w:w="1275" w:type="dxa"/>
          </w:tcPr>
          <w:p w14:paraId="0D1929CB" w14:textId="77777777" w:rsidR="00DB7D80" w:rsidRPr="005B12AE" w:rsidRDefault="00DB7D80" w:rsidP="00B87E67">
            <w:pPr>
              <w:tabs>
                <w:tab w:val="left" w:pos="8080"/>
              </w:tabs>
              <w:ind w:right="-28"/>
              <w:jc w:val="right"/>
              <w:rPr>
                <w:rFonts w:ascii="Calibri" w:hAnsi="Calibri" w:cs="Calibri"/>
                <w:b/>
                <w:sz w:val="18"/>
                <w:szCs w:val="18"/>
              </w:rPr>
            </w:pPr>
            <w:r w:rsidRPr="005B12AE">
              <w:rPr>
                <w:rFonts w:ascii="Calibri" w:hAnsi="Calibri" w:cs="Calibri"/>
                <w:b/>
                <w:sz w:val="18"/>
                <w:szCs w:val="18"/>
              </w:rPr>
              <w:t>165,240</w:t>
            </w:r>
          </w:p>
        </w:tc>
        <w:tc>
          <w:tcPr>
            <w:tcW w:w="1134" w:type="dxa"/>
          </w:tcPr>
          <w:p w14:paraId="55009DA0" w14:textId="77777777" w:rsidR="00DB7D80" w:rsidRPr="00815F07" w:rsidRDefault="00DB7D80" w:rsidP="00B87E67">
            <w:pPr>
              <w:tabs>
                <w:tab w:val="left" w:pos="8080"/>
              </w:tabs>
              <w:ind w:right="-28"/>
              <w:jc w:val="right"/>
              <w:rPr>
                <w:rFonts w:ascii="Calibri" w:hAnsi="Calibri" w:cs="Calibri"/>
                <w:color w:val="000000"/>
                <w:sz w:val="18"/>
                <w:szCs w:val="18"/>
              </w:rPr>
            </w:pPr>
            <w:r w:rsidRPr="00815F07">
              <w:rPr>
                <w:rFonts w:ascii="Calibri" w:hAnsi="Calibri" w:cs="Calibri"/>
                <w:color w:val="000000"/>
                <w:sz w:val="18"/>
                <w:szCs w:val="18"/>
              </w:rPr>
              <w:t>170,976</w:t>
            </w:r>
          </w:p>
        </w:tc>
      </w:tr>
      <w:tr w:rsidR="00815F07" w:rsidRPr="00815F07" w14:paraId="1141A5C5" w14:textId="77777777" w:rsidTr="005B12AE">
        <w:trPr>
          <w:trHeight w:val="43"/>
        </w:trPr>
        <w:tc>
          <w:tcPr>
            <w:tcW w:w="6663" w:type="dxa"/>
          </w:tcPr>
          <w:p w14:paraId="65DE8305" w14:textId="1D845D7E" w:rsidR="00815F07" w:rsidRPr="005B12AE" w:rsidRDefault="00815F07" w:rsidP="00B87E67">
            <w:pPr>
              <w:tabs>
                <w:tab w:val="left" w:pos="8080"/>
              </w:tabs>
              <w:ind w:right="-28"/>
              <w:rPr>
                <w:rFonts w:ascii="Calibri" w:hAnsi="Calibri" w:cs="Calibri"/>
                <w:bCs/>
                <w:color w:val="000000"/>
                <w:sz w:val="18"/>
                <w:szCs w:val="18"/>
              </w:rPr>
            </w:pPr>
            <w:r w:rsidRPr="005B12AE">
              <w:rPr>
                <w:rFonts w:ascii="Calibri" w:hAnsi="Calibri" w:cs="Calibri"/>
                <w:bCs/>
                <w:color w:val="000000"/>
                <w:sz w:val="18"/>
                <w:szCs w:val="18"/>
              </w:rPr>
              <w:t>Effect of exchange rate changes on cash and cash equivalents</w:t>
            </w:r>
          </w:p>
        </w:tc>
        <w:tc>
          <w:tcPr>
            <w:tcW w:w="1275" w:type="dxa"/>
            <w:tcBorders>
              <w:bottom w:val="single" w:sz="8" w:space="0" w:color="auto"/>
            </w:tcBorders>
          </w:tcPr>
          <w:p w14:paraId="245550E0" w14:textId="71457627" w:rsidR="00815F07" w:rsidRPr="00815F07" w:rsidRDefault="00815F07" w:rsidP="00B87E67">
            <w:pPr>
              <w:tabs>
                <w:tab w:val="left" w:pos="8080"/>
              </w:tabs>
              <w:ind w:right="-28"/>
              <w:jc w:val="right"/>
              <w:rPr>
                <w:rFonts w:ascii="Calibri" w:hAnsi="Calibri" w:cs="Calibri"/>
                <w:b/>
                <w:sz w:val="18"/>
                <w:szCs w:val="18"/>
              </w:rPr>
            </w:pPr>
            <w:r w:rsidRPr="00815F07">
              <w:rPr>
                <w:rFonts w:ascii="Calibri" w:hAnsi="Calibri" w:cs="Calibri"/>
                <w:b/>
                <w:sz w:val="18"/>
                <w:szCs w:val="18"/>
              </w:rPr>
              <w:t>68</w:t>
            </w:r>
          </w:p>
        </w:tc>
        <w:tc>
          <w:tcPr>
            <w:tcW w:w="1134" w:type="dxa"/>
            <w:tcBorders>
              <w:bottom w:val="single" w:sz="8" w:space="0" w:color="auto"/>
            </w:tcBorders>
          </w:tcPr>
          <w:p w14:paraId="780C7717" w14:textId="1DB707E0" w:rsidR="00815F07" w:rsidRPr="005B12AE" w:rsidRDefault="00815F07" w:rsidP="00B87E67">
            <w:pPr>
              <w:tabs>
                <w:tab w:val="left" w:pos="8080"/>
              </w:tabs>
              <w:ind w:right="-28"/>
              <w:jc w:val="right"/>
              <w:rPr>
                <w:rFonts w:ascii="Calibri" w:hAnsi="Calibri" w:cs="Calibri"/>
                <w:bCs/>
                <w:color w:val="000000"/>
                <w:sz w:val="18"/>
                <w:szCs w:val="18"/>
              </w:rPr>
            </w:pPr>
            <w:r w:rsidRPr="005B12AE">
              <w:rPr>
                <w:rFonts w:ascii="Calibri" w:hAnsi="Calibri" w:cs="Calibri"/>
                <w:bCs/>
                <w:color w:val="000000"/>
                <w:sz w:val="18"/>
                <w:szCs w:val="18"/>
              </w:rPr>
              <w:t>(191)</w:t>
            </w:r>
          </w:p>
        </w:tc>
      </w:tr>
      <w:tr w:rsidR="00DB7D80" w:rsidRPr="00815F07" w14:paraId="5CE80EEE" w14:textId="77777777" w:rsidTr="005B12AE">
        <w:trPr>
          <w:trHeight w:val="43"/>
        </w:trPr>
        <w:tc>
          <w:tcPr>
            <w:tcW w:w="6663" w:type="dxa"/>
          </w:tcPr>
          <w:p w14:paraId="45A7461D" w14:textId="77777777" w:rsidR="00DB7D80" w:rsidRPr="00987D69" w:rsidRDefault="00DB7D80" w:rsidP="00B87E67">
            <w:pPr>
              <w:tabs>
                <w:tab w:val="left" w:pos="8080"/>
              </w:tabs>
              <w:ind w:right="-28"/>
              <w:rPr>
                <w:rFonts w:ascii="Calibri" w:hAnsi="Calibri" w:cs="Calibri"/>
                <w:b/>
                <w:color w:val="000000"/>
                <w:sz w:val="18"/>
                <w:szCs w:val="18"/>
              </w:rPr>
            </w:pPr>
            <w:r w:rsidRPr="00987D69">
              <w:rPr>
                <w:rFonts w:ascii="Calibri" w:hAnsi="Calibri" w:cs="Calibri"/>
                <w:b/>
                <w:color w:val="000000"/>
                <w:sz w:val="18"/>
                <w:szCs w:val="18"/>
              </w:rPr>
              <w:t>Cash and cash equivalents at the end of the period</w:t>
            </w:r>
          </w:p>
        </w:tc>
        <w:tc>
          <w:tcPr>
            <w:tcW w:w="1275" w:type="dxa"/>
            <w:tcBorders>
              <w:bottom w:val="single" w:sz="8" w:space="0" w:color="auto"/>
            </w:tcBorders>
          </w:tcPr>
          <w:p w14:paraId="3D39ACBD" w14:textId="424BD432" w:rsidR="00DB7D80" w:rsidRPr="00A52563" w:rsidRDefault="00DB7D80" w:rsidP="00B87E67">
            <w:pPr>
              <w:tabs>
                <w:tab w:val="left" w:pos="8080"/>
              </w:tabs>
              <w:ind w:right="-28"/>
              <w:jc w:val="right"/>
              <w:rPr>
                <w:rFonts w:ascii="Calibri" w:hAnsi="Calibri" w:cs="Calibri"/>
                <w:b/>
                <w:sz w:val="18"/>
                <w:szCs w:val="18"/>
              </w:rPr>
            </w:pPr>
            <w:r w:rsidRPr="00A52563">
              <w:rPr>
                <w:rFonts w:ascii="Calibri" w:hAnsi="Calibri" w:cs="Calibri"/>
                <w:b/>
                <w:sz w:val="18"/>
                <w:szCs w:val="18"/>
              </w:rPr>
              <w:t>1</w:t>
            </w:r>
            <w:r w:rsidR="001C1868" w:rsidRPr="00A52563">
              <w:rPr>
                <w:rFonts w:ascii="Calibri" w:hAnsi="Calibri" w:cs="Calibri"/>
                <w:b/>
                <w:sz w:val="18"/>
                <w:szCs w:val="18"/>
              </w:rPr>
              <w:t>4</w:t>
            </w:r>
            <w:r w:rsidR="00EE5E0F">
              <w:rPr>
                <w:rFonts w:ascii="Calibri" w:hAnsi="Calibri" w:cs="Calibri"/>
                <w:b/>
                <w:sz w:val="18"/>
                <w:szCs w:val="18"/>
              </w:rPr>
              <w:t>2</w:t>
            </w:r>
            <w:r w:rsidRPr="00A52563">
              <w:rPr>
                <w:rFonts w:ascii="Calibri" w:hAnsi="Calibri" w:cs="Calibri"/>
                <w:b/>
                <w:sz w:val="18"/>
                <w:szCs w:val="18"/>
              </w:rPr>
              <w:t>,</w:t>
            </w:r>
            <w:r w:rsidR="00EE5E0F">
              <w:rPr>
                <w:rFonts w:ascii="Calibri" w:hAnsi="Calibri" w:cs="Calibri"/>
                <w:b/>
                <w:sz w:val="18"/>
                <w:szCs w:val="18"/>
              </w:rPr>
              <w:t>399</w:t>
            </w:r>
          </w:p>
        </w:tc>
        <w:tc>
          <w:tcPr>
            <w:tcW w:w="1134" w:type="dxa"/>
            <w:tcBorders>
              <w:bottom w:val="single" w:sz="8" w:space="0" w:color="auto"/>
            </w:tcBorders>
          </w:tcPr>
          <w:p w14:paraId="0E7C9836" w14:textId="77777777" w:rsidR="00DB7D80" w:rsidRPr="005B12AE" w:rsidRDefault="00DB7D80" w:rsidP="00B87E67">
            <w:pPr>
              <w:tabs>
                <w:tab w:val="left" w:pos="8080"/>
              </w:tabs>
              <w:ind w:right="-28"/>
              <w:jc w:val="right"/>
              <w:rPr>
                <w:rFonts w:ascii="Calibri" w:hAnsi="Calibri" w:cs="Calibri"/>
                <w:color w:val="000000"/>
                <w:sz w:val="18"/>
                <w:szCs w:val="18"/>
              </w:rPr>
            </w:pPr>
            <w:r w:rsidRPr="005B12AE">
              <w:rPr>
                <w:rFonts w:ascii="Calibri" w:hAnsi="Calibri" w:cs="Calibri"/>
                <w:color w:val="000000"/>
                <w:sz w:val="18"/>
                <w:szCs w:val="18"/>
              </w:rPr>
              <w:t>165,240</w:t>
            </w:r>
          </w:p>
        </w:tc>
      </w:tr>
    </w:tbl>
    <w:p w14:paraId="4D91ACF5" w14:textId="77777777" w:rsidR="00DB7D80" w:rsidRDefault="00DB7D80" w:rsidP="00DB7D80">
      <w:pPr>
        <w:rPr>
          <w:rFonts w:ascii="Calibri" w:hAnsi="Calibri" w:cs="Calibri"/>
          <w:sz w:val="18"/>
          <w:szCs w:val="18"/>
        </w:rPr>
      </w:pPr>
    </w:p>
    <w:p w14:paraId="68A50D71" w14:textId="77777777" w:rsidR="00DB7D80" w:rsidRDefault="00DB7D80" w:rsidP="00DB7D80">
      <w:pPr>
        <w:rPr>
          <w:rFonts w:ascii="Calibri" w:hAnsi="Calibri" w:cs="Calibri"/>
          <w:sz w:val="18"/>
          <w:szCs w:val="18"/>
        </w:rPr>
      </w:pPr>
    </w:p>
    <w:p w14:paraId="1F018B1C" w14:textId="21FB7CEC" w:rsidR="00DB7D80" w:rsidRDefault="00DB7D80" w:rsidP="00DB7D80">
      <w:pPr>
        <w:tabs>
          <w:tab w:val="left" w:pos="3915"/>
        </w:tabs>
        <w:spacing w:after="200" w:line="276" w:lineRule="auto"/>
        <w:jc w:val="both"/>
        <w:rPr>
          <w:rFonts w:ascii="Calibri" w:hAnsi="Calibri" w:cs="Calibri"/>
          <w:b/>
          <w:color w:val="000000"/>
          <w:sz w:val="18"/>
          <w:szCs w:val="18"/>
        </w:rPr>
      </w:pPr>
      <w:r w:rsidRPr="00880EF3">
        <w:rPr>
          <w:rFonts w:ascii="Calibri" w:hAnsi="Calibri" w:cs="Calibri"/>
          <w:color w:val="000000"/>
          <w:sz w:val="18"/>
          <w:szCs w:val="18"/>
          <w:vertAlign w:val="superscript"/>
          <w:lang w:val="en-IE"/>
        </w:rPr>
        <w:t>1</w:t>
      </w:r>
      <w:r w:rsidRPr="00880EF3">
        <w:rPr>
          <w:rFonts w:ascii="Calibri" w:hAnsi="Calibri" w:cs="Calibri"/>
          <w:color w:val="000000"/>
          <w:sz w:val="18"/>
          <w:szCs w:val="18"/>
          <w:lang w:val="en-IE"/>
        </w:rPr>
        <w:t xml:space="preserve"> </w:t>
      </w:r>
      <w:r>
        <w:rPr>
          <w:rFonts w:ascii="Calibri" w:hAnsi="Calibri" w:cs="Calibri"/>
          <w:color w:val="000000"/>
          <w:sz w:val="18"/>
          <w:szCs w:val="18"/>
          <w:lang w:val="en-IE"/>
        </w:rPr>
        <w:t>On 1 January 2023, IFRS 17 ‘Insurance Contracts’ became effective, replacing IFRS 4 ‘Insurance Contacts’</w:t>
      </w:r>
      <w:r w:rsidRPr="00880EF3">
        <w:rPr>
          <w:rFonts w:ascii="Calibri" w:hAnsi="Calibri" w:cs="Calibri"/>
          <w:color w:val="000000"/>
          <w:sz w:val="18"/>
          <w:szCs w:val="18"/>
          <w:lang w:val="en-IE"/>
        </w:rPr>
        <w:t>.</w:t>
      </w:r>
      <w:r>
        <w:rPr>
          <w:rFonts w:ascii="Calibri" w:hAnsi="Calibri" w:cs="Calibri"/>
          <w:color w:val="000000"/>
          <w:sz w:val="18"/>
          <w:szCs w:val="18"/>
          <w:lang w:val="en-IE"/>
        </w:rPr>
        <w:t xml:space="preserve"> The Group elected, as it met the criteria for a temporary exemption, to defer the application of IFRS 9 ‘Financial Instruments’ (replacing IAS 39) until 1 January 2023. </w:t>
      </w:r>
      <w:r w:rsidR="00B73EF1" w:rsidRPr="0032247F">
        <w:rPr>
          <w:rFonts w:ascii="Calibri" w:hAnsi="Calibri" w:cs="Calibri"/>
          <w:color w:val="000000"/>
          <w:sz w:val="18"/>
          <w:szCs w:val="18"/>
          <w:lang w:val="en-IE"/>
        </w:rPr>
        <w:t xml:space="preserve">See </w:t>
      </w:r>
      <w:r w:rsidR="005D4461">
        <w:rPr>
          <w:rFonts w:ascii="Calibri" w:hAnsi="Calibri" w:cs="Calibri"/>
          <w:color w:val="000000"/>
          <w:sz w:val="18"/>
          <w:szCs w:val="18"/>
          <w:lang w:val="en-IE"/>
        </w:rPr>
        <w:t>n</w:t>
      </w:r>
      <w:r w:rsidR="005D4461" w:rsidRPr="005D4461">
        <w:rPr>
          <w:rFonts w:ascii="Calibri" w:hAnsi="Calibri" w:cs="Calibri"/>
          <w:color w:val="000000"/>
          <w:sz w:val="18"/>
          <w:szCs w:val="18"/>
          <w:lang w:val="en-IE"/>
        </w:rPr>
        <w:t>ote 3 for updated accounting policies and note 4 for transitional impact</w:t>
      </w:r>
      <w:r w:rsidR="009F65E5">
        <w:rPr>
          <w:rFonts w:ascii="Calibri" w:hAnsi="Calibri" w:cs="Calibri"/>
          <w:color w:val="000000"/>
          <w:sz w:val="18"/>
          <w:szCs w:val="18"/>
          <w:lang w:val="en-IE"/>
        </w:rPr>
        <w:t xml:space="preserve"> </w:t>
      </w:r>
      <w:r w:rsidR="00B73EF1" w:rsidRPr="0032247F">
        <w:rPr>
          <w:rFonts w:ascii="Calibri" w:hAnsi="Calibri" w:cs="Calibri"/>
          <w:color w:val="000000"/>
          <w:sz w:val="18"/>
          <w:szCs w:val="18"/>
          <w:lang w:val="en-IE"/>
        </w:rPr>
        <w:t xml:space="preserve">in the Annual Report </w:t>
      </w:r>
      <w:r w:rsidR="00B73EF1">
        <w:rPr>
          <w:rFonts w:ascii="Calibri" w:hAnsi="Calibri" w:cs="Calibri"/>
          <w:color w:val="000000"/>
          <w:sz w:val="18"/>
          <w:szCs w:val="18"/>
          <w:lang w:val="en-IE"/>
        </w:rPr>
        <w:t>2023</w:t>
      </w:r>
      <w:r w:rsidR="00B73EF1" w:rsidRPr="0032247F">
        <w:rPr>
          <w:rFonts w:ascii="Calibri" w:hAnsi="Calibri" w:cs="Calibri"/>
          <w:color w:val="000000"/>
          <w:sz w:val="18"/>
          <w:szCs w:val="18"/>
          <w:lang w:val="en-IE"/>
        </w:rPr>
        <w:t>.</w:t>
      </w:r>
      <w:r>
        <w:rPr>
          <w:rFonts w:ascii="Calibri" w:hAnsi="Calibri" w:cs="Calibri"/>
          <w:b/>
          <w:color w:val="000000"/>
          <w:sz w:val="18"/>
          <w:szCs w:val="18"/>
        </w:rPr>
        <w:tab/>
      </w:r>
    </w:p>
    <w:p w14:paraId="6DDAE26D" w14:textId="77777777" w:rsidR="00DB7D80" w:rsidRPr="00880EF3" w:rsidRDefault="00DB7D80" w:rsidP="00DB7D80">
      <w:pPr>
        <w:tabs>
          <w:tab w:val="left" w:pos="8080"/>
        </w:tabs>
        <w:ind w:right="-28"/>
        <w:jc w:val="center"/>
        <w:rPr>
          <w:rFonts w:ascii="Calibri" w:hAnsi="Calibri" w:cs="Calibri"/>
          <w:b/>
          <w:color w:val="000000"/>
          <w:sz w:val="18"/>
          <w:szCs w:val="18"/>
        </w:rPr>
      </w:pPr>
    </w:p>
    <w:p w14:paraId="69B719FF" w14:textId="77777777" w:rsidR="00DB7D80" w:rsidRDefault="006C2D8A">
      <w:pPr>
        <w:spacing w:after="200" w:line="276" w:lineRule="auto"/>
        <w:rPr>
          <w:rFonts w:asciiTheme="minorHAnsi" w:hAnsiTheme="minorHAnsi" w:cstheme="minorHAnsi"/>
          <w:b/>
          <w:color w:val="000000"/>
          <w:sz w:val="22"/>
        </w:rPr>
        <w:sectPr w:rsidR="00DB7D80" w:rsidSect="0041037A">
          <w:footerReference w:type="default" r:id="rId10"/>
          <w:pgSz w:w="11906" w:h="16838"/>
          <w:pgMar w:top="1440" w:right="1440" w:bottom="1440" w:left="1440" w:header="708" w:footer="708" w:gutter="0"/>
          <w:cols w:space="708"/>
          <w:docGrid w:linePitch="360"/>
        </w:sectPr>
      </w:pPr>
      <w:r w:rsidRPr="001D5AED">
        <w:rPr>
          <w:rFonts w:asciiTheme="minorHAnsi" w:hAnsiTheme="minorHAnsi" w:cstheme="minorHAnsi"/>
          <w:b/>
          <w:color w:val="000000"/>
          <w:sz w:val="22"/>
        </w:rPr>
        <w:br w:type="page"/>
      </w:r>
    </w:p>
    <w:p w14:paraId="6796FEB6" w14:textId="77777777" w:rsidR="004969ED" w:rsidRPr="001D5AED" w:rsidRDefault="004969ED" w:rsidP="003E636B">
      <w:pPr>
        <w:tabs>
          <w:tab w:val="right" w:pos="9778"/>
        </w:tabs>
        <w:jc w:val="center"/>
        <w:rPr>
          <w:rFonts w:asciiTheme="minorHAnsi" w:hAnsiTheme="minorHAnsi" w:cstheme="minorHAnsi"/>
          <w:color w:val="000000"/>
          <w:sz w:val="22"/>
        </w:rPr>
      </w:pPr>
      <w:r w:rsidRPr="001D5AED">
        <w:rPr>
          <w:rFonts w:asciiTheme="minorHAnsi" w:hAnsiTheme="minorHAnsi" w:cstheme="minorHAnsi"/>
          <w:b/>
          <w:color w:val="000000"/>
          <w:sz w:val="22"/>
        </w:rPr>
        <w:t>FBD Holdings plc</w:t>
      </w:r>
    </w:p>
    <w:p w14:paraId="26B68D72" w14:textId="77777777" w:rsidR="004969ED" w:rsidRPr="001D5AED" w:rsidRDefault="004969ED" w:rsidP="003E636B">
      <w:pPr>
        <w:tabs>
          <w:tab w:val="right" w:pos="5760"/>
          <w:tab w:val="decimal" w:pos="7387"/>
          <w:tab w:val="decimal" w:pos="9360"/>
        </w:tabs>
        <w:jc w:val="center"/>
        <w:rPr>
          <w:rFonts w:asciiTheme="minorHAnsi" w:hAnsiTheme="minorHAnsi" w:cstheme="minorHAnsi"/>
          <w:b/>
          <w:color w:val="000000"/>
          <w:sz w:val="22"/>
        </w:rPr>
      </w:pPr>
      <w:r w:rsidRPr="001D5AED">
        <w:rPr>
          <w:rFonts w:asciiTheme="minorHAnsi" w:hAnsiTheme="minorHAnsi" w:cstheme="minorHAnsi"/>
          <w:b/>
          <w:color w:val="000000"/>
          <w:sz w:val="22"/>
        </w:rPr>
        <w:t>Consolidated Statement of Changes in Equity</w:t>
      </w:r>
    </w:p>
    <w:p w14:paraId="445D1585" w14:textId="561C4A1E" w:rsidR="004969ED" w:rsidRPr="001D5AED" w:rsidRDefault="004969ED" w:rsidP="003E636B">
      <w:pPr>
        <w:tabs>
          <w:tab w:val="right" w:pos="5760"/>
          <w:tab w:val="decimal" w:pos="7387"/>
          <w:tab w:val="decimal" w:pos="9360"/>
        </w:tabs>
        <w:jc w:val="center"/>
        <w:rPr>
          <w:rFonts w:asciiTheme="minorHAnsi" w:hAnsiTheme="minorHAnsi" w:cstheme="minorHAnsi"/>
          <w:b/>
          <w:color w:val="000000"/>
          <w:sz w:val="22"/>
        </w:rPr>
      </w:pPr>
      <w:r w:rsidRPr="001D5AED">
        <w:rPr>
          <w:rFonts w:asciiTheme="minorHAnsi" w:hAnsiTheme="minorHAnsi" w:cstheme="minorHAnsi"/>
          <w:b/>
          <w:color w:val="000000"/>
          <w:sz w:val="22"/>
        </w:rPr>
        <w:t>For the finan</w:t>
      </w:r>
      <w:r w:rsidR="00A77CA9" w:rsidRPr="001D5AED">
        <w:rPr>
          <w:rFonts w:asciiTheme="minorHAnsi" w:hAnsiTheme="minorHAnsi" w:cstheme="minorHAnsi"/>
          <w:b/>
          <w:color w:val="000000"/>
          <w:sz w:val="22"/>
        </w:rPr>
        <w:t>cial year ended 31 December 202</w:t>
      </w:r>
      <w:r w:rsidR="00460D52">
        <w:rPr>
          <w:rFonts w:asciiTheme="minorHAnsi" w:hAnsiTheme="minorHAnsi" w:cstheme="minorHAnsi"/>
          <w:b/>
          <w:color w:val="000000"/>
          <w:sz w:val="22"/>
        </w:rPr>
        <w:t>3</w:t>
      </w:r>
    </w:p>
    <w:p w14:paraId="420F779E" w14:textId="77777777" w:rsidR="004969ED" w:rsidRDefault="004969ED" w:rsidP="004969ED">
      <w:pPr>
        <w:tabs>
          <w:tab w:val="left" w:pos="2552"/>
        </w:tabs>
        <w:rPr>
          <w:rFonts w:asciiTheme="minorHAnsi" w:hAnsiTheme="minorHAnsi" w:cstheme="minorHAnsi"/>
          <w:b/>
          <w:color w:val="000000"/>
          <w:sz w:val="22"/>
        </w:rPr>
      </w:pPr>
    </w:p>
    <w:tbl>
      <w:tblPr>
        <w:tblStyle w:val="TableGrid"/>
        <w:tblpPr w:leftFromText="180" w:rightFromText="180" w:vertAnchor="text" w:horzAnchor="page" w:tblpX="726" w:tblpY="185"/>
        <w:tblW w:w="15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79"/>
        <w:gridCol w:w="1418"/>
        <w:gridCol w:w="1275"/>
        <w:gridCol w:w="1195"/>
        <w:gridCol w:w="1195"/>
        <w:gridCol w:w="1478"/>
        <w:gridCol w:w="1276"/>
        <w:gridCol w:w="1073"/>
        <w:gridCol w:w="61"/>
      </w:tblGrid>
      <w:tr w:rsidR="00542A05" w:rsidRPr="00542A05" w14:paraId="05CAEE58" w14:textId="77777777" w:rsidTr="00542A05">
        <w:trPr>
          <w:trHeight w:val="989"/>
        </w:trPr>
        <w:tc>
          <w:tcPr>
            <w:tcW w:w="6379" w:type="dxa"/>
          </w:tcPr>
          <w:p w14:paraId="230DD0EB" w14:textId="77777777" w:rsidR="00542A05" w:rsidRPr="00987D69" w:rsidRDefault="00542A05" w:rsidP="00542A05">
            <w:pPr>
              <w:tabs>
                <w:tab w:val="left" w:pos="8080"/>
              </w:tabs>
              <w:ind w:right="-28"/>
              <w:rPr>
                <w:rFonts w:ascii="Calibri" w:hAnsi="Calibri" w:cs="Calibri"/>
                <w:sz w:val="18"/>
                <w:szCs w:val="18"/>
              </w:rPr>
            </w:pPr>
          </w:p>
        </w:tc>
        <w:tc>
          <w:tcPr>
            <w:tcW w:w="1418" w:type="dxa"/>
          </w:tcPr>
          <w:p w14:paraId="64149140" w14:textId="77777777" w:rsidR="00542A05" w:rsidRPr="00542A05" w:rsidRDefault="00542A05" w:rsidP="00542A05">
            <w:pPr>
              <w:tabs>
                <w:tab w:val="left" w:pos="8080"/>
              </w:tabs>
              <w:ind w:right="-28"/>
              <w:jc w:val="right"/>
              <w:rPr>
                <w:rFonts w:ascii="Calibri" w:hAnsi="Calibri" w:cs="Calibri"/>
                <w:sz w:val="18"/>
                <w:szCs w:val="18"/>
              </w:rPr>
            </w:pPr>
            <w:r w:rsidRPr="00542A05">
              <w:rPr>
                <w:rFonts w:ascii="Calibri" w:hAnsi="Calibri" w:cs="Calibri"/>
                <w:b/>
                <w:bCs/>
                <w:color w:val="000000"/>
                <w:sz w:val="18"/>
                <w:szCs w:val="18"/>
                <w:lang w:val="en-IE" w:eastAsia="zh-CN"/>
              </w:rPr>
              <w:t>Call up share capital presented as equity</w:t>
            </w:r>
          </w:p>
        </w:tc>
        <w:tc>
          <w:tcPr>
            <w:tcW w:w="1275" w:type="dxa"/>
          </w:tcPr>
          <w:p w14:paraId="041521D7" w14:textId="46C72B70" w:rsidR="00542A05" w:rsidRPr="00542A05" w:rsidRDefault="00542A05" w:rsidP="00542A05">
            <w:pPr>
              <w:tabs>
                <w:tab w:val="left" w:pos="8080"/>
              </w:tabs>
              <w:ind w:right="-28"/>
              <w:jc w:val="right"/>
              <w:rPr>
                <w:rFonts w:ascii="Calibri" w:hAnsi="Calibri" w:cs="Calibri"/>
                <w:b/>
                <w:bCs/>
                <w:color w:val="000000"/>
                <w:sz w:val="18"/>
                <w:szCs w:val="18"/>
                <w:lang w:val="en-IE" w:eastAsia="zh-CN"/>
              </w:rPr>
            </w:pPr>
            <w:r w:rsidRPr="00542A05">
              <w:rPr>
                <w:rFonts w:ascii="Calibri" w:hAnsi="Calibri" w:cs="Calibri"/>
                <w:b/>
                <w:bCs/>
                <w:color w:val="000000"/>
                <w:sz w:val="18"/>
                <w:szCs w:val="18"/>
                <w:lang w:val="en-IE" w:eastAsia="zh-CN"/>
              </w:rPr>
              <w:t>Capital reserves</w:t>
            </w:r>
          </w:p>
        </w:tc>
        <w:tc>
          <w:tcPr>
            <w:tcW w:w="1195" w:type="dxa"/>
          </w:tcPr>
          <w:p w14:paraId="09AD54FD" w14:textId="5D6B2B5B" w:rsidR="00542A05" w:rsidRPr="00542A05" w:rsidRDefault="00542A05" w:rsidP="00542A05">
            <w:pPr>
              <w:tabs>
                <w:tab w:val="left" w:pos="8080"/>
              </w:tabs>
              <w:ind w:right="-28"/>
              <w:jc w:val="right"/>
              <w:rPr>
                <w:rFonts w:ascii="Calibri" w:hAnsi="Calibri" w:cs="Calibri"/>
                <w:b/>
                <w:bCs/>
                <w:color w:val="000000"/>
                <w:sz w:val="18"/>
                <w:szCs w:val="18"/>
                <w:lang w:val="en-IE" w:eastAsia="zh-CN"/>
              </w:rPr>
            </w:pPr>
            <w:r w:rsidRPr="00542A05">
              <w:rPr>
                <w:rFonts w:ascii="Calibri" w:hAnsi="Calibri" w:cs="Calibri"/>
                <w:b/>
                <w:bCs/>
                <w:color w:val="000000"/>
                <w:sz w:val="18"/>
                <w:szCs w:val="18"/>
                <w:lang w:val="en-IE" w:eastAsia="zh-CN"/>
              </w:rPr>
              <w:t>Other reserves</w:t>
            </w:r>
          </w:p>
        </w:tc>
        <w:tc>
          <w:tcPr>
            <w:tcW w:w="1195" w:type="dxa"/>
          </w:tcPr>
          <w:p w14:paraId="39BFE390" w14:textId="21565FFE" w:rsidR="00542A05" w:rsidRPr="00542A05" w:rsidRDefault="00542A05" w:rsidP="00542A05">
            <w:pPr>
              <w:tabs>
                <w:tab w:val="left" w:pos="8080"/>
              </w:tabs>
              <w:ind w:right="-28"/>
              <w:jc w:val="right"/>
              <w:rPr>
                <w:rFonts w:ascii="Calibri" w:hAnsi="Calibri" w:cs="Calibri"/>
                <w:b/>
                <w:bCs/>
                <w:color w:val="000000"/>
                <w:sz w:val="18"/>
                <w:szCs w:val="18"/>
                <w:lang w:val="en-IE" w:eastAsia="zh-CN"/>
              </w:rPr>
            </w:pPr>
            <w:proofErr w:type="gramStart"/>
            <w:r w:rsidRPr="00542A05">
              <w:rPr>
                <w:rFonts w:ascii="Calibri" w:hAnsi="Calibri" w:cs="Calibri"/>
                <w:b/>
                <w:bCs/>
                <w:color w:val="000000"/>
                <w:sz w:val="18"/>
                <w:szCs w:val="18"/>
                <w:lang w:val="en-IE" w:eastAsia="zh-CN"/>
              </w:rPr>
              <w:t>Retained  earnings</w:t>
            </w:r>
            <w:proofErr w:type="gramEnd"/>
          </w:p>
        </w:tc>
        <w:tc>
          <w:tcPr>
            <w:tcW w:w="1478" w:type="dxa"/>
          </w:tcPr>
          <w:p w14:paraId="6FF5742F" w14:textId="77777777" w:rsidR="00542A05" w:rsidRPr="00542A05" w:rsidRDefault="00542A05" w:rsidP="00542A05">
            <w:pPr>
              <w:tabs>
                <w:tab w:val="left" w:pos="8080"/>
              </w:tabs>
              <w:ind w:right="-28"/>
              <w:jc w:val="right"/>
              <w:rPr>
                <w:rFonts w:ascii="Calibri" w:hAnsi="Calibri" w:cs="Calibri"/>
                <w:b/>
                <w:bCs/>
                <w:color w:val="000000"/>
                <w:sz w:val="18"/>
                <w:szCs w:val="18"/>
                <w:lang w:val="en-IE" w:eastAsia="zh-CN"/>
              </w:rPr>
            </w:pPr>
            <w:r w:rsidRPr="00542A05">
              <w:rPr>
                <w:rFonts w:ascii="Calibri" w:hAnsi="Calibri" w:cs="Calibri"/>
                <w:b/>
                <w:bCs/>
                <w:color w:val="000000"/>
                <w:sz w:val="18"/>
                <w:szCs w:val="18"/>
                <w:lang w:val="en-IE" w:eastAsia="zh-CN"/>
              </w:rPr>
              <w:t>Attributable to ordinary shareholders</w:t>
            </w:r>
          </w:p>
        </w:tc>
        <w:tc>
          <w:tcPr>
            <w:tcW w:w="1276" w:type="dxa"/>
          </w:tcPr>
          <w:p w14:paraId="367730ED" w14:textId="77777777" w:rsidR="00542A05" w:rsidRPr="00542A05" w:rsidRDefault="00542A05" w:rsidP="00542A05">
            <w:pPr>
              <w:tabs>
                <w:tab w:val="left" w:pos="8080"/>
              </w:tabs>
              <w:ind w:right="-28"/>
              <w:jc w:val="right"/>
              <w:rPr>
                <w:rFonts w:ascii="Calibri" w:hAnsi="Calibri" w:cs="Calibri"/>
                <w:b/>
                <w:bCs/>
                <w:color w:val="000000"/>
                <w:sz w:val="18"/>
                <w:szCs w:val="18"/>
                <w:lang w:val="en-IE" w:eastAsia="zh-CN"/>
              </w:rPr>
            </w:pPr>
            <w:r w:rsidRPr="00542A05">
              <w:rPr>
                <w:rFonts w:ascii="Calibri" w:hAnsi="Calibri" w:cs="Calibri"/>
                <w:b/>
                <w:bCs/>
                <w:color w:val="000000"/>
                <w:sz w:val="18"/>
                <w:szCs w:val="18"/>
                <w:lang w:val="en-IE" w:eastAsia="zh-CN"/>
              </w:rPr>
              <w:t>Preference share capital</w:t>
            </w:r>
          </w:p>
        </w:tc>
        <w:tc>
          <w:tcPr>
            <w:tcW w:w="1134" w:type="dxa"/>
            <w:gridSpan w:val="2"/>
          </w:tcPr>
          <w:p w14:paraId="159CC5B3" w14:textId="77777777" w:rsidR="00542A05" w:rsidRPr="00542A05" w:rsidRDefault="00542A05" w:rsidP="00542A05">
            <w:pPr>
              <w:tabs>
                <w:tab w:val="left" w:pos="8080"/>
              </w:tabs>
              <w:ind w:right="-28"/>
              <w:jc w:val="right"/>
              <w:rPr>
                <w:rFonts w:ascii="Calibri" w:hAnsi="Calibri" w:cs="Calibri"/>
                <w:b/>
                <w:bCs/>
                <w:color w:val="000000"/>
                <w:sz w:val="18"/>
                <w:szCs w:val="18"/>
                <w:lang w:val="en-IE" w:eastAsia="zh-CN"/>
              </w:rPr>
            </w:pPr>
            <w:r w:rsidRPr="00542A05">
              <w:rPr>
                <w:rFonts w:ascii="Calibri" w:hAnsi="Calibri" w:cs="Calibri"/>
                <w:b/>
                <w:bCs/>
                <w:color w:val="000000"/>
                <w:sz w:val="18"/>
                <w:szCs w:val="18"/>
                <w:lang w:val="en-IE" w:eastAsia="zh-CN"/>
              </w:rPr>
              <w:t>Total equity</w:t>
            </w:r>
          </w:p>
          <w:p w14:paraId="3A591016" w14:textId="77777777" w:rsidR="00542A05" w:rsidRPr="00542A05" w:rsidRDefault="00542A05" w:rsidP="00542A05">
            <w:pPr>
              <w:tabs>
                <w:tab w:val="left" w:pos="8080"/>
              </w:tabs>
              <w:ind w:left="-108" w:right="190"/>
              <w:jc w:val="right"/>
              <w:rPr>
                <w:rFonts w:ascii="Calibri" w:hAnsi="Calibri" w:cs="Calibri"/>
                <w:b/>
                <w:bCs/>
                <w:color w:val="000000"/>
                <w:sz w:val="18"/>
                <w:szCs w:val="18"/>
                <w:lang w:val="en-IE" w:eastAsia="zh-CN"/>
              </w:rPr>
            </w:pPr>
          </w:p>
        </w:tc>
      </w:tr>
      <w:tr w:rsidR="00542A05" w:rsidRPr="00542A05" w14:paraId="5F39F623" w14:textId="77777777" w:rsidTr="00542A05">
        <w:trPr>
          <w:trHeight w:val="226"/>
        </w:trPr>
        <w:tc>
          <w:tcPr>
            <w:tcW w:w="6379" w:type="dxa"/>
          </w:tcPr>
          <w:p w14:paraId="55264AFB" w14:textId="77777777" w:rsidR="00542A05" w:rsidRPr="00542A05" w:rsidRDefault="00542A05" w:rsidP="00542A05">
            <w:pPr>
              <w:tabs>
                <w:tab w:val="left" w:pos="8080"/>
              </w:tabs>
              <w:ind w:right="-28"/>
              <w:rPr>
                <w:rFonts w:ascii="Calibri" w:hAnsi="Calibri" w:cs="Calibri"/>
                <w:sz w:val="18"/>
                <w:szCs w:val="18"/>
              </w:rPr>
            </w:pPr>
          </w:p>
        </w:tc>
        <w:tc>
          <w:tcPr>
            <w:tcW w:w="1418" w:type="dxa"/>
            <w:tcBorders>
              <w:bottom w:val="single" w:sz="4" w:space="0" w:color="auto"/>
            </w:tcBorders>
          </w:tcPr>
          <w:p w14:paraId="3917750C" w14:textId="77777777" w:rsidR="00542A05" w:rsidRPr="00542A05" w:rsidRDefault="00542A05" w:rsidP="00542A05">
            <w:pPr>
              <w:tabs>
                <w:tab w:val="left" w:pos="8080"/>
              </w:tabs>
              <w:ind w:right="-28"/>
              <w:jc w:val="right"/>
              <w:rPr>
                <w:rFonts w:ascii="Calibri" w:hAnsi="Calibri" w:cs="Calibri"/>
                <w:sz w:val="18"/>
                <w:szCs w:val="18"/>
              </w:rPr>
            </w:pPr>
            <w:r w:rsidRPr="00542A05">
              <w:rPr>
                <w:rFonts w:ascii="Calibri" w:hAnsi="Calibri" w:cs="Calibri"/>
                <w:b/>
                <w:bCs/>
                <w:color w:val="000000"/>
                <w:sz w:val="18"/>
                <w:szCs w:val="18"/>
                <w:lang w:val="en-IE" w:eastAsia="zh-CN"/>
              </w:rPr>
              <w:t>€000s</w:t>
            </w:r>
          </w:p>
        </w:tc>
        <w:tc>
          <w:tcPr>
            <w:tcW w:w="1275" w:type="dxa"/>
            <w:tcBorders>
              <w:bottom w:val="single" w:sz="4" w:space="0" w:color="auto"/>
            </w:tcBorders>
          </w:tcPr>
          <w:p w14:paraId="53F21C7C" w14:textId="77777777" w:rsidR="00542A05" w:rsidRPr="00542A05" w:rsidRDefault="00542A05" w:rsidP="00542A05">
            <w:pPr>
              <w:tabs>
                <w:tab w:val="left" w:pos="8080"/>
              </w:tabs>
              <w:ind w:right="-28"/>
              <w:jc w:val="right"/>
              <w:rPr>
                <w:rFonts w:ascii="Calibri" w:hAnsi="Calibri" w:cs="Calibri"/>
                <w:sz w:val="18"/>
                <w:szCs w:val="18"/>
              </w:rPr>
            </w:pPr>
            <w:r w:rsidRPr="00542A05">
              <w:rPr>
                <w:rFonts w:ascii="Calibri" w:hAnsi="Calibri" w:cs="Calibri"/>
                <w:b/>
                <w:bCs/>
                <w:color w:val="000000"/>
                <w:sz w:val="18"/>
                <w:szCs w:val="18"/>
                <w:lang w:val="en-IE" w:eastAsia="zh-CN"/>
              </w:rPr>
              <w:t>€000s</w:t>
            </w:r>
          </w:p>
        </w:tc>
        <w:tc>
          <w:tcPr>
            <w:tcW w:w="1195" w:type="dxa"/>
            <w:tcBorders>
              <w:bottom w:val="single" w:sz="4" w:space="0" w:color="auto"/>
            </w:tcBorders>
          </w:tcPr>
          <w:p w14:paraId="3D9F70DA" w14:textId="736B1A2C" w:rsidR="00542A05" w:rsidRPr="00542A05" w:rsidRDefault="00542A05" w:rsidP="00542A05">
            <w:pPr>
              <w:tabs>
                <w:tab w:val="left" w:pos="8080"/>
              </w:tabs>
              <w:ind w:right="-28"/>
              <w:jc w:val="right"/>
              <w:rPr>
                <w:rFonts w:ascii="Calibri" w:hAnsi="Calibri" w:cs="Calibri"/>
                <w:b/>
                <w:bCs/>
                <w:color w:val="000000"/>
                <w:sz w:val="18"/>
                <w:szCs w:val="18"/>
                <w:lang w:val="en-IE" w:eastAsia="zh-CN"/>
              </w:rPr>
            </w:pPr>
            <w:r w:rsidRPr="00542A05">
              <w:rPr>
                <w:rFonts w:ascii="Calibri" w:hAnsi="Calibri" w:cs="Calibri"/>
                <w:b/>
                <w:bCs/>
                <w:color w:val="000000"/>
                <w:sz w:val="18"/>
                <w:szCs w:val="18"/>
                <w:lang w:val="en-IE" w:eastAsia="zh-CN"/>
              </w:rPr>
              <w:t>€000s</w:t>
            </w:r>
          </w:p>
        </w:tc>
        <w:tc>
          <w:tcPr>
            <w:tcW w:w="1195" w:type="dxa"/>
            <w:tcBorders>
              <w:bottom w:val="single" w:sz="4" w:space="0" w:color="auto"/>
            </w:tcBorders>
          </w:tcPr>
          <w:p w14:paraId="0A3B93B2" w14:textId="59A22CD9" w:rsidR="00542A05" w:rsidRPr="00542A05" w:rsidRDefault="00542A05" w:rsidP="00542A05">
            <w:pPr>
              <w:tabs>
                <w:tab w:val="left" w:pos="8080"/>
              </w:tabs>
              <w:ind w:right="-28"/>
              <w:jc w:val="right"/>
              <w:rPr>
                <w:rFonts w:ascii="Calibri" w:hAnsi="Calibri" w:cs="Calibri"/>
                <w:sz w:val="18"/>
                <w:szCs w:val="18"/>
              </w:rPr>
            </w:pPr>
            <w:r w:rsidRPr="00542A05">
              <w:rPr>
                <w:rFonts w:ascii="Calibri" w:hAnsi="Calibri" w:cs="Calibri"/>
                <w:b/>
                <w:bCs/>
                <w:color w:val="000000"/>
                <w:sz w:val="18"/>
                <w:szCs w:val="18"/>
                <w:lang w:val="en-IE" w:eastAsia="zh-CN"/>
              </w:rPr>
              <w:t>€000s</w:t>
            </w:r>
          </w:p>
        </w:tc>
        <w:tc>
          <w:tcPr>
            <w:tcW w:w="1478" w:type="dxa"/>
            <w:tcBorders>
              <w:bottom w:val="single" w:sz="4" w:space="0" w:color="auto"/>
            </w:tcBorders>
          </w:tcPr>
          <w:p w14:paraId="03F00A9B" w14:textId="77777777" w:rsidR="00542A05" w:rsidRPr="00542A05" w:rsidRDefault="00542A05" w:rsidP="00542A05">
            <w:pPr>
              <w:tabs>
                <w:tab w:val="left" w:pos="8080"/>
              </w:tabs>
              <w:ind w:right="-28"/>
              <w:jc w:val="right"/>
              <w:rPr>
                <w:rFonts w:ascii="Calibri" w:hAnsi="Calibri" w:cs="Calibri"/>
                <w:sz w:val="18"/>
                <w:szCs w:val="18"/>
              </w:rPr>
            </w:pPr>
            <w:r w:rsidRPr="00542A05">
              <w:rPr>
                <w:rFonts w:ascii="Calibri" w:hAnsi="Calibri" w:cs="Calibri"/>
                <w:b/>
                <w:bCs/>
                <w:color w:val="000000"/>
                <w:sz w:val="18"/>
                <w:szCs w:val="18"/>
                <w:lang w:val="en-IE" w:eastAsia="zh-CN"/>
              </w:rPr>
              <w:t>€000s</w:t>
            </w:r>
          </w:p>
        </w:tc>
        <w:tc>
          <w:tcPr>
            <w:tcW w:w="1276" w:type="dxa"/>
            <w:tcBorders>
              <w:bottom w:val="single" w:sz="4" w:space="0" w:color="auto"/>
            </w:tcBorders>
          </w:tcPr>
          <w:p w14:paraId="2AD38692" w14:textId="77777777" w:rsidR="00542A05" w:rsidRPr="00542A05" w:rsidRDefault="00542A05" w:rsidP="00542A05">
            <w:pPr>
              <w:tabs>
                <w:tab w:val="left" w:pos="8080"/>
              </w:tabs>
              <w:ind w:right="-28"/>
              <w:jc w:val="right"/>
              <w:rPr>
                <w:rFonts w:ascii="Calibri" w:hAnsi="Calibri" w:cs="Calibri"/>
                <w:sz w:val="18"/>
                <w:szCs w:val="18"/>
              </w:rPr>
            </w:pPr>
            <w:r w:rsidRPr="00542A05">
              <w:rPr>
                <w:rFonts w:ascii="Calibri" w:hAnsi="Calibri" w:cs="Calibri"/>
                <w:b/>
                <w:bCs/>
                <w:color w:val="000000"/>
                <w:sz w:val="18"/>
                <w:szCs w:val="18"/>
                <w:lang w:val="en-IE" w:eastAsia="zh-CN"/>
              </w:rPr>
              <w:t>€000s</w:t>
            </w:r>
          </w:p>
        </w:tc>
        <w:tc>
          <w:tcPr>
            <w:tcW w:w="1134" w:type="dxa"/>
            <w:gridSpan w:val="2"/>
            <w:tcBorders>
              <w:bottom w:val="single" w:sz="4" w:space="0" w:color="auto"/>
            </w:tcBorders>
          </w:tcPr>
          <w:p w14:paraId="0FDE539A" w14:textId="77777777" w:rsidR="00542A05" w:rsidRPr="00542A05" w:rsidRDefault="00542A05" w:rsidP="00542A05">
            <w:pPr>
              <w:tabs>
                <w:tab w:val="left" w:pos="8080"/>
              </w:tabs>
              <w:ind w:right="-28"/>
              <w:jc w:val="right"/>
              <w:rPr>
                <w:rFonts w:ascii="Calibri" w:hAnsi="Calibri" w:cs="Calibri"/>
                <w:sz w:val="18"/>
                <w:szCs w:val="18"/>
              </w:rPr>
            </w:pPr>
            <w:r w:rsidRPr="00542A05">
              <w:rPr>
                <w:rFonts w:ascii="Calibri" w:hAnsi="Calibri" w:cs="Calibri"/>
                <w:b/>
                <w:bCs/>
                <w:color w:val="000000"/>
                <w:sz w:val="18"/>
                <w:szCs w:val="18"/>
                <w:lang w:val="en-IE" w:eastAsia="zh-CN"/>
              </w:rPr>
              <w:t>€000s</w:t>
            </w:r>
          </w:p>
        </w:tc>
      </w:tr>
      <w:tr w:rsidR="00C25BE2" w:rsidRPr="00542A05" w14:paraId="3351B713" w14:textId="77777777" w:rsidTr="003650A0">
        <w:trPr>
          <w:trHeight w:val="226"/>
        </w:trPr>
        <w:tc>
          <w:tcPr>
            <w:tcW w:w="6379" w:type="dxa"/>
          </w:tcPr>
          <w:p w14:paraId="1E89572B" w14:textId="77777777" w:rsidR="00C25BE2" w:rsidRPr="00542A05" w:rsidRDefault="00C25BE2" w:rsidP="00C25BE2">
            <w:pPr>
              <w:tabs>
                <w:tab w:val="left" w:pos="8080"/>
              </w:tabs>
              <w:ind w:right="-28"/>
              <w:rPr>
                <w:rFonts w:ascii="Calibri" w:hAnsi="Calibri" w:cs="Calibri"/>
                <w:b/>
                <w:sz w:val="18"/>
                <w:szCs w:val="18"/>
              </w:rPr>
            </w:pPr>
            <w:r w:rsidRPr="00542A05">
              <w:rPr>
                <w:rFonts w:ascii="Calibri" w:hAnsi="Calibri" w:cs="Calibri"/>
                <w:b/>
                <w:sz w:val="18"/>
                <w:szCs w:val="18"/>
              </w:rPr>
              <w:t xml:space="preserve">As </w:t>
            </w:r>
            <w:proofErr w:type="gramStart"/>
            <w:r w:rsidRPr="00542A05">
              <w:rPr>
                <w:rFonts w:ascii="Calibri" w:hAnsi="Calibri" w:cs="Calibri"/>
                <w:b/>
                <w:sz w:val="18"/>
                <w:szCs w:val="18"/>
              </w:rPr>
              <w:t>at</w:t>
            </w:r>
            <w:proofErr w:type="gramEnd"/>
            <w:r w:rsidRPr="00542A05">
              <w:rPr>
                <w:rFonts w:ascii="Calibri" w:hAnsi="Calibri" w:cs="Calibri"/>
                <w:b/>
                <w:sz w:val="18"/>
                <w:szCs w:val="18"/>
              </w:rPr>
              <w:t xml:space="preserve"> 31 December 2021, as previously reported</w:t>
            </w:r>
          </w:p>
        </w:tc>
        <w:tc>
          <w:tcPr>
            <w:tcW w:w="1418" w:type="dxa"/>
            <w:tcBorders>
              <w:top w:val="single" w:sz="4" w:space="0" w:color="auto"/>
              <w:bottom w:val="single" w:sz="8" w:space="0" w:color="auto"/>
            </w:tcBorders>
          </w:tcPr>
          <w:p w14:paraId="15E1C652" w14:textId="77777777" w:rsidR="00C25BE2" w:rsidRPr="00542A05" w:rsidRDefault="00C25BE2" w:rsidP="00C25BE2">
            <w:pPr>
              <w:tabs>
                <w:tab w:val="left" w:pos="8080"/>
              </w:tabs>
              <w:ind w:right="-28"/>
              <w:jc w:val="right"/>
              <w:rPr>
                <w:rFonts w:ascii="Calibri" w:hAnsi="Calibri" w:cs="Calibri"/>
                <w:b/>
                <w:sz w:val="18"/>
                <w:szCs w:val="18"/>
              </w:rPr>
            </w:pPr>
            <w:r w:rsidRPr="00542A05">
              <w:rPr>
                <w:rFonts w:ascii="Calibri" w:hAnsi="Calibri" w:cs="Calibri"/>
                <w:b/>
                <w:sz w:val="18"/>
                <w:szCs w:val="18"/>
              </w:rPr>
              <w:t>21,409</w:t>
            </w:r>
          </w:p>
        </w:tc>
        <w:tc>
          <w:tcPr>
            <w:tcW w:w="1275" w:type="dxa"/>
            <w:tcBorders>
              <w:top w:val="single" w:sz="4" w:space="0" w:color="auto"/>
              <w:bottom w:val="single" w:sz="8" w:space="0" w:color="auto"/>
            </w:tcBorders>
          </w:tcPr>
          <w:p w14:paraId="1181E606" w14:textId="77777777" w:rsidR="00C25BE2" w:rsidRPr="00542A05" w:rsidRDefault="00C25BE2" w:rsidP="00C25BE2">
            <w:pPr>
              <w:tabs>
                <w:tab w:val="left" w:pos="8080"/>
              </w:tabs>
              <w:ind w:right="-28"/>
              <w:jc w:val="right"/>
              <w:rPr>
                <w:rFonts w:ascii="Calibri" w:hAnsi="Calibri" w:cs="Calibri"/>
                <w:b/>
                <w:sz w:val="18"/>
                <w:szCs w:val="18"/>
              </w:rPr>
            </w:pPr>
            <w:r w:rsidRPr="00542A05">
              <w:rPr>
                <w:rFonts w:ascii="Calibri" w:hAnsi="Calibri" w:cs="Calibri"/>
                <w:b/>
                <w:sz w:val="18"/>
                <w:szCs w:val="18"/>
              </w:rPr>
              <w:t>27,406</w:t>
            </w:r>
          </w:p>
        </w:tc>
        <w:tc>
          <w:tcPr>
            <w:tcW w:w="1195" w:type="dxa"/>
            <w:tcBorders>
              <w:top w:val="single" w:sz="4" w:space="0" w:color="auto"/>
              <w:bottom w:val="single" w:sz="8" w:space="0" w:color="auto"/>
            </w:tcBorders>
          </w:tcPr>
          <w:p w14:paraId="3F622A6E" w14:textId="77777777" w:rsidR="00C25BE2" w:rsidRPr="00542A05" w:rsidRDefault="00C25BE2" w:rsidP="00C25BE2">
            <w:pPr>
              <w:tabs>
                <w:tab w:val="left" w:pos="8080"/>
              </w:tabs>
              <w:ind w:right="-28"/>
              <w:jc w:val="right"/>
              <w:rPr>
                <w:rFonts w:ascii="Calibri" w:hAnsi="Calibri" w:cs="Calibri"/>
                <w:b/>
                <w:sz w:val="18"/>
                <w:szCs w:val="18"/>
              </w:rPr>
            </w:pPr>
            <w:r w:rsidRPr="00542A05">
              <w:rPr>
                <w:rFonts w:ascii="Calibri" w:hAnsi="Calibri" w:cs="Calibri"/>
                <w:b/>
                <w:sz w:val="18"/>
                <w:szCs w:val="18"/>
              </w:rPr>
              <w:t>752</w:t>
            </w:r>
          </w:p>
        </w:tc>
        <w:tc>
          <w:tcPr>
            <w:tcW w:w="1195" w:type="dxa"/>
            <w:tcBorders>
              <w:top w:val="single" w:sz="4" w:space="0" w:color="auto"/>
              <w:bottom w:val="single" w:sz="8" w:space="0" w:color="auto"/>
            </w:tcBorders>
          </w:tcPr>
          <w:p w14:paraId="340284EB" w14:textId="77777777" w:rsidR="00C25BE2" w:rsidRPr="00542A05" w:rsidRDefault="00C25BE2" w:rsidP="00C25BE2">
            <w:pPr>
              <w:tabs>
                <w:tab w:val="left" w:pos="8080"/>
              </w:tabs>
              <w:ind w:right="-28"/>
              <w:jc w:val="right"/>
              <w:rPr>
                <w:rFonts w:ascii="Calibri" w:hAnsi="Calibri" w:cs="Calibri"/>
                <w:b/>
                <w:sz w:val="18"/>
                <w:szCs w:val="18"/>
              </w:rPr>
            </w:pPr>
            <w:r w:rsidRPr="00542A05">
              <w:rPr>
                <w:rFonts w:ascii="Calibri" w:hAnsi="Calibri" w:cs="Calibri"/>
                <w:b/>
                <w:sz w:val="18"/>
                <w:szCs w:val="18"/>
              </w:rPr>
              <w:t>422,815</w:t>
            </w:r>
          </w:p>
        </w:tc>
        <w:tc>
          <w:tcPr>
            <w:tcW w:w="1478" w:type="dxa"/>
            <w:tcBorders>
              <w:top w:val="single" w:sz="4" w:space="0" w:color="auto"/>
              <w:bottom w:val="single" w:sz="8" w:space="0" w:color="auto"/>
            </w:tcBorders>
          </w:tcPr>
          <w:p w14:paraId="5FB205BC" w14:textId="77777777" w:rsidR="00C25BE2" w:rsidRPr="00542A05" w:rsidRDefault="00C25BE2" w:rsidP="00C25BE2">
            <w:pPr>
              <w:tabs>
                <w:tab w:val="left" w:pos="8080"/>
              </w:tabs>
              <w:ind w:right="-28"/>
              <w:jc w:val="right"/>
              <w:rPr>
                <w:rFonts w:ascii="Calibri" w:hAnsi="Calibri" w:cs="Calibri"/>
                <w:b/>
                <w:sz w:val="18"/>
                <w:szCs w:val="18"/>
              </w:rPr>
            </w:pPr>
            <w:r w:rsidRPr="00542A05">
              <w:rPr>
                <w:rFonts w:ascii="Calibri" w:hAnsi="Calibri" w:cs="Calibri"/>
                <w:b/>
                <w:sz w:val="18"/>
                <w:szCs w:val="18"/>
              </w:rPr>
              <w:t>472,382</w:t>
            </w:r>
          </w:p>
        </w:tc>
        <w:tc>
          <w:tcPr>
            <w:tcW w:w="1276" w:type="dxa"/>
            <w:tcBorders>
              <w:top w:val="single" w:sz="4" w:space="0" w:color="auto"/>
              <w:bottom w:val="single" w:sz="8" w:space="0" w:color="auto"/>
            </w:tcBorders>
          </w:tcPr>
          <w:p w14:paraId="4B92D962" w14:textId="77777777" w:rsidR="00C25BE2" w:rsidRPr="00542A05" w:rsidRDefault="00C25BE2" w:rsidP="00C25BE2">
            <w:pPr>
              <w:tabs>
                <w:tab w:val="left" w:pos="8080"/>
              </w:tabs>
              <w:ind w:right="-28"/>
              <w:jc w:val="right"/>
              <w:rPr>
                <w:rFonts w:ascii="Calibri" w:hAnsi="Calibri" w:cs="Calibri"/>
                <w:b/>
                <w:sz w:val="18"/>
                <w:szCs w:val="18"/>
              </w:rPr>
            </w:pPr>
            <w:r w:rsidRPr="00542A05">
              <w:rPr>
                <w:rFonts w:ascii="Calibri" w:hAnsi="Calibri" w:cs="Calibri"/>
                <w:b/>
                <w:sz w:val="18"/>
                <w:szCs w:val="18"/>
              </w:rPr>
              <w:t>2,923</w:t>
            </w:r>
          </w:p>
        </w:tc>
        <w:tc>
          <w:tcPr>
            <w:tcW w:w="1134" w:type="dxa"/>
            <w:gridSpan w:val="2"/>
            <w:tcBorders>
              <w:top w:val="single" w:sz="4" w:space="0" w:color="auto"/>
              <w:bottom w:val="single" w:sz="8" w:space="0" w:color="auto"/>
            </w:tcBorders>
          </w:tcPr>
          <w:p w14:paraId="5BAA6781" w14:textId="77777777" w:rsidR="00C25BE2" w:rsidRPr="00542A05" w:rsidRDefault="00C25BE2" w:rsidP="00C25BE2">
            <w:pPr>
              <w:tabs>
                <w:tab w:val="left" w:pos="8080"/>
              </w:tabs>
              <w:ind w:right="-28"/>
              <w:jc w:val="right"/>
              <w:rPr>
                <w:rFonts w:ascii="Calibri" w:hAnsi="Calibri" w:cs="Calibri"/>
                <w:b/>
                <w:sz w:val="18"/>
                <w:szCs w:val="18"/>
              </w:rPr>
            </w:pPr>
            <w:r w:rsidRPr="00542A05">
              <w:rPr>
                <w:rFonts w:ascii="Calibri" w:hAnsi="Calibri" w:cs="Calibri"/>
                <w:b/>
                <w:sz w:val="18"/>
                <w:szCs w:val="18"/>
              </w:rPr>
              <w:t>475,305</w:t>
            </w:r>
          </w:p>
        </w:tc>
      </w:tr>
      <w:tr w:rsidR="00C25BE2" w:rsidRPr="00542A05" w14:paraId="151EFC56" w14:textId="77777777" w:rsidTr="003650A0">
        <w:trPr>
          <w:trHeight w:val="226"/>
        </w:trPr>
        <w:tc>
          <w:tcPr>
            <w:tcW w:w="6379" w:type="dxa"/>
          </w:tcPr>
          <w:p w14:paraId="60E92D5D" w14:textId="77777777" w:rsidR="00C25BE2" w:rsidRPr="00542A05" w:rsidRDefault="00C25BE2" w:rsidP="00C25BE2">
            <w:pPr>
              <w:tabs>
                <w:tab w:val="left" w:pos="8080"/>
              </w:tabs>
              <w:ind w:right="-28"/>
              <w:rPr>
                <w:rFonts w:ascii="Calibri" w:hAnsi="Calibri" w:cs="Calibri"/>
                <w:sz w:val="18"/>
                <w:szCs w:val="18"/>
              </w:rPr>
            </w:pPr>
            <w:r w:rsidRPr="00542A05">
              <w:rPr>
                <w:rFonts w:ascii="Calibri" w:hAnsi="Calibri" w:cs="Calibri"/>
                <w:sz w:val="18"/>
                <w:szCs w:val="18"/>
              </w:rPr>
              <w:t>Impact of initial application of IFRS 17 (Note 4)</w:t>
            </w:r>
          </w:p>
        </w:tc>
        <w:tc>
          <w:tcPr>
            <w:tcW w:w="1418" w:type="dxa"/>
            <w:tcBorders>
              <w:top w:val="single" w:sz="8" w:space="0" w:color="auto"/>
            </w:tcBorders>
          </w:tcPr>
          <w:p w14:paraId="6C7E4457" w14:textId="77777777" w:rsidR="00C25BE2" w:rsidRPr="00542A05" w:rsidRDefault="00C25BE2" w:rsidP="00C25BE2">
            <w:pPr>
              <w:tabs>
                <w:tab w:val="left" w:pos="8080"/>
              </w:tabs>
              <w:ind w:right="-28"/>
              <w:jc w:val="right"/>
              <w:rPr>
                <w:rFonts w:ascii="Calibri" w:hAnsi="Calibri" w:cs="Calibri"/>
                <w:sz w:val="18"/>
                <w:szCs w:val="18"/>
              </w:rPr>
            </w:pPr>
            <w:r w:rsidRPr="00542A05">
              <w:rPr>
                <w:rFonts w:ascii="Calibri" w:hAnsi="Calibri" w:cs="Calibri"/>
                <w:sz w:val="18"/>
                <w:szCs w:val="18"/>
              </w:rPr>
              <w:t>-</w:t>
            </w:r>
          </w:p>
        </w:tc>
        <w:tc>
          <w:tcPr>
            <w:tcW w:w="1275" w:type="dxa"/>
            <w:tcBorders>
              <w:top w:val="single" w:sz="8" w:space="0" w:color="auto"/>
            </w:tcBorders>
          </w:tcPr>
          <w:p w14:paraId="4310AB9A" w14:textId="77777777" w:rsidR="00C25BE2" w:rsidRPr="00542A05" w:rsidRDefault="00C25BE2" w:rsidP="00C25BE2">
            <w:pPr>
              <w:tabs>
                <w:tab w:val="left" w:pos="8080"/>
              </w:tabs>
              <w:ind w:right="-28"/>
              <w:jc w:val="right"/>
              <w:rPr>
                <w:rFonts w:ascii="Calibri" w:hAnsi="Calibri" w:cs="Calibri"/>
                <w:sz w:val="18"/>
                <w:szCs w:val="18"/>
              </w:rPr>
            </w:pPr>
            <w:r w:rsidRPr="00542A05">
              <w:rPr>
                <w:rFonts w:ascii="Calibri" w:hAnsi="Calibri" w:cs="Calibri"/>
                <w:sz w:val="18"/>
                <w:szCs w:val="18"/>
              </w:rPr>
              <w:t>-</w:t>
            </w:r>
          </w:p>
        </w:tc>
        <w:tc>
          <w:tcPr>
            <w:tcW w:w="1195" w:type="dxa"/>
            <w:tcBorders>
              <w:top w:val="single" w:sz="8" w:space="0" w:color="auto"/>
            </w:tcBorders>
          </w:tcPr>
          <w:p w14:paraId="7193FF4B" w14:textId="77777777" w:rsidR="00C25BE2" w:rsidRPr="00542A05" w:rsidRDefault="00C25BE2" w:rsidP="00C25BE2">
            <w:pPr>
              <w:tabs>
                <w:tab w:val="left" w:pos="8080"/>
              </w:tabs>
              <w:ind w:right="-28"/>
              <w:jc w:val="right"/>
              <w:rPr>
                <w:rFonts w:ascii="Calibri" w:hAnsi="Calibri" w:cs="Calibri"/>
                <w:sz w:val="18"/>
                <w:szCs w:val="18"/>
              </w:rPr>
            </w:pPr>
            <w:r w:rsidRPr="00542A05">
              <w:rPr>
                <w:rFonts w:ascii="Calibri" w:hAnsi="Calibri" w:cs="Calibri"/>
                <w:sz w:val="18"/>
                <w:szCs w:val="18"/>
              </w:rPr>
              <w:t>(8,928)</w:t>
            </w:r>
          </w:p>
        </w:tc>
        <w:tc>
          <w:tcPr>
            <w:tcW w:w="1195" w:type="dxa"/>
            <w:tcBorders>
              <w:top w:val="single" w:sz="8" w:space="0" w:color="auto"/>
            </w:tcBorders>
          </w:tcPr>
          <w:p w14:paraId="55B5E3F8" w14:textId="77777777" w:rsidR="00C25BE2" w:rsidRPr="00542A05" w:rsidRDefault="00C25BE2" w:rsidP="00C25BE2">
            <w:pPr>
              <w:tabs>
                <w:tab w:val="left" w:pos="8080"/>
              </w:tabs>
              <w:ind w:right="-28"/>
              <w:jc w:val="right"/>
              <w:rPr>
                <w:rFonts w:ascii="Calibri" w:hAnsi="Calibri" w:cs="Calibri"/>
                <w:sz w:val="18"/>
                <w:szCs w:val="18"/>
              </w:rPr>
            </w:pPr>
            <w:r w:rsidRPr="00542A05">
              <w:rPr>
                <w:rFonts w:ascii="Calibri" w:hAnsi="Calibri" w:cs="Calibri"/>
                <w:sz w:val="18"/>
                <w:szCs w:val="18"/>
              </w:rPr>
              <w:t>17,190</w:t>
            </w:r>
          </w:p>
        </w:tc>
        <w:tc>
          <w:tcPr>
            <w:tcW w:w="1478" w:type="dxa"/>
            <w:tcBorders>
              <w:top w:val="single" w:sz="8" w:space="0" w:color="auto"/>
            </w:tcBorders>
          </w:tcPr>
          <w:p w14:paraId="3DF78785" w14:textId="77777777" w:rsidR="00C25BE2" w:rsidRPr="00542A05" w:rsidRDefault="00C25BE2" w:rsidP="00C25BE2">
            <w:pPr>
              <w:tabs>
                <w:tab w:val="left" w:pos="8080"/>
              </w:tabs>
              <w:ind w:right="-28"/>
              <w:jc w:val="right"/>
              <w:rPr>
                <w:rFonts w:ascii="Calibri" w:hAnsi="Calibri" w:cs="Calibri"/>
                <w:sz w:val="18"/>
                <w:szCs w:val="18"/>
              </w:rPr>
            </w:pPr>
            <w:r w:rsidRPr="00542A05">
              <w:rPr>
                <w:rFonts w:ascii="Calibri" w:hAnsi="Calibri" w:cs="Calibri"/>
                <w:sz w:val="18"/>
                <w:szCs w:val="18"/>
              </w:rPr>
              <w:t>8,262</w:t>
            </w:r>
          </w:p>
        </w:tc>
        <w:tc>
          <w:tcPr>
            <w:tcW w:w="1276" w:type="dxa"/>
            <w:tcBorders>
              <w:top w:val="single" w:sz="8" w:space="0" w:color="auto"/>
            </w:tcBorders>
          </w:tcPr>
          <w:p w14:paraId="5C16DEC5" w14:textId="77777777" w:rsidR="00C25BE2" w:rsidRPr="00542A05" w:rsidRDefault="00C25BE2" w:rsidP="00C25BE2">
            <w:pPr>
              <w:tabs>
                <w:tab w:val="left" w:pos="8080"/>
              </w:tabs>
              <w:ind w:right="-28"/>
              <w:jc w:val="right"/>
              <w:rPr>
                <w:rFonts w:ascii="Calibri" w:hAnsi="Calibri" w:cs="Calibri"/>
                <w:sz w:val="18"/>
                <w:szCs w:val="18"/>
              </w:rPr>
            </w:pPr>
            <w:r w:rsidRPr="00542A05">
              <w:rPr>
                <w:rFonts w:ascii="Calibri" w:hAnsi="Calibri" w:cs="Calibri"/>
                <w:sz w:val="18"/>
                <w:szCs w:val="18"/>
              </w:rPr>
              <w:t>-</w:t>
            </w:r>
          </w:p>
        </w:tc>
        <w:tc>
          <w:tcPr>
            <w:tcW w:w="1134" w:type="dxa"/>
            <w:gridSpan w:val="2"/>
            <w:tcBorders>
              <w:top w:val="single" w:sz="8" w:space="0" w:color="auto"/>
            </w:tcBorders>
          </w:tcPr>
          <w:p w14:paraId="746D0328" w14:textId="77777777" w:rsidR="00C25BE2" w:rsidRPr="00542A05" w:rsidRDefault="00C25BE2" w:rsidP="00C25BE2">
            <w:pPr>
              <w:tabs>
                <w:tab w:val="left" w:pos="8080"/>
              </w:tabs>
              <w:ind w:right="-28"/>
              <w:jc w:val="right"/>
              <w:rPr>
                <w:rFonts w:ascii="Calibri" w:hAnsi="Calibri" w:cs="Calibri"/>
                <w:sz w:val="18"/>
                <w:szCs w:val="18"/>
              </w:rPr>
            </w:pPr>
            <w:r w:rsidRPr="00542A05">
              <w:rPr>
                <w:rFonts w:ascii="Calibri" w:hAnsi="Calibri" w:cs="Calibri"/>
                <w:sz w:val="18"/>
                <w:szCs w:val="18"/>
              </w:rPr>
              <w:t>8,262</w:t>
            </w:r>
          </w:p>
        </w:tc>
      </w:tr>
      <w:tr w:rsidR="00C25BE2" w:rsidRPr="00542A05" w14:paraId="0F37CC50" w14:textId="77777777" w:rsidTr="003650A0">
        <w:trPr>
          <w:trHeight w:val="226"/>
        </w:trPr>
        <w:tc>
          <w:tcPr>
            <w:tcW w:w="6379" w:type="dxa"/>
          </w:tcPr>
          <w:p w14:paraId="60C32ACF" w14:textId="77777777" w:rsidR="00C25BE2" w:rsidRPr="00542A05" w:rsidRDefault="00C25BE2" w:rsidP="00C25BE2">
            <w:pPr>
              <w:tabs>
                <w:tab w:val="left" w:pos="8080"/>
              </w:tabs>
              <w:ind w:right="-28"/>
              <w:rPr>
                <w:rFonts w:ascii="Calibri" w:hAnsi="Calibri" w:cs="Calibri"/>
                <w:sz w:val="18"/>
                <w:szCs w:val="18"/>
              </w:rPr>
            </w:pPr>
            <w:r w:rsidRPr="00542A05">
              <w:rPr>
                <w:rFonts w:ascii="Calibri" w:hAnsi="Calibri" w:cs="Calibri"/>
                <w:sz w:val="18"/>
                <w:szCs w:val="18"/>
              </w:rPr>
              <w:t>Impact of initial application IFRS 9 (Note 4)</w:t>
            </w:r>
          </w:p>
        </w:tc>
        <w:tc>
          <w:tcPr>
            <w:tcW w:w="1418" w:type="dxa"/>
            <w:tcBorders>
              <w:bottom w:val="single" w:sz="4" w:space="0" w:color="auto"/>
            </w:tcBorders>
          </w:tcPr>
          <w:p w14:paraId="3A4E308D" w14:textId="77777777" w:rsidR="00C25BE2" w:rsidRPr="00542A05" w:rsidRDefault="00C25BE2" w:rsidP="00C25BE2">
            <w:pPr>
              <w:tabs>
                <w:tab w:val="left" w:pos="8080"/>
              </w:tabs>
              <w:ind w:right="-28"/>
              <w:jc w:val="right"/>
              <w:rPr>
                <w:rFonts w:ascii="Calibri" w:hAnsi="Calibri" w:cs="Calibri"/>
                <w:sz w:val="18"/>
                <w:szCs w:val="18"/>
              </w:rPr>
            </w:pPr>
            <w:r w:rsidRPr="00542A05">
              <w:rPr>
                <w:rFonts w:ascii="Calibri" w:hAnsi="Calibri" w:cs="Calibri"/>
                <w:sz w:val="18"/>
                <w:szCs w:val="18"/>
              </w:rPr>
              <w:t>-</w:t>
            </w:r>
          </w:p>
        </w:tc>
        <w:tc>
          <w:tcPr>
            <w:tcW w:w="1275" w:type="dxa"/>
            <w:tcBorders>
              <w:bottom w:val="single" w:sz="4" w:space="0" w:color="auto"/>
            </w:tcBorders>
          </w:tcPr>
          <w:p w14:paraId="64A95388" w14:textId="77777777" w:rsidR="00C25BE2" w:rsidRPr="00542A05" w:rsidRDefault="00C25BE2" w:rsidP="00C25BE2">
            <w:pPr>
              <w:tabs>
                <w:tab w:val="left" w:pos="8080"/>
              </w:tabs>
              <w:ind w:right="-28"/>
              <w:jc w:val="right"/>
              <w:rPr>
                <w:rFonts w:ascii="Calibri" w:hAnsi="Calibri" w:cs="Calibri"/>
                <w:sz w:val="18"/>
                <w:szCs w:val="18"/>
              </w:rPr>
            </w:pPr>
            <w:r w:rsidRPr="00542A05">
              <w:rPr>
                <w:rFonts w:ascii="Calibri" w:hAnsi="Calibri" w:cs="Calibri"/>
                <w:sz w:val="18"/>
                <w:szCs w:val="18"/>
              </w:rPr>
              <w:t>-</w:t>
            </w:r>
          </w:p>
        </w:tc>
        <w:tc>
          <w:tcPr>
            <w:tcW w:w="1195" w:type="dxa"/>
            <w:tcBorders>
              <w:bottom w:val="single" w:sz="4" w:space="0" w:color="auto"/>
            </w:tcBorders>
          </w:tcPr>
          <w:p w14:paraId="4EF67F18" w14:textId="77777777" w:rsidR="00C25BE2" w:rsidRPr="00542A05" w:rsidRDefault="00C25BE2" w:rsidP="00C25BE2">
            <w:pPr>
              <w:tabs>
                <w:tab w:val="left" w:pos="8080"/>
              </w:tabs>
              <w:ind w:right="-28"/>
              <w:jc w:val="right"/>
              <w:rPr>
                <w:rFonts w:ascii="Calibri" w:hAnsi="Calibri" w:cs="Calibri"/>
                <w:sz w:val="18"/>
                <w:szCs w:val="18"/>
              </w:rPr>
            </w:pPr>
            <w:r w:rsidRPr="00542A05">
              <w:rPr>
                <w:rFonts w:ascii="Calibri" w:hAnsi="Calibri" w:cs="Calibri"/>
                <w:sz w:val="18"/>
                <w:szCs w:val="18"/>
              </w:rPr>
              <w:t>8,751</w:t>
            </w:r>
          </w:p>
        </w:tc>
        <w:tc>
          <w:tcPr>
            <w:tcW w:w="1195" w:type="dxa"/>
            <w:tcBorders>
              <w:bottom w:val="single" w:sz="4" w:space="0" w:color="auto"/>
            </w:tcBorders>
          </w:tcPr>
          <w:p w14:paraId="61768AC4" w14:textId="77777777" w:rsidR="00C25BE2" w:rsidRPr="00542A05" w:rsidRDefault="00C25BE2" w:rsidP="00C25BE2">
            <w:pPr>
              <w:tabs>
                <w:tab w:val="left" w:pos="8080"/>
              </w:tabs>
              <w:ind w:right="-28"/>
              <w:jc w:val="right"/>
              <w:rPr>
                <w:rFonts w:ascii="Calibri" w:hAnsi="Calibri" w:cs="Calibri"/>
                <w:sz w:val="18"/>
                <w:szCs w:val="18"/>
              </w:rPr>
            </w:pPr>
            <w:r w:rsidRPr="00542A05">
              <w:rPr>
                <w:rFonts w:ascii="Calibri" w:hAnsi="Calibri" w:cs="Calibri"/>
                <w:sz w:val="18"/>
                <w:szCs w:val="18"/>
              </w:rPr>
              <w:t>(9,106)</w:t>
            </w:r>
          </w:p>
        </w:tc>
        <w:tc>
          <w:tcPr>
            <w:tcW w:w="1478" w:type="dxa"/>
            <w:tcBorders>
              <w:bottom w:val="single" w:sz="4" w:space="0" w:color="auto"/>
            </w:tcBorders>
          </w:tcPr>
          <w:p w14:paraId="1BB6733F" w14:textId="77777777" w:rsidR="00C25BE2" w:rsidRPr="00542A05" w:rsidRDefault="00C25BE2" w:rsidP="00C25BE2">
            <w:pPr>
              <w:tabs>
                <w:tab w:val="left" w:pos="8080"/>
              </w:tabs>
              <w:ind w:right="-28"/>
              <w:jc w:val="right"/>
              <w:rPr>
                <w:rFonts w:ascii="Calibri" w:hAnsi="Calibri" w:cs="Calibri"/>
                <w:sz w:val="18"/>
                <w:szCs w:val="18"/>
              </w:rPr>
            </w:pPr>
            <w:r w:rsidRPr="00542A05">
              <w:rPr>
                <w:rFonts w:ascii="Calibri" w:hAnsi="Calibri" w:cs="Calibri"/>
                <w:sz w:val="18"/>
                <w:szCs w:val="18"/>
              </w:rPr>
              <w:t>(355)</w:t>
            </w:r>
          </w:p>
        </w:tc>
        <w:tc>
          <w:tcPr>
            <w:tcW w:w="1276" w:type="dxa"/>
            <w:tcBorders>
              <w:bottom w:val="single" w:sz="4" w:space="0" w:color="auto"/>
            </w:tcBorders>
          </w:tcPr>
          <w:p w14:paraId="416FFCE5" w14:textId="77777777" w:rsidR="00C25BE2" w:rsidRPr="00542A05" w:rsidRDefault="00C25BE2" w:rsidP="00C25BE2">
            <w:pPr>
              <w:tabs>
                <w:tab w:val="left" w:pos="8080"/>
              </w:tabs>
              <w:ind w:right="-28"/>
              <w:jc w:val="right"/>
              <w:rPr>
                <w:rFonts w:ascii="Calibri" w:hAnsi="Calibri" w:cs="Calibri"/>
                <w:sz w:val="18"/>
                <w:szCs w:val="18"/>
              </w:rPr>
            </w:pPr>
            <w:r w:rsidRPr="00542A05">
              <w:rPr>
                <w:rFonts w:ascii="Calibri" w:hAnsi="Calibri" w:cs="Calibri"/>
                <w:sz w:val="18"/>
                <w:szCs w:val="18"/>
              </w:rPr>
              <w:t>-</w:t>
            </w:r>
          </w:p>
        </w:tc>
        <w:tc>
          <w:tcPr>
            <w:tcW w:w="1134" w:type="dxa"/>
            <w:gridSpan w:val="2"/>
            <w:tcBorders>
              <w:bottom w:val="single" w:sz="4" w:space="0" w:color="auto"/>
            </w:tcBorders>
          </w:tcPr>
          <w:p w14:paraId="0045C233" w14:textId="77777777" w:rsidR="00C25BE2" w:rsidRPr="00542A05" w:rsidRDefault="00C25BE2" w:rsidP="00C25BE2">
            <w:pPr>
              <w:tabs>
                <w:tab w:val="left" w:pos="8080"/>
              </w:tabs>
              <w:ind w:right="-28"/>
              <w:jc w:val="right"/>
              <w:rPr>
                <w:rFonts w:ascii="Calibri" w:hAnsi="Calibri" w:cs="Calibri"/>
                <w:sz w:val="18"/>
                <w:szCs w:val="18"/>
              </w:rPr>
            </w:pPr>
            <w:r w:rsidRPr="00542A05">
              <w:rPr>
                <w:rFonts w:ascii="Calibri" w:hAnsi="Calibri" w:cs="Calibri"/>
                <w:sz w:val="18"/>
                <w:szCs w:val="18"/>
              </w:rPr>
              <w:t>(355)</w:t>
            </w:r>
          </w:p>
        </w:tc>
      </w:tr>
      <w:tr w:rsidR="00C25BE2" w:rsidRPr="00542A05" w14:paraId="1BC3FC0F" w14:textId="77777777" w:rsidTr="003650A0">
        <w:trPr>
          <w:trHeight w:val="226"/>
        </w:trPr>
        <w:tc>
          <w:tcPr>
            <w:tcW w:w="6379" w:type="dxa"/>
          </w:tcPr>
          <w:p w14:paraId="6AA5CBDD" w14:textId="77777777" w:rsidR="00C25BE2" w:rsidRPr="00542A05" w:rsidRDefault="00C25BE2" w:rsidP="00C25BE2">
            <w:pPr>
              <w:tabs>
                <w:tab w:val="left" w:pos="8080"/>
              </w:tabs>
              <w:ind w:right="-28"/>
              <w:rPr>
                <w:rFonts w:ascii="Calibri" w:hAnsi="Calibri" w:cs="Calibri"/>
                <w:b/>
                <w:sz w:val="18"/>
                <w:szCs w:val="18"/>
              </w:rPr>
            </w:pPr>
            <w:r w:rsidRPr="00542A05">
              <w:rPr>
                <w:rFonts w:ascii="Calibri" w:hAnsi="Calibri" w:cs="Calibri"/>
                <w:b/>
                <w:sz w:val="18"/>
                <w:szCs w:val="18"/>
              </w:rPr>
              <w:t xml:space="preserve">Restated balance </w:t>
            </w:r>
            <w:proofErr w:type="gramStart"/>
            <w:r w:rsidRPr="00542A05">
              <w:rPr>
                <w:rFonts w:ascii="Calibri" w:hAnsi="Calibri" w:cs="Calibri"/>
                <w:b/>
                <w:sz w:val="18"/>
                <w:szCs w:val="18"/>
              </w:rPr>
              <w:t>at</w:t>
            </w:r>
            <w:proofErr w:type="gramEnd"/>
            <w:r w:rsidRPr="00542A05">
              <w:rPr>
                <w:rFonts w:ascii="Calibri" w:hAnsi="Calibri" w:cs="Calibri"/>
                <w:b/>
                <w:sz w:val="18"/>
                <w:szCs w:val="18"/>
              </w:rPr>
              <w:t xml:space="preserve"> 1 January 2022</w:t>
            </w:r>
          </w:p>
        </w:tc>
        <w:tc>
          <w:tcPr>
            <w:tcW w:w="1418" w:type="dxa"/>
            <w:tcBorders>
              <w:top w:val="single" w:sz="4" w:space="0" w:color="auto"/>
              <w:bottom w:val="single" w:sz="8" w:space="0" w:color="auto"/>
            </w:tcBorders>
          </w:tcPr>
          <w:p w14:paraId="758ACB55" w14:textId="77777777" w:rsidR="00C25BE2" w:rsidRPr="00542A05" w:rsidRDefault="00C25BE2" w:rsidP="00C25BE2">
            <w:pPr>
              <w:tabs>
                <w:tab w:val="left" w:pos="8080"/>
              </w:tabs>
              <w:ind w:right="-28"/>
              <w:jc w:val="right"/>
              <w:rPr>
                <w:rFonts w:ascii="Calibri" w:hAnsi="Calibri" w:cs="Calibri"/>
                <w:b/>
                <w:sz w:val="18"/>
                <w:szCs w:val="18"/>
              </w:rPr>
            </w:pPr>
            <w:r w:rsidRPr="00542A05">
              <w:rPr>
                <w:rFonts w:ascii="Calibri" w:hAnsi="Calibri" w:cs="Calibri"/>
                <w:b/>
                <w:sz w:val="18"/>
                <w:szCs w:val="18"/>
              </w:rPr>
              <w:t>21,409</w:t>
            </w:r>
          </w:p>
        </w:tc>
        <w:tc>
          <w:tcPr>
            <w:tcW w:w="1275" w:type="dxa"/>
            <w:tcBorders>
              <w:top w:val="single" w:sz="4" w:space="0" w:color="auto"/>
              <w:bottom w:val="single" w:sz="8" w:space="0" w:color="auto"/>
            </w:tcBorders>
          </w:tcPr>
          <w:p w14:paraId="68A77D6E" w14:textId="77777777" w:rsidR="00C25BE2" w:rsidRPr="00542A05" w:rsidRDefault="00C25BE2" w:rsidP="00C25BE2">
            <w:pPr>
              <w:tabs>
                <w:tab w:val="left" w:pos="8080"/>
              </w:tabs>
              <w:ind w:right="-28"/>
              <w:jc w:val="right"/>
              <w:rPr>
                <w:rFonts w:ascii="Calibri" w:hAnsi="Calibri" w:cs="Calibri"/>
                <w:b/>
                <w:sz w:val="18"/>
                <w:szCs w:val="18"/>
              </w:rPr>
            </w:pPr>
            <w:r w:rsidRPr="00542A05">
              <w:rPr>
                <w:rFonts w:ascii="Calibri" w:hAnsi="Calibri" w:cs="Calibri"/>
                <w:b/>
                <w:sz w:val="18"/>
                <w:szCs w:val="18"/>
              </w:rPr>
              <w:t>27,406</w:t>
            </w:r>
          </w:p>
        </w:tc>
        <w:tc>
          <w:tcPr>
            <w:tcW w:w="1195" w:type="dxa"/>
            <w:tcBorders>
              <w:top w:val="single" w:sz="4" w:space="0" w:color="auto"/>
              <w:bottom w:val="single" w:sz="8" w:space="0" w:color="auto"/>
            </w:tcBorders>
          </w:tcPr>
          <w:p w14:paraId="7C83C10B" w14:textId="77777777" w:rsidR="00C25BE2" w:rsidRPr="00542A05" w:rsidRDefault="00C25BE2" w:rsidP="00C25BE2">
            <w:pPr>
              <w:tabs>
                <w:tab w:val="left" w:pos="8080"/>
              </w:tabs>
              <w:ind w:right="-28"/>
              <w:jc w:val="right"/>
              <w:rPr>
                <w:rFonts w:ascii="Calibri" w:hAnsi="Calibri" w:cs="Calibri"/>
                <w:b/>
                <w:sz w:val="18"/>
                <w:szCs w:val="18"/>
              </w:rPr>
            </w:pPr>
            <w:r w:rsidRPr="00542A05">
              <w:rPr>
                <w:rFonts w:ascii="Calibri" w:hAnsi="Calibri" w:cs="Calibri"/>
                <w:b/>
                <w:sz w:val="18"/>
                <w:szCs w:val="18"/>
              </w:rPr>
              <w:t>575</w:t>
            </w:r>
          </w:p>
        </w:tc>
        <w:tc>
          <w:tcPr>
            <w:tcW w:w="1195" w:type="dxa"/>
            <w:tcBorders>
              <w:top w:val="single" w:sz="4" w:space="0" w:color="auto"/>
              <w:bottom w:val="single" w:sz="8" w:space="0" w:color="auto"/>
            </w:tcBorders>
          </w:tcPr>
          <w:p w14:paraId="6591CC43" w14:textId="77777777" w:rsidR="00C25BE2" w:rsidRPr="00542A05" w:rsidRDefault="00C25BE2" w:rsidP="00C25BE2">
            <w:pPr>
              <w:tabs>
                <w:tab w:val="left" w:pos="8080"/>
              </w:tabs>
              <w:ind w:right="-28"/>
              <w:jc w:val="right"/>
              <w:rPr>
                <w:rFonts w:ascii="Calibri" w:hAnsi="Calibri" w:cs="Calibri"/>
                <w:b/>
                <w:sz w:val="18"/>
                <w:szCs w:val="18"/>
              </w:rPr>
            </w:pPr>
            <w:r w:rsidRPr="00542A05">
              <w:rPr>
                <w:rFonts w:ascii="Calibri" w:hAnsi="Calibri" w:cs="Calibri"/>
                <w:b/>
                <w:sz w:val="18"/>
                <w:szCs w:val="18"/>
              </w:rPr>
              <w:t>430,899</w:t>
            </w:r>
          </w:p>
        </w:tc>
        <w:tc>
          <w:tcPr>
            <w:tcW w:w="1478" w:type="dxa"/>
            <w:tcBorders>
              <w:top w:val="single" w:sz="4" w:space="0" w:color="auto"/>
              <w:bottom w:val="single" w:sz="8" w:space="0" w:color="auto"/>
            </w:tcBorders>
          </w:tcPr>
          <w:p w14:paraId="25561D8D" w14:textId="77777777" w:rsidR="00C25BE2" w:rsidRPr="00542A05" w:rsidRDefault="00C25BE2" w:rsidP="00C25BE2">
            <w:pPr>
              <w:tabs>
                <w:tab w:val="left" w:pos="8080"/>
              </w:tabs>
              <w:ind w:right="-28"/>
              <w:jc w:val="right"/>
              <w:rPr>
                <w:rFonts w:ascii="Calibri" w:hAnsi="Calibri" w:cs="Calibri"/>
                <w:b/>
                <w:sz w:val="18"/>
                <w:szCs w:val="18"/>
              </w:rPr>
            </w:pPr>
            <w:r w:rsidRPr="00542A05">
              <w:rPr>
                <w:rFonts w:ascii="Calibri" w:hAnsi="Calibri" w:cs="Calibri"/>
                <w:b/>
                <w:sz w:val="18"/>
                <w:szCs w:val="18"/>
              </w:rPr>
              <w:t>480,289</w:t>
            </w:r>
          </w:p>
        </w:tc>
        <w:tc>
          <w:tcPr>
            <w:tcW w:w="1276" w:type="dxa"/>
            <w:tcBorders>
              <w:top w:val="single" w:sz="4" w:space="0" w:color="auto"/>
              <w:bottom w:val="single" w:sz="8" w:space="0" w:color="auto"/>
            </w:tcBorders>
          </w:tcPr>
          <w:p w14:paraId="73B883AF" w14:textId="77777777" w:rsidR="00C25BE2" w:rsidRPr="00542A05" w:rsidRDefault="00C25BE2" w:rsidP="00C25BE2">
            <w:pPr>
              <w:tabs>
                <w:tab w:val="left" w:pos="8080"/>
              </w:tabs>
              <w:ind w:right="-28"/>
              <w:jc w:val="right"/>
              <w:rPr>
                <w:rFonts w:ascii="Calibri" w:hAnsi="Calibri" w:cs="Calibri"/>
                <w:b/>
                <w:sz w:val="18"/>
                <w:szCs w:val="18"/>
              </w:rPr>
            </w:pPr>
            <w:r w:rsidRPr="00542A05">
              <w:rPr>
                <w:rFonts w:ascii="Calibri" w:hAnsi="Calibri" w:cs="Calibri"/>
                <w:b/>
                <w:sz w:val="18"/>
                <w:szCs w:val="18"/>
              </w:rPr>
              <w:t>2,923</w:t>
            </w:r>
          </w:p>
        </w:tc>
        <w:tc>
          <w:tcPr>
            <w:tcW w:w="1134" w:type="dxa"/>
            <w:gridSpan w:val="2"/>
            <w:tcBorders>
              <w:top w:val="single" w:sz="4" w:space="0" w:color="auto"/>
              <w:bottom w:val="single" w:sz="8" w:space="0" w:color="auto"/>
            </w:tcBorders>
          </w:tcPr>
          <w:p w14:paraId="08A0CC22" w14:textId="77777777" w:rsidR="00C25BE2" w:rsidRPr="00542A05" w:rsidRDefault="00C25BE2" w:rsidP="00C25BE2">
            <w:pPr>
              <w:tabs>
                <w:tab w:val="left" w:pos="8080"/>
              </w:tabs>
              <w:ind w:right="-28"/>
              <w:jc w:val="right"/>
              <w:rPr>
                <w:rFonts w:ascii="Calibri" w:hAnsi="Calibri" w:cs="Calibri"/>
                <w:b/>
                <w:sz w:val="18"/>
                <w:szCs w:val="18"/>
              </w:rPr>
            </w:pPr>
            <w:r w:rsidRPr="00542A05">
              <w:rPr>
                <w:rFonts w:ascii="Calibri" w:hAnsi="Calibri" w:cs="Calibri"/>
                <w:b/>
                <w:sz w:val="18"/>
                <w:szCs w:val="18"/>
              </w:rPr>
              <w:t>483,212</w:t>
            </w:r>
          </w:p>
        </w:tc>
      </w:tr>
      <w:tr w:rsidR="00C25BE2" w:rsidRPr="00542A05" w14:paraId="6FFAE6EB" w14:textId="77777777" w:rsidTr="003650A0">
        <w:trPr>
          <w:trHeight w:val="226"/>
        </w:trPr>
        <w:tc>
          <w:tcPr>
            <w:tcW w:w="6379" w:type="dxa"/>
          </w:tcPr>
          <w:p w14:paraId="48A99EC5" w14:textId="77777777" w:rsidR="00C25BE2" w:rsidRPr="00542A05" w:rsidRDefault="00C25BE2" w:rsidP="00C25BE2">
            <w:pPr>
              <w:tabs>
                <w:tab w:val="left" w:pos="8080"/>
              </w:tabs>
              <w:ind w:right="-28"/>
              <w:rPr>
                <w:rFonts w:ascii="Calibri" w:hAnsi="Calibri" w:cs="Calibri"/>
                <w:sz w:val="18"/>
                <w:szCs w:val="18"/>
              </w:rPr>
            </w:pPr>
            <w:r w:rsidRPr="00542A05">
              <w:rPr>
                <w:rFonts w:ascii="Calibri" w:hAnsi="Calibri" w:cs="Calibri"/>
                <w:sz w:val="18"/>
                <w:szCs w:val="18"/>
              </w:rPr>
              <w:t>Profit after taxation</w:t>
            </w:r>
          </w:p>
        </w:tc>
        <w:tc>
          <w:tcPr>
            <w:tcW w:w="1418" w:type="dxa"/>
            <w:tcBorders>
              <w:top w:val="single" w:sz="8" w:space="0" w:color="auto"/>
            </w:tcBorders>
          </w:tcPr>
          <w:p w14:paraId="2E3CC4CF" w14:textId="77777777" w:rsidR="00C25BE2" w:rsidRPr="00542A05" w:rsidRDefault="00C25BE2" w:rsidP="00C25BE2">
            <w:pPr>
              <w:tabs>
                <w:tab w:val="left" w:pos="8080"/>
              </w:tabs>
              <w:ind w:right="-28"/>
              <w:jc w:val="right"/>
              <w:rPr>
                <w:rFonts w:ascii="Calibri" w:hAnsi="Calibri" w:cs="Calibri"/>
                <w:sz w:val="18"/>
                <w:szCs w:val="18"/>
              </w:rPr>
            </w:pPr>
            <w:r w:rsidRPr="00542A05">
              <w:rPr>
                <w:rFonts w:ascii="Calibri" w:hAnsi="Calibri" w:cs="Calibri"/>
                <w:sz w:val="18"/>
                <w:szCs w:val="18"/>
              </w:rPr>
              <w:t>-</w:t>
            </w:r>
          </w:p>
        </w:tc>
        <w:tc>
          <w:tcPr>
            <w:tcW w:w="1275" w:type="dxa"/>
            <w:tcBorders>
              <w:top w:val="single" w:sz="8" w:space="0" w:color="auto"/>
            </w:tcBorders>
          </w:tcPr>
          <w:p w14:paraId="6C56F97C" w14:textId="77777777" w:rsidR="00C25BE2" w:rsidRPr="00542A05" w:rsidRDefault="00C25BE2" w:rsidP="00C25BE2">
            <w:pPr>
              <w:tabs>
                <w:tab w:val="left" w:pos="8080"/>
              </w:tabs>
              <w:ind w:right="-28"/>
              <w:jc w:val="right"/>
              <w:rPr>
                <w:rFonts w:ascii="Calibri" w:hAnsi="Calibri" w:cs="Calibri"/>
                <w:sz w:val="18"/>
                <w:szCs w:val="18"/>
              </w:rPr>
            </w:pPr>
            <w:r w:rsidRPr="00542A05">
              <w:rPr>
                <w:rFonts w:ascii="Calibri" w:hAnsi="Calibri" w:cs="Calibri"/>
                <w:sz w:val="18"/>
                <w:szCs w:val="18"/>
              </w:rPr>
              <w:t>-</w:t>
            </w:r>
          </w:p>
        </w:tc>
        <w:tc>
          <w:tcPr>
            <w:tcW w:w="1195" w:type="dxa"/>
            <w:tcBorders>
              <w:top w:val="single" w:sz="8" w:space="0" w:color="auto"/>
            </w:tcBorders>
          </w:tcPr>
          <w:p w14:paraId="5FAE0467" w14:textId="77777777" w:rsidR="00C25BE2" w:rsidRPr="00542A05" w:rsidRDefault="00C25BE2" w:rsidP="00C25BE2">
            <w:pPr>
              <w:tabs>
                <w:tab w:val="left" w:pos="8080"/>
              </w:tabs>
              <w:ind w:right="-28"/>
              <w:jc w:val="right"/>
              <w:rPr>
                <w:rFonts w:ascii="Calibri" w:hAnsi="Calibri" w:cs="Calibri"/>
                <w:sz w:val="18"/>
                <w:szCs w:val="18"/>
              </w:rPr>
            </w:pPr>
            <w:r w:rsidRPr="00542A05">
              <w:rPr>
                <w:rFonts w:ascii="Calibri" w:hAnsi="Calibri" w:cs="Calibri"/>
                <w:sz w:val="18"/>
                <w:szCs w:val="18"/>
              </w:rPr>
              <w:t>-</w:t>
            </w:r>
          </w:p>
        </w:tc>
        <w:tc>
          <w:tcPr>
            <w:tcW w:w="1195" w:type="dxa"/>
            <w:tcBorders>
              <w:top w:val="single" w:sz="8" w:space="0" w:color="auto"/>
            </w:tcBorders>
          </w:tcPr>
          <w:p w14:paraId="31EBD516" w14:textId="77777777" w:rsidR="00C25BE2" w:rsidRPr="00542A05" w:rsidRDefault="00C25BE2" w:rsidP="00C25BE2">
            <w:pPr>
              <w:tabs>
                <w:tab w:val="left" w:pos="8080"/>
              </w:tabs>
              <w:ind w:right="-28"/>
              <w:jc w:val="right"/>
              <w:rPr>
                <w:rFonts w:ascii="Calibri" w:hAnsi="Calibri" w:cs="Calibri"/>
                <w:sz w:val="18"/>
                <w:szCs w:val="18"/>
              </w:rPr>
            </w:pPr>
            <w:r w:rsidRPr="00542A05">
              <w:rPr>
                <w:rFonts w:ascii="Calibri" w:hAnsi="Calibri" w:cs="Calibri"/>
                <w:sz w:val="18"/>
                <w:szCs w:val="18"/>
              </w:rPr>
              <w:t>57,556</w:t>
            </w:r>
          </w:p>
        </w:tc>
        <w:tc>
          <w:tcPr>
            <w:tcW w:w="1478" w:type="dxa"/>
            <w:tcBorders>
              <w:top w:val="single" w:sz="8" w:space="0" w:color="auto"/>
            </w:tcBorders>
          </w:tcPr>
          <w:p w14:paraId="3F5A7586" w14:textId="77777777" w:rsidR="00C25BE2" w:rsidRPr="00542A05" w:rsidRDefault="00C25BE2" w:rsidP="00C25BE2">
            <w:pPr>
              <w:tabs>
                <w:tab w:val="left" w:pos="8080"/>
              </w:tabs>
              <w:ind w:right="-28"/>
              <w:jc w:val="right"/>
              <w:rPr>
                <w:rFonts w:ascii="Calibri" w:hAnsi="Calibri" w:cs="Calibri"/>
                <w:sz w:val="18"/>
                <w:szCs w:val="18"/>
              </w:rPr>
            </w:pPr>
            <w:r w:rsidRPr="00542A05">
              <w:rPr>
                <w:rFonts w:ascii="Calibri" w:hAnsi="Calibri" w:cs="Calibri"/>
                <w:sz w:val="18"/>
                <w:szCs w:val="18"/>
              </w:rPr>
              <w:t>57,556</w:t>
            </w:r>
          </w:p>
        </w:tc>
        <w:tc>
          <w:tcPr>
            <w:tcW w:w="1276" w:type="dxa"/>
            <w:tcBorders>
              <w:top w:val="single" w:sz="8" w:space="0" w:color="auto"/>
            </w:tcBorders>
          </w:tcPr>
          <w:p w14:paraId="0C5B68EE" w14:textId="77777777" w:rsidR="00C25BE2" w:rsidRPr="00542A05" w:rsidRDefault="00C25BE2" w:rsidP="00C25BE2">
            <w:pPr>
              <w:tabs>
                <w:tab w:val="left" w:pos="8080"/>
              </w:tabs>
              <w:ind w:right="-28"/>
              <w:jc w:val="right"/>
              <w:rPr>
                <w:rFonts w:ascii="Calibri" w:hAnsi="Calibri" w:cs="Calibri"/>
                <w:sz w:val="18"/>
                <w:szCs w:val="18"/>
              </w:rPr>
            </w:pPr>
            <w:r w:rsidRPr="00542A05">
              <w:rPr>
                <w:rFonts w:ascii="Calibri" w:hAnsi="Calibri" w:cs="Calibri"/>
                <w:sz w:val="18"/>
                <w:szCs w:val="18"/>
              </w:rPr>
              <w:t>-</w:t>
            </w:r>
          </w:p>
        </w:tc>
        <w:tc>
          <w:tcPr>
            <w:tcW w:w="1134" w:type="dxa"/>
            <w:gridSpan w:val="2"/>
            <w:tcBorders>
              <w:top w:val="single" w:sz="8" w:space="0" w:color="auto"/>
            </w:tcBorders>
          </w:tcPr>
          <w:p w14:paraId="29D51E5F" w14:textId="77777777" w:rsidR="00C25BE2" w:rsidRPr="00542A05" w:rsidRDefault="00C25BE2" w:rsidP="00C25BE2">
            <w:pPr>
              <w:tabs>
                <w:tab w:val="left" w:pos="8080"/>
              </w:tabs>
              <w:ind w:right="-28"/>
              <w:jc w:val="right"/>
              <w:rPr>
                <w:rFonts w:ascii="Calibri" w:hAnsi="Calibri" w:cs="Calibri"/>
                <w:sz w:val="18"/>
                <w:szCs w:val="18"/>
              </w:rPr>
            </w:pPr>
            <w:r w:rsidRPr="00542A05">
              <w:rPr>
                <w:rFonts w:ascii="Calibri" w:hAnsi="Calibri" w:cs="Calibri"/>
                <w:sz w:val="18"/>
                <w:szCs w:val="18"/>
              </w:rPr>
              <w:t>57,556</w:t>
            </w:r>
          </w:p>
        </w:tc>
      </w:tr>
      <w:tr w:rsidR="00C25BE2" w:rsidRPr="00542A05" w14:paraId="77508CA7" w14:textId="77777777" w:rsidTr="003650A0">
        <w:trPr>
          <w:trHeight w:val="226"/>
        </w:trPr>
        <w:tc>
          <w:tcPr>
            <w:tcW w:w="6379" w:type="dxa"/>
          </w:tcPr>
          <w:p w14:paraId="0779BF5C" w14:textId="77777777" w:rsidR="00C25BE2" w:rsidRPr="00542A05" w:rsidRDefault="00C25BE2" w:rsidP="00C25BE2">
            <w:pPr>
              <w:tabs>
                <w:tab w:val="left" w:pos="8080"/>
              </w:tabs>
              <w:ind w:right="-28"/>
              <w:rPr>
                <w:rFonts w:ascii="Calibri" w:hAnsi="Calibri" w:cs="Calibri"/>
                <w:sz w:val="18"/>
                <w:szCs w:val="18"/>
              </w:rPr>
            </w:pPr>
            <w:r w:rsidRPr="00542A05">
              <w:rPr>
                <w:rFonts w:ascii="Calibri" w:hAnsi="Calibri" w:cs="Calibri"/>
                <w:sz w:val="18"/>
                <w:szCs w:val="18"/>
              </w:rPr>
              <w:t>Other comprehensive expense for the year</w:t>
            </w:r>
          </w:p>
        </w:tc>
        <w:tc>
          <w:tcPr>
            <w:tcW w:w="1418" w:type="dxa"/>
          </w:tcPr>
          <w:p w14:paraId="64AED4CE" w14:textId="77777777" w:rsidR="00C25BE2" w:rsidRPr="00542A05" w:rsidRDefault="00C25BE2" w:rsidP="00C25BE2">
            <w:pPr>
              <w:tabs>
                <w:tab w:val="left" w:pos="8080"/>
              </w:tabs>
              <w:ind w:right="-28"/>
              <w:jc w:val="right"/>
              <w:rPr>
                <w:rFonts w:ascii="Calibri" w:hAnsi="Calibri" w:cs="Calibri"/>
                <w:sz w:val="18"/>
                <w:szCs w:val="18"/>
              </w:rPr>
            </w:pPr>
            <w:r w:rsidRPr="00542A05">
              <w:rPr>
                <w:rFonts w:ascii="Calibri" w:hAnsi="Calibri" w:cs="Calibri"/>
                <w:sz w:val="18"/>
                <w:szCs w:val="18"/>
              </w:rPr>
              <w:t>-</w:t>
            </w:r>
          </w:p>
        </w:tc>
        <w:tc>
          <w:tcPr>
            <w:tcW w:w="1275" w:type="dxa"/>
          </w:tcPr>
          <w:p w14:paraId="2226DF5E" w14:textId="77777777" w:rsidR="00C25BE2" w:rsidRPr="00542A05" w:rsidRDefault="00C25BE2" w:rsidP="00C25BE2">
            <w:pPr>
              <w:tabs>
                <w:tab w:val="left" w:pos="8080"/>
              </w:tabs>
              <w:ind w:right="-28"/>
              <w:jc w:val="right"/>
              <w:rPr>
                <w:rFonts w:ascii="Calibri" w:hAnsi="Calibri" w:cs="Calibri"/>
                <w:sz w:val="18"/>
                <w:szCs w:val="18"/>
              </w:rPr>
            </w:pPr>
            <w:r w:rsidRPr="00542A05">
              <w:rPr>
                <w:rFonts w:ascii="Calibri" w:hAnsi="Calibri" w:cs="Calibri"/>
                <w:sz w:val="18"/>
                <w:szCs w:val="18"/>
              </w:rPr>
              <w:t>-</w:t>
            </w:r>
          </w:p>
        </w:tc>
        <w:tc>
          <w:tcPr>
            <w:tcW w:w="1195" w:type="dxa"/>
          </w:tcPr>
          <w:p w14:paraId="4853EEA4" w14:textId="77777777" w:rsidR="00C25BE2" w:rsidRPr="00542A05" w:rsidRDefault="00C25BE2" w:rsidP="00C25BE2">
            <w:pPr>
              <w:tabs>
                <w:tab w:val="left" w:pos="8080"/>
              </w:tabs>
              <w:ind w:right="-28"/>
              <w:jc w:val="right"/>
              <w:rPr>
                <w:rFonts w:ascii="Calibri" w:hAnsi="Calibri" w:cs="Calibri"/>
                <w:sz w:val="18"/>
                <w:szCs w:val="18"/>
              </w:rPr>
            </w:pPr>
            <w:r w:rsidRPr="00542A05">
              <w:rPr>
                <w:rFonts w:ascii="Calibri" w:hAnsi="Calibri" w:cs="Calibri"/>
                <w:sz w:val="18"/>
                <w:szCs w:val="18"/>
              </w:rPr>
              <w:t>(48,662)</w:t>
            </w:r>
          </w:p>
        </w:tc>
        <w:tc>
          <w:tcPr>
            <w:tcW w:w="1195" w:type="dxa"/>
          </w:tcPr>
          <w:p w14:paraId="56F6ED15" w14:textId="77777777" w:rsidR="00C25BE2" w:rsidRPr="00542A05" w:rsidRDefault="00C25BE2" w:rsidP="00C25BE2">
            <w:pPr>
              <w:tabs>
                <w:tab w:val="left" w:pos="8080"/>
              </w:tabs>
              <w:ind w:right="-28"/>
              <w:jc w:val="right"/>
              <w:rPr>
                <w:rFonts w:ascii="Calibri" w:hAnsi="Calibri" w:cs="Calibri"/>
                <w:sz w:val="18"/>
                <w:szCs w:val="18"/>
              </w:rPr>
            </w:pPr>
            <w:r w:rsidRPr="00542A05">
              <w:rPr>
                <w:rFonts w:ascii="Calibri" w:hAnsi="Calibri" w:cs="Calibri"/>
                <w:sz w:val="18"/>
                <w:szCs w:val="18"/>
              </w:rPr>
              <w:t>(1,988)</w:t>
            </w:r>
          </w:p>
        </w:tc>
        <w:tc>
          <w:tcPr>
            <w:tcW w:w="1478" w:type="dxa"/>
          </w:tcPr>
          <w:p w14:paraId="59F220DC" w14:textId="77777777" w:rsidR="00C25BE2" w:rsidRPr="00542A05" w:rsidRDefault="00C25BE2" w:rsidP="00C25BE2">
            <w:pPr>
              <w:tabs>
                <w:tab w:val="left" w:pos="8080"/>
              </w:tabs>
              <w:ind w:right="-28"/>
              <w:jc w:val="right"/>
              <w:rPr>
                <w:rFonts w:ascii="Calibri" w:hAnsi="Calibri" w:cs="Calibri"/>
                <w:sz w:val="18"/>
                <w:szCs w:val="18"/>
              </w:rPr>
            </w:pPr>
            <w:r w:rsidRPr="00542A05">
              <w:rPr>
                <w:rFonts w:ascii="Calibri" w:hAnsi="Calibri" w:cs="Calibri"/>
                <w:sz w:val="18"/>
                <w:szCs w:val="18"/>
              </w:rPr>
              <w:t>(50,650)</w:t>
            </w:r>
          </w:p>
        </w:tc>
        <w:tc>
          <w:tcPr>
            <w:tcW w:w="1276" w:type="dxa"/>
          </w:tcPr>
          <w:p w14:paraId="38E376C8" w14:textId="77777777" w:rsidR="00C25BE2" w:rsidRPr="00542A05" w:rsidRDefault="00C25BE2" w:rsidP="00C25BE2">
            <w:pPr>
              <w:tabs>
                <w:tab w:val="left" w:pos="8080"/>
              </w:tabs>
              <w:ind w:right="-28"/>
              <w:jc w:val="right"/>
              <w:rPr>
                <w:rFonts w:ascii="Calibri" w:hAnsi="Calibri" w:cs="Calibri"/>
                <w:sz w:val="18"/>
                <w:szCs w:val="18"/>
              </w:rPr>
            </w:pPr>
            <w:r w:rsidRPr="00542A05">
              <w:rPr>
                <w:rFonts w:ascii="Calibri" w:hAnsi="Calibri" w:cs="Calibri"/>
                <w:sz w:val="18"/>
                <w:szCs w:val="18"/>
              </w:rPr>
              <w:t>-</w:t>
            </w:r>
          </w:p>
        </w:tc>
        <w:tc>
          <w:tcPr>
            <w:tcW w:w="1134" w:type="dxa"/>
            <w:gridSpan w:val="2"/>
          </w:tcPr>
          <w:p w14:paraId="0950AEDA" w14:textId="77777777" w:rsidR="00C25BE2" w:rsidRPr="00542A05" w:rsidRDefault="00C25BE2" w:rsidP="00C25BE2">
            <w:pPr>
              <w:tabs>
                <w:tab w:val="left" w:pos="8080"/>
              </w:tabs>
              <w:ind w:right="-28"/>
              <w:jc w:val="right"/>
              <w:rPr>
                <w:rFonts w:ascii="Calibri" w:hAnsi="Calibri" w:cs="Calibri"/>
                <w:sz w:val="18"/>
                <w:szCs w:val="18"/>
              </w:rPr>
            </w:pPr>
            <w:r w:rsidRPr="00542A05">
              <w:rPr>
                <w:rFonts w:ascii="Calibri" w:hAnsi="Calibri" w:cs="Calibri"/>
                <w:sz w:val="18"/>
                <w:szCs w:val="18"/>
              </w:rPr>
              <w:t>(50,650)</w:t>
            </w:r>
          </w:p>
        </w:tc>
      </w:tr>
      <w:tr w:rsidR="00C25BE2" w:rsidRPr="00542A05" w14:paraId="3598AC9B" w14:textId="77777777" w:rsidTr="003650A0">
        <w:trPr>
          <w:trHeight w:val="235"/>
        </w:trPr>
        <w:tc>
          <w:tcPr>
            <w:tcW w:w="6379" w:type="dxa"/>
          </w:tcPr>
          <w:p w14:paraId="6830C9FE" w14:textId="640A0E23" w:rsidR="00C25BE2" w:rsidRPr="00542A05" w:rsidRDefault="00C25BE2" w:rsidP="00C25BE2">
            <w:pPr>
              <w:tabs>
                <w:tab w:val="left" w:pos="8080"/>
              </w:tabs>
              <w:ind w:right="-28"/>
              <w:rPr>
                <w:rFonts w:ascii="Calibri" w:hAnsi="Calibri" w:cs="Calibri"/>
                <w:b/>
                <w:sz w:val="18"/>
                <w:szCs w:val="18"/>
              </w:rPr>
            </w:pPr>
            <w:r w:rsidRPr="00542A05">
              <w:rPr>
                <w:rFonts w:ascii="Calibri" w:hAnsi="Calibri" w:cs="Calibri"/>
                <w:b/>
                <w:sz w:val="18"/>
                <w:szCs w:val="18"/>
              </w:rPr>
              <w:t>Total comprehensive</w:t>
            </w:r>
            <w:r w:rsidR="00B14E86">
              <w:rPr>
                <w:rFonts w:ascii="Calibri" w:hAnsi="Calibri" w:cs="Calibri"/>
                <w:b/>
                <w:sz w:val="18"/>
                <w:szCs w:val="18"/>
              </w:rPr>
              <w:t xml:space="preserve"> (expense)/</w:t>
            </w:r>
            <w:r w:rsidRPr="00542A05">
              <w:rPr>
                <w:rFonts w:ascii="Calibri" w:hAnsi="Calibri" w:cs="Calibri"/>
                <w:b/>
                <w:sz w:val="18"/>
                <w:szCs w:val="18"/>
              </w:rPr>
              <w:t>income</w:t>
            </w:r>
            <w:r w:rsidR="00B14E86">
              <w:rPr>
                <w:rFonts w:ascii="Calibri" w:hAnsi="Calibri" w:cs="Calibri"/>
                <w:b/>
                <w:sz w:val="18"/>
                <w:szCs w:val="18"/>
              </w:rPr>
              <w:t xml:space="preserve"> </w:t>
            </w:r>
            <w:r w:rsidRPr="00542A05">
              <w:rPr>
                <w:rFonts w:ascii="Calibri" w:hAnsi="Calibri" w:cs="Calibri"/>
                <w:b/>
                <w:sz w:val="18"/>
                <w:szCs w:val="18"/>
              </w:rPr>
              <w:t>for the year</w:t>
            </w:r>
          </w:p>
        </w:tc>
        <w:tc>
          <w:tcPr>
            <w:tcW w:w="1418" w:type="dxa"/>
            <w:tcBorders>
              <w:top w:val="single" w:sz="2" w:space="0" w:color="auto"/>
            </w:tcBorders>
          </w:tcPr>
          <w:p w14:paraId="32C201B2" w14:textId="77777777" w:rsidR="00C25BE2" w:rsidRPr="00542A05" w:rsidRDefault="00C25BE2" w:rsidP="00C25BE2">
            <w:pPr>
              <w:tabs>
                <w:tab w:val="left" w:pos="8080"/>
              </w:tabs>
              <w:ind w:right="-28"/>
              <w:jc w:val="right"/>
              <w:rPr>
                <w:rFonts w:ascii="Calibri" w:hAnsi="Calibri" w:cs="Calibri"/>
                <w:b/>
                <w:sz w:val="18"/>
                <w:szCs w:val="18"/>
              </w:rPr>
            </w:pPr>
            <w:r w:rsidRPr="00542A05">
              <w:rPr>
                <w:rFonts w:ascii="Calibri" w:hAnsi="Calibri" w:cs="Calibri"/>
                <w:b/>
                <w:sz w:val="18"/>
                <w:szCs w:val="18"/>
              </w:rPr>
              <w:t>-</w:t>
            </w:r>
          </w:p>
        </w:tc>
        <w:tc>
          <w:tcPr>
            <w:tcW w:w="1275" w:type="dxa"/>
            <w:tcBorders>
              <w:top w:val="single" w:sz="2" w:space="0" w:color="auto"/>
            </w:tcBorders>
          </w:tcPr>
          <w:p w14:paraId="57C7DD22" w14:textId="77777777" w:rsidR="00C25BE2" w:rsidRPr="00542A05" w:rsidRDefault="00C25BE2" w:rsidP="00C25BE2">
            <w:pPr>
              <w:tabs>
                <w:tab w:val="left" w:pos="8080"/>
              </w:tabs>
              <w:ind w:right="-28"/>
              <w:jc w:val="right"/>
              <w:rPr>
                <w:rFonts w:ascii="Calibri" w:hAnsi="Calibri" w:cs="Calibri"/>
                <w:b/>
                <w:sz w:val="18"/>
                <w:szCs w:val="18"/>
              </w:rPr>
            </w:pPr>
            <w:r w:rsidRPr="00542A05">
              <w:rPr>
                <w:rFonts w:ascii="Calibri" w:hAnsi="Calibri" w:cs="Calibri"/>
                <w:b/>
                <w:sz w:val="18"/>
                <w:szCs w:val="18"/>
              </w:rPr>
              <w:t>-</w:t>
            </w:r>
          </w:p>
        </w:tc>
        <w:tc>
          <w:tcPr>
            <w:tcW w:w="1195" w:type="dxa"/>
            <w:tcBorders>
              <w:top w:val="single" w:sz="2" w:space="0" w:color="auto"/>
            </w:tcBorders>
          </w:tcPr>
          <w:p w14:paraId="297B4888" w14:textId="77777777" w:rsidR="00C25BE2" w:rsidRPr="00542A05" w:rsidRDefault="00C25BE2" w:rsidP="00C25BE2">
            <w:pPr>
              <w:tabs>
                <w:tab w:val="left" w:pos="8080"/>
              </w:tabs>
              <w:ind w:right="-28"/>
              <w:jc w:val="right"/>
              <w:rPr>
                <w:rFonts w:ascii="Calibri" w:hAnsi="Calibri" w:cs="Calibri"/>
                <w:b/>
                <w:sz w:val="18"/>
                <w:szCs w:val="18"/>
              </w:rPr>
            </w:pPr>
            <w:r w:rsidRPr="00542A05">
              <w:rPr>
                <w:rFonts w:ascii="Calibri" w:hAnsi="Calibri" w:cs="Calibri"/>
                <w:b/>
                <w:sz w:val="18"/>
                <w:szCs w:val="18"/>
              </w:rPr>
              <w:t>(48,662)</w:t>
            </w:r>
          </w:p>
        </w:tc>
        <w:tc>
          <w:tcPr>
            <w:tcW w:w="1195" w:type="dxa"/>
            <w:tcBorders>
              <w:top w:val="single" w:sz="2" w:space="0" w:color="auto"/>
            </w:tcBorders>
          </w:tcPr>
          <w:p w14:paraId="799A4173" w14:textId="77777777" w:rsidR="00C25BE2" w:rsidRPr="00542A05" w:rsidRDefault="00C25BE2" w:rsidP="00C25BE2">
            <w:pPr>
              <w:tabs>
                <w:tab w:val="left" w:pos="8080"/>
              </w:tabs>
              <w:ind w:right="-28"/>
              <w:jc w:val="right"/>
              <w:rPr>
                <w:rFonts w:ascii="Calibri" w:hAnsi="Calibri" w:cs="Calibri"/>
                <w:b/>
                <w:sz w:val="18"/>
                <w:szCs w:val="18"/>
              </w:rPr>
            </w:pPr>
            <w:r w:rsidRPr="00542A05">
              <w:rPr>
                <w:rFonts w:ascii="Calibri" w:hAnsi="Calibri" w:cs="Calibri"/>
                <w:b/>
                <w:sz w:val="18"/>
                <w:szCs w:val="18"/>
              </w:rPr>
              <w:t>55,568</w:t>
            </w:r>
          </w:p>
        </w:tc>
        <w:tc>
          <w:tcPr>
            <w:tcW w:w="1478" w:type="dxa"/>
            <w:tcBorders>
              <w:top w:val="single" w:sz="2" w:space="0" w:color="auto"/>
            </w:tcBorders>
          </w:tcPr>
          <w:p w14:paraId="2DCDD3E3" w14:textId="77777777" w:rsidR="00C25BE2" w:rsidRPr="00542A05" w:rsidRDefault="00C25BE2" w:rsidP="00C25BE2">
            <w:pPr>
              <w:tabs>
                <w:tab w:val="left" w:pos="8080"/>
              </w:tabs>
              <w:ind w:right="-28"/>
              <w:jc w:val="right"/>
              <w:rPr>
                <w:rFonts w:ascii="Calibri" w:hAnsi="Calibri" w:cs="Calibri"/>
                <w:b/>
                <w:sz w:val="18"/>
                <w:szCs w:val="18"/>
              </w:rPr>
            </w:pPr>
            <w:r w:rsidRPr="00542A05">
              <w:rPr>
                <w:rFonts w:ascii="Calibri" w:hAnsi="Calibri" w:cs="Calibri"/>
                <w:b/>
                <w:sz w:val="18"/>
                <w:szCs w:val="18"/>
              </w:rPr>
              <w:t>6,906</w:t>
            </w:r>
          </w:p>
        </w:tc>
        <w:tc>
          <w:tcPr>
            <w:tcW w:w="1276" w:type="dxa"/>
            <w:tcBorders>
              <w:top w:val="single" w:sz="2" w:space="0" w:color="auto"/>
            </w:tcBorders>
          </w:tcPr>
          <w:p w14:paraId="4C466FB9" w14:textId="77777777" w:rsidR="00C25BE2" w:rsidRPr="00542A05" w:rsidRDefault="00C25BE2" w:rsidP="00C25BE2">
            <w:pPr>
              <w:tabs>
                <w:tab w:val="left" w:pos="8080"/>
              </w:tabs>
              <w:ind w:right="-28"/>
              <w:jc w:val="right"/>
              <w:rPr>
                <w:rFonts w:ascii="Calibri" w:hAnsi="Calibri" w:cs="Calibri"/>
                <w:b/>
                <w:sz w:val="18"/>
                <w:szCs w:val="18"/>
              </w:rPr>
            </w:pPr>
            <w:r w:rsidRPr="00542A05">
              <w:rPr>
                <w:rFonts w:ascii="Calibri" w:hAnsi="Calibri" w:cs="Calibri"/>
                <w:b/>
                <w:sz w:val="18"/>
                <w:szCs w:val="18"/>
              </w:rPr>
              <w:t>-</w:t>
            </w:r>
          </w:p>
        </w:tc>
        <w:tc>
          <w:tcPr>
            <w:tcW w:w="1134" w:type="dxa"/>
            <w:gridSpan w:val="2"/>
            <w:tcBorders>
              <w:top w:val="single" w:sz="2" w:space="0" w:color="auto"/>
            </w:tcBorders>
          </w:tcPr>
          <w:p w14:paraId="4538F841" w14:textId="77777777" w:rsidR="00C25BE2" w:rsidRPr="00542A05" w:rsidRDefault="00C25BE2" w:rsidP="00C25BE2">
            <w:pPr>
              <w:tabs>
                <w:tab w:val="left" w:pos="8080"/>
              </w:tabs>
              <w:ind w:right="-28"/>
              <w:jc w:val="right"/>
              <w:rPr>
                <w:rFonts w:ascii="Calibri" w:hAnsi="Calibri" w:cs="Calibri"/>
                <w:b/>
                <w:sz w:val="18"/>
                <w:szCs w:val="18"/>
              </w:rPr>
            </w:pPr>
            <w:r w:rsidRPr="00542A05">
              <w:rPr>
                <w:rFonts w:ascii="Calibri" w:hAnsi="Calibri" w:cs="Calibri"/>
                <w:b/>
                <w:sz w:val="18"/>
                <w:szCs w:val="18"/>
              </w:rPr>
              <w:t>6,906</w:t>
            </w:r>
          </w:p>
        </w:tc>
      </w:tr>
      <w:tr w:rsidR="00C25BE2" w:rsidRPr="00542A05" w14:paraId="35010C11" w14:textId="77777777" w:rsidTr="003650A0">
        <w:trPr>
          <w:trHeight w:val="235"/>
        </w:trPr>
        <w:tc>
          <w:tcPr>
            <w:tcW w:w="6379" w:type="dxa"/>
          </w:tcPr>
          <w:p w14:paraId="3D228BBA" w14:textId="77777777" w:rsidR="00C25BE2" w:rsidRPr="00542A05" w:rsidRDefault="00C25BE2" w:rsidP="00C25BE2">
            <w:pPr>
              <w:tabs>
                <w:tab w:val="left" w:pos="8080"/>
              </w:tabs>
              <w:ind w:right="-28"/>
              <w:rPr>
                <w:rFonts w:ascii="Calibri" w:hAnsi="Calibri" w:cs="Calibri"/>
                <w:sz w:val="18"/>
                <w:szCs w:val="18"/>
              </w:rPr>
            </w:pPr>
            <w:r w:rsidRPr="00542A05">
              <w:rPr>
                <w:rFonts w:ascii="Calibri" w:hAnsi="Calibri" w:cs="Calibri"/>
                <w:sz w:val="18"/>
                <w:szCs w:val="18"/>
              </w:rPr>
              <w:t>Dividends paid and approved on ordinary and preference shares</w:t>
            </w:r>
          </w:p>
        </w:tc>
        <w:tc>
          <w:tcPr>
            <w:tcW w:w="1418" w:type="dxa"/>
          </w:tcPr>
          <w:p w14:paraId="71573B1B" w14:textId="77777777" w:rsidR="00C25BE2" w:rsidRPr="00542A05" w:rsidRDefault="00C25BE2" w:rsidP="00C25BE2">
            <w:pPr>
              <w:tabs>
                <w:tab w:val="left" w:pos="8080"/>
              </w:tabs>
              <w:ind w:right="-28"/>
              <w:jc w:val="right"/>
              <w:rPr>
                <w:rFonts w:ascii="Calibri" w:hAnsi="Calibri" w:cs="Calibri"/>
                <w:sz w:val="18"/>
                <w:szCs w:val="18"/>
              </w:rPr>
            </w:pPr>
            <w:r w:rsidRPr="00542A05">
              <w:rPr>
                <w:rFonts w:ascii="Calibri" w:hAnsi="Calibri" w:cs="Calibri"/>
                <w:sz w:val="18"/>
                <w:szCs w:val="18"/>
              </w:rPr>
              <w:t>-</w:t>
            </w:r>
          </w:p>
        </w:tc>
        <w:tc>
          <w:tcPr>
            <w:tcW w:w="1275" w:type="dxa"/>
          </w:tcPr>
          <w:p w14:paraId="3A836129" w14:textId="77777777" w:rsidR="00C25BE2" w:rsidRPr="00542A05" w:rsidRDefault="00C25BE2" w:rsidP="00C25BE2">
            <w:pPr>
              <w:tabs>
                <w:tab w:val="left" w:pos="8080"/>
              </w:tabs>
              <w:ind w:right="-28"/>
              <w:jc w:val="right"/>
              <w:rPr>
                <w:rFonts w:ascii="Calibri" w:hAnsi="Calibri" w:cs="Calibri"/>
                <w:sz w:val="18"/>
                <w:szCs w:val="18"/>
              </w:rPr>
            </w:pPr>
            <w:r w:rsidRPr="00542A05">
              <w:rPr>
                <w:rFonts w:ascii="Calibri" w:hAnsi="Calibri" w:cs="Calibri"/>
                <w:sz w:val="18"/>
                <w:szCs w:val="18"/>
              </w:rPr>
              <w:t>-</w:t>
            </w:r>
          </w:p>
        </w:tc>
        <w:tc>
          <w:tcPr>
            <w:tcW w:w="1195" w:type="dxa"/>
          </w:tcPr>
          <w:p w14:paraId="5D334087" w14:textId="77777777" w:rsidR="00C25BE2" w:rsidRPr="00542A05" w:rsidRDefault="00C25BE2" w:rsidP="00C25BE2">
            <w:pPr>
              <w:tabs>
                <w:tab w:val="left" w:pos="8080"/>
              </w:tabs>
              <w:ind w:right="-28"/>
              <w:jc w:val="right"/>
              <w:rPr>
                <w:rFonts w:ascii="Calibri" w:hAnsi="Calibri" w:cs="Calibri"/>
                <w:sz w:val="18"/>
                <w:szCs w:val="18"/>
              </w:rPr>
            </w:pPr>
            <w:r w:rsidRPr="00542A05">
              <w:rPr>
                <w:rFonts w:ascii="Calibri" w:hAnsi="Calibri" w:cs="Calibri"/>
                <w:sz w:val="18"/>
                <w:szCs w:val="18"/>
              </w:rPr>
              <w:t>-</w:t>
            </w:r>
          </w:p>
        </w:tc>
        <w:tc>
          <w:tcPr>
            <w:tcW w:w="1195" w:type="dxa"/>
          </w:tcPr>
          <w:p w14:paraId="123F64B2" w14:textId="77777777" w:rsidR="00C25BE2" w:rsidRPr="00542A05" w:rsidRDefault="00C25BE2" w:rsidP="00C25BE2">
            <w:pPr>
              <w:tabs>
                <w:tab w:val="left" w:pos="8080"/>
              </w:tabs>
              <w:ind w:right="-28"/>
              <w:jc w:val="right"/>
              <w:rPr>
                <w:rFonts w:ascii="Calibri" w:hAnsi="Calibri" w:cs="Calibri"/>
                <w:sz w:val="18"/>
                <w:szCs w:val="18"/>
              </w:rPr>
            </w:pPr>
            <w:r w:rsidRPr="00542A05">
              <w:rPr>
                <w:rFonts w:ascii="Calibri" w:hAnsi="Calibri" w:cs="Calibri"/>
                <w:sz w:val="18"/>
                <w:szCs w:val="18"/>
              </w:rPr>
              <w:t>(35,870)</w:t>
            </w:r>
          </w:p>
        </w:tc>
        <w:tc>
          <w:tcPr>
            <w:tcW w:w="1478" w:type="dxa"/>
          </w:tcPr>
          <w:p w14:paraId="2506B87D" w14:textId="77777777" w:rsidR="00C25BE2" w:rsidRPr="00542A05" w:rsidRDefault="00C25BE2" w:rsidP="00C25BE2">
            <w:pPr>
              <w:tabs>
                <w:tab w:val="left" w:pos="8080"/>
              </w:tabs>
              <w:ind w:right="-28"/>
              <w:jc w:val="right"/>
              <w:rPr>
                <w:rFonts w:ascii="Calibri" w:hAnsi="Calibri" w:cs="Calibri"/>
                <w:sz w:val="18"/>
                <w:szCs w:val="18"/>
              </w:rPr>
            </w:pPr>
            <w:r w:rsidRPr="00542A05">
              <w:rPr>
                <w:rFonts w:ascii="Calibri" w:hAnsi="Calibri" w:cs="Calibri"/>
                <w:sz w:val="18"/>
                <w:szCs w:val="18"/>
              </w:rPr>
              <w:t>(35,870)</w:t>
            </w:r>
          </w:p>
        </w:tc>
        <w:tc>
          <w:tcPr>
            <w:tcW w:w="1276" w:type="dxa"/>
          </w:tcPr>
          <w:p w14:paraId="0DE05341" w14:textId="77777777" w:rsidR="00C25BE2" w:rsidRPr="00542A05" w:rsidRDefault="00C25BE2" w:rsidP="00C25BE2">
            <w:pPr>
              <w:tabs>
                <w:tab w:val="left" w:pos="8080"/>
              </w:tabs>
              <w:ind w:right="-28"/>
              <w:jc w:val="right"/>
              <w:rPr>
                <w:rFonts w:ascii="Calibri" w:hAnsi="Calibri" w:cs="Calibri"/>
                <w:sz w:val="18"/>
                <w:szCs w:val="18"/>
              </w:rPr>
            </w:pPr>
            <w:r w:rsidRPr="00542A05">
              <w:rPr>
                <w:rFonts w:ascii="Calibri" w:hAnsi="Calibri" w:cs="Calibri"/>
                <w:sz w:val="18"/>
                <w:szCs w:val="18"/>
              </w:rPr>
              <w:t>-</w:t>
            </w:r>
          </w:p>
        </w:tc>
        <w:tc>
          <w:tcPr>
            <w:tcW w:w="1134" w:type="dxa"/>
            <w:gridSpan w:val="2"/>
          </w:tcPr>
          <w:p w14:paraId="71E68ECC" w14:textId="77777777" w:rsidR="00C25BE2" w:rsidRPr="00542A05" w:rsidRDefault="00C25BE2" w:rsidP="00C25BE2">
            <w:pPr>
              <w:tabs>
                <w:tab w:val="left" w:pos="8080"/>
              </w:tabs>
              <w:ind w:right="-28"/>
              <w:jc w:val="right"/>
              <w:rPr>
                <w:rFonts w:ascii="Calibri" w:hAnsi="Calibri" w:cs="Calibri"/>
                <w:sz w:val="18"/>
                <w:szCs w:val="18"/>
              </w:rPr>
            </w:pPr>
            <w:r w:rsidRPr="00542A05">
              <w:rPr>
                <w:rFonts w:ascii="Calibri" w:hAnsi="Calibri" w:cs="Calibri"/>
                <w:sz w:val="18"/>
                <w:szCs w:val="18"/>
              </w:rPr>
              <w:t>(35,870)</w:t>
            </w:r>
          </w:p>
        </w:tc>
      </w:tr>
      <w:tr w:rsidR="00C25BE2" w:rsidRPr="008901A5" w14:paraId="45A50409" w14:textId="77777777" w:rsidTr="003650A0">
        <w:trPr>
          <w:trHeight w:val="226"/>
        </w:trPr>
        <w:tc>
          <w:tcPr>
            <w:tcW w:w="6379" w:type="dxa"/>
          </w:tcPr>
          <w:p w14:paraId="0438A7A5" w14:textId="77777777" w:rsidR="00C25BE2" w:rsidRPr="00542A05" w:rsidRDefault="00C25BE2" w:rsidP="00C25BE2">
            <w:pPr>
              <w:tabs>
                <w:tab w:val="left" w:pos="8080"/>
              </w:tabs>
              <w:ind w:right="-28"/>
              <w:rPr>
                <w:rFonts w:ascii="Calibri" w:hAnsi="Calibri" w:cs="Calibri"/>
                <w:sz w:val="18"/>
                <w:szCs w:val="18"/>
              </w:rPr>
            </w:pPr>
            <w:r w:rsidRPr="00542A05">
              <w:rPr>
                <w:rFonts w:ascii="Calibri" w:hAnsi="Calibri" w:cs="Calibri"/>
                <w:sz w:val="18"/>
                <w:szCs w:val="18"/>
              </w:rPr>
              <w:t>Issue of ordinary shares*</w:t>
            </w:r>
          </w:p>
        </w:tc>
        <w:tc>
          <w:tcPr>
            <w:tcW w:w="1418" w:type="dxa"/>
          </w:tcPr>
          <w:p w14:paraId="0C8412A7" w14:textId="77777777" w:rsidR="00C25BE2" w:rsidRPr="00542A05" w:rsidRDefault="00C25BE2" w:rsidP="00C25BE2">
            <w:pPr>
              <w:tabs>
                <w:tab w:val="left" w:pos="8080"/>
              </w:tabs>
              <w:ind w:right="-28"/>
              <w:jc w:val="right"/>
              <w:rPr>
                <w:rFonts w:ascii="Calibri" w:hAnsi="Calibri" w:cs="Calibri"/>
                <w:sz w:val="18"/>
                <w:szCs w:val="18"/>
              </w:rPr>
            </w:pPr>
            <w:r w:rsidRPr="00542A05">
              <w:rPr>
                <w:rFonts w:ascii="Calibri" w:hAnsi="Calibri" w:cs="Calibri"/>
                <w:sz w:val="18"/>
                <w:szCs w:val="18"/>
              </w:rPr>
              <w:t>174</w:t>
            </w:r>
          </w:p>
        </w:tc>
        <w:tc>
          <w:tcPr>
            <w:tcW w:w="1275" w:type="dxa"/>
          </w:tcPr>
          <w:p w14:paraId="41CC3C80" w14:textId="77777777" w:rsidR="00C25BE2" w:rsidRPr="00542A05" w:rsidRDefault="00C25BE2" w:rsidP="00C25BE2">
            <w:pPr>
              <w:tabs>
                <w:tab w:val="left" w:pos="8080"/>
              </w:tabs>
              <w:ind w:right="-28"/>
              <w:jc w:val="right"/>
              <w:rPr>
                <w:rFonts w:ascii="Calibri" w:hAnsi="Calibri" w:cs="Calibri"/>
                <w:sz w:val="18"/>
                <w:szCs w:val="18"/>
              </w:rPr>
            </w:pPr>
            <w:r w:rsidRPr="00542A05">
              <w:rPr>
                <w:rFonts w:ascii="Calibri" w:hAnsi="Calibri" w:cs="Calibri"/>
                <w:sz w:val="18"/>
                <w:szCs w:val="18"/>
              </w:rPr>
              <w:t>105</w:t>
            </w:r>
          </w:p>
        </w:tc>
        <w:tc>
          <w:tcPr>
            <w:tcW w:w="1195" w:type="dxa"/>
          </w:tcPr>
          <w:p w14:paraId="5339DE4E" w14:textId="77777777" w:rsidR="00C25BE2" w:rsidRPr="00542A05" w:rsidRDefault="00C25BE2" w:rsidP="00C25BE2">
            <w:pPr>
              <w:tabs>
                <w:tab w:val="left" w:pos="8080"/>
              </w:tabs>
              <w:ind w:right="-28"/>
              <w:jc w:val="right"/>
              <w:rPr>
                <w:rFonts w:ascii="Calibri" w:hAnsi="Calibri" w:cs="Calibri"/>
                <w:sz w:val="18"/>
                <w:szCs w:val="18"/>
              </w:rPr>
            </w:pPr>
            <w:r w:rsidRPr="00542A05">
              <w:rPr>
                <w:rFonts w:ascii="Calibri" w:hAnsi="Calibri" w:cs="Calibri"/>
                <w:sz w:val="18"/>
                <w:szCs w:val="18"/>
              </w:rPr>
              <w:t>-</w:t>
            </w:r>
          </w:p>
        </w:tc>
        <w:tc>
          <w:tcPr>
            <w:tcW w:w="1195" w:type="dxa"/>
          </w:tcPr>
          <w:p w14:paraId="6E122E13" w14:textId="77777777" w:rsidR="00C25BE2" w:rsidRPr="00542A05" w:rsidRDefault="00C25BE2" w:rsidP="00C25BE2">
            <w:pPr>
              <w:tabs>
                <w:tab w:val="left" w:pos="8080"/>
              </w:tabs>
              <w:ind w:right="-28"/>
              <w:jc w:val="right"/>
              <w:rPr>
                <w:rFonts w:ascii="Calibri" w:hAnsi="Calibri" w:cs="Calibri"/>
                <w:sz w:val="18"/>
                <w:szCs w:val="18"/>
              </w:rPr>
            </w:pPr>
            <w:r w:rsidRPr="00542A05">
              <w:rPr>
                <w:rFonts w:ascii="Calibri" w:hAnsi="Calibri" w:cs="Calibri"/>
                <w:sz w:val="18"/>
                <w:szCs w:val="18"/>
              </w:rPr>
              <w:t>(279)</w:t>
            </w:r>
          </w:p>
        </w:tc>
        <w:tc>
          <w:tcPr>
            <w:tcW w:w="1478" w:type="dxa"/>
          </w:tcPr>
          <w:p w14:paraId="4A7E83A4" w14:textId="77777777" w:rsidR="00C25BE2" w:rsidRPr="00542A05" w:rsidRDefault="00C25BE2" w:rsidP="00C25BE2">
            <w:pPr>
              <w:tabs>
                <w:tab w:val="left" w:pos="8080"/>
              </w:tabs>
              <w:ind w:right="-28"/>
              <w:jc w:val="right"/>
              <w:rPr>
                <w:rFonts w:ascii="Calibri" w:hAnsi="Calibri" w:cs="Calibri"/>
                <w:sz w:val="18"/>
                <w:szCs w:val="18"/>
              </w:rPr>
            </w:pPr>
            <w:r w:rsidRPr="00542A05">
              <w:rPr>
                <w:rFonts w:ascii="Calibri" w:hAnsi="Calibri" w:cs="Calibri"/>
                <w:sz w:val="18"/>
                <w:szCs w:val="18"/>
              </w:rPr>
              <w:t>-</w:t>
            </w:r>
          </w:p>
        </w:tc>
        <w:tc>
          <w:tcPr>
            <w:tcW w:w="1276" w:type="dxa"/>
          </w:tcPr>
          <w:p w14:paraId="728D046A" w14:textId="77777777" w:rsidR="00C25BE2" w:rsidRPr="00542A05" w:rsidRDefault="00C25BE2" w:rsidP="00C25BE2">
            <w:pPr>
              <w:tabs>
                <w:tab w:val="left" w:pos="8080"/>
              </w:tabs>
              <w:ind w:right="-28"/>
              <w:jc w:val="right"/>
              <w:rPr>
                <w:rFonts w:ascii="Calibri" w:hAnsi="Calibri" w:cs="Calibri"/>
                <w:sz w:val="18"/>
                <w:szCs w:val="18"/>
              </w:rPr>
            </w:pPr>
            <w:r w:rsidRPr="00542A05">
              <w:rPr>
                <w:rFonts w:ascii="Calibri" w:hAnsi="Calibri" w:cs="Calibri"/>
                <w:sz w:val="18"/>
                <w:szCs w:val="18"/>
              </w:rPr>
              <w:t>-</w:t>
            </w:r>
          </w:p>
        </w:tc>
        <w:tc>
          <w:tcPr>
            <w:tcW w:w="1134" w:type="dxa"/>
            <w:gridSpan w:val="2"/>
          </w:tcPr>
          <w:p w14:paraId="26EF4E8B" w14:textId="77777777" w:rsidR="00C25BE2" w:rsidRPr="00987D69" w:rsidRDefault="00C25BE2" w:rsidP="00C25BE2">
            <w:pPr>
              <w:tabs>
                <w:tab w:val="left" w:pos="8080"/>
              </w:tabs>
              <w:ind w:right="-28"/>
              <w:jc w:val="right"/>
              <w:rPr>
                <w:rFonts w:ascii="Calibri" w:hAnsi="Calibri" w:cs="Calibri"/>
                <w:sz w:val="18"/>
                <w:szCs w:val="18"/>
              </w:rPr>
            </w:pPr>
            <w:r w:rsidRPr="00542A05">
              <w:rPr>
                <w:rFonts w:ascii="Calibri" w:hAnsi="Calibri" w:cs="Calibri"/>
                <w:sz w:val="18"/>
                <w:szCs w:val="18"/>
              </w:rPr>
              <w:t>-</w:t>
            </w:r>
          </w:p>
        </w:tc>
      </w:tr>
      <w:tr w:rsidR="00C25BE2" w:rsidRPr="008901A5" w14:paraId="310750C5" w14:textId="77777777" w:rsidTr="003650A0">
        <w:trPr>
          <w:trHeight w:val="226"/>
        </w:trPr>
        <w:tc>
          <w:tcPr>
            <w:tcW w:w="6379" w:type="dxa"/>
          </w:tcPr>
          <w:p w14:paraId="6698A96E" w14:textId="4BA471C5" w:rsidR="00C25BE2" w:rsidRPr="00987D69" w:rsidRDefault="00C25BE2" w:rsidP="00C25BE2">
            <w:pPr>
              <w:tabs>
                <w:tab w:val="left" w:pos="8080"/>
              </w:tabs>
              <w:ind w:right="-28"/>
              <w:rPr>
                <w:rFonts w:ascii="Calibri" w:hAnsi="Calibri" w:cs="Calibri"/>
                <w:sz w:val="18"/>
                <w:szCs w:val="18"/>
              </w:rPr>
            </w:pPr>
            <w:r w:rsidRPr="00987D69">
              <w:rPr>
                <w:rFonts w:ascii="Calibri" w:hAnsi="Calibri" w:cs="Calibri"/>
                <w:sz w:val="18"/>
                <w:szCs w:val="18"/>
              </w:rPr>
              <w:t>Recognition of share</w:t>
            </w:r>
            <w:r w:rsidR="00330553">
              <w:rPr>
                <w:rFonts w:ascii="Calibri" w:hAnsi="Calibri" w:cs="Calibri"/>
                <w:sz w:val="18"/>
                <w:szCs w:val="18"/>
              </w:rPr>
              <w:t>-</w:t>
            </w:r>
            <w:r w:rsidRPr="00987D69">
              <w:rPr>
                <w:rFonts w:ascii="Calibri" w:hAnsi="Calibri" w:cs="Calibri"/>
                <w:sz w:val="18"/>
                <w:szCs w:val="18"/>
              </w:rPr>
              <w:t>based payments</w:t>
            </w:r>
          </w:p>
        </w:tc>
        <w:tc>
          <w:tcPr>
            <w:tcW w:w="1418" w:type="dxa"/>
          </w:tcPr>
          <w:p w14:paraId="09A8CAD7" w14:textId="77777777" w:rsidR="00C25BE2" w:rsidRPr="00987D69" w:rsidRDefault="00C25BE2" w:rsidP="00C25BE2">
            <w:pPr>
              <w:tabs>
                <w:tab w:val="left" w:pos="8080"/>
              </w:tabs>
              <w:ind w:right="-28"/>
              <w:jc w:val="right"/>
              <w:rPr>
                <w:rFonts w:ascii="Calibri" w:hAnsi="Calibri" w:cs="Calibri"/>
                <w:sz w:val="18"/>
                <w:szCs w:val="18"/>
              </w:rPr>
            </w:pPr>
            <w:r w:rsidRPr="00987D69">
              <w:rPr>
                <w:rFonts w:ascii="Calibri" w:hAnsi="Calibri" w:cs="Calibri"/>
                <w:sz w:val="18"/>
                <w:szCs w:val="18"/>
              </w:rPr>
              <w:t>-</w:t>
            </w:r>
          </w:p>
        </w:tc>
        <w:tc>
          <w:tcPr>
            <w:tcW w:w="1275" w:type="dxa"/>
          </w:tcPr>
          <w:p w14:paraId="2B7A4078" w14:textId="77777777" w:rsidR="00C25BE2" w:rsidRPr="00987D69" w:rsidRDefault="00C25BE2" w:rsidP="00C25BE2">
            <w:pPr>
              <w:tabs>
                <w:tab w:val="left" w:pos="8080"/>
              </w:tabs>
              <w:ind w:right="-28"/>
              <w:jc w:val="right"/>
              <w:rPr>
                <w:rFonts w:ascii="Calibri" w:hAnsi="Calibri" w:cs="Calibri"/>
                <w:sz w:val="18"/>
                <w:szCs w:val="18"/>
              </w:rPr>
            </w:pPr>
            <w:r w:rsidRPr="00987D69">
              <w:rPr>
                <w:rFonts w:ascii="Calibri" w:hAnsi="Calibri" w:cs="Calibri"/>
                <w:sz w:val="18"/>
                <w:szCs w:val="18"/>
              </w:rPr>
              <w:t>2,681</w:t>
            </w:r>
          </w:p>
        </w:tc>
        <w:tc>
          <w:tcPr>
            <w:tcW w:w="1195" w:type="dxa"/>
          </w:tcPr>
          <w:p w14:paraId="0C081570" w14:textId="77777777" w:rsidR="00C25BE2" w:rsidRPr="00987D69" w:rsidRDefault="00C25BE2" w:rsidP="00C25BE2">
            <w:pPr>
              <w:tabs>
                <w:tab w:val="left" w:pos="8080"/>
              </w:tabs>
              <w:ind w:right="-28"/>
              <w:jc w:val="right"/>
              <w:rPr>
                <w:rFonts w:ascii="Calibri" w:hAnsi="Calibri" w:cs="Calibri"/>
                <w:sz w:val="18"/>
                <w:szCs w:val="18"/>
              </w:rPr>
            </w:pPr>
            <w:r w:rsidRPr="00987D69">
              <w:rPr>
                <w:rFonts w:ascii="Calibri" w:hAnsi="Calibri" w:cs="Calibri"/>
                <w:sz w:val="18"/>
                <w:szCs w:val="18"/>
              </w:rPr>
              <w:t>-</w:t>
            </w:r>
          </w:p>
        </w:tc>
        <w:tc>
          <w:tcPr>
            <w:tcW w:w="1195" w:type="dxa"/>
          </w:tcPr>
          <w:p w14:paraId="2D2B14FF" w14:textId="77777777" w:rsidR="00C25BE2" w:rsidRPr="00987D69" w:rsidRDefault="00C25BE2" w:rsidP="00C25BE2">
            <w:pPr>
              <w:tabs>
                <w:tab w:val="left" w:pos="8080"/>
              </w:tabs>
              <w:ind w:right="-28"/>
              <w:jc w:val="right"/>
              <w:rPr>
                <w:rFonts w:ascii="Calibri" w:hAnsi="Calibri" w:cs="Calibri"/>
                <w:sz w:val="18"/>
                <w:szCs w:val="18"/>
              </w:rPr>
            </w:pPr>
            <w:r w:rsidRPr="00987D69">
              <w:rPr>
                <w:rFonts w:ascii="Calibri" w:hAnsi="Calibri" w:cs="Calibri"/>
                <w:sz w:val="18"/>
                <w:szCs w:val="18"/>
              </w:rPr>
              <w:t>-</w:t>
            </w:r>
          </w:p>
        </w:tc>
        <w:tc>
          <w:tcPr>
            <w:tcW w:w="1478" w:type="dxa"/>
            <w:tcBorders>
              <w:bottom w:val="single" w:sz="2" w:space="0" w:color="auto"/>
            </w:tcBorders>
          </w:tcPr>
          <w:p w14:paraId="68D15406" w14:textId="77777777" w:rsidR="00C25BE2" w:rsidRPr="00987D69" w:rsidRDefault="00C25BE2" w:rsidP="00C25BE2">
            <w:pPr>
              <w:tabs>
                <w:tab w:val="left" w:pos="8080"/>
              </w:tabs>
              <w:ind w:right="-28"/>
              <w:jc w:val="right"/>
              <w:rPr>
                <w:rFonts w:ascii="Calibri" w:hAnsi="Calibri" w:cs="Calibri"/>
                <w:sz w:val="18"/>
                <w:szCs w:val="18"/>
              </w:rPr>
            </w:pPr>
            <w:r w:rsidRPr="00987D69">
              <w:rPr>
                <w:rFonts w:ascii="Calibri" w:hAnsi="Calibri" w:cs="Calibri"/>
                <w:sz w:val="18"/>
                <w:szCs w:val="18"/>
              </w:rPr>
              <w:t>2,681</w:t>
            </w:r>
          </w:p>
        </w:tc>
        <w:tc>
          <w:tcPr>
            <w:tcW w:w="1276" w:type="dxa"/>
            <w:tcBorders>
              <w:bottom w:val="single" w:sz="2" w:space="0" w:color="auto"/>
            </w:tcBorders>
          </w:tcPr>
          <w:p w14:paraId="41915EC5" w14:textId="77777777" w:rsidR="00C25BE2" w:rsidRPr="00987D69" w:rsidRDefault="00C25BE2" w:rsidP="00C25BE2">
            <w:pPr>
              <w:tabs>
                <w:tab w:val="left" w:pos="8080"/>
              </w:tabs>
              <w:ind w:right="-28"/>
              <w:jc w:val="right"/>
              <w:rPr>
                <w:rFonts w:ascii="Calibri" w:hAnsi="Calibri" w:cs="Calibri"/>
                <w:sz w:val="18"/>
                <w:szCs w:val="18"/>
              </w:rPr>
            </w:pPr>
            <w:r w:rsidRPr="00987D69">
              <w:rPr>
                <w:rFonts w:ascii="Calibri" w:hAnsi="Calibri" w:cs="Calibri"/>
                <w:sz w:val="18"/>
                <w:szCs w:val="18"/>
              </w:rPr>
              <w:t>-</w:t>
            </w:r>
          </w:p>
        </w:tc>
        <w:tc>
          <w:tcPr>
            <w:tcW w:w="1134" w:type="dxa"/>
            <w:gridSpan w:val="2"/>
            <w:tcBorders>
              <w:bottom w:val="single" w:sz="2" w:space="0" w:color="auto"/>
            </w:tcBorders>
          </w:tcPr>
          <w:p w14:paraId="00ED7753" w14:textId="77777777" w:rsidR="00C25BE2" w:rsidRPr="00987D69" w:rsidRDefault="00C25BE2" w:rsidP="00C25BE2">
            <w:pPr>
              <w:tabs>
                <w:tab w:val="left" w:pos="8080"/>
              </w:tabs>
              <w:ind w:right="-28"/>
              <w:jc w:val="right"/>
              <w:rPr>
                <w:rFonts w:ascii="Calibri" w:hAnsi="Calibri" w:cs="Calibri"/>
                <w:sz w:val="18"/>
                <w:szCs w:val="18"/>
              </w:rPr>
            </w:pPr>
            <w:r w:rsidRPr="00987D69">
              <w:rPr>
                <w:rFonts w:ascii="Calibri" w:hAnsi="Calibri" w:cs="Calibri"/>
                <w:sz w:val="18"/>
                <w:szCs w:val="18"/>
              </w:rPr>
              <w:t>2,681</w:t>
            </w:r>
          </w:p>
        </w:tc>
      </w:tr>
      <w:tr w:rsidR="00C25BE2" w:rsidRPr="008901A5" w14:paraId="22F2AB2D" w14:textId="77777777" w:rsidTr="003650A0">
        <w:trPr>
          <w:trHeight w:val="226"/>
        </w:trPr>
        <w:tc>
          <w:tcPr>
            <w:tcW w:w="6379" w:type="dxa"/>
          </w:tcPr>
          <w:p w14:paraId="00B25017" w14:textId="20F5D7CC" w:rsidR="00C25BE2" w:rsidRPr="00987D69" w:rsidRDefault="00C25BE2" w:rsidP="00C25BE2">
            <w:pPr>
              <w:tabs>
                <w:tab w:val="left" w:pos="8080"/>
              </w:tabs>
              <w:ind w:right="-28"/>
              <w:rPr>
                <w:rFonts w:ascii="Calibri" w:hAnsi="Calibri" w:cs="Calibri"/>
                <w:b/>
                <w:sz w:val="18"/>
                <w:szCs w:val="18"/>
              </w:rPr>
            </w:pPr>
            <w:r w:rsidRPr="00987D69">
              <w:rPr>
                <w:rFonts w:ascii="Calibri" w:hAnsi="Calibri" w:cs="Calibri"/>
                <w:b/>
                <w:sz w:val="18"/>
                <w:szCs w:val="18"/>
              </w:rPr>
              <w:t xml:space="preserve">Balance </w:t>
            </w:r>
            <w:proofErr w:type="gramStart"/>
            <w:r w:rsidRPr="00987D69">
              <w:rPr>
                <w:rFonts w:ascii="Calibri" w:hAnsi="Calibri" w:cs="Calibri"/>
                <w:b/>
                <w:sz w:val="18"/>
                <w:szCs w:val="18"/>
              </w:rPr>
              <w:t>at</w:t>
            </w:r>
            <w:proofErr w:type="gramEnd"/>
            <w:r w:rsidRPr="00987D69">
              <w:rPr>
                <w:rFonts w:ascii="Calibri" w:hAnsi="Calibri" w:cs="Calibri"/>
                <w:b/>
                <w:sz w:val="18"/>
                <w:szCs w:val="18"/>
              </w:rPr>
              <w:t xml:space="preserve"> 31 December 2022</w:t>
            </w:r>
            <w:r w:rsidR="00B14E86">
              <w:rPr>
                <w:rFonts w:ascii="Calibri" w:hAnsi="Calibri" w:cs="Calibri"/>
                <w:b/>
                <w:sz w:val="18"/>
                <w:szCs w:val="18"/>
              </w:rPr>
              <w:t xml:space="preserve"> (restated)</w:t>
            </w:r>
          </w:p>
        </w:tc>
        <w:tc>
          <w:tcPr>
            <w:tcW w:w="1418" w:type="dxa"/>
            <w:tcBorders>
              <w:top w:val="single" w:sz="2" w:space="0" w:color="auto"/>
              <w:bottom w:val="single" w:sz="2" w:space="0" w:color="auto"/>
            </w:tcBorders>
          </w:tcPr>
          <w:p w14:paraId="53B73C03" w14:textId="77777777" w:rsidR="00C25BE2" w:rsidRPr="00987D69" w:rsidRDefault="00C25BE2" w:rsidP="00C25BE2">
            <w:pPr>
              <w:tabs>
                <w:tab w:val="left" w:pos="8080"/>
              </w:tabs>
              <w:ind w:right="-28"/>
              <w:jc w:val="right"/>
              <w:rPr>
                <w:rFonts w:ascii="Calibri" w:hAnsi="Calibri" w:cs="Calibri"/>
                <w:b/>
                <w:sz w:val="18"/>
                <w:szCs w:val="18"/>
              </w:rPr>
            </w:pPr>
            <w:r w:rsidRPr="00987D69">
              <w:rPr>
                <w:rFonts w:ascii="Calibri" w:hAnsi="Calibri" w:cs="Calibri"/>
                <w:b/>
                <w:sz w:val="18"/>
                <w:szCs w:val="18"/>
              </w:rPr>
              <w:t>21,583</w:t>
            </w:r>
          </w:p>
        </w:tc>
        <w:tc>
          <w:tcPr>
            <w:tcW w:w="1275" w:type="dxa"/>
            <w:tcBorders>
              <w:top w:val="single" w:sz="2" w:space="0" w:color="auto"/>
              <w:bottom w:val="single" w:sz="2" w:space="0" w:color="auto"/>
            </w:tcBorders>
          </w:tcPr>
          <w:p w14:paraId="37862362" w14:textId="77777777" w:rsidR="00C25BE2" w:rsidRPr="00987D69" w:rsidRDefault="00C25BE2" w:rsidP="00C25BE2">
            <w:pPr>
              <w:tabs>
                <w:tab w:val="left" w:pos="8080"/>
              </w:tabs>
              <w:ind w:right="-28"/>
              <w:jc w:val="right"/>
              <w:rPr>
                <w:rFonts w:ascii="Calibri" w:hAnsi="Calibri" w:cs="Calibri"/>
                <w:b/>
                <w:sz w:val="18"/>
                <w:szCs w:val="18"/>
              </w:rPr>
            </w:pPr>
            <w:r w:rsidRPr="00987D69">
              <w:rPr>
                <w:rFonts w:ascii="Calibri" w:hAnsi="Calibri" w:cs="Calibri"/>
                <w:b/>
                <w:sz w:val="18"/>
                <w:szCs w:val="18"/>
              </w:rPr>
              <w:t>30,192</w:t>
            </w:r>
          </w:p>
        </w:tc>
        <w:tc>
          <w:tcPr>
            <w:tcW w:w="1195" w:type="dxa"/>
            <w:tcBorders>
              <w:top w:val="single" w:sz="2" w:space="0" w:color="auto"/>
              <w:bottom w:val="single" w:sz="2" w:space="0" w:color="auto"/>
            </w:tcBorders>
          </w:tcPr>
          <w:p w14:paraId="30083D98" w14:textId="77777777" w:rsidR="00C25BE2" w:rsidRPr="00987D69" w:rsidRDefault="00C25BE2" w:rsidP="00C25BE2">
            <w:pPr>
              <w:tabs>
                <w:tab w:val="left" w:pos="8080"/>
              </w:tabs>
              <w:ind w:right="-28"/>
              <w:jc w:val="right"/>
              <w:rPr>
                <w:rFonts w:ascii="Calibri" w:hAnsi="Calibri" w:cs="Calibri"/>
                <w:b/>
                <w:sz w:val="18"/>
                <w:szCs w:val="18"/>
              </w:rPr>
            </w:pPr>
            <w:r w:rsidRPr="00987D69">
              <w:rPr>
                <w:rFonts w:ascii="Calibri" w:hAnsi="Calibri" w:cs="Calibri"/>
                <w:b/>
                <w:sz w:val="18"/>
                <w:szCs w:val="18"/>
              </w:rPr>
              <w:t>(48,087)</w:t>
            </w:r>
          </w:p>
        </w:tc>
        <w:tc>
          <w:tcPr>
            <w:tcW w:w="1195" w:type="dxa"/>
            <w:tcBorders>
              <w:top w:val="single" w:sz="2" w:space="0" w:color="auto"/>
              <w:bottom w:val="single" w:sz="2" w:space="0" w:color="auto"/>
            </w:tcBorders>
          </w:tcPr>
          <w:p w14:paraId="472FC5A3" w14:textId="77777777" w:rsidR="00C25BE2" w:rsidRPr="00987D69" w:rsidRDefault="00C25BE2" w:rsidP="00C25BE2">
            <w:pPr>
              <w:tabs>
                <w:tab w:val="left" w:pos="8080"/>
              </w:tabs>
              <w:ind w:right="-28"/>
              <w:jc w:val="right"/>
              <w:rPr>
                <w:rFonts w:ascii="Calibri" w:hAnsi="Calibri" w:cs="Calibri"/>
                <w:b/>
                <w:color w:val="FF0000"/>
                <w:sz w:val="18"/>
                <w:szCs w:val="18"/>
                <w:highlight w:val="yellow"/>
              </w:rPr>
            </w:pPr>
            <w:r w:rsidRPr="00987D69">
              <w:rPr>
                <w:rFonts w:ascii="Calibri" w:hAnsi="Calibri" w:cs="Calibri"/>
                <w:b/>
                <w:sz w:val="18"/>
                <w:szCs w:val="18"/>
              </w:rPr>
              <w:t>450,318</w:t>
            </w:r>
          </w:p>
        </w:tc>
        <w:tc>
          <w:tcPr>
            <w:tcW w:w="1478" w:type="dxa"/>
            <w:tcBorders>
              <w:top w:val="single" w:sz="2" w:space="0" w:color="auto"/>
              <w:bottom w:val="single" w:sz="4" w:space="0" w:color="auto"/>
            </w:tcBorders>
          </w:tcPr>
          <w:p w14:paraId="0EBDDAC1" w14:textId="77777777" w:rsidR="00C25BE2" w:rsidRPr="00987D69" w:rsidRDefault="00C25BE2" w:rsidP="00C25BE2">
            <w:pPr>
              <w:tabs>
                <w:tab w:val="left" w:pos="8080"/>
              </w:tabs>
              <w:ind w:right="-28"/>
              <w:jc w:val="right"/>
              <w:rPr>
                <w:rFonts w:ascii="Calibri" w:hAnsi="Calibri" w:cs="Calibri"/>
                <w:b/>
                <w:sz w:val="18"/>
                <w:szCs w:val="18"/>
              </w:rPr>
            </w:pPr>
            <w:r w:rsidRPr="00987D69">
              <w:rPr>
                <w:rFonts w:ascii="Calibri" w:hAnsi="Calibri" w:cs="Calibri"/>
                <w:b/>
                <w:sz w:val="18"/>
                <w:szCs w:val="18"/>
              </w:rPr>
              <w:t>45</w:t>
            </w:r>
            <w:r>
              <w:rPr>
                <w:rFonts w:ascii="Calibri" w:hAnsi="Calibri" w:cs="Calibri"/>
                <w:b/>
                <w:sz w:val="18"/>
                <w:szCs w:val="18"/>
              </w:rPr>
              <w:t>4</w:t>
            </w:r>
            <w:r w:rsidRPr="00987D69">
              <w:rPr>
                <w:rFonts w:ascii="Calibri" w:hAnsi="Calibri" w:cs="Calibri"/>
                <w:b/>
                <w:sz w:val="18"/>
                <w:szCs w:val="18"/>
              </w:rPr>
              <w:t>,006</w:t>
            </w:r>
          </w:p>
        </w:tc>
        <w:tc>
          <w:tcPr>
            <w:tcW w:w="1276" w:type="dxa"/>
            <w:tcBorders>
              <w:top w:val="single" w:sz="2" w:space="0" w:color="auto"/>
              <w:bottom w:val="single" w:sz="4" w:space="0" w:color="auto"/>
            </w:tcBorders>
          </w:tcPr>
          <w:p w14:paraId="247DDE1B" w14:textId="77777777" w:rsidR="00C25BE2" w:rsidRPr="00987D69" w:rsidRDefault="00C25BE2" w:rsidP="00C25BE2">
            <w:pPr>
              <w:tabs>
                <w:tab w:val="left" w:pos="8080"/>
              </w:tabs>
              <w:ind w:right="-28"/>
              <w:jc w:val="right"/>
              <w:rPr>
                <w:rFonts w:ascii="Calibri" w:hAnsi="Calibri" w:cs="Calibri"/>
                <w:b/>
                <w:sz w:val="18"/>
                <w:szCs w:val="18"/>
              </w:rPr>
            </w:pPr>
            <w:r w:rsidRPr="00987D69">
              <w:rPr>
                <w:rFonts w:ascii="Calibri" w:hAnsi="Calibri" w:cs="Calibri"/>
                <w:b/>
                <w:sz w:val="18"/>
                <w:szCs w:val="18"/>
              </w:rPr>
              <w:t>2,923</w:t>
            </w:r>
          </w:p>
        </w:tc>
        <w:tc>
          <w:tcPr>
            <w:tcW w:w="1134" w:type="dxa"/>
            <w:gridSpan w:val="2"/>
            <w:tcBorders>
              <w:top w:val="single" w:sz="2" w:space="0" w:color="auto"/>
              <w:bottom w:val="single" w:sz="4" w:space="0" w:color="auto"/>
            </w:tcBorders>
          </w:tcPr>
          <w:p w14:paraId="0BBE69EF" w14:textId="77777777" w:rsidR="00C25BE2" w:rsidRPr="00987D69" w:rsidRDefault="00C25BE2" w:rsidP="00C25BE2">
            <w:pPr>
              <w:tabs>
                <w:tab w:val="left" w:pos="8080"/>
              </w:tabs>
              <w:ind w:right="-28"/>
              <w:jc w:val="right"/>
              <w:rPr>
                <w:rFonts w:ascii="Calibri" w:hAnsi="Calibri" w:cs="Calibri"/>
                <w:b/>
                <w:sz w:val="18"/>
                <w:szCs w:val="18"/>
              </w:rPr>
            </w:pPr>
            <w:r w:rsidRPr="00987D69">
              <w:rPr>
                <w:rFonts w:ascii="Calibri" w:hAnsi="Calibri" w:cs="Calibri"/>
                <w:b/>
                <w:sz w:val="18"/>
                <w:szCs w:val="18"/>
              </w:rPr>
              <w:t>456,929</w:t>
            </w:r>
          </w:p>
        </w:tc>
      </w:tr>
      <w:tr w:rsidR="00C25BE2" w:rsidRPr="00542A05" w14:paraId="70A99BBE" w14:textId="77777777" w:rsidTr="00542A05">
        <w:trPr>
          <w:trHeight w:val="226"/>
        </w:trPr>
        <w:tc>
          <w:tcPr>
            <w:tcW w:w="6379" w:type="dxa"/>
          </w:tcPr>
          <w:p w14:paraId="790276BE" w14:textId="77777777" w:rsidR="00C25BE2" w:rsidRPr="00542A05" w:rsidRDefault="00C25BE2" w:rsidP="00542A05">
            <w:pPr>
              <w:tabs>
                <w:tab w:val="left" w:pos="8080"/>
              </w:tabs>
              <w:ind w:right="-28"/>
              <w:rPr>
                <w:rFonts w:ascii="Calibri" w:hAnsi="Calibri" w:cs="Calibri"/>
                <w:sz w:val="18"/>
                <w:szCs w:val="18"/>
              </w:rPr>
            </w:pPr>
          </w:p>
        </w:tc>
        <w:tc>
          <w:tcPr>
            <w:tcW w:w="1418" w:type="dxa"/>
            <w:tcBorders>
              <w:bottom w:val="single" w:sz="4" w:space="0" w:color="auto"/>
            </w:tcBorders>
          </w:tcPr>
          <w:p w14:paraId="6E92532D" w14:textId="77777777" w:rsidR="00C25BE2" w:rsidRPr="00542A05" w:rsidRDefault="00C25BE2" w:rsidP="00542A05">
            <w:pPr>
              <w:tabs>
                <w:tab w:val="left" w:pos="8080"/>
              </w:tabs>
              <w:ind w:right="-28"/>
              <w:jc w:val="right"/>
              <w:rPr>
                <w:rFonts w:ascii="Calibri" w:hAnsi="Calibri" w:cs="Calibri"/>
                <w:b/>
                <w:bCs/>
                <w:color w:val="000000"/>
                <w:sz w:val="18"/>
                <w:szCs w:val="18"/>
                <w:lang w:val="en-IE" w:eastAsia="zh-CN"/>
              </w:rPr>
            </w:pPr>
          </w:p>
        </w:tc>
        <w:tc>
          <w:tcPr>
            <w:tcW w:w="1275" w:type="dxa"/>
            <w:tcBorders>
              <w:bottom w:val="single" w:sz="4" w:space="0" w:color="auto"/>
            </w:tcBorders>
          </w:tcPr>
          <w:p w14:paraId="7E8DE4CC" w14:textId="77777777" w:rsidR="00C25BE2" w:rsidRPr="00542A05" w:rsidRDefault="00C25BE2" w:rsidP="00542A05">
            <w:pPr>
              <w:tabs>
                <w:tab w:val="left" w:pos="8080"/>
              </w:tabs>
              <w:ind w:right="-28"/>
              <w:jc w:val="right"/>
              <w:rPr>
                <w:rFonts w:ascii="Calibri" w:hAnsi="Calibri" w:cs="Calibri"/>
                <w:b/>
                <w:bCs/>
                <w:color w:val="000000"/>
                <w:sz w:val="18"/>
                <w:szCs w:val="18"/>
                <w:lang w:val="en-IE" w:eastAsia="zh-CN"/>
              </w:rPr>
            </w:pPr>
          </w:p>
        </w:tc>
        <w:tc>
          <w:tcPr>
            <w:tcW w:w="1195" w:type="dxa"/>
            <w:tcBorders>
              <w:bottom w:val="single" w:sz="4" w:space="0" w:color="auto"/>
            </w:tcBorders>
          </w:tcPr>
          <w:p w14:paraId="248F6544" w14:textId="77777777" w:rsidR="00C25BE2" w:rsidRPr="00542A05" w:rsidRDefault="00C25BE2" w:rsidP="00542A05">
            <w:pPr>
              <w:tabs>
                <w:tab w:val="left" w:pos="8080"/>
              </w:tabs>
              <w:ind w:right="-28"/>
              <w:jc w:val="right"/>
              <w:rPr>
                <w:rFonts w:ascii="Calibri" w:hAnsi="Calibri" w:cs="Calibri"/>
                <w:b/>
                <w:bCs/>
                <w:color w:val="000000"/>
                <w:sz w:val="18"/>
                <w:szCs w:val="18"/>
                <w:lang w:val="en-IE" w:eastAsia="zh-CN"/>
              </w:rPr>
            </w:pPr>
          </w:p>
        </w:tc>
        <w:tc>
          <w:tcPr>
            <w:tcW w:w="1195" w:type="dxa"/>
            <w:tcBorders>
              <w:bottom w:val="single" w:sz="4" w:space="0" w:color="auto"/>
            </w:tcBorders>
          </w:tcPr>
          <w:p w14:paraId="2C2C9E9F" w14:textId="77777777" w:rsidR="00C25BE2" w:rsidRPr="00542A05" w:rsidRDefault="00C25BE2" w:rsidP="00542A05">
            <w:pPr>
              <w:tabs>
                <w:tab w:val="left" w:pos="8080"/>
              </w:tabs>
              <w:ind w:right="-28"/>
              <w:jc w:val="right"/>
              <w:rPr>
                <w:rFonts w:ascii="Calibri" w:hAnsi="Calibri" w:cs="Calibri"/>
                <w:b/>
                <w:bCs/>
                <w:color w:val="000000"/>
                <w:sz w:val="18"/>
                <w:szCs w:val="18"/>
                <w:lang w:val="en-IE" w:eastAsia="zh-CN"/>
              </w:rPr>
            </w:pPr>
          </w:p>
        </w:tc>
        <w:tc>
          <w:tcPr>
            <w:tcW w:w="1478" w:type="dxa"/>
            <w:tcBorders>
              <w:bottom w:val="single" w:sz="4" w:space="0" w:color="auto"/>
            </w:tcBorders>
          </w:tcPr>
          <w:p w14:paraId="46CE0716" w14:textId="77777777" w:rsidR="00C25BE2" w:rsidRPr="00542A05" w:rsidRDefault="00C25BE2" w:rsidP="00542A05">
            <w:pPr>
              <w:tabs>
                <w:tab w:val="left" w:pos="8080"/>
              </w:tabs>
              <w:ind w:right="-28"/>
              <w:jc w:val="right"/>
              <w:rPr>
                <w:rFonts w:ascii="Calibri" w:hAnsi="Calibri" w:cs="Calibri"/>
                <w:b/>
                <w:bCs/>
                <w:color w:val="000000"/>
                <w:sz w:val="18"/>
                <w:szCs w:val="18"/>
                <w:lang w:val="en-IE" w:eastAsia="zh-CN"/>
              </w:rPr>
            </w:pPr>
          </w:p>
        </w:tc>
        <w:tc>
          <w:tcPr>
            <w:tcW w:w="1276" w:type="dxa"/>
            <w:tcBorders>
              <w:bottom w:val="single" w:sz="4" w:space="0" w:color="auto"/>
            </w:tcBorders>
          </w:tcPr>
          <w:p w14:paraId="68F2C236" w14:textId="77777777" w:rsidR="00C25BE2" w:rsidRPr="00542A05" w:rsidRDefault="00C25BE2" w:rsidP="00542A05">
            <w:pPr>
              <w:tabs>
                <w:tab w:val="left" w:pos="8080"/>
              </w:tabs>
              <w:ind w:right="-28"/>
              <w:jc w:val="right"/>
              <w:rPr>
                <w:rFonts w:ascii="Calibri" w:hAnsi="Calibri" w:cs="Calibri"/>
                <w:b/>
                <w:bCs/>
                <w:color w:val="000000"/>
                <w:sz w:val="18"/>
                <w:szCs w:val="18"/>
                <w:lang w:val="en-IE" w:eastAsia="zh-CN"/>
              </w:rPr>
            </w:pPr>
          </w:p>
        </w:tc>
        <w:tc>
          <w:tcPr>
            <w:tcW w:w="1134" w:type="dxa"/>
            <w:gridSpan w:val="2"/>
            <w:tcBorders>
              <w:bottom w:val="single" w:sz="4" w:space="0" w:color="auto"/>
            </w:tcBorders>
          </w:tcPr>
          <w:p w14:paraId="44118F0C" w14:textId="77777777" w:rsidR="00C25BE2" w:rsidRPr="00542A05" w:rsidRDefault="00C25BE2" w:rsidP="00542A05">
            <w:pPr>
              <w:tabs>
                <w:tab w:val="left" w:pos="8080"/>
              </w:tabs>
              <w:ind w:right="-28"/>
              <w:jc w:val="right"/>
              <w:rPr>
                <w:rFonts w:ascii="Calibri" w:hAnsi="Calibri" w:cs="Calibri"/>
                <w:b/>
                <w:bCs/>
                <w:color w:val="000000"/>
                <w:sz w:val="18"/>
                <w:szCs w:val="18"/>
                <w:lang w:val="en-IE" w:eastAsia="zh-CN"/>
              </w:rPr>
            </w:pPr>
          </w:p>
        </w:tc>
      </w:tr>
      <w:tr w:rsidR="00542A05" w:rsidRPr="00542A05" w14:paraId="1F577495" w14:textId="77777777" w:rsidTr="00542A05">
        <w:trPr>
          <w:trHeight w:val="226"/>
        </w:trPr>
        <w:tc>
          <w:tcPr>
            <w:tcW w:w="6379" w:type="dxa"/>
          </w:tcPr>
          <w:p w14:paraId="4DA48996" w14:textId="77777777" w:rsidR="00542A05" w:rsidRPr="00542A05" w:rsidRDefault="00542A05" w:rsidP="00542A05">
            <w:pPr>
              <w:tabs>
                <w:tab w:val="left" w:pos="8080"/>
              </w:tabs>
              <w:ind w:right="-28"/>
              <w:rPr>
                <w:rFonts w:ascii="Calibri" w:hAnsi="Calibri" w:cs="Calibri"/>
                <w:sz w:val="18"/>
                <w:szCs w:val="18"/>
              </w:rPr>
            </w:pPr>
            <w:r w:rsidRPr="00542A05">
              <w:rPr>
                <w:rFonts w:ascii="Calibri" w:hAnsi="Calibri" w:cs="Calibri"/>
                <w:b/>
                <w:sz w:val="18"/>
                <w:szCs w:val="18"/>
              </w:rPr>
              <w:t xml:space="preserve">As </w:t>
            </w:r>
            <w:proofErr w:type="gramStart"/>
            <w:r w:rsidRPr="00542A05">
              <w:rPr>
                <w:rFonts w:ascii="Calibri" w:hAnsi="Calibri" w:cs="Calibri"/>
                <w:b/>
                <w:sz w:val="18"/>
                <w:szCs w:val="18"/>
              </w:rPr>
              <w:t>at</w:t>
            </w:r>
            <w:proofErr w:type="gramEnd"/>
            <w:r w:rsidRPr="00542A05">
              <w:rPr>
                <w:rFonts w:ascii="Calibri" w:hAnsi="Calibri" w:cs="Calibri"/>
                <w:b/>
                <w:sz w:val="18"/>
                <w:szCs w:val="18"/>
              </w:rPr>
              <w:t xml:space="preserve"> 31 December 2022, as previously reported</w:t>
            </w:r>
          </w:p>
        </w:tc>
        <w:tc>
          <w:tcPr>
            <w:tcW w:w="1418" w:type="dxa"/>
            <w:tcBorders>
              <w:top w:val="single" w:sz="4" w:space="0" w:color="auto"/>
              <w:bottom w:val="single" w:sz="8" w:space="0" w:color="auto"/>
            </w:tcBorders>
          </w:tcPr>
          <w:p w14:paraId="3C3F1669" w14:textId="77777777" w:rsidR="00542A05" w:rsidRPr="00542A05" w:rsidRDefault="00542A05" w:rsidP="00542A05">
            <w:pPr>
              <w:tabs>
                <w:tab w:val="left" w:pos="8080"/>
              </w:tabs>
              <w:ind w:right="-28"/>
              <w:jc w:val="right"/>
              <w:rPr>
                <w:rFonts w:ascii="Calibri" w:hAnsi="Calibri" w:cs="Calibri"/>
                <w:b/>
                <w:bCs/>
                <w:color w:val="000000"/>
                <w:sz w:val="18"/>
                <w:szCs w:val="18"/>
                <w:lang w:val="en-IE" w:eastAsia="zh-CN"/>
              </w:rPr>
            </w:pPr>
            <w:r w:rsidRPr="00542A05">
              <w:rPr>
                <w:rFonts w:ascii="Calibri" w:hAnsi="Calibri" w:cs="Calibri"/>
                <w:b/>
                <w:sz w:val="18"/>
                <w:szCs w:val="18"/>
              </w:rPr>
              <w:t>21,583</w:t>
            </w:r>
          </w:p>
        </w:tc>
        <w:tc>
          <w:tcPr>
            <w:tcW w:w="1275" w:type="dxa"/>
            <w:tcBorders>
              <w:top w:val="single" w:sz="4" w:space="0" w:color="auto"/>
              <w:bottom w:val="single" w:sz="8" w:space="0" w:color="auto"/>
            </w:tcBorders>
          </w:tcPr>
          <w:p w14:paraId="5B4B8898" w14:textId="77777777" w:rsidR="00542A05" w:rsidRPr="00542A05" w:rsidRDefault="00542A05" w:rsidP="00542A05">
            <w:pPr>
              <w:tabs>
                <w:tab w:val="left" w:pos="8080"/>
              </w:tabs>
              <w:ind w:right="-28"/>
              <w:jc w:val="right"/>
              <w:rPr>
                <w:rFonts w:ascii="Calibri" w:hAnsi="Calibri" w:cs="Calibri"/>
                <w:b/>
                <w:bCs/>
                <w:color w:val="000000"/>
                <w:sz w:val="18"/>
                <w:szCs w:val="18"/>
                <w:lang w:val="en-IE" w:eastAsia="zh-CN"/>
              </w:rPr>
            </w:pPr>
            <w:r w:rsidRPr="00542A05">
              <w:rPr>
                <w:rFonts w:ascii="Calibri" w:hAnsi="Calibri" w:cs="Calibri"/>
                <w:b/>
                <w:sz w:val="18"/>
                <w:szCs w:val="18"/>
              </w:rPr>
              <w:t>30,192</w:t>
            </w:r>
          </w:p>
        </w:tc>
        <w:tc>
          <w:tcPr>
            <w:tcW w:w="1195" w:type="dxa"/>
            <w:tcBorders>
              <w:top w:val="single" w:sz="4" w:space="0" w:color="auto"/>
              <w:bottom w:val="single" w:sz="8" w:space="0" w:color="auto"/>
            </w:tcBorders>
          </w:tcPr>
          <w:p w14:paraId="61A2298E" w14:textId="6ED7FB33" w:rsidR="00542A05" w:rsidRPr="00542A05" w:rsidRDefault="00542A05" w:rsidP="00542A05">
            <w:pPr>
              <w:tabs>
                <w:tab w:val="left" w:pos="8080"/>
              </w:tabs>
              <w:ind w:right="-28"/>
              <w:jc w:val="right"/>
              <w:rPr>
                <w:rFonts w:ascii="Calibri" w:hAnsi="Calibri" w:cs="Calibri"/>
                <w:b/>
                <w:bCs/>
                <w:color w:val="000000"/>
                <w:sz w:val="18"/>
                <w:szCs w:val="18"/>
                <w:lang w:val="en-IE" w:eastAsia="zh-CN"/>
              </w:rPr>
            </w:pPr>
            <w:r w:rsidRPr="00542A05">
              <w:rPr>
                <w:rFonts w:ascii="Calibri" w:hAnsi="Calibri" w:cs="Calibri"/>
                <w:b/>
                <w:bCs/>
                <w:color w:val="000000"/>
                <w:sz w:val="18"/>
                <w:szCs w:val="18"/>
                <w:lang w:val="en-IE" w:eastAsia="zh-CN"/>
              </w:rPr>
              <w:t>755</w:t>
            </w:r>
          </w:p>
        </w:tc>
        <w:tc>
          <w:tcPr>
            <w:tcW w:w="1195" w:type="dxa"/>
            <w:tcBorders>
              <w:top w:val="single" w:sz="4" w:space="0" w:color="auto"/>
              <w:bottom w:val="single" w:sz="8" w:space="0" w:color="auto"/>
            </w:tcBorders>
          </w:tcPr>
          <w:p w14:paraId="7BC40FDF" w14:textId="28B923E1" w:rsidR="00542A05" w:rsidRPr="00542A05" w:rsidRDefault="00542A05" w:rsidP="00542A05">
            <w:pPr>
              <w:tabs>
                <w:tab w:val="left" w:pos="8080"/>
              </w:tabs>
              <w:ind w:right="-28"/>
              <w:jc w:val="right"/>
              <w:rPr>
                <w:rFonts w:ascii="Calibri" w:hAnsi="Calibri" w:cs="Calibri"/>
                <w:b/>
                <w:bCs/>
                <w:color w:val="000000"/>
                <w:sz w:val="18"/>
                <w:szCs w:val="18"/>
                <w:lang w:val="en-IE" w:eastAsia="zh-CN"/>
              </w:rPr>
            </w:pPr>
            <w:r w:rsidRPr="00542A05">
              <w:rPr>
                <w:rFonts w:ascii="Calibri" w:hAnsi="Calibri" w:cs="Calibri"/>
                <w:b/>
                <w:bCs/>
                <w:color w:val="000000"/>
                <w:sz w:val="18"/>
                <w:szCs w:val="18"/>
                <w:lang w:val="en-IE" w:eastAsia="zh-CN"/>
              </w:rPr>
              <w:t>370,258</w:t>
            </w:r>
          </w:p>
        </w:tc>
        <w:tc>
          <w:tcPr>
            <w:tcW w:w="1478" w:type="dxa"/>
            <w:tcBorders>
              <w:top w:val="single" w:sz="4" w:space="0" w:color="auto"/>
              <w:bottom w:val="single" w:sz="8" w:space="0" w:color="auto"/>
            </w:tcBorders>
          </w:tcPr>
          <w:p w14:paraId="7DA860C6" w14:textId="77777777" w:rsidR="00542A05" w:rsidRPr="00542A05" w:rsidRDefault="00542A05" w:rsidP="00542A05">
            <w:pPr>
              <w:tabs>
                <w:tab w:val="left" w:pos="8080"/>
              </w:tabs>
              <w:ind w:right="-28"/>
              <w:jc w:val="right"/>
              <w:rPr>
                <w:rFonts w:ascii="Calibri" w:hAnsi="Calibri" w:cs="Calibri"/>
                <w:b/>
                <w:bCs/>
                <w:color w:val="000000"/>
                <w:sz w:val="18"/>
                <w:szCs w:val="18"/>
                <w:lang w:val="en-IE" w:eastAsia="zh-CN"/>
              </w:rPr>
            </w:pPr>
            <w:r w:rsidRPr="00542A05">
              <w:rPr>
                <w:rFonts w:ascii="Calibri" w:hAnsi="Calibri" w:cs="Calibri"/>
                <w:b/>
                <w:bCs/>
                <w:color w:val="000000"/>
                <w:sz w:val="18"/>
                <w:szCs w:val="18"/>
                <w:lang w:val="en-IE" w:eastAsia="zh-CN"/>
              </w:rPr>
              <w:t>422,788</w:t>
            </w:r>
          </w:p>
        </w:tc>
        <w:tc>
          <w:tcPr>
            <w:tcW w:w="1276" w:type="dxa"/>
            <w:tcBorders>
              <w:top w:val="single" w:sz="4" w:space="0" w:color="auto"/>
              <w:bottom w:val="single" w:sz="8" w:space="0" w:color="auto"/>
            </w:tcBorders>
          </w:tcPr>
          <w:p w14:paraId="3F958337" w14:textId="77777777" w:rsidR="00542A05" w:rsidRPr="00542A05" w:rsidRDefault="00542A05" w:rsidP="00542A05">
            <w:pPr>
              <w:tabs>
                <w:tab w:val="left" w:pos="8080"/>
              </w:tabs>
              <w:ind w:right="-28"/>
              <w:jc w:val="right"/>
              <w:rPr>
                <w:rFonts w:ascii="Calibri" w:hAnsi="Calibri" w:cs="Calibri"/>
                <w:b/>
                <w:bCs/>
                <w:color w:val="000000"/>
                <w:sz w:val="18"/>
                <w:szCs w:val="18"/>
                <w:lang w:val="en-IE" w:eastAsia="zh-CN"/>
              </w:rPr>
            </w:pPr>
            <w:r w:rsidRPr="00542A05">
              <w:rPr>
                <w:rFonts w:ascii="Calibri" w:hAnsi="Calibri" w:cs="Calibri"/>
                <w:b/>
                <w:bCs/>
                <w:color w:val="000000"/>
                <w:sz w:val="18"/>
                <w:szCs w:val="18"/>
                <w:lang w:val="en-IE" w:eastAsia="zh-CN"/>
              </w:rPr>
              <w:t>2,923</w:t>
            </w:r>
          </w:p>
        </w:tc>
        <w:tc>
          <w:tcPr>
            <w:tcW w:w="1134" w:type="dxa"/>
            <w:gridSpan w:val="2"/>
            <w:tcBorders>
              <w:top w:val="single" w:sz="4" w:space="0" w:color="auto"/>
              <w:bottom w:val="single" w:sz="8" w:space="0" w:color="auto"/>
            </w:tcBorders>
          </w:tcPr>
          <w:p w14:paraId="65D7B569" w14:textId="77777777" w:rsidR="00542A05" w:rsidRPr="00542A05" w:rsidRDefault="00542A05" w:rsidP="00542A05">
            <w:pPr>
              <w:tabs>
                <w:tab w:val="left" w:pos="8080"/>
              </w:tabs>
              <w:ind w:right="-28"/>
              <w:jc w:val="right"/>
              <w:rPr>
                <w:rFonts w:ascii="Calibri" w:hAnsi="Calibri" w:cs="Calibri"/>
                <w:b/>
                <w:bCs/>
                <w:color w:val="000000"/>
                <w:sz w:val="18"/>
                <w:szCs w:val="18"/>
                <w:lang w:val="en-IE" w:eastAsia="zh-CN"/>
              </w:rPr>
            </w:pPr>
            <w:r w:rsidRPr="00542A05">
              <w:rPr>
                <w:rFonts w:ascii="Calibri" w:hAnsi="Calibri" w:cs="Calibri"/>
                <w:b/>
                <w:bCs/>
                <w:color w:val="000000"/>
                <w:sz w:val="18"/>
                <w:szCs w:val="18"/>
                <w:lang w:val="en-IE" w:eastAsia="zh-CN"/>
              </w:rPr>
              <w:t>425,711</w:t>
            </w:r>
          </w:p>
        </w:tc>
      </w:tr>
      <w:tr w:rsidR="00542A05" w:rsidRPr="00542A05" w14:paraId="4161ED83" w14:textId="77777777" w:rsidTr="00542A05">
        <w:trPr>
          <w:trHeight w:val="226"/>
        </w:trPr>
        <w:tc>
          <w:tcPr>
            <w:tcW w:w="6379" w:type="dxa"/>
          </w:tcPr>
          <w:p w14:paraId="79204022" w14:textId="77777777" w:rsidR="00542A05" w:rsidRPr="00542A05" w:rsidRDefault="00542A05" w:rsidP="00542A05">
            <w:pPr>
              <w:tabs>
                <w:tab w:val="left" w:pos="8080"/>
              </w:tabs>
              <w:ind w:right="-28"/>
              <w:rPr>
                <w:rFonts w:ascii="Calibri" w:hAnsi="Calibri" w:cs="Calibri"/>
                <w:sz w:val="18"/>
                <w:szCs w:val="18"/>
              </w:rPr>
            </w:pPr>
            <w:r w:rsidRPr="00542A05">
              <w:rPr>
                <w:rFonts w:ascii="Calibri" w:hAnsi="Calibri" w:cs="Calibri"/>
                <w:sz w:val="18"/>
                <w:szCs w:val="18"/>
              </w:rPr>
              <w:t>Impact of application of IFRS 17 (Note 4)</w:t>
            </w:r>
          </w:p>
        </w:tc>
        <w:tc>
          <w:tcPr>
            <w:tcW w:w="1418" w:type="dxa"/>
            <w:tcBorders>
              <w:top w:val="single" w:sz="8" w:space="0" w:color="auto"/>
            </w:tcBorders>
          </w:tcPr>
          <w:p w14:paraId="6549478B" w14:textId="77777777" w:rsidR="00542A05" w:rsidRPr="00542A05" w:rsidRDefault="00542A05" w:rsidP="00542A05">
            <w:pPr>
              <w:tabs>
                <w:tab w:val="left" w:pos="8080"/>
              </w:tabs>
              <w:ind w:right="-28"/>
              <w:jc w:val="right"/>
              <w:rPr>
                <w:rFonts w:ascii="Calibri" w:hAnsi="Calibri" w:cs="Calibri"/>
                <w:bCs/>
                <w:color w:val="000000"/>
                <w:sz w:val="18"/>
                <w:szCs w:val="18"/>
                <w:lang w:val="en-IE" w:eastAsia="zh-CN"/>
              </w:rPr>
            </w:pPr>
            <w:r w:rsidRPr="00542A05">
              <w:rPr>
                <w:rFonts w:ascii="Calibri" w:hAnsi="Calibri" w:cs="Calibri"/>
                <w:sz w:val="18"/>
                <w:szCs w:val="18"/>
              </w:rPr>
              <w:t>-</w:t>
            </w:r>
          </w:p>
        </w:tc>
        <w:tc>
          <w:tcPr>
            <w:tcW w:w="1275" w:type="dxa"/>
            <w:tcBorders>
              <w:top w:val="single" w:sz="8" w:space="0" w:color="auto"/>
            </w:tcBorders>
          </w:tcPr>
          <w:p w14:paraId="474A8E9D" w14:textId="77777777" w:rsidR="00542A05" w:rsidRPr="00542A05" w:rsidRDefault="00542A05" w:rsidP="00542A05">
            <w:pPr>
              <w:tabs>
                <w:tab w:val="left" w:pos="8080"/>
              </w:tabs>
              <w:ind w:right="-28"/>
              <w:jc w:val="right"/>
              <w:rPr>
                <w:rFonts w:ascii="Calibri" w:hAnsi="Calibri" w:cs="Calibri"/>
                <w:bCs/>
                <w:color w:val="000000"/>
                <w:sz w:val="18"/>
                <w:szCs w:val="18"/>
                <w:lang w:val="en-IE" w:eastAsia="zh-CN"/>
              </w:rPr>
            </w:pPr>
            <w:r w:rsidRPr="00542A05">
              <w:rPr>
                <w:rFonts w:ascii="Calibri" w:hAnsi="Calibri" w:cs="Calibri"/>
                <w:sz w:val="18"/>
                <w:szCs w:val="18"/>
              </w:rPr>
              <w:t>-</w:t>
            </w:r>
          </w:p>
        </w:tc>
        <w:tc>
          <w:tcPr>
            <w:tcW w:w="1195" w:type="dxa"/>
            <w:tcBorders>
              <w:top w:val="single" w:sz="8" w:space="0" w:color="auto"/>
            </w:tcBorders>
          </w:tcPr>
          <w:p w14:paraId="02618E59" w14:textId="6ECCBF0C" w:rsidR="00542A05" w:rsidRPr="00542A05" w:rsidRDefault="00542A05" w:rsidP="00542A05">
            <w:pPr>
              <w:tabs>
                <w:tab w:val="left" w:pos="8080"/>
              </w:tabs>
              <w:ind w:right="-28"/>
              <w:jc w:val="right"/>
              <w:rPr>
                <w:rFonts w:ascii="Calibri" w:hAnsi="Calibri" w:cs="Calibri"/>
                <w:bCs/>
                <w:color w:val="000000"/>
                <w:sz w:val="18"/>
                <w:szCs w:val="18"/>
                <w:lang w:val="en-IE" w:eastAsia="zh-CN"/>
              </w:rPr>
            </w:pPr>
            <w:r w:rsidRPr="00542A05">
              <w:rPr>
                <w:rFonts w:ascii="Calibri" w:hAnsi="Calibri" w:cs="Calibri"/>
                <w:bCs/>
                <w:color w:val="000000"/>
                <w:sz w:val="18"/>
                <w:szCs w:val="18"/>
                <w:lang w:val="en-IE" w:eastAsia="zh-CN"/>
              </w:rPr>
              <w:t>20,984</w:t>
            </w:r>
          </w:p>
        </w:tc>
        <w:tc>
          <w:tcPr>
            <w:tcW w:w="1195" w:type="dxa"/>
            <w:tcBorders>
              <w:top w:val="single" w:sz="8" w:space="0" w:color="auto"/>
            </w:tcBorders>
          </w:tcPr>
          <w:p w14:paraId="124E0530" w14:textId="25211CFB" w:rsidR="00542A05" w:rsidRPr="00542A05" w:rsidRDefault="00542A05" w:rsidP="00542A05">
            <w:pPr>
              <w:tabs>
                <w:tab w:val="left" w:pos="8080"/>
              </w:tabs>
              <w:ind w:right="-28"/>
              <w:jc w:val="right"/>
              <w:rPr>
                <w:rFonts w:ascii="Calibri" w:hAnsi="Calibri" w:cs="Calibri"/>
                <w:bCs/>
                <w:color w:val="000000"/>
                <w:sz w:val="18"/>
                <w:szCs w:val="18"/>
                <w:lang w:val="en-IE" w:eastAsia="zh-CN"/>
              </w:rPr>
            </w:pPr>
            <w:r w:rsidRPr="00542A05">
              <w:rPr>
                <w:rFonts w:ascii="Calibri" w:hAnsi="Calibri" w:cs="Calibri"/>
                <w:bCs/>
                <w:color w:val="000000"/>
                <w:sz w:val="18"/>
                <w:szCs w:val="18"/>
                <w:lang w:val="en-IE" w:eastAsia="zh-CN"/>
              </w:rPr>
              <w:t>10,518</w:t>
            </w:r>
          </w:p>
        </w:tc>
        <w:tc>
          <w:tcPr>
            <w:tcW w:w="1478" w:type="dxa"/>
            <w:tcBorders>
              <w:top w:val="single" w:sz="8" w:space="0" w:color="auto"/>
            </w:tcBorders>
          </w:tcPr>
          <w:p w14:paraId="1BF7C3DE" w14:textId="77777777" w:rsidR="00542A05" w:rsidRPr="00542A05" w:rsidRDefault="00542A05" w:rsidP="00542A05">
            <w:pPr>
              <w:tabs>
                <w:tab w:val="left" w:pos="8080"/>
              </w:tabs>
              <w:ind w:right="-28"/>
              <w:jc w:val="right"/>
              <w:rPr>
                <w:rFonts w:ascii="Calibri" w:hAnsi="Calibri" w:cs="Calibri"/>
                <w:bCs/>
                <w:color w:val="000000"/>
                <w:sz w:val="18"/>
                <w:szCs w:val="18"/>
                <w:lang w:val="en-IE" w:eastAsia="zh-CN"/>
              </w:rPr>
            </w:pPr>
            <w:r w:rsidRPr="00542A05">
              <w:rPr>
                <w:rFonts w:ascii="Calibri" w:hAnsi="Calibri" w:cs="Calibri"/>
                <w:bCs/>
                <w:color w:val="000000"/>
                <w:sz w:val="18"/>
                <w:szCs w:val="18"/>
                <w:lang w:val="en-IE" w:eastAsia="zh-CN"/>
              </w:rPr>
              <w:t>31,502</w:t>
            </w:r>
          </w:p>
        </w:tc>
        <w:tc>
          <w:tcPr>
            <w:tcW w:w="1276" w:type="dxa"/>
            <w:tcBorders>
              <w:top w:val="single" w:sz="8" w:space="0" w:color="auto"/>
            </w:tcBorders>
          </w:tcPr>
          <w:p w14:paraId="0B21E4B5" w14:textId="77777777" w:rsidR="00542A05" w:rsidRPr="00542A05" w:rsidRDefault="00542A05" w:rsidP="00542A05">
            <w:pPr>
              <w:tabs>
                <w:tab w:val="left" w:pos="8080"/>
              </w:tabs>
              <w:ind w:right="-28"/>
              <w:jc w:val="right"/>
              <w:rPr>
                <w:rFonts w:ascii="Calibri" w:hAnsi="Calibri" w:cs="Calibri"/>
                <w:bCs/>
                <w:color w:val="000000"/>
                <w:sz w:val="18"/>
                <w:szCs w:val="18"/>
                <w:lang w:val="en-IE" w:eastAsia="zh-CN"/>
              </w:rPr>
            </w:pPr>
            <w:r w:rsidRPr="00542A05">
              <w:rPr>
                <w:rFonts w:ascii="Calibri" w:hAnsi="Calibri" w:cs="Calibri"/>
                <w:sz w:val="18"/>
                <w:szCs w:val="18"/>
              </w:rPr>
              <w:t>-</w:t>
            </w:r>
          </w:p>
        </w:tc>
        <w:tc>
          <w:tcPr>
            <w:tcW w:w="1134" w:type="dxa"/>
            <w:gridSpan w:val="2"/>
            <w:tcBorders>
              <w:top w:val="single" w:sz="8" w:space="0" w:color="auto"/>
            </w:tcBorders>
          </w:tcPr>
          <w:p w14:paraId="2E4FAB0D" w14:textId="77777777" w:rsidR="00542A05" w:rsidRPr="00542A05" w:rsidRDefault="00542A05" w:rsidP="00542A05">
            <w:pPr>
              <w:tabs>
                <w:tab w:val="left" w:pos="8080"/>
              </w:tabs>
              <w:ind w:right="-28"/>
              <w:jc w:val="right"/>
              <w:rPr>
                <w:rFonts w:ascii="Calibri" w:hAnsi="Calibri" w:cs="Calibri"/>
                <w:bCs/>
                <w:color w:val="000000"/>
                <w:sz w:val="18"/>
                <w:szCs w:val="18"/>
                <w:lang w:val="en-IE" w:eastAsia="zh-CN"/>
              </w:rPr>
            </w:pPr>
            <w:r w:rsidRPr="00542A05">
              <w:rPr>
                <w:rFonts w:ascii="Calibri" w:hAnsi="Calibri" w:cs="Calibri"/>
                <w:bCs/>
                <w:color w:val="000000"/>
                <w:sz w:val="18"/>
                <w:szCs w:val="18"/>
                <w:lang w:val="en-IE" w:eastAsia="zh-CN"/>
              </w:rPr>
              <w:t>31,502</w:t>
            </w:r>
          </w:p>
        </w:tc>
      </w:tr>
      <w:tr w:rsidR="00542A05" w:rsidRPr="00542A05" w14:paraId="3E4E9E59" w14:textId="77777777" w:rsidTr="00542A05">
        <w:trPr>
          <w:trHeight w:val="226"/>
        </w:trPr>
        <w:tc>
          <w:tcPr>
            <w:tcW w:w="6379" w:type="dxa"/>
          </w:tcPr>
          <w:p w14:paraId="64E1819F" w14:textId="77777777" w:rsidR="00542A05" w:rsidRPr="00542A05" w:rsidRDefault="00542A05" w:rsidP="00542A05">
            <w:pPr>
              <w:tabs>
                <w:tab w:val="left" w:pos="8080"/>
              </w:tabs>
              <w:ind w:right="-28"/>
              <w:rPr>
                <w:rFonts w:ascii="Calibri" w:hAnsi="Calibri" w:cs="Calibri"/>
                <w:sz w:val="18"/>
                <w:szCs w:val="18"/>
              </w:rPr>
            </w:pPr>
            <w:r w:rsidRPr="00542A05">
              <w:rPr>
                <w:rFonts w:ascii="Calibri" w:hAnsi="Calibri" w:cs="Calibri"/>
                <w:sz w:val="18"/>
                <w:szCs w:val="18"/>
              </w:rPr>
              <w:t>Impact of application IFRS 9 (Note 4)</w:t>
            </w:r>
          </w:p>
        </w:tc>
        <w:tc>
          <w:tcPr>
            <w:tcW w:w="1418" w:type="dxa"/>
            <w:tcBorders>
              <w:bottom w:val="single" w:sz="4" w:space="0" w:color="auto"/>
            </w:tcBorders>
          </w:tcPr>
          <w:p w14:paraId="3A369218" w14:textId="77777777" w:rsidR="00542A05" w:rsidRPr="00542A05" w:rsidRDefault="00542A05" w:rsidP="00542A05">
            <w:pPr>
              <w:tabs>
                <w:tab w:val="left" w:pos="8080"/>
              </w:tabs>
              <w:ind w:right="-28"/>
              <w:jc w:val="right"/>
              <w:rPr>
                <w:rFonts w:ascii="Calibri" w:hAnsi="Calibri" w:cs="Calibri"/>
                <w:bCs/>
                <w:color w:val="000000"/>
                <w:sz w:val="18"/>
                <w:szCs w:val="18"/>
                <w:lang w:val="en-IE" w:eastAsia="zh-CN"/>
              </w:rPr>
            </w:pPr>
            <w:r w:rsidRPr="00542A05">
              <w:rPr>
                <w:rFonts w:ascii="Calibri" w:hAnsi="Calibri" w:cs="Calibri"/>
                <w:sz w:val="18"/>
                <w:szCs w:val="18"/>
              </w:rPr>
              <w:t>-</w:t>
            </w:r>
          </w:p>
        </w:tc>
        <w:tc>
          <w:tcPr>
            <w:tcW w:w="1275" w:type="dxa"/>
            <w:tcBorders>
              <w:bottom w:val="single" w:sz="4" w:space="0" w:color="auto"/>
            </w:tcBorders>
          </w:tcPr>
          <w:p w14:paraId="5A8F7AAF" w14:textId="77777777" w:rsidR="00542A05" w:rsidRPr="00542A05" w:rsidRDefault="00542A05" w:rsidP="00542A05">
            <w:pPr>
              <w:tabs>
                <w:tab w:val="left" w:pos="8080"/>
              </w:tabs>
              <w:ind w:right="-28"/>
              <w:jc w:val="right"/>
              <w:rPr>
                <w:rFonts w:ascii="Calibri" w:hAnsi="Calibri" w:cs="Calibri"/>
                <w:bCs/>
                <w:color w:val="000000"/>
                <w:sz w:val="18"/>
                <w:szCs w:val="18"/>
                <w:lang w:val="en-IE" w:eastAsia="zh-CN"/>
              </w:rPr>
            </w:pPr>
            <w:r w:rsidRPr="00542A05">
              <w:rPr>
                <w:rFonts w:ascii="Calibri" w:hAnsi="Calibri" w:cs="Calibri"/>
                <w:sz w:val="18"/>
                <w:szCs w:val="18"/>
              </w:rPr>
              <w:t>-</w:t>
            </w:r>
          </w:p>
        </w:tc>
        <w:tc>
          <w:tcPr>
            <w:tcW w:w="1195" w:type="dxa"/>
            <w:tcBorders>
              <w:bottom w:val="single" w:sz="4" w:space="0" w:color="auto"/>
            </w:tcBorders>
          </w:tcPr>
          <w:p w14:paraId="2568D0C4" w14:textId="3FCA2260" w:rsidR="00542A05" w:rsidRPr="00542A05" w:rsidRDefault="00542A05" w:rsidP="00542A05">
            <w:pPr>
              <w:tabs>
                <w:tab w:val="left" w:pos="8080"/>
              </w:tabs>
              <w:ind w:right="-28"/>
              <w:jc w:val="right"/>
              <w:rPr>
                <w:rFonts w:ascii="Calibri" w:hAnsi="Calibri" w:cs="Calibri"/>
                <w:bCs/>
                <w:color w:val="000000"/>
                <w:sz w:val="18"/>
                <w:szCs w:val="18"/>
                <w:lang w:val="en-IE" w:eastAsia="zh-CN"/>
              </w:rPr>
            </w:pPr>
            <w:r w:rsidRPr="00542A05">
              <w:rPr>
                <w:rFonts w:ascii="Calibri" w:hAnsi="Calibri" w:cs="Calibri"/>
                <w:bCs/>
                <w:color w:val="000000"/>
                <w:sz w:val="18"/>
                <w:szCs w:val="18"/>
                <w:lang w:val="en-IE" w:eastAsia="zh-CN"/>
              </w:rPr>
              <w:t>(69,826)</w:t>
            </w:r>
          </w:p>
        </w:tc>
        <w:tc>
          <w:tcPr>
            <w:tcW w:w="1195" w:type="dxa"/>
            <w:tcBorders>
              <w:bottom w:val="single" w:sz="4" w:space="0" w:color="auto"/>
            </w:tcBorders>
          </w:tcPr>
          <w:p w14:paraId="4D626EDB" w14:textId="739E928B" w:rsidR="00542A05" w:rsidRPr="00542A05" w:rsidRDefault="00542A05" w:rsidP="00542A05">
            <w:pPr>
              <w:tabs>
                <w:tab w:val="left" w:pos="8080"/>
              </w:tabs>
              <w:ind w:right="-28"/>
              <w:jc w:val="right"/>
              <w:rPr>
                <w:rFonts w:ascii="Calibri" w:hAnsi="Calibri" w:cs="Calibri"/>
                <w:bCs/>
                <w:color w:val="000000"/>
                <w:sz w:val="18"/>
                <w:szCs w:val="18"/>
                <w:lang w:val="en-IE" w:eastAsia="zh-CN"/>
              </w:rPr>
            </w:pPr>
            <w:r w:rsidRPr="00542A05">
              <w:rPr>
                <w:rFonts w:ascii="Calibri" w:hAnsi="Calibri" w:cs="Calibri"/>
                <w:bCs/>
                <w:color w:val="000000"/>
                <w:sz w:val="18"/>
                <w:szCs w:val="18"/>
                <w:lang w:val="en-IE" w:eastAsia="zh-CN"/>
              </w:rPr>
              <w:t>69,542</w:t>
            </w:r>
          </w:p>
        </w:tc>
        <w:tc>
          <w:tcPr>
            <w:tcW w:w="1478" w:type="dxa"/>
            <w:tcBorders>
              <w:bottom w:val="single" w:sz="4" w:space="0" w:color="auto"/>
            </w:tcBorders>
          </w:tcPr>
          <w:p w14:paraId="3FB38D53" w14:textId="77777777" w:rsidR="00542A05" w:rsidRPr="00542A05" w:rsidRDefault="00542A05" w:rsidP="00542A05">
            <w:pPr>
              <w:tabs>
                <w:tab w:val="left" w:pos="8080"/>
              </w:tabs>
              <w:ind w:right="-28"/>
              <w:jc w:val="right"/>
              <w:rPr>
                <w:rFonts w:ascii="Calibri" w:hAnsi="Calibri" w:cs="Calibri"/>
                <w:bCs/>
                <w:color w:val="000000"/>
                <w:sz w:val="18"/>
                <w:szCs w:val="18"/>
                <w:lang w:val="en-IE" w:eastAsia="zh-CN"/>
              </w:rPr>
            </w:pPr>
            <w:r w:rsidRPr="00542A05">
              <w:rPr>
                <w:rFonts w:ascii="Calibri" w:hAnsi="Calibri" w:cs="Calibri"/>
                <w:bCs/>
                <w:color w:val="000000"/>
                <w:sz w:val="18"/>
                <w:szCs w:val="18"/>
                <w:lang w:val="en-IE" w:eastAsia="zh-CN"/>
              </w:rPr>
              <w:t>(284)</w:t>
            </w:r>
          </w:p>
        </w:tc>
        <w:tc>
          <w:tcPr>
            <w:tcW w:w="1276" w:type="dxa"/>
            <w:tcBorders>
              <w:bottom w:val="single" w:sz="4" w:space="0" w:color="auto"/>
            </w:tcBorders>
          </w:tcPr>
          <w:p w14:paraId="66418038" w14:textId="77777777" w:rsidR="00542A05" w:rsidRPr="00542A05" w:rsidRDefault="00542A05" w:rsidP="00542A05">
            <w:pPr>
              <w:tabs>
                <w:tab w:val="left" w:pos="8080"/>
              </w:tabs>
              <w:ind w:right="-28"/>
              <w:jc w:val="right"/>
              <w:rPr>
                <w:rFonts w:ascii="Calibri" w:hAnsi="Calibri" w:cs="Calibri"/>
                <w:bCs/>
                <w:color w:val="000000"/>
                <w:sz w:val="18"/>
                <w:szCs w:val="18"/>
                <w:lang w:val="en-IE" w:eastAsia="zh-CN"/>
              </w:rPr>
            </w:pPr>
            <w:r w:rsidRPr="00542A05">
              <w:rPr>
                <w:rFonts w:ascii="Calibri" w:hAnsi="Calibri" w:cs="Calibri"/>
                <w:sz w:val="18"/>
                <w:szCs w:val="18"/>
              </w:rPr>
              <w:t>-</w:t>
            </w:r>
          </w:p>
        </w:tc>
        <w:tc>
          <w:tcPr>
            <w:tcW w:w="1134" w:type="dxa"/>
            <w:gridSpan w:val="2"/>
            <w:tcBorders>
              <w:bottom w:val="single" w:sz="4" w:space="0" w:color="auto"/>
            </w:tcBorders>
          </w:tcPr>
          <w:p w14:paraId="79E0C0BA" w14:textId="77777777" w:rsidR="00542A05" w:rsidRPr="00542A05" w:rsidRDefault="00542A05" w:rsidP="00542A05">
            <w:pPr>
              <w:tabs>
                <w:tab w:val="left" w:pos="8080"/>
              </w:tabs>
              <w:ind w:right="-28"/>
              <w:jc w:val="right"/>
              <w:rPr>
                <w:rFonts w:ascii="Calibri" w:hAnsi="Calibri" w:cs="Calibri"/>
                <w:bCs/>
                <w:color w:val="000000"/>
                <w:sz w:val="18"/>
                <w:szCs w:val="18"/>
                <w:lang w:val="en-IE" w:eastAsia="zh-CN"/>
              </w:rPr>
            </w:pPr>
            <w:r w:rsidRPr="00542A05">
              <w:rPr>
                <w:rFonts w:ascii="Calibri" w:hAnsi="Calibri" w:cs="Calibri"/>
                <w:bCs/>
                <w:color w:val="000000"/>
                <w:sz w:val="18"/>
                <w:szCs w:val="18"/>
                <w:lang w:val="en-IE" w:eastAsia="zh-CN"/>
              </w:rPr>
              <w:t>(284)</w:t>
            </w:r>
          </w:p>
        </w:tc>
      </w:tr>
      <w:tr w:rsidR="00542A05" w:rsidRPr="00542A05" w14:paraId="6811BB52" w14:textId="77777777" w:rsidTr="00542A05">
        <w:trPr>
          <w:trHeight w:val="226"/>
        </w:trPr>
        <w:tc>
          <w:tcPr>
            <w:tcW w:w="6379" w:type="dxa"/>
          </w:tcPr>
          <w:p w14:paraId="691DA30E" w14:textId="77777777" w:rsidR="00542A05" w:rsidRPr="00542A05" w:rsidRDefault="00542A05" w:rsidP="00542A05">
            <w:pPr>
              <w:tabs>
                <w:tab w:val="left" w:pos="8080"/>
              </w:tabs>
              <w:ind w:right="-28"/>
              <w:rPr>
                <w:rFonts w:ascii="Calibri" w:hAnsi="Calibri" w:cs="Calibri"/>
                <w:b/>
                <w:sz w:val="18"/>
                <w:szCs w:val="18"/>
              </w:rPr>
            </w:pPr>
            <w:r w:rsidRPr="00542A05">
              <w:rPr>
                <w:rFonts w:ascii="Calibri" w:hAnsi="Calibri" w:cs="Calibri"/>
                <w:b/>
                <w:sz w:val="18"/>
                <w:szCs w:val="18"/>
              </w:rPr>
              <w:t xml:space="preserve">Restated balance </w:t>
            </w:r>
            <w:proofErr w:type="gramStart"/>
            <w:r w:rsidRPr="00542A05">
              <w:rPr>
                <w:rFonts w:ascii="Calibri" w:hAnsi="Calibri" w:cs="Calibri"/>
                <w:b/>
                <w:sz w:val="18"/>
                <w:szCs w:val="18"/>
              </w:rPr>
              <w:t>at</w:t>
            </w:r>
            <w:proofErr w:type="gramEnd"/>
            <w:r w:rsidRPr="00542A05">
              <w:rPr>
                <w:rFonts w:ascii="Calibri" w:hAnsi="Calibri" w:cs="Calibri"/>
                <w:b/>
                <w:sz w:val="18"/>
                <w:szCs w:val="18"/>
              </w:rPr>
              <w:t xml:space="preserve"> 1 January 2023</w:t>
            </w:r>
          </w:p>
        </w:tc>
        <w:tc>
          <w:tcPr>
            <w:tcW w:w="1418" w:type="dxa"/>
            <w:tcBorders>
              <w:top w:val="single" w:sz="4" w:space="0" w:color="auto"/>
              <w:bottom w:val="single" w:sz="8" w:space="0" w:color="auto"/>
            </w:tcBorders>
          </w:tcPr>
          <w:p w14:paraId="3105516A" w14:textId="77777777" w:rsidR="00542A05" w:rsidRPr="00542A05" w:rsidRDefault="00542A05" w:rsidP="00542A05">
            <w:pPr>
              <w:tabs>
                <w:tab w:val="left" w:pos="8080"/>
              </w:tabs>
              <w:ind w:right="-28"/>
              <w:jc w:val="right"/>
              <w:rPr>
                <w:rFonts w:ascii="Calibri" w:hAnsi="Calibri" w:cs="Calibri"/>
                <w:b/>
                <w:sz w:val="18"/>
                <w:szCs w:val="18"/>
              </w:rPr>
            </w:pPr>
            <w:r w:rsidRPr="00542A05">
              <w:rPr>
                <w:rFonts w:ascii="Calibri" w:hAnsi="Calibri" w:cs="Calibri"/>
                <w:b/>
                <w:sz w:val="18"/>
                <w:szCs w:val="18"/>
              </w:rPr>
              <w:t>21,583</w:t>
            </w:r>
          </w:p>
        </w:tc>
        <w:tc>
          <w:tcPr>
            <w:tcW w:w="1275" w:type="dxa"/>
            <w:tcBorders>
              <w:top w:val="single" w:sz="4" w:space="0" w:color="auto"/>
              <w:bottom w:val="single" w:sz="8" w:space="0" w:color="auto"/>
            </w:tcBorders>
          </w:tcPr>
          <w:p w14:paraId="3411169E" w14:textId="77777777" w:rsidR="00542A05" w:rsidRPr="00542A05" w:rsidRDefault="00542A05" w:rsidP="00542A05">
            <w:pPr>
              <w:tabs>
                <w:tab w:val="left" w:pos="8080"/>
              </w:tabs>
              <w:ind w:right="-28"/>
              <w:jc w:val="right"/>
              <w:rPr>
                <w:rFonts w:ascii="Calibri" w:hAnsi="Calibri" w:cs="Calibri"/>
                <w:b/>
                <w:sz w:val="18"/>
                <w:szCs w:val="18"/>
              </w:rPr>
            </w:pPr>
            <w:r w:rsidRPr="00542A05">
              <w:rPr>
                <w:rFonts w:ascii="Calibri" w:hAnsi="Calibri" w:cs="Calibri"/>
                <w:b/>
                <w:sz w:val="18"/>
                <w:szCs w:val="18"/>
              </w:rPr>
              <w:t>30,192</w:t>
            </w:r>
          </w:p>
        </w:tc>
        <w:tc>
          <w:tcPr>
            <w:tcW w:w="1195" w:type="dxa"/>
            <w:tcBorders>
              <w:top w:val="single" w:sz="4" w:space="0" w:color="auto"/>
              <w:bottom w:val="single" w:sz="8" w:space="0" w:color="auto"/>
            </w:tcBorders>
          </w:tcPr>
          <w:p w14:paraId="2C6C170D" w14:textId="48958FD2" w:rsidR="00542A05" w:rsidRPr="00542A05" w:rsidRDefault="00542A05" w:rsidP="00542A05">
            <w:pPr>
              <w:tabs>
                <w:tab w:val="left" w:pos="8080"/>
              </w:tabs>
              <w:ind w:right="-28"/>
              <w:jc w:val="right"/>
              <w:rPr>
                <w:rFonts w:ascii="Calibri" w:hAnsi="Calibri" w:cs="Calibri"/>
                <w:b/>
                <w:sz w:val="18"/>
                <w:szCs w:val="18"/>
              </w:rPr>
            </w:pPr>
            <w:r w:rsidRPr="00542A05">
              <w:rPr>
                <w:rFonts w:ascii="Calibri" w:hAnsi="Calibri" w:cs="Calibri"/>
                <w:b/>
                <w:sz w:val="18"/>
                <w:szCs w:val="18"/>
              </w:rPr>
              <w:t>(48,087)</w:t>
            </w:r>
          </w:p>
        </w:tc>
        <w:tc>
          <w:tcPr>
            <w:tcW w:w="1195" w:type="dxa"/>
            <w:tcBorders>
              <w:top w:val="single" w:sz="4" w:space="0" w:color="auto"/>
              <w:bottom w:val="single" w:sz="8" w:space="0" w:color="auto"/>
            </w:tcBorders>
          </w:tcPr>
          <w:p w14:paraId="0E9D6D57" w14:textId="411DB9C2" w:rsidR="00542A05" w:rsidRPr="00542A05" w:rsidRDefault="00542A05" w:rsidP="00542A05">
            <w:pPr>
              <w:tabs>
                <w:tab w:val="left" w:pos="8080"/>
              </w:tabs>
              <w:ind w:right="-28"/>
              <w:jc w:val="right"/>
              <w:rPr>
                <w:rFonts w:ascii="Calibri" w:hAnsi="Calibri" w:cs="Calibri"/>
                <w:b/>
                <w:sz w:val="18"/>
                <w:szCs w:val="18"/>
              </w:rPr>
            </w:pPr>
            <w:r w:rsidRPr="00542A05">
              <w:rPr>
                <w:rFonts w:ascii="Calibri" w:hAnsi="Calibri" w:cs="Calibri"/>
                <w:b/>
                <w:sz w:val="18"/>
                <w:szCs w:val="18"/>
              </w:rPr>
              <w:t>450,318</w:t>
            </w:r>
          </w:p>
        </w:tc>
        <w:tc>
          <w:tcPr>
            <w:tcW w:w="1478" w:type="dxa"/>
            <w:tcBorders>
              <w:top w:val="single" w:sz="4" w:space="0" w:color="auto"/>
              <w:bottom w:val="single" w:sz="8" w:space="0" w:color="auto"/>
            </w:tcBorders>
          </w:tcPr>
          <w:p w14:paraId="4AA53FA6" w14:textId="77777777" w:rsidR="00542A05" w:rsidRPr="00542A05" w:rsidRDefault="00542A05" w:rsidP="00542A05">
            <w:pPr>
              <w:tabs>
                <w:tab w:val="left" w:pos="8080"/>
              </w:tabs>
              <w:ind w:right="-28"/>
              <w:jc w:val="right"/>
              <w:rPr>
                <w:rFonts w:ascii="Calibri" w:hAnsi="Calibri" w:cs="Calibri"/>
                <w:b/>
                <w:sz w:val="18"/>
                <w:szCs w:val="18"/>
              </w:rPr>
            </w:pPr>
            <w:r w:rsidRPr="00542A05">
              <w:rPr>
                <w:rFonts w:ascii="Calibri" w:hAnsi="Calibri" w:cs="Calibri"/>
                <w:b/>
                <w:sz w:val="18"/>
                <w:szCs w:val="18"/>
              </w:rPr>
              <w:t>454,006</w:t>
            </w:r>
          </w:p>
        </w:tc>
        <w:tc>
          <w:tcPr>
            <w:tcW w:w="1276" w:type="dxa"/>
            <w:tcBorders>
              <w:top w:val="single" w:sz="4" w:space="0" w:color="auto"/>
              <w:bottom w:val="single" w:sz="8" w:space="0" w:color="auto"/>
            </w:tcBorders>
          </w:tcPr>
          <w:p w14:paraId="40878D1C" w14:textId="77777777" w:rsidR="00542A05" w:rsidRPr="00542A05" w:rsidRDefault="00542A05" w:rsidP="00542A05">
            <w:pPr>
              <w:tabs>
                <w:tab w:val="left" w:pos="8080"/>
              </w:tabs>
              <w:ind w:right="-28"/>
              <w:jc w:val="right"/>
              <w:rPr>
                <w:rFonts w:ascii="Calibri" w:hAnsi="Calibri" w:cs="Calibri"/>
                <w:b/>
                <w:sz w:val="18"/>
                <w:szCs w:val="18"/>
              </w:rPr>
            </w:pPr>
            <w:r w:rsidRPr="00542A05">
              <w:rPr>
                <w:rFonts w:ascii="Calibri" w:hAnsi="Calibri" w:cs="Calibri"/>
                <w:b/>
                <w:sz w:val="18"/>
                <w:szCs w:val="18"/>
              </w:rPr>
              <w:t>2,923</w:t>
            </w:r>
          </w:p>
        </w:tc>
        <w:tc>
          <w:tcPr>
            <w:tcW w:w="1134" w:type="dxa"/>
            <w:gridSpan w:val="2"/>
            <w:tcBorders>
              <w:top w:val="single" w:sz="4" w:space="0" w:color="auto"/>
              <w:bottom w:val="single" w:sz="8" w:space="0" w:color="auto"/>
            </w:tcBorders>
          </w:tcPr>
          <w:p w14:paraId="2B3D41CA" w14:textId="77777777" w:rsidR="00542A05" w:rsidRPr="00542A05" w:rsidRDefault="00542A05" w:rsidP="00542A05">
            <w:pPr>
              <w:tabs>
                <w:tab w:val="left" w:pos="8080"/>
              </w:tabs>
              <w:ind w:right="-28"/>
              <w:jc w:val="right"/>
              <w:rPr>
                <w:rFonts w:ascii="Calibri" w:hAnsi="Calibri" w:cs="Calibri"/>
                <w:b/>
                <w:sz w:val="18"/>
                <w:szCs w:val="18"/>
              </w:rPr>
            </w:pPr>
            <w:r w:rsidRPr="00542A05">
              <w:rPr>
                <w:rFonts w:ascii="Calibri" w:hAnsi="Calibri" w:cs="Calibri"/>
                <w:b/>
                <w:sz w:val="18"/>
                <w:szCs w:val="18"/>
              </w:rPr>
              <w:t>456,929</w:t>
            </w:r>
          </w:p>
        </w:tc>
      </w:tr>
      <w:tr w:rsidR="00542A05" w:rsidRPr="00542A05" w14:paraId="4A6E7ECD" w14:textId="77777777" w:rsidTr="00542A05">
        <w:trPr>
          <w:trHeight w:val="226"/>
        </w:trPr>
        <w:tc>
          <w:tcPr>
            <w:tcW w:w="6379" w:type="dxa"/>
          </w:tcPr>
          <w:p w14:paraId="0B4C29EF" w14:textId="77777777" w:rsidR="00542A05" w:rsidRPr="00542A05" w:rsidRDefault="00542A05" w:rsidP="00542A05">
            <w:pPr>
              <w:tabs>
                <w:tab w:val="left" w:pos="8080"/>
              </w:tabs>
              <w:ind w:right="-28"/>
              <w:rPr>
                <w:rFonts w:ascii="Calibri" w:hAnsi="Calibri" w:cs="Calibri"/>
                <w:sz w:val="18"/>
                <w:szCs w:val="18"/>
              </w:rPr>
            </w:pPr>
            <w:r w:rsidRPr="00542A05">
              <w:rPr>
                <w:rFonts w:ascii="Calibri" w:hAnsi="Calibri" w:cs="Calibri"/>
                <w:sz w:val="18"/>
                <w:szCs w:val="18"/>
              </w:rPr>
              <w:t>Profit after taxation</w:t>
            </w:r>
          </w:p>
        </w:tc>
        <w:tc>
          <w:tcPr>
            <w:tcW w:w="1418" w:type="dxa"/>
            <w:tcBorders>
              <w:top w:val="single" w:sz="8" w:space="0" w:color="auto"/>
            </w:tcBorders>
          </w:tcPr>
          <w:p w14:paraId="03F173F2" w14:textId="77777777" w:rsidR="00542A05" w:rsidRPr="00542A05" w:rsidRDefault="00542A05" w:rsidP="00542A05">
            <w:pPr>
              <w:tabs>
                <w:tab w:val="left" w:pos="8080"/>
              </w:tabs>
              <w:ind w:right="-28"/>
              <w:jc w:val="right"/>
              <w:rPr>
                <w:rFonts w:ascii="Calibri" w:hAnsi="Calibri" w:cs="Calibri"/>
                <w:b/>
                <w:sz w:val="18"/>
                <w:szCs w:val="18"/>
              </w:rPr>
            </w:pPr>
            <w:r w:rsidRPr="00542A05">
              <w:rPr>
                <w:rFonts w:ascii="Calibri" w:hAnsi="Calibri" w:cs="Calibri"/>
                <w:b/>
                <w:sz w:val="18"/>
                <w:szCs w:val="18"/>
              </w:rPr>
              <w:t>-</w:t>
            </w:r>
          </w:p>
        </w:tc>
        <w:tc>
          <w:tcPr>
            <w:tcW w:w="1275" w:type="dxa"/>
            <w:tcBorders>
              <w:top w:val="single" w:sz="8" w:space="0" w:color="auto"/>
            </w:tcBorders>
          </w:tcPr>
          <w:p w14:paraId="60F9AE47" w14:textId="77777777" w:rsidR="00542A05" w:rsidRPr="00542A05" w:rsidRDefault="00542A05" w:rsidP="00542A05">
            <w:pPr>
              <w:tabs>
                <w:tab w:val="left" w:pos="8080"/>
              </w:tabs>
              <w:ind w:right="-28"/>
              <w:jc w:val="right"/>
              <w:rPr>
                <w:rFonts w:ascii="Calibri" w:hAnsi="Calibri" w:cs="Calibri"/>
                <w:b/>
                <w:sz w:val="18"/>
                <w:szCs w:val="18"/>
              </w:rPr>
            </w:pPr>
            <w:r w:rsidRPr="00542A05">
              <w:rPr>
                <w:rFonts w:ascii="Calibri" w:hAnsi="Calibri" w:cs="Calibri"/>
                <w:b/>
                <w:sz w:val="18"/>
                <w:szCs w:val="18"/>
              </w:rPr>
              <w:t>-</w:t>
            </w:r>
          </w:p>
        </w:tc>
        <w:tc>
          <w:tcPr>
            <w:tcW w:w="1195" w:type="dxa"/>
            <w:tcBorders>
              <w:top w:val="single" w:sz="8" w:space="0" w:color="auto"/>
            </w:tcBorders>
          </w:tcPr>
          <w:p w14:paraId="7813D773" w14:textId="2CBB480D" w:rsidR="00542A05" w:rsidRPr="00542A05" w:rsidRDefault="00542A05" w:rsidP="00542A05">
            <w:pPr>
              <w:tabs>
                <w:tab w:val="left" w:pos="8080"/>
              </w:tabs>
              <w:ind w:right="-28"/>
              <w:jc w:val="right"/>
              <w:rPr>
                <w:rFonts w:ascii="Calibri" w:hAnsi="Calibri" w:cs="Calibri"/>
                <w:b/>
                <w:sz w:val="18"/>
                <w:szCs w:val="18"/>
              </w:rPr>
            </w:pPr>
            <w:r w:rsidRPr="00542A05">
              <w:rPr>
                <w:rFonts w:ascii="Calibri" w:hAnsi="Calibri" w:cs="Calibri"/>
                <w:b/>
                <w:sz w:val="18"/>
                <w:szCs w:val="18"/>
              </w:rPr>
              <w:t>-</w:t>
            </w:r>
          </w:p>
        </w:tc>
        <w:tc>
          <w:tcPr>
            <w:tcW w:w="1195" w:type="dxa"/>
            <w:tcBorders>
              <w:top w:val="single" w:sz="8" w:space="0" w:color="auto"/>
            </w:tcBorders>
          </w:tcPr>
          <w:p w14:paraId="659FCFCE" w14:textId="0CF62A3F" w:rsidR="00542A05" w:rsidRPr="00542A05" w:rsidRDefault="00542A05" w:rsidP="00542A05">
            <w:pPr>
              <w:tabs>
                <w:tab w:val="left" w:pos="8080"/>
              </w:tabs>
              <w:ind w:right="-28"/>
              <w:jc w:val="right"/>
              <w:rPr>
                <w:rFonts w:ascii="Calibri" w:hAnsi="Calibri" w:cs="Calibri"/>
                <w:b/>
                <w:sz w:val="18"/>
                <w:szCs w:val="18"/>
              </w:rPr>
            </w:pPr>
            <w:r w:rsidRPr="00542A05">
              <w:rPr>
                <w:rFonts w:ascii="Calibri" w:hAnsi="Calibri" w:cs="Calibri"/>
                <w:b/>
                <w:sz w:val="18"/>
                <w:szCs w:val="18"/>
              </w:rPr>
              <w:t>69,5</w:t>
            </w:r>
            <w:r>
              <w:rPr>
                <w:rFonts w:ascii="Calibri" w:hAnsi="Calibri" w:cs="Calibri"/>
                <w:b/>
                <w:sz w:val="18"/>
                <w:szCs w:val="18"/>
              </w:rPr>
              <w:t>41</w:t>
            </w:r>
          </w:p>
        </w:tc>
        <w:tc>
          <w:tcPr>
            <w:tcW w:w="1478" w:type="dxa"/>
            <w:tcBorders>
              <w:top w:val="single" w:sz="8" w:space="0" w:color="auto"/>
            </w:tcBorders>
          </w:tcPr>
          <w:p w14:paraId="2F20B7F6" w14:textId="70CD5105" w:rsidR="00542A05" w:rsidRPr="00542A05" w:rsidRDefault="00542A05" w:rsidP="00542A05">
            <w:pPr>
              <w:tabs>
                <w:tab w:val="left" w:pos="8080"/>
              </w:tabs>
              <w:ind w:right="-28"/>
              <w:jc w:val="right"/>
              <w:rPr>
                <w:rFonts w:ascii="Calibri" w:hAnsi="Calibri" w:cs="Calibri"/>
                <w:b/>
                <w:sz w:val="18"/>
                <w:szCs w:val="18"/>
              </w:rPr>
            </w:pPr>
            <w:r w:rsidRPr="00542A05">
              <w:rPr>
                <w:rFonts w:ascii="Calibri" w:hAnsi="Calibri" w:cs="Calibri"/>
                <w:b/>
                <w:sz w:val="18"/>
                <w:szCs w:val="18"/>
              </w:rPr>
              <w:t>69,</w:t>
            </w:r>
            <w:r w:rsidR="00B14E86">
              <w:rPr>
                <w:rFonts w:ascii="Calibri" w:hAnsi="Calibri" w:cs="Calibri"/>
                <w:b/>
                <w:sz w:val="18"/>
                <w:szCs w:val="18"/>
              </w:rPr>
              <w:t>541</w:t>
            </w:r>
          </w:p>
        </w:tc>
        <w:tc>
          <w:tcPr>
            <w:tcW w:w="1276" w:type="dxa"/>
            <w:tcBorders>
              <w:top w:val="single" w:sz="8" w:space="0" w:color="auto"/>
            </w:tcBorders>
          </w:tcPr>
          <w:p w14:paraId="153E1A02" w14:textId="77777777" w:rsidR="00542A05" w:rsidRPr="00542A05" w:rsidRDefault="00542A05" w:rsidP="00542A05">
            <w:pPr>
              <w:tabs>
                <w:tab w:val="left" w:pos="8080"/>
              </w:tabs>
              <w:ind w:right="-28"/>
              <w:jc w:val="right"/>
              <w:rPr>
                <w:rFonts w:ascii="Calibri" w:hAnsi="Calibri" w:cs="Calibri"/>
                <w:b/>
                <w:sz w:val="18"/>
                <w:szCs w:val="18"/>
              </w:rPr>
            </w:pPr>
            <w:r w:rsidRPr="00542A05">
              <w:rPr>
                <w:rFonts w:ascii="Calibri" w:hAnsi="Calibri" w:cs="Calibri"/>
                <w:b/>
                <w:sz w:val="18"/>
                <w:szCs w:val="18"/>
              </w:rPr>
              <w:t>-</w:t>
            </w:r>
          </w:p>
        </w:tc>
        <w:tc>
          <w:tcPr>
            <w:tcW w:w="1134" w:type="dxa"/>
            <w:gridSpan w:val="2"/>
            <w:tcBorders>
              <w:top w:val="single" w:sz="8" w:space="0" w:color="auto"/>
            </w:tcBorders>
          </w:tcPr>
          <w:p w14:paraId="0A7876B4" w14:textId="47717BE0" w:rsidR="00542A05" w:rsidRPr="00542A05" w:rsidRDefault="00542A05" w:rsidP="00542A05">
            <w:pPr>
              <w:tabs>
                <w:tab w:val="left" w:pos="8080"/>
              </w:tabs>
              <w:ind w:right="-28"/>
              <w:jc w:val="right"/>
              <w:rPr>
                <w:rFonts w:ascii="Calibri" w:hAnsi="Calibri" w:cs="Calibri"/>
                <w:b/>
                <w:sz w:val="18"/>
                <w:szCs w:val="18"/>
              </w:rPr>
            </w:pPr>
            <w:r w:rsidRPr="00542A05">
              <w:rPr>
                <w:rFonts w:ascii="Calibri" w:hAnsi="Calibri" w:cs="Calibri"/>
                <w:b/>
                <w:sz w:val="18"/>
                <w:szCs w:val="18"/>
              </w:rPr>
              <w:t>69,5</w:t>
            </w:r>
            <w:r w:rsidR="00757E4A">
              <w:rPr>
                <w:rFonts w:ascii="Calibri" w:hAnsi="Calibri" w:cs="Calibri"/>
                <w:b/>
                <w:sz w:val="18"/>
                <w:szCs w:val="18"/>
              </w:rPr>
              <w:t>41</w:t>
            </w:r>
          </w:p>
        </w:tc>
      </w:tr>
      <w:tr w:rsidR="00542A05" w:rsidRPr="00542A05" w14:paraId="766174CE" w14:textId="77777777" w:rsidTr="00542A05">
        <w:trPr>
          <w:trHeight w:val="226"/>
        </w:trPr>
        <w:tc>
          <w:tcPr>
            <w:tcW w:w="6379" w:type="dxa"/>
          </w:tcPr>
          <w:p w14:paraId="0C036D25" w14:textId="77777777" w:rsidR="00542A05" w:rsidRPr="00542A05" w:rsidRDefault="00542A05" w:rsidP="00542A05">
            <w:pPr>
              <w:tabs>
                <w:tab w:val="left" w:pos="8080"/>
              </w:tabs>
              <w:ind w:right="-28"/>
              <w:rPr>
                <w:rFonts w:ascii="Calibri" w:hAnsi="Calibri" w:cs="Calibri"/>
                <w:sz w:val="18"/>
                <w:szCs w:val="18"/>
              </w:rPr>
            </w:pPr>
            <w:r w:rsidRPr="00542A05">
              <w:rPr>
                <w:rFonts w:ascii="Calibri" w:hAnsi="Calibri" w:cs="Calibri"/>
                <w:sz w:val="18"/>
                <w:szCs w:val="18"/>
              </w:rPr>
              <w:t>Other comprehensive (expense)/income for the period</w:t>
            </w:r>
          </w:p>
        </w:tc>
        <w:tc>
          <w:tcPr>
            <w:tcW w:w="1418" w:type="dxa"/>
            <w:tcBorders>
              <w:bottom w:val="single" w:sz="4" w:space="0" w:color="auto"/>
            </w:tcBorders>
          </w:tcPr>
          <w:p w14:paraId="7A7EE2C7" w14:textId="77777777" w:rsidR="00542A05" w:rsidRPr="00542A05" w:rsidRDefault="00542A05" w:rsidP="00542A05">
            <w:pPr>
              <w:tabs>
                <w:tab w:val="left" w:pos="8080"/>
              </w:tabs>
              <w:ind w:right="-28"/>
              <w:jc w:val="right"/>
              <w:rPr>
                <w:rFonts w:ascii="Calibri" w:hAnsi="Calibri" w:cs="Calibri"/>
                <w:sz w:val="18"/>
                <w:szCs w:val="18"/>
              </w:rPr>
            </w:pPr>
            <w:r w:rsidRPr="00542A05">
              <w:rPr>
                <w:rFonts w:ascii="Calibri" w:hAnsi="Calibri" w:cs="Calibri"/>
                <w:sz w:val="18"/>
                <w:szCs w:val="18"/>
              </w:rPr>
              <w:t>-</w:t>
            </w:r>
          </w:p>
        </w:tc>
        <w:tc>
          <w:tcPr>
            <w:tcW w:w="1275" w:type="dxa"/>
            <w:tcBorders>
              <w:bottom w:val="single" w:sz="4" w:space="0" w:color="auto"/>
            </w:tcBorders>
          </w:tcPr>
          <w:p w14:paraId="70CEF14A" w14:textId="77777777" w:rsidR="00542A05" w:rsidRPr="00542A05" w:rsidRDefault="00542A05" w:rsidP="00542A05">
            <w:pPr>
              <w:tabs>
                <w:tab w:val="left" w:pos="8080"/>
              </w:tabs>
              <w:ind w:right="-28"/>
              <w:jc w:val="right"/>
              <w:rPr>
                <w:rFonts w:ascii="Calibri" w:hAnsi="Calibri" w:cs="Calibri"/>
                <w:sz w:val="18"/>
                <w:szCs w:val="18"/>
              </w:rPr>
            </w:pPr>
            <w:r w:rsidRPr="00542A05">
              <w:rPr>
                <w:rFonts w:ascii="Calibri" w:hAnsi="Calibri" w:cs="Calibri"/>
                <w:sz w:val="18"/>
                <w:szCs w:val="18"/>
              </w:rPr>
              <w:t>-</w:t>
            </w:r>
          </w:p>
        </w:tc>
        <w:tc>
          <w:tcPr>
            <w:tcW w:w="1195" w:type="dxa"/>
            <w:tcBorders>
              <w:bottom w:val="single" w:sz="4" w:space="0" w:color="auto"/>
            </w:tcBorders>
          </w:tcPr>
          <w:p w14:paraId="448FD759" w14:textId="67AA1903" w:rsidR="00542A05" w:rsidRPr="00542A05" w:rsidRDefault="00542A05" w:rsidP="00542A05">
            <w:pPr>
              <w:tabs>
                <w:tab w:val="left" w:pos="8080"/>
              </w:tabs>
              <w:ind w:right="-28"/>
              <w:jc w:val="right"/>
              <w:rPr>
                <w:rFonts w:ascii="Calibri" w:hAnsi="Calibri" w:cs="Calibri"/>
                <w:sz w:val="18"/>
                <w:szCs w:val="18"/>
              </w:rPr>
            </w:pPr>
            <w:r w:rsidRPr="00542A05">
              <w:rPr>
                <w:rFonts w:ascii="Calibri" w:hAnsi="Calibri" w:cs="Calibri"/>
                <w:sz w:val="18"/>
                <w:szCs w:val="18"/>
              </w:rPr>
              <w:t>24,28</w:t>
            </w:r>
            <w:r w:rsidR="00757E4A">
              <w:rPr>
                <w:rFonts w:ascii="Calibri" w:hAnsi="Calibri" w:cs="Calibri"/>
                <w:sz w:val="18"/>
                <w:szCs w:val="18"/>
              </w:rPr>
              <w:t>3</w:t>
            </w:r>
          </w:p>
        </w:tc>
        <w:tc>
          <w:tcPr>
            <w:tcW w:w="1195" w:type="dxa"/>
            <w:tcBorders>
              <w:bottom w:val="single" w:sz="4" w:space="0" w:color="auto"/>
            </w:tcBorders>
          </w:tcPr>
          <w:p w14:paraId="4E0B8D9B" w14:textId="038E83BA" w:rsidR="00542A05" w:rsidRPr="00542A05" w:rsidRDefault="00542A05" w:rsidP="00542A05">
            <w:pPr>
              <w:tabs>
                <w:tab w:val="left" w:pos="8080"/>
              </w:tabs>
              <w:ind w:right="-28"/>
              <w:jc w:val="right"/>
              <w:rPr>
                <w:rFonts w:ascii="Calibri" w:hAnsi="Calibri" w:cs="Calibri"/>
                <w:sz w:val="18"/>
                <w:szCs w:val="18"/>
              </w:rPr>
            </w:pPr>
            <w:r w:rsidRPr="00542A05">
              <w:rPr>
                <w:rFonts w:ascii="Calibri" w:hAnsi="Calibri" w:cs="Calibri"/>
                <w:sz w:val="18"/>
                <w:szCs w:val="18"/>
              </w:rPr>
              <w:t>(1,40</w:t>
            </w:r>
            <w:r w:rsidR="00757E4A">
              <w:rPr>
                <w:rFonts w:ascii="Calibri" w:hAnsi="Calibri" w:cs="Calibri"/>
                <w:sz w:val="18"/>
                <w:szCs w:val="18"/>
              </w:rPr>
              <w:t>8</w:t>
            </w:r>
            <w:r w:rsidRPr="00542A05">
              <w:rPr>
                <w:rFonts w:ascii="Calibri" w:hAnsi="Calibri" w:cs="Calibri"/>
                <w:sz w:val="18"/>
                <w:szCs w:val="18"/>
              </w:rPr>
              <w:t>)</w:t>
            </w:r>
          </w:p>
        </w:tc>
        <w:tc>
          <w:tcPr>
            <w:tcW w:w="1478" w:type="dxa"/>
            <w:tcBorders>
              <w:bottom w:val="single" w:sz="4" w:space="0" w:color="auto"/>
            </w:tcBorders>
          </w:tcPr>
          <w:p w14:paraId="550568D1" w14:textId="31D66CFA" w:rsidR="00542A05" w:rsidRPr="00542A05" w:rsidRDefault="00542A05" w:rsidP="00542A05">
            <w:pPr>
              <w:tabs>
                <w:tab w:val="left" w:pos="8080"/>
              </w:tabs>
              <w:ind w:right="-28"/>
              <w:jc w:val="right"/>
              <w:rPr>
                <w:rFonts w:ascii="Calibri" w:hAnsi="Calibri" w:cs="Calibri"/>
                <w:sz w:val="18"/>
                <w:szCs w:val="18"/>
              </w:rPr>
            </w:pPr>
            <w:r w:rsidRPr="00542A05">
              <w:rPr>
                <w:rFonts w:ascii="Calibri" w:hAnsi="Calibri" w:cs="Calibri"/>
                <w:sz w:val="18"/>
                <w:szCs w:val="18"/>
              </w:rPr>
              <w:t>22,875</w:t>
            </w:r>
          </w:p>
        </w:tc>
        <w:tc>
          <w:tcPr>
            <w:tcW w:w="1276" w:type="dxa"/>
            <w:tcBorders>
              <w:bottom w:val="single" w:sz="4" w:space="0" w:color="auto"/>
            </w:tcBorders>
          </w:tcPr>
          <w:p w14:paraId="4B930D17" w14:textId="77777777" w:rsidR="00542A05" w:rsidRPr="00542A05" w:rsidRDefault="00542A05" w:rsidP="00542A05">
            <w:pPr>
              <w:tabs>
                <w:tab w:val="left" w:pos="8080"/>
              </w:tabs>
              <w:ind w:right="-28"/>
              <w:jc w:val="right"/>
              <w:rPr>
                <w:rFonts w:ascii="Calibri" w:hAnsi="Calibri" w:cs="Calibri"/>
                <w:sz w:val="18"/>
                <w:szCs w:val="18"/>
              </w:rPr>
            </w:pPr>
            <w:r w:rsidRPr="00542A05">
              <w:rPr>
                <w:rFonts w:ascii="Calibri" w:hAnsi="Calibri" w:cs="Calibri"/>
                <w:sz w:val="18"/>
                <w:szCs w:val="18"/>
              </w:rPr>
              <w:t>-</w:t>
            </w:r>
          </w:p>
        </w:tc>
        <w:tc>
          <w:tcPr>
            <w:tcW w:w="1134" w:type="dxa"/>
            <w:gridSpan w:val="2"/>
            <w:tcBorders>
              <w:bottom w:val="single" w:sz="4" w:space="0" w:color="auto"/>
            </w:tcBorders>
          </w:tcPr>
          <w:p w14:paraId="636A0C29" w14:textId="2A37D548" w:rsidR="00542A05" w:rsidRPr="00542A05" w:rsidRDefault="00542A05" w:rsidP="00542A05">
            <w:pPr>
              <w:tabs>
                <w:tab w:val="left" w:pos="8080"/>
              </w:tabs>
              <w:ind w:right="-28"/>
              <w:jc w:val="right"/>
              <w:rPr>
                <w:rFonts w:ascii="Calibri" w:hAnsi="Calibri" w:cs="Calibri"/>
                <w:sz w:val="18"/>
                <w:szCs w:val="18"/>
              </w:rPr>
            </w:pPr>
            <w:r w:rsidRPr="00542A05">
              <w:rPr>
                <w:rFonts w:ascii="Calibri" w:hAnsi="Calibri" w:cs="Calibri"/>
                <w:sz w:val="18"/>
                <w:szCs w:val="18"/>
              </w:rPr>
              <w:t>22,875</w:t>
            </w:r>
          </w:p>
        </w:tc>
      </w:tr>
      <w:tr w:rsidR="00542A05" w:rsidRPr="00542A05" w14:paraId="7E512E93" w14:textId="77777777" w:rsidTr="00542A05">
        <w:trPr>
          <w:trHeight w:val="235"/>
        </w:trPr>
        <w:tc>
          <w:tcPr>
            <w:tcW w:w="6379" w:type="dxa"/>
          </w:tcPr>
          <w:p w14:paraId="13CB02F7" w14:textId="77777777" w:rsidR="00542A05" w:rsidRPr="00542A05" w:rsidRDefault="00542A05" w:rsidP="00542A05">
            <w:pPr>
              <w:tabs>
                <w:tab w:val="left" w:pos="8080"/>
              </w:tabs>
              <w:ind w:right="-28"/>
              <w:rPr>
                <w:rFonts w:ascii="Calibri" w:hAnsi="Calibri" w:cs="Calibri"/>
                <w:b/>
                <w:sz w:val="18"/>
                <w:szCs w:val="18"/>
              </w:rPr>
            </w:pPr>
            <w:r w:rsidRPr="00542A05">
              <w:rPr>
                <w:rFonts w:ascii="Calibri" w:hAnsi="Calibri" w:cs="Calibri"/>
                <w:b/>
                <w:sz w:val="18"/>
                <w:szCs w:val="18"/>
              </w:rPr>
              <w:t>Total comprehensive income for the period</w:t>
            </w:r>
          </w:p>
        </w:tc>
        <w:tc>
          <w:tcPr>
            <w:tcW w:w="1418" w:type="dxa"/>
            <w:tcBorders>
              <w:top w:val="single" w:sz="4" w:space="0" w:color="auto"/>
            </w:tcBorders>
          </w:tcPr>
          <w:p w14:paraId="6E3D8895" w14:textId="77777777" w:rsidR="00542A05" w:rsidRPr="00542A05" w:rsidRDefault="00542A05" w:rsidP="00542A05">
            <w:pPr>
              <w:tabs>
                <w:tab w:val="left" w:pos="8080"/>
              </w:tabs>
              <w:ind w:right="-28"/>
              <w:jc w:val="right"/>
              <w:rPr>
                <w:rFonts w:ascii="Calibri" w:hAnsi="Calibri" w:cs="Calibri"/>
                <w:b/>
                <w:sz w:val="18"/>
                <w:szCs w:val="18"/>
              </w:rPr>
            </w:pPr>
            <w:r w:rsidRPr="00542A05">
              <w:rPr>
                <w:rFonts w:ascii="Calibri" w:hAnsi="Calibri" w:cs="Calibri"/>
                <w:b/>
                <w:sz w:val="18"/>
                <w:szCs w:val="18"/>
              </w:rPr>
              <w:t>-</w:t>
            </w:r>
          </w:p>
        </w:tc>
        <w:tc>
          <w:tcPr>
            <w:tcW w:w="1275" w:type="dxa"/>
            <w:tcBorders>
              <w:top w:val="single" w:sz="4" w:space="0" w:color="auto"/>
            </w:tcBorders>
          </w:tcPr>
          <w:p w14:paraId="49ADA793" w14:textId="77777777" w:rsidR="00542A05" w:rsidRPr="00542A05" w:rsidRDefault="00542A05" w:rsidP="00542A05">
            <w:pPr>
              <w:tabs>
                <w:tab w:val="left" w:pos="8080"/>
              </w:tabs>
              <w:ind w:right="-28"/>
              <w:jc w:val="right"/>
              <w:rPr>
                <w:rFonts w:ascii="Calibri" w:hAnsi="Calibri" w:cs="Calibri"/>
                <w:b/>
                <w:sz w:val="18"/>
                <w:szCs w:val="18"/>
              </w:rPr>
            </w:pPr>
            <w:r w:rsidRPr="00542A05">
              <w:rPr>
                <w:rFonts w:ascii="Calibri" w:hAnsi="Calibri" w:cs="Calibri"/>
                <w:b/>
                <w:sz w:val="18"/>
                <w:szCs w:val="18"/>
              </w:rPr>
              <w:t>-</w:t>
            </w:r>
          </w:p>
        </w:tc>
        <w:tc>
          <w:tcPr>
            <w:tcW w:w="1195" w:type="dxa"/>
            <w:tcBorders>
              <w:top w:val="single" w:sz="4" w:space="0" w:color="auto"/>
            </w:tcBorders>
          </w:tcPr>
          <w:p w14:paraId="48B4ADE3" w14:textId="0D601ECF" w:rsidR="00542A05" w:rsidRPr="00542A05" w:rsidRDefault="00542A05" w:rsidP="00542A05">
            <w:pPr>
              <w:tabs>
                <w:tab w:val="left" w:pos="8080"/>
              </w:tabs>
              <w:ind w:right="-28"/>
              <w:jc w:val="right"/>
              <w:rPr>
                <w:rFonts w:ascii="Calibri" w:hAnsi="Calibri" w:cs="Calibri"/>
                <w:b/>
                <w:sz w:val="18"/>
                <w:szCs w:val="18"/>
              </w:rPr>
            </w:pPr>
            <w:r w:rsidRPr="00542A05">
              <w:rPr>
                <w:rFonts w:ascii="Calibri" w:hAnsi="Calibri" w:cs="Calibri"/>
                <w:b/>
                <w:sz w:val="18"/>
                <w:szCs w:val="18"/>
              </w:rPr>
              <w:t>24,28</w:t>
            </w:r>
            <w:r w:rsidR="00757E4A">
              <w:rPr>
                <w:rFonts w:ascii="Calibri" w:hAnsi="Calibri" w:cs="Calibri"/>
                <w:b/>
                <w:sz w:val="18"/>
                <w:szCs w:val="18"/>
              </w:rPr>
              <w:t>3</w:t>
            </w:r>
          </w:p>
        </w:tc>
        <w:tc>
          <w:tcPr>
            <w:tcW w:w="1195" w:type="dxa"/>
            <w:tcBorders>
              <w:top w:val="single" w:sz="4" w:space="0" w:color="auto"/>
            </w:tcBorders>
          </w:tcPr>
          <w:p w14:paraId="26029E87" w14:textId="3B8AB36E" w:rsidR="00542A05" w:rsidRPr="00542A05" w:rsidRDefault="00542A05" w:rsidP="00542A05">
            <w:pPr>
              <w:tabs>
                <w:tab w:val="left" w:pos="8080"/>
              </w:tabs>
              <w:ind w:right="-28"/>
              <w:jc w:val="right"/>
              <w:rPr>
                <w:rFonts w:ascii="Calibri" w:hAnsi="Calibri" w:cs="Calibri"/>
                <w:b/>
                <w:sz w:val="18"/>
                <w:szCs w:val="18"/>
              </w:rPr>
            </w:pPr>
            <w:r w:rsidRPr="00542A05">
              <w:rPr>
                <w:rFonts w:ascii="Calibri" w:hAnsi="Calibri" w:cs="Calibri"/>
                <w:b/>
                <w:sz w:val="18"/>
                <w:szCs w:val="18"/>
              </w:rPr>
              <w:t>68,13</w:t>
            </w:r>
            <w:r w:rsidR="00757E4A">
              <w:rPr>
                <w:rFonts w:ascii="Calibri" w:hAnsi="Calibri" w:cs="Calibri"/>
                <w:b/>
                <w:sz w:val="18"/>
                <w:szCs w:val="18"/>
              </w:rPr>
              <w:t>3</w:t>
            </w:r>
          </w:p>
        </w:tc>
        <w:tc>
          <w:tcPr>
            <w:tcW w:w="1478" w:type="dxa"/>
            <w:tcBorders>
              <w:top w:val="single" w:sz="4" w:space="0" w:color="auto"/>
            </w:tcBorders>
          </w:tcPr>
          <w:p w14:paraId="02BD5CE1" w14:textId="531260B2" w:rsidR="00542A05" w:rsidRPr="00542A05" w:rsidRDefault="00542A05" w:rsidP="00542A05">
            <w:pPr>
              <w:tabs>
                <w:tab w:val="left" w:pos="8080"/>
              </w:tabs>
              <w:ind w:right="-28"/>
              <w:jc w:val="right"/>
              <w:rPr>
                <w:rFonts w:ascii="Calibri" w:hAnsi="Calibri" w:cs="Calibri"/>
                <w:b/>
                <w:sz w:val="18"/>
                <w:szCs w:val="18"/>
              </w:rPr>
            </w:pPr>
            <w:r w:rsidRPr="00542A05">
              <w:rPr>
                <w:rFonts w:ascii="Calibri" w:hAnsi="Calibri" w:cs="Calibri"/>
                <w:b/>
                <w:sz w:val="18"/>
                <w:szCs w:val="18"/>
              </w:rPr>
              <w:t>92,41</w:t>
            </w:r>
            <w:r w:rsidR="00757E4A">
              <w:rPr>
                <w:rFonts w:ascii="Calibri" w:hAnsi="Calibri" w:cs="Calibri"/>
                <w:b/>
                <w:sz w:val="18"/>
                <w:szCs w:val="18"/>
              </w:rPr>
              <w:t>6</w:t>
            </w:r>
          </w:p>
        </w:tc>
        <w:tc>
          <w:tcPr>
            <w:tcW w:w="1276" w:type="dxa"/>
            <w:tcBorders>
              <w:top w:val="single" w:sz="4" w:space="0" w:color="auto"/>
            </w:tcBorders>
          </w:tcPr>
          <w:p w14:paraId="35A0DA49" w14:textId="77777777" w:rsidR="00542A05" w:rsidRPr="00542A05" w:rsidRDefault="00542A05" w:rsidP="00542A05">
            <w:pPr>
              <w:tabs>
                <w:tab w:val="left" w:pos="8080"/>
              </w:tabs>
              <w:ind w:right="-28"/>
              <w:jc w:val="right"/>
              <w:rPr>
                <w:rFonts w:ascii="Calibri" w:hAnsi="Calibri" w:cs="Calibri"/>
                <w:b/>
                <w:sz w:val="18"/>
                <w:szCs w:val="18"/>
              </w:rPr>
            </w:pPr>
            <w:r w:rsidRPr="00542A05">
              <w:rPr>
                <w:rFonts w:ascii="Calibri" w:hAnsi="Calibri" w:cs="Calibri"/>
                <w:b/>
                <w:sz w:val="18"/>
                <w:szCs w:val="18"/>
              </w:rPr>
              <w:t>-</w:t>
            </w:r>
          </w:p>
        </w:tc>
        <w:tc>
          <w:tcPr>
            <w:tcW w:w="1134" w:type="dxa"/>
            <w:gridSpan w:val="2"/>
            <w:tcBorders>
              <w:top w:val="single" w:sz="4" w:space="0" w:color="auto"/>
            </w:tcBorders>
          </w:tcPr>
          <w:p w14:paraId="76E30559" w14:textId="03146F6C" w:rsidR="00542A05" w:rsidRPr="00542A05" w:rsidRDefault="00542A05" w:rsidP="00542A05">
            <w:pPr>
              <w:tabs>
                <w:tab w:val="left" w:pos="8080"/>
              </w:tabs>
              <w:ind w:right="-28"/>
              <w:jc w:val="right"/>
              <w:rPr>
                <w:rFonts w:ascii="Calibri" w:hAnsi="Calibri" w:cs="Calibri"/>
                <w:b/>
                <w:sz w:val="18"/>
                <w:szCs w:val="18"/>
              </w:rPr>
            </w:pPr>
            <w:r w:rsidRPr="00542A05">
              <w:rPr>
                <w:rFonts w:ascii="Calibri" w:hAnsi="Calibri" w:cs="Calibri"/>
                <w:b/>
                <w:sz w:val="18"/>
                <w:szCs w:val="18"/>
              </w:rPr>
              <w:t>92,41</w:t>
            </w:r>
            <w:r w:rsidR="00757E4A">
              <w:rPr>
                <w:rFonts w:ascii="Calibri" w:hAnsi="Calibri" w:cs="Calibri"/>
                <w:b/>
                <w:sz w:val="18"/>
                <w:szCs w:val="18"/>
              </w:rPr>
              <w:t>6</w:t>
            </w:r>
          </w:p>
        </w:tc>
      </w:tr>
      <w:tr w:rsidR="00542A05" w:rsidRPr="00542A05" w14:paraId="73FCA1FA" w14:textId="77777777" w:rsidTr="00542A05">
        <w:trPr>
          <w:trHeight w:val="235"/>
        </w:trPr>
        <w:tc>
          <w:tcPr>
            <w:tcW w:w="6379" w:type="dxa"/>
          </w:tcPr>
          <w:p w14:paraId="0B74B85D" w14:textId="77777777" w:rsidR="00542A05" w:rsidRPr="00542A05" w:rsidRDefault="00542A05" w:rsidP="00542A05">
            <w:pPr>
              <w:tabs>
                <w:tab w:val="left" w:pos="8080"/>
              </w:tabs>
              <w:ind w:right="-28"/>
              <w:rPr>
                <w:rFonts w:ascii="Calibri" w:hAnsi="Calibri" w:cs="Calibri"/>
                <w:sz w:val="18"/>
                <w:szCs w:val="18"/>
              </w:rPr>
            </w:pPr>
            <w:r w:rsidRPr="00542A05">
              <w:rPr>
                <w:rFonts w:ascii="Calibri" w:hAnsi="Calibri" w:cs="Calibri"/>
                <w:sz w:val="18"/>
                <w:szCs w:val="18"/>
              </w:rPr>
              <w:t>Dividends paid and approved on ordinary and preference shares</w:t>
            </w:r>
          </w:p>
        </w:tc>
        <w:tc>
          <w:tcPr>
            <w:tcW w:w="1418" w:type="dxa"/>
          </w:tcPr>
          <w:p w14:paraId="17D17E1C" w14:textId="77777777" w:rsidR="00542A05" w:rsidRPr="00542A05" w:rsidRDefault="00542A05" w:rsidP="00542A05">
            <w:pPr>
              <w:tabs>
                <w:tab w:val="left" w:pos="8080"/>
              </w:tabs>
              <w:ind w:right="-28"/>
              <w:jc w:val="right"/>
              <w:rPr>
                <w:rFonts w:ascii="Calibri" w:hAnsi="Calibri" w:cs="Calibri"/>
                <w:sz w:val="18"/>
                <w:szCs w:val="18"/>
              </w:rPr>
            </w:pPr>
            <w:r w:rsidRPr="00542A05">
              <w:rPr>
                <w:rFonts w:ascii="Calibri" w:hAnsi="Calibri" w:cs="Calibri"/>
                <w:sz w:val="18"/>
                <w:szCs w:val="18"/>
              </w:rPr>
              <w:t>-</w:t>
            </w:r>
          </w:p>
        </w:tc>
        <w:tc>
          <w:tcPr>
            <w:tcW w:w="1275" w:type="dxa"/>
          </w:tcPr>
          <w:p w14:paraId="5ADFC619" w14:textId="77777777" w:rsidR="00542A05" w:rsidRPr="00542A05" w:rsidRDefault="00542A05" w:rsidP="00542A05">
            <w:pPr>
              <w:tabs>
                <w:tab w:val="left" w:pos="8080"/>
              </w:tabs>
              <w:ind w:right="-28"/>
              <w:jc w:val="right"/>
              <w:rPr>
                <w:rFonts w:ascii="Calibri" w:hAnsi="Calibri" w:cs="Calibri"/>
                <w:sz w:val="18"/>
                <w:szCs w:val="18"/>
              </w:rPr>
            </w:pPr>
            <w:r w:rsidRPr="00542A05">
              <w:rPr>
                <w:rFonts w:ascii="Calibri" w:hAnsi="Calibri" w:cs="Calibri"/>
                <w:sz w:val="18"/>
                <w:szCs w:val="18"/>
              </w:rPr>
              <w:t>-</w:t>
            </w:r>
          </w:p>
        </w:tc>
        <w:tc>
          <w:tcPr>
            <w:tcW w:w="1195" w:type="dxa"/>
          </w:tcPr>
          <w:p w14:paraId="7B3AED6E" w14:textId="0AAA9528" w:rsidR="00542A05" w:rsidRPr="00542A05" w:rsidRDefault="00542A05" w:rsidP="00542A05">
            <w:pPr>
              <w:tabs>
                <w:tab w:val="left" w:pos="8080"/>
              </w:tabs>
              <w:ind w:right="-28"/>
              <w:jc w:val="right"/>
              <w:rPr>
                <w:rFonts w:ascii="Calibri" w:hAnsi="Calibri" w:cs="Calibri"/>
                <w:sz w:val="18"/>
                <w:szCs w:val="18"/>
              </w:rPr>
            </w:pPr>
            <w:r w:rsidRPr="00542A05">
              <w:rPr>
                <w:rFonts w:ascii="Calibri" w:hAnsi="Calibri" w:cs="Calibri"/>
                <w:sz w:val="18"/>
                <w:szCs w:val="18"/>
              </w:rPr>
              <w:t>-</w:t>
            </w:r>
          </w:p>
        </w:tc>
        <w:tc>
          <w:tcPr>
            <w:tcW w:w="1195" w:type="dxa"/>
          </w:tcPr>
          <w:p w14:paraId="55BF8353" w14:textId="567FADC9" w:rsidR="00542A05" w:rsidRPr="00542A05" w:rsidRDefault="00542A05" w:rsidP="00542A05">
            <w:pPr>
              <w:tabs>
                <w:tab w:val="left" w:pos="8080"/>
              </w:tabs>
              <w:ind w:right="-28"/>
              <w:jc w:val="right"/>
              <w:rPr>
                <w:rFonts w:ascii="Calibri" w:hAnsi="Calibri" w:cs="Calibri"/>
                <w:sz w:val="18"/>
                <w:szCs w:val="18"/>
              </w:rPr>
            </w:pPr>
            <w:r w:rsidRPr="00542A05">
              <w:rPr>
                <w:rFonts w:ascii="Calibri" w:hAnsi="Calibri" w:cs="Calibri"/>
                <w:sz w:val="18"/>
                <w:szCs w:val="18"/>
              </w:rPr>
              <w:t>(72,026)</w:t>
            </w:r>
          </w:p>
        </w:tc>
        <w:tc>
          <w:tcPr>
            <w:tcW w:w="1478" w:type="dxa"/>
          </w:tcPr>
          <w:p w14:paraId="28B1DD6C" w14:textId="5E3C8216" w:rsidR="00542A05" w:rsidRPr="00542A05" w:rsidRDefault="00542A05" w:rsidP="00542A05">
            <w:pPr>
              <w:tabs>
                <w:tab w:val="left" w:pos="8080"/>
              </w:tabs>
              <w:ind w:right="-28"/>
              <w:jc w:val="right"/>
              <w:rPr>
                <w:rFonts w:ascii="Calibri" w:hAnsi="Calibri" w:cs="Calibri"/>
                <w:sz w:val="18"/>
                <w:szCs w:val="18"/>
              </w:rPr>
            </w:pPr>
            <w:r w:rsidRPr="00542A05">
              <w:rPr>
                <w:rFonts w:ascii="Calibri" w:hAnsi="Calibri" w:cs="Calibri"/>
                <w:sz w:val="18"/>
                <w:szCs w:val="18"/>
              </w:rPr>
              <w:t>(</w:t>
            </w:r>
            <w:r w:rsidR="003B160A">
              <w:rPr>
                <w:rFonts w:ascii="Calibri" w:hAnsi="Calibri" w:cs="Calibri"/>
                <w:sz w:val="18"/>
                <w:szCs w:val="18"/>
              </w:rPr>
              <w:t>72,026</w:t>
            </w:r>
            <w:r w:rsidRPr="00542A05">
              <w:rPr>
                <w:rFonts w:ascii="Calibri" w:hAnsi="Calibri" w:cs="Calibri"/>
                <w:sz w:val="18"/>
                <w:szCs w:val="18"/>
              </w:rPr>
              <w:t>)</w:t>
            </w:r>
          </w:p>
        </w:tc>
        <w:tc>
          <w:tcPr>
            <w:tcW w:w="1276" w:type="dxa"/>
          </w:tcPr>
          <w:p w14:paraId="4A88347A" w14:textId="77777777" w:rsidR="00542A05" w:rsidRPr="00542A05" w:rsidRDefault="00542A05" w:rsidP="00542A05">
            <w:pPr>
              <w:tabs>
                <w:tab w:val="left" w:pos="8080"/>
              </w:tabs>
              <w:ind w:right="-28"/>
              <w:jc w:val="right"/>
              <w:rPr>
                <w:rFonts w:ascii="Calibri" w:hAnsi="Calibri" w:cs="Calibri"/>
                <w:sz w:val="18"/>
                <w:szCs w:val="18"/>
              </w:rPr>
            </w:pPr>
            <w:r w:rsidRPr="00542A05">
              <w:rPr>
                <w:rFonts w:ascii="Calibri" w:hAnsi="Calibri" w:cs="Calibri"/>
                <w:sz w:val="18"/>
                <w:szCs w:val="18"/>
              </w:rPr>
              <w:t>-</w:t>
            </w:r>
          </w:p>
        </w:tc>
        <w:tc>
          <w:tcPr>
            <w:tcW w:w="1134" w:type="dxa"/>
            <w:gridSpan w:val="2"/>
          </w:tcPr>
          <w:p w14:paraId="665207A8" w14:textId="4C9EE26B" w:rsidR="00542A05" w:rsidRPr="00542A05" w:rsidRDefault="00542A05" w:rsidP="00542A05">
            <w:pPr>
              <w:tabs>
                <w:tab w:val="left" w:pos="8080"/>
              </w:tabs>
              <w:ind w:right="-28"/>
              <w:jc w:val="right"/>
              <w:rPr>
                <w:rFonts w:ascii="Calibri" w:hAnsi="Calibri" w:cs="Calibri"/>
                <w:sz w:val="18"/>
                <w:szCs w:val="18"/>
              </w:rPr>
            </w:pPr>
            <w:r w:rsidRPr="00542A05">
              <w:rPr>
                <w:rFonts w:ascii="Calibri" w:hAnsi="Calibri" w:cs="Calibri"/>
                <w:sz w:val="18"/>
                <w:szCs w:val="18"/>
              </w:rPr>
              <w:t>(72,026)</w:t>
            </w:r>
          </w:p>
        </w:tc>
      </w:tr>
      <w:tr w:rsidR="00542A05" w:rsidRPr="00542A05" w14:paraId="40FC5A22" w14:textId="77777777" w:rsidTr="00542A05">
        <w:trPr>
          <w:trHeight w:val="226"/>
        </w:trPr>
        <w:tc>
          <w:tcPr>
            <w:tcW w:w="6379" w:type="dxa"/>
          </w:tcPr>
          <w:p w14:paraId="3DDEEDE1" w14:textId="77777777" w:rsidR="00542A05" w:rsidRPr="00542A05" w:rsidRDefault="00542A05" w:rsidP="00542A05">
            <w:pPr>
              <w:tabs>
                <w:tab w:val="left" w:pos="8080"/>
              </w:tabs>
              <w:ind w:right="-28"/>
              <w:rPr>
                <w:rFonts w:ascii="Calibri" w:hAnsi="Calibri" w:cs="Calibri"/>
                <w:sz w:val="18"/>
                <w:szCs w:val="18"/>
              </w:rPr>
            </w:pPr>
            <w:r w:rsidRPr="00542A05">
              <w:rPr>
                <w:rFonts w:ascii="Calibri" w:hAnsi="Calibri" w:cs="Calibri"/>
                <w:sz w:val="18"/>
                <w:szCs w:val="18"/>
              </w:rPr>
              <w:t>Issue of ordinary shares*</w:t>
            </w:r>
          </w:p>
        </w:tc>
        <w:tc>
          <w:tcPr>
            <w:tcW w:w="1418" w:type="dxa"/>
          </w:tcPr>
          <w:p w14:paraId="2C58A688" w14:textId="42034525" w:rsidR="00542A05" w:rsidRPr="00542A05" w:rsidRDefault="00542A05" w:rsidP="00542A05">
            <w:pPr>
              <w:tabs>
                <w:tab w:val="left" w:pos="8080"/>
              </w:tabs>
              <w:ind w:right="-28"/>
              <w:jc w:val="right"/>
              <w:rPr>
                <w:rFonts w:ascii="Calibri" w:hAnsi="Calibri" w:cs="Calibri"/>
                <w:sz w:val="18"/>
                <w:szCs w:val="18"/>
              </w:rPr>
            </w:pPr>
            <w:r w:rsidRPr="00542A05">
              <w:rPr>
                <w:rFonts w:ascii="Calibri" w:hAnsi="Calibri" w:cs="Calibri"/>
                <w:sz w:val="18"/>
                <w:szCs w:val="18"/>
              </w:rPr>
              <w:t>16</w:t>
            </w:r>
            <w:r w:rsidR="00757E4A">
              <w:rPr>
                <w:rFonts w:ascii="Calibri" w:hAnsi="Calibri" w:cs="Calibri"/>
                <w:sz w:val="18"/>
                <w:szCs w:val="18"/>
              </w:rPr>
              <w:t>1</w:t>
            </w:r>
          </w:p>
        </w:tc>
        <w:tc>
          <w:tcPr>
            <w:tcW w:w="1275" w:type="dxa"/>
          </w:tcPr>
          <w:p w14:paraId="5FF9886B" w14:textId="12807E27" w:rsidR="00542A05" w:rsidRPr="00542A05" w:rsidRDefault="00542A05" w:rsidP="00542A05">
            <w:pPr>
              <w:tabs>
                <w:tab w:val="left" w:pos="8080"/>
              </w:tabs>
              <w:ind w:right="-28"/>
              <w:jc w:val="right"/>
              <w:rPr>
                <w:rFonts w:ascii="Calibri" w:hAnsi="Calibri" w:cs="Calibri"/>
                <w:sz w:val="18"/>
                <w:szCs w:val="18"/>
              </w:rPr>
            </w:pPr>
            <w:r w:rsidRPr="00542A05">
              <w:rPr>
                <w:rFonts w:ascii="Calibri" w:hAnsi="Calibri" w:cs="Calibri"/>
                <w:sz w:val="18"/>
                <w:szCs w:val="18"/>
              </w:rPr>
              <w:t>1,64</w:t>
            </w:r>
            <w:r w:rsidR="00757E4A">
              <w:rPr>
                <w:rFonts w:ascii="Calibri" w:hAnsi="Calibri" w:cs="Calibri"/>
                <w:sz w:val="18"/>
                <w:szCs w:val="18"/>
              </w:rPr>
              <w:t>7</w:t>
            </w:r>
          </w:p>
        </w:tc>
        <w:tc>
          <w:tcPr>
            <w:tcW w:w="1195" w:type="dxa"/>
          </w:tcPr>
          <w:p w14:paraId="684EF685" w14:textId="4D28D508" w:rsidR="00542A05" w:rsidRPr="00542A05" w:rsidRDefault="00542A05" w:rsidP="00542A05">
            <w:pPr>
              <w:tabs>
                <w:tab w:val="left" w:pos="8080"/>
              </w:tabs>
              <w:ind w:right="-28"/>
              <w:jc w:val="right"/>
              <w:rPr>
                <w:rFonts w:ascii="Calibri" w:hAnsi="Calibri" w:cs="Calibri"/>
                <w:sz w:val="18"/>
                <w:szCs w:val="18"/>
              </w:rPr>
            </w:pPr>
            <w:r w:rsidRPr="00542A05">
              <w:rPr>
                <w:rFonts w:ascii="Calibri" w:hAnsi="Calibri" w:cs="Calibri"/>
                <w:sz w:val="18"/>
                <w:szCs w:val="18"/>
              </w:rPr>
              <w:t>-</w:t>
            </w:r>
          </w:p>
        </w:tc>
        <w:tc>
          <w:tcPr>
            <w:tcW w:w="1195" w:type="dxa"/>
          </w:tcPr>
          <w:p w14:paraId="02F368FC" w14:textId="1EB38701" w:rsidR="00542A05" w:rsidRPr="00542A05" w:rsidRDefault="00542A05" w:rsidP="00542A05">
            <w:pPr>
              <w:tabs>
                <w:tab w:val="left" w:pos="8080"/>
              </w:tabs>
              <w:ind w:right="-28"/>
              <w:jc w:val="right"/>
              <w:rPr>
                <w:rFonts w:ascii="Calibri" w:hAnsi="Calibri" w:cs="Calibri"/>
                <w:sz w:val="18"/>
                <w:szCs w:val="18"/>
              </w:rPr>
            </w:pPr>
            <w:r w:rsidRPr="00542A05">
              <w:rPr>
                <w:rFonts w:ascii="Calibri" w:hAnsi="Calibri" w:cs="Calibri"/>
                <w:sz w:val="18"/>
                <w:szCs w:val="18"/>
              </w:rPr>
              <w:t>(1,808)</w:t>
            </w:r>
          </w:p>
        </w:tc>
        <w:tc>
          <w:tcPr>
            <w:tcW w:w="1478" w:type="dxa"/>
          </w:tcPr>
          <w:p w14:paraId="17EBAF9B" w14:textId="77777777" w:rsidR="00542A05" w:rsidRPr="00542A05" w:rsidRDefault="00542A05" w:rsidP="00542A05">
            <w:pPr>
              <w:tabs>
                <w:tab w:val="left" w:pos="8080"/>
              </w:tabs>
              <w:ind w:right="-28"/>
              <w:jc w:val="right"/>
              <w:rPr>
                <w:rFonts w:ascii="Calibri" w:hAnsi="Calibri" w:cs="Calibri"/>
                <w:sz w:val="18"/>
                <w:szCs w:val="18"/>
              </w:rPr>
            </w:pPr>
            <w:r w:rsidRPr="00542A05">
              <w:rPr>
                <w:rFonts w:ascii="Calibri" w:hAnsi="Calibri" w:cs="Calibri"/>
                <w:sz w:val="18"/>
                <w:szCs w:val="18"/>
              </w:rPr>
              <w:t>-</w:t>
            </w:r>
          </w:p>
        </w:tc>
        <w:tc>
          <w:tcPr>
            <w:tcW w:w="1276" w:type="dxa"/>
          </w:tcPr>
          <w:p w14:paraId="47BC8A13" w14:textId="77777777" w:rsidR="00542A05" w:rsidRPr="00542A05" w:rsidRDefault="00542A05" w:rsidP="00542A05">
            <w:pPr>
              <w:tabs>
                <w:tab w:val="left" w:pos="8080"/>
              </w:tabs>
              <w:ind w:right="-28"/>
              <w:jc w:val="right"/>
              <w:rPr>
                <w:rFonts w:ascii="Calibri" w:hAnsi="Calibri" w:cs="Calibri"/>
                <w:sz w:val="18"/>
                <w:szCs w:val="18"/>
              </w:rPr>
            </w:pPr>
            <w:r w:rsidRPr="00542A05">
              <w:rPr>
                <w:rFonts w:ascii="Calibri" w:hAnsi="Calibri" w:cs="Calibri"/>
                <w:sz w:val="18"/>
                <w:szCs w:val="18"/>
              </w:rPr>
              <w:t>-</w:t>
            </w:r>
          </w:p>
        </w:tc>
        <w:tc>
          <w:tcPr>
            <w:tcW w:w="1134" w:type="dxa"/>
            <w:gridSpan w:val="2"/>
          </w:tcPr>
          <w:p w14:paraId="2709E0A8" w14:textId="77777777" w:rsidR="00542A05" w:rsidRPr="00542A05" w:rsidRDefault="00542A05" w:rsidP="00542A05">
            <w:pPr>
              <w:tabs>
                <w:tab w:val="left" w:pos="8080"/>
              </w:tabs>
              <w:ind w:right="-28"/>
              <w:jc w:val="right"/>
              <w:rPr>
                <w:rFonts w:ascii="Calibri" w:hAnsi="Calibri" w:cs="Calibri"/>
                <w:sz w:val="18"/>
                <w:szCs w:val="18"/>
              </w:rPr>
            </w:pPr>
            <w:r w:rsidRPr="00542A05">
              <w:rPr>
                <w:rFonts w:ascii="Calibri" w:hAnsi="Calibri" w:cs="Calibri"/>
                <w:sz w:val="18"/>
                <w:szCs w:val="18"/>
              </w:rPr>
              <w:t>-</w:t>
            </w:r>
          </w:p>
        </w:tc>
      </w:tr>
      <w:tr w:rsidR="00542A05" w:rsidRPr="00542A05" w14:paraId="305045BF" w14:textId="77777777" w:rsidTr="00542A05">
        <w:trPr>
          <w:trHeight w:val="226"/>
        </w:trPr>
        <w:tc>
          <w:tcPr>
            <w:tcW w:w="6379" w:type="dxa"/>
          </w:tcPr>
          <w:p w14:paraId="2C1AA0AC" w14:textId="7EAD6B6E" w:rsidR="00542A05" w:rsidRPr="00542A05" w:rsidRDefault="00542A05" w:rsidP="00542A05">
            <w:pPr>
              <w:tabs>
                <w:tab w:val="left" w:pos="8080"/>
              </w:tabs>
              <w:ind w:right="-28"/>
              <w:rPr>
                <w:rFonts w:ascii="Calibri" w:hAnsi="Calibri" w:cs="Calibri"/>
                <w:sz w:val="18"/>
                <w:szCs w:val="18"/>
              </w:rPr>
            </w:pPr>
            <w:r w:rsidRPr="00542A05">
              <w:rPr>
                <w:rFonts w:ascii="Calibri" w:hAnsi="Calibri" w:cs="Calibri"/>
                <w:sz w:val="18"/>
                <w:szCs w:val="18"/>
              </w:rPr>
              <w:t>Recognition of share</w:t>
            </w:r>
            <w:r w:rsidR="00330553">
              <w:rPr>
                <w:rFonts w:ascii="Calibri" w:hAnsi="Calibri" w:cs="Calibri"/>
                <w:sz w:val="18"/>
                <w:szCs w:val="18"/>
              </w:rPr>
              <w:t>-</w:t>
            </w:r>
            <w:r w:rsidRPr="00542A05">
              <w:rPr>
                <w:rFonts w:ascii="Calibri" w:hAnsi="Calibri" w:cs="Calibri"/>
                <w:sz w:val="18"/>
                <w:szCs w:val="18"/>
              </w:rPr>
              <w:t>based payments</w:t>
            </w:r>
          </w:p>
        </w:tc>
        <w:tc>
          <w:tcPr>
            <w:tcW w:w="1418" w:type="dxa"/>
            <w:tcBorders>
              <w:bottom w:val="single" w:sz="2" w:space="0" w:color="auto"/>
            </w:tcBorders>
          </w:tcPr>
          <w:p w14:paraId="1492A38E" w14:textId="77777777" w:rsidR="00542A05" w:rsidRPr="00542A05" w:rsidRDefault="00542A05" w:rsidP="00542A05">
            <w:pPr>
              <w:tabs>
                <w:tab w:val="left" w:pos="8080"/>
              </w:tabs>
              <w:ind w:right="-28"/>
              <w:jc w:val="right"/>
              <w:rPr>
                <w:rFonts w:ascii="Calibri" w:hAnsi="Calibri" w:cs="Calibri"/>
                <w:sz w:val="18"/>
                <w:szCs w:val="18"/>
              </w:rPr>
            </w:pPr>
            <w:r w:rsidRPr="00542A05">
              <w:rPr>
                <w:rFonts w:ascii="Calibri" w:hAnsi="Calibri" w:cs="Calibri"/>
                <w:sz w:val="18"/>
                <w:szCs w:val="18"/>
              </w:rPr>
              <w:t>-</w:t>
            </w:r>
          </w:p>
        </w:tc>
        <w:tc>
          <w:tcPr>
            <w:tcW w:w="1275" w:type="dxa"/>
            <w:tcBorders>
              <w:bottom w:val="single" w:sz="2" w:space="0" w:color="auto"/>
            </w:tcBorders>
          </w:tcPr>
          <w:p w14:paraId="5899337C" w14:textId="72679A79" w:rsidR="00542A05" w:rsidRPr="00542A05" w:rsidRDefault="00542A05" w:rsidP="00542A05">
            <w:pPr>
              <w:tabs>
                <w:tab w:val="left" w:pos="8080"/>
              </w:tabs>
              <w:ind w:right="-28"/>
              <w:jc w:val="right"/>
              <w:rPr>
                <w:rFonts w:ascii="Calibri" w:hAnsi="Calibri" w:cs="Calibri"/>
                <w:sz w:val="18"/>
                <w:szCs w:val="18"/>
              </w:rPr>
            </w:pPr>
            <w:r w:rsidRPr="00542A05">
              <w:rPr>
                <w:rFonts w:ascii="Calibri" w:hAnsi="Calibri" w:cs="Calibri"/>
                <w:sz w:val="18"/>
                <w:szCs w:val="18"/>
              </w:rPr>
              <w:t>2,640</w:t>
            </w:r>
          </w:p>
        </w:tc>
        <w:tc>
          <w:tcPr>
            <w:tcW w:w="1195" w:type="dxa"/>
            <w:tcBorders>
              <w:bottom w:val="single" w:sz="2" w:space="0" w:color="auto"/>
            </w:tcBorders>
          </w:tcPr>
          <w:p w14:paraId="130B92E2" w14:textId="328161E8" w:rsidR="00542A05" w:rsidRPr="00542A05" w:rsidRDefault="00542A05" w:rsidP="00542A05">
            <w:pPr>
              <w:tabs>
                <w:tab w:val="left" w:pos="8080"/>
              </w:tabs>
              <w:ind w:right="-28"/>
              <w:jc w:val="right"/>
              <w:rPr>
                <w:rFonts w:ascii="Calibri" w:hAnsi="Calibri" w:cs="Calibri"/>
                <w:sz w:val="18"/>
                <w:szCs w:val="18"/>
              </w:rPr>
            </w:pPr>
            <w:r w:rsidRPr="00542A05">
              <w:rPr>
                <w:rFonts w:ascii="Calibri" w:hAnsi="Calibri" w:cs="Calibri"/>
                <w:sz w:val="18"/>
                <w:szCs w:val="18"/>
              </w:rPr>
              <w:t>-</w:t>
            </w:r>
          </w:p>
        </w:tc>
        <w:tc>
          <w:tcPr>
            <w:tcW w:w="1195" w:type="dxa"/>
            <w:tcBorders>
              <w:bottom w:val="single" w:sz="2" w:space="0" w:color="auto"/>
            </w:tcBorders>
          </w:tcPr>
          <w:p w14:paraId="0858FF08" w14:textId="38543F42" w:rsidR="00542A05" w:rsidRPr="00542A05" w:rsidRDefault="00542A05" w:rsidP="00542A05">
            <w:pPr>
              <w:tabs>
                <w:tab w:val="left" w:pos="8080"/>
              </w:tabs>
              <w:ind w:right="-28"/>
              <w:jc w:val="right"/>
              <w:rPr>
                <w:rFonts w:ascii="Calibri" w:hAnsi="Calibri" w:cs="Calibri"/>
                <w:sz w:val="18"/>
                <w:szCs w:val="18"/>
              </w:rPr>
            </w:pPr>
            <w:r w:rsidRPr="00542A05">
              <w:rPr>
                <w:rFonts w:ascii="Calibri" w:hAnsi="Calibri" w:cs="Calibri"/>
                <w:sz w:val="18"/>
                <w:szCs w:val="18"/>
              </w:rPr>
              <w:t>-</w:t>
            </w:r>
          </w:p>
        </w:tc>
        <w:tc>
          <w:tcPr>
            <w:tcW w:w="1478" w:type="dxa"/>
            <w:tcBorders>
              <w:bottom w:val="single" w:sz="2" w:space="0" w:color="auto"/>
            </w:tcBorders>
          </w:tcPr>
          <w:p w14:paraId="0221A9C5" w14:textId="66746340" w:rsidR="00542A05" w:rsidRPr="00542A05" w:rsidRDefault="00757E4A" w:rsidP="00542A05">
            <w:pPr>
              <w:tabs>
                <w:tab w:val="left" w:pos="8080"/>
              </w:tabs>
              <w:ind w:right="-28"/>
              <w:jc w:val="right"/>
              <w:rPr>
                <w:rFonts w:ascii="Calibri" w:hAnsi="Calibri" w:cs="Calibri"/>
                <w:sz w:val="18"/>
                <w:szCs w:val="18"/>
              </w:rPr>
            </w:pPr>
            <w:r>
              <w:rPr>
                <w:rFonts w:ascii="Calibri" w:hAnsi="Calibri" w:cs="Calibri"/>
                <w:sz w:val="18"/>
                <w:szCs w:val="18"/>
              </w:rPr>
              <w:t>2,640</w:t>
            </w:r>
          </w:p>
        </w:tc>
        <w:tc>
          <w:tcPr>
            <w:tcW w:w="1276" w:type="dxa"/>
            <w:tcBorders>
              <w:bottom w:val="single" w:sz="2" w:space="0" w:color="auto"/>
            </w:tcBorders>
          </w:tcPr>
          <w:p w14:paraId="607A99C5" w14:textId="77777777" w:rsidR="00542A05" w:rsidRPr="00542A05" w:rsidRDefault="00542A05" w:rsidP="00542A05">
            <w:pPr>
              <w:tabs>
                <w:tab w:val="left" w:pos="8080"/>
              </w:tabs>
              <w:ind w:right="-28"/>
              <w:jc w:val="right"/>
              <w:rPr>
                <w:rFonts w:ascii="Calibri" w:hAnsi="Calibri" w:cs="Calibri"/>
                <w:sz w:val="18"/>
                <w:szCs w:val="18"/>
              </w:rPr>
            </w:pPr>
            <w:r w:rsidRPr="00542A05">
              <w:rPr>
                <w:rFonts w:ascii="Calibri" w:hAnsi="Calibri" w:cs="Calibri"/>
                <w:sz w:val="18"/>
                <w:szCs w:val="18"/>
              </w:rPr>
              <w:t>-</w:t>
            </w:r>
          </w:p>
        </w:tc>
        <w:tc>
          <w:tcPr>
            <w:tcW w:w="1134" w:type="dxa"/>
            <w:gridSpan w:val="2"/>
            <w:tcBorders>
              <w:bottom w:val="single" w:sz="2" w:space="0" w:color="auto"/>
            </w:tcBorders>
          </w:tcPr>
          <w:p w14:paraId="5A6A050A" w14:textId="4A0E28DD" w:rsidR="00542A05" w:rsidRPr="00542A05" w:rsidRDefault="00542A05" w:rsidP="00542A05">
            <w:pPr>
              <w:tabs>
                <w:tab w:val="left" w:pos="8080"/>
              </w:tabs>
              <w:ind w:right="-28"/>
              <w:jc w:val="right"/>
              <w:rPr>
                <w:rFonts w:ascii="Calibri" w:hAnsi="Calibri" w:cs="Calibri"/>
                <w:sz w:val="18"/>
                <w:szCs w:val="18"/>
              </w:rPr>
            </w:pPr>
            <w:r w:rsidRPr="00542A05">
              <w:rPr>
                <w:rFonts w:ascii="Calibri" w:hAnsi="Calibri" w:cs="Calibri"/>
                <w:sz w:val="18"/>
                <w:szCs w:val="18"/>
              </w:rPr>
              <w:t>2,640</w:t>
            </w:r>
          </w:p>
        </w:tc>
      </w:tr>
      <w:tr w:rsidR="00542A05" w:rsidRPr="003B160A" w14:paraId="683B10B2" w14:textId="77777777" w:rsidTr="00542A05">
        <w:trPr>
          <w:trHeight w:val="226"/>
        </w:trPr>
        <w:tc>
          <w:tcPr>
            <w:tcW w:w="6379" w:type="dxa"/>
          </w:tcPr>
          <w:p w14:paraId="1290868F" w14:textId="7EE6D486" w:rsidR="00542A05" w:rsidRPr="00542A05" w:rsidRDefault="00542A05" w:rsidP="00542A05">
            <w:pPr>
              <w:tabs>
                <w:tab w:val="left" w:pos="8080"/>
              </w:tabs>
              <w:ind w:right="-28"/>
              <w:rPr>
                <w:rFonts w:ascii="Calibri" w:hAnsi="Calibri" w:cs="Calibri"/>
                <w:b/>
                <w:sz w:val="18"/>
                <w:szCs w:val="18"/>
              </w:rPr>
            </w:pPr>
            <w:r w:rsidRPr="00542A05">
              <w:rPr>
                <w:rFonts w:ascii="Calibri" w:hAnsi="Calibri" w:cs="Calibri"/>
                <w:b/>
                <w:sz w:val="18"/>
                <w:szCs w:val="18"/>
              </w:rPr>
              <w:t xml:space="preserve">Balance </w:t>
            </w:r>
            <w:proofErr w:type="gramStart"/>
            <w:r w:rsidRPr="00542A05">
              <w:rPr>
                <w:rFonts w:ascii="Calibri" w:hAnsi="Calibri" w:cs="Calibri"/>
                <w:b/>
                <w:sz w:val="18"/>
                <w:szCs w:val="18"/>
              </w:rPr>
              <w:t>at</w:t>
            </w:r>
            <w:proofErr w:type="gramEnd"/>
            <w:r w:rsidRPr="00542A05">
              <w:rPr>
                <w:rFonts w:ascii="Calibri" w:hAnsi="Calibri" w:cs="Calibri"/>
                <w:b/>
                <w:sz w:val="18"/>
                <w:szCs w:val="18"/>
              </w:rPr>
              <w:t xml:space="preserve"> 31 December 2023</w:t>
            </w:r>
          </w:p>
        </w:tc>
        <w:tc>
          <w:tcPr>
            <w:tcW w:w="1418" w:type="dxa"/>
            <w:tcBorders>
              <w:top w:val="single" w:sz="2" w:space="0" w:color="auto"/>
              <w:bottom w:val="single" w:sz="8" w:space="0" w:color="auto"/>
            </w:tcBorders>
          </w:tcPr>
          <w:p w14:paraId="4D86CB14" w14:textId="1A107A39" w:rsidR="00542A05" w:rsidRPr="00542A05" w:rsidRDefault="00542A05" w:rsidP="00542A05">
            <w:pPr>
              <w:tabs>
                <w:tab w:val="left" w:pos="8080"/>
              </w:tabs>
              <w:ind w:right="-28"/>
              <w:jc w:val="right"/>
              <w:rPr>
                <w:rFonts w:ascii="Calibri" w:hAnsi="Calibri" w:cs="Calibri"/>
                <w:b/>
                <w:sz w:val="18"/>
                <w:szCs w:val="18"/>
              </w:rPr>
            </w:pPr>
            <w:r w:rsidRPr="00542A05">
              <w:rPr>
                <w:rFonts w:ascii="Calibri" w:hAnsi="Calibri" w:cs="Calibri"/>
                <w:b/>
                <w:sz w:val="18"/>
                <w:szCs w:val="18"/>
              </w:rPr>
              <w:t>21,74</w:t>
            </w:r>
            <w:r w:rsidR="00757E4A">
              <w:rPr>
                <w:rFonts w:ascii="Calibri" w:hAnsi="Calibri" w:cs="Calibri"/>
                <w:b/>
                <w:sz w:val="18"/>
                <w:szCs w:val="18"/>
              </w:rPr>
              <w:t>4</w:t>
            </w:r>
          </w:p>
        </w:tc>
        <w:tc>
          <w:tcPr>
            <w:tcW w:w="1275" w:type="dxa"/>
            <w:tcBorders>
              <w:top w:val="single" w:sz="2" w:space="0" w:color="auto"/>
              <w:bottom w:val="single" w:sz="8" w:space="0" w:color="auto"/>
            </w:tcBorders>
          </w:tcPr>
          <w:p w14:paraId="4729A1C5" w14:textId="052DACBC" w:rsidR="00542A05" w:rsidRPr="00542A05" w:rsidRDefault="00542A05" w:rsidP="00542A05">
            <w:pPr>
              <w:tabs>
                <w:tab w:val="left" w:pos="8080"/>
              </w:tabs>
              <w:ind w:right="-28"/>
              <w:jc w:val="right"/>
              <w:rPr>
                <w:rFonts w:ascii="Calibri" w:hAnsi="Calibri" w:cs="Calibri"/>
                <w:b/>
                <w:sz w:val="18"/>
                <w:szCs w:val="18"/>
              </w:rPr>
            </w:pPr>
            <w:r w:rsidRPr="00542A05">
              <w:rPr>
                <w:rFonts w:ascii="Calibri" w:hAnsi="Calibri" w:cs="Calibri"/>
                <w:b/>
                <w:sz w:val="18"/>
                <w:szCs w:val="18"/>
              </w:rPr>
              <w:t>34,47</w:t>
            </w:r>
            <w:r w:rsidR="00757E4A">
              <w:rPr>
                <w:rFonts w:ascii="Calibri" w:hAnsi="Calibri" w:cs="Calibri"/>
                <w:b/>
                <w:sz w:val="18"/>
                <w:szCs w:val="18"/>
              </w:rPr>
              <w:t>9</w:t>
            </w:r>
          </w:p>
        </w:tc>
        <w:tc>
          <w:tcPr>
            <w:tcW w:w="1195" w:type="dxa"/>
            <w:tcBorders>
              <w:top w:val="single" w:sz="2" w:space="0" w:color="auto"/>
              <w:bottom w:val="single" w:sz="8" w:space="0" w:color="auto"/>
            </w:tcBorders>
          </w:tcPr>
          <w:p w14:paraId="51762E4F" w14:textId="44485B79" w:rsidR="00542A05" w:rsidRPr="00542A05" w:rsidRDefault="00542A05" w:rsidP="00542A05">
            <w:pPr>
              <w:tabs>
                <w:tab w:val="left" w:pos="8080"/>
              </w:tabs>
              <w:ind w:right="-28"/>
              <w:jc w:val="right"/>
              <w:rPr>
                <w:rFonts w:ascii="Calibri" w:hAnsi="Calibri" w:cs="Calibri"/>
                <w:b/>
                <w:sz w:val="18"/>
                <w:szCs w:val="18"/>
              </w:rPr>
            </w:pPr>
            <w:r w:rsidRPr="00542A05">
              <w:rPr>
                <w:rFonts w:ascii="Calibri" w:hAnsi="Calibri" w:cs="Calibri"/>
                <w:b/>
                <w:sz w:val="18"/>
                <w:szCs w:val="18"/>
              </w:rPr>
              <w:t>(23,80</w:t>
            </w:r>
            <w:r w:rsidR="00757E4A">
              <w:rPr>
                <w:rFonts w:ascii="Calibri" w:hAnsi="Calibri" w:cs="Calibri"/>
                <w:b/>
                <w:sz w:val="18"/>
                <w:szCs w:val="18"/>
              </w:rPr>
              <w:t>4</w:t>
            </w:r>
            <w:r w:rsidRPr="00542A05">
              <w:rPr>
                <w:rFonts w:ascii="Calibri" w:hAnsi="Calibri" w:cs="Calibri"/>
                <w:b/>
                <w:sz w:val="18"/>
                <w:szCs w:val="18"/>
              </w:rPr>
              <w:t>)</w:t>
            </w:r>
          </w:p>
        </w:tc>
        <w:tc>
          <w:tcPr>
            <w:tcW w:w="1195" w:type="dxa"/>
            <w:tcBorders>
              <w:top w:val="single" w:sz="2" w:space="0" w:color="auto"/>
              <w:bottom w:val="single" w:sz="8" w:space="0" w:color="auto"/>
            </w:tcBorders>
          </w:tcPr>
          <w:p w14:paraId="232FE4CD" w14:textId="26EA0D1F" w:rsidR="00542A05" w:rsidRPr="00542A05" w:rsidRDefault="00542A05" w:rsidP="00542A05">
            <w:pPr>
              <w:tabs>
                <w:tab w:val="left" w:pos="8080"/>
              </w:tabs>
              <w:ind w:right="-28"/>
              <w:jc w:val="right"/>
              <w:rPr>
                <w:rFonts w:ascii="Calibri" w:hAnsi="Calibri" w:cs="Calibri"/>
                <w:b/>
                <w:sz w:val="18"/>
                <w:szCs w:val="18"/>
              </w:rPr>
            </w:pPr>
            <w:r w:rsidRPr="00542A05">
              <w:rPr>
                <w:rFonts w:ascii="Calibri" w:hAnsi="Calibri" w:cs="Calibri"/>
                <w:b/>
                <w:sz w:val="18"/>
                <w:szCs w:val="18"/>
              </w:rPr>
              <w:t>444,61</w:t>
            </w:r>
            <w:r w:rsidR="00757E4A">
              <w:rPr>
                <w:rFonts w:ascii="Calibri" w:hAnsi="Calibri" w:cs="Calibri"/>
                <w:b/>
                <w:sz w:val="18"/>
                <w:szCs w:val="18"/>
              </w:rPr>
              <w:t>7</w:t>
            </w:r>
          </w:p>
        </w:tc>
        <w:tc>
          <w:tcPr>
            <w:tcW w:w="1478" w:type="dxa"/>
            <w:tcBorders>
              <w:top w:val="single" w:sz="2" w:space="0" w:color="auto"/>
              <w:bottom w:val="single" w:sz="8" w:space="0" w:color="auto"/>
            </w:tcBorders>
          </w:tcPr>
          <w:p w14:paraId="0487B64A" w14:textId="7C0621C5" w:rsidR="00542A05" w:rsidRPr="00542A05" w:rsidRDefault="00542A05" w:rsidP="00542A05">
            <w:pPr>
              <w:tabs>
                <w:tab w:val="left" w:pos="8080"/>
              </w:tabs>
              <w:ind w:right="-28"/>
              <w:jc w:val="right"/>
              <w:rPr>
                <w:rFonts w:ascii="Calibri" w:hAnsi="Calibri" w:cs="Calibri"/>
                <w:b/>
                <w:sz w:val="18"/>
                <w:szCs w:val="18"/>
              </w:rPr>
            </w:pPr>
            <w:r w:rsidRPr="00542A05">
              <w:rPr>
                <w:rFonts w:ascii="Calibri" w:hAnsi="Calibri" w:cs="Calibri"/>
                <w:b/>
                <w:sz w:val="18"/>
                <w:szCs w:val="18"/>
              </w:rPr>
              <w:t>477,03</w:t>
            </w:r>
            <w:r w:rsidR="00757E4A">
              <w:rPr>
                <w:rFonts w:ascii="Calibri" w:hAnsi="Calibri" w:cs="Calibri"/>
                <w:b/>
                <w:sz w:val="18"/>
                <w:szCs w:val="18"/>
              </w:rPr>
              <w:t>6</w:t>
            </w:r>
          </w:p>
        </w:tc>
        <w:tc>
          <w:tcPr>
            <w:tcW w:w="1276" w:type="dxa"/>
            <w:tcBorders>
              <w:top w:val="single" w:sz="2" w:space="0" w:color="auto"/>
              <w:bottom w:val="single" w:sz="8" w:space="0" w:color="auto"/>
            </w:tcBorders>
          </w:tcPr>
          <w:p w14:paraId="6568E06A" w14:textId="77777777" w:rsidR="00542A05" w:rsidRPr="00542A05" w:rsidRDefault="00542A05" w:rsidP="00542A05">
            <w:pPr>
              <w:tabs>
                <w:tab w:val="left" w:pos="8080"/>
              </w:tabs>
              <w:ind w:right="-28"/>
              <w:jc w:val="right"/>
              <w:rPr>
                <w:rFonts w:ascii="Calibri" w:hAnsi="Calibri" w:cs="Calibri"/>
                <w:b/>
                <w:sz w:val="18"/>
                <w:szCs w:val="18"/>
              </w:rPr>
            </w:pPr>
            <w:r w:rsidRPr="00542A05">
              <w:rPr>
                <w:rFonts w:ascii="Calibri" w:hAnsi="Calibri" w:cs="Calibri"/>
                <w:b/>
                <w:sz w:val="18"/>
                <w:szCs w:val="18"/>
              </w:rPr>
              <w:t>2,923</w:t>
            </w:r>
          </w:p>
        </w:tc>
        <w:tc>
          <w:tcPr>
            <w:tcW w:w="1134" w:type="dxa"/>
            <w:gridSpan w:val="2"/>
            <w:tcBorders>
              <w:top w:val="single" w:sz="2" w:space="0" w:color="auto"/>
              <w:bottom w:val="single" w:sz="8" w:space="0" w:color="auto"/>
            </w:tcBorders>
          </w:tcPr>
          <w:p w14:paraId="037630CE" w14:textId="124A75A9" w:rsidR="00542A05" w:rsidRPr="003B160A" w:rsidRDefault="00542A05" w:rsidP="00542A05">
            <w:pPr>
              <w:tabs>
                <w:tab w:val="left" w:pos="8080"/>
              </w:tabs>
              <w:ind w:right="-28"/>
              <w:jc w:val="right"/>
              <w:rPr>
                <w:rFonts w:ascii="Calibri" w:hAnsi="Calibri" w:cs="Calibri"/>
                <w:b/>
                <w:sz w:val="18"/>
                <w:szCs w:val="18"/>
              </w:rPr>
            </w:pPr>
            <w:r w:rsidRPr="003B160A">
              <w:rPr>
                <w:rFonts w:ascii="Calibri" w:hAnsi="Calibri" w:cs="Calibri"/>
                <w:b/>
                <w:sz w:val="18"/>
                <w:szCs w:val="18"/>
              </w:rPr>
              <w:t>479,95</w:t>
            </w:r>
            <w:r w:rsidR="00757E4A">
              <w:rPr>
                <w:rFonts w:ascii="Calibri" w:hAnsi="Calibri" w:cs="Calibri"/>
                <w:b/>
                <w:sz w:val="18"/>
                <w:szCs w:val="18"/>
              </w:rPr>
              <w:t>9</w:t>
            </w:r>
          </w:p>
        </w:tc>
      </w:tr>
      <w:tr w:rsidR="00542A05" w:rsidRPr="00542A05" w14:paraId="26975105" w14:textId="77777777" w:rsidTr="00542A05">
        <w:trPr>
          <w:trHeight w:val="235"/>
        </w:trPr>
        <w:tc>
          <w:tcPr>
            <w:tcW w:w="6379" w:type="dxa"/>
          </w:tcPr>
          <w:p w14:paraId="3CFC6FE7" w14:textId="77777777" w:rsidR="00542A05" w:rsidRPr="00542A05" w:rsidRDefault="00542A05" w:rsidP="00542A05">
            <w:pPr>
              <w:tabs>
                <w:tab w:val="left" w:pos="8080"/>
              </w:tabs>
              <w:ind w:right="-28"/>
              <w:rPr>
                <w:rFonts w:ascii="Calibri" w:hAnsi="Calibri" w:cs="Calibri"/>
                <w:sz w:val="18"/>
                <w:szCs w:val="18"/>
              </w:rPr>
            </w:pPr>
          </w:p>
        </w:tc>
        <w:tc>
          <w:tcPr>
            <w:tcW w:w="1418" w:type="dxa"/>
            <w:tcBorders>
              <w:top w:val="single" w:sz="8" w:space="0" w:color="auto"/>
              <w:bottom w:val="single" w:sz="8" w:space="0" w:color="auto"/>
            </w:tcBorders>
          </w:tcPr>
          <w:p w14:paraId="3B5DD8B2" w14:textId="77777777" w:rsidR="00542A05" w:rsidRPr="00542A05" w:rsidRDefault="00542A05" w:rsidP="00542A05">
            <w:pPr>
              <w:tabs>
                <w:tab w:val="left" w:pos="8080"/>
              </w:tabs>
              <w:ind w:right="-28"/>
              <w:rPr>
                <w:rFonts w:ascii="Calibri" w:hAnsi="Calibri" w:cs="Calibri"/>
                <w:sz w:val="18"/>
                <w:szCs w:val="18"/>
              </w:rPr>
            </w:pPr>
          </w:p>
        </w:tc>
        <w:tc>
          <w:tcPr>
            <w:tcW w:w="1275" w:type="dxa"/>
            <w:tcBorders>
              <w:top w:val="single" w:sz="8" w:space="0" w:color="auto"/>
              <w:bottom w:val="single" w:sz="8" w:space="0" w:color="auto"/>
            </w:tcBorders>
          </w:tcPr>
          <w:p w14:paraId="1A4EEE19" w14:textId="77777777" w:rsidR="00542A05" w:rsidRPr="00542A05" w:rsidRDefault="00542A05" w:rsidP="00542A05">
            <w:pPr>
              <w:tabs>
                <w:tab w:val="left" w:pos="8080"/>
              </w:tabs>
              <w:ind w:right="-28"/>
              <w:rPr>
                <w:rFonts w:ascii="Calibri" w:hAnsi="Calibri" w:cs="Calibri"/>
                <w:sz w:val="18"/>
                <w:szCs w:val="18"/>
              </w:rPr>
            </w:pPr>
          </w:p>
        </w:tc>
        <w:tc>
          <w:tcPr>
            <w:tcW w:w="1195" w:type="dxa"/>
            <w:tcBorders>
              <w:top w:val="single" w:sz="8" w:space="0" w:color="auto"/>
              <w:bottom w:val="single" w:sz="8" w:space="0" w:color="auto"/>
            </w:tcBorders>
          </w:tcPr>
          <w:p w14:paraId="244A35B2" w14:textId="77777777" w:rsidR="00542A05" w:rsidRPr="00542A05" w:rsidRDefault="00542A05" w:rsidP="00542A05">
            <w:pPr>
              <w:tabs>
                <w:tab w:val="left" w:pos="8080"/>
              </w:tabs>
              <w:ind w:right="-28"/>
              <w:rPr>
                <w:rFonts w:ascii="Calibri" w:hAnsi="Calibri" w:cs="Calibri"/>
                <w:sz w:val="18"/>
                <w:szCs w:val="18"/>
              </w:rPr>
            </w:pPr>
          </w:p>
        </w:tc>
        <w:tc>
          <w:tcPr>
            <w:tcW w:w="1195" w:type="dxa"/>
            <w:tcBorders>
              <w:top w:val="single" w:sz="8" w:space="0" w:color="auto"/>
              <w:bottom w:val="single" w:sz="8" w:space="0" w:color="auto"/>
            </w:tcBorders>
          </w:tcPr>
          <w:p w14:paraId="6110E8DB" w14:textId="3DDB61F8" w:rsidR="00542A05" w:rsidRPr="00542A05" w:rsidRDefault="00542A05" w:rsidP="00542A05">
            <w:pPr>
              <w:tabs>
                <w:tab w:val="left" w:pos="8080"/>
              </w:tabs>
              <w:ind w:right="-28"/>
              <w:rPr>
                <w:rFonts w:ascii="Calibri" w:hAnsi="Calibri" w:cs="Calibri"/>
                <w:sz w:val="18"/>
                <w:szCs w:val="18"/>
              </w:rPr>
            </w:pPr>
          </w:p>
        </w:tc>
        <w:tc>
          <w:tcPr>
            <w:tcW w:w="1478" w:type="dxa"/>
            <w:tcBorders>
              <w:top w:val="single" w:sz="8" w:space="0" w:color="auto"/>
              <w:bottom w:val="single" w:sz="8" w:space="0" w:color="auto"/>
            </w:tcBorders>
          </w:tcPr>
          <w:p w14:paraId="0E975FB8" w14:textId="77777777" w:rsidR="00542A05" w:rsidRPr="00542A05" w:rsidRDefault="00542A05" w:rsidP="00542A05">
            <w:pPr>
              <w:tabs>
                <w:tab w:val="left" w:pos="8080"/>
              </w:tabs>
              <w:ind w:right="-28"/>
              <w:rPr>
                <w:rFonts w:ascii="Calibri" w:hAnsi="Calibri" w:cs="Calibri"/>
                <w:sz w:val="18"/>
                <w:szCs w:val="18"/>
              </w:rPr>
            </w:pPr>
          </w:p>
        </w:tc>
        <w:tc>
          <w:tcPr>
            <w:tcW w:w="1276" w:type="dxa"/>
            <w:tcBorders>
              <w:top w:val="single" w:sz="8" w:space="0" w:color="auto"/>
              <w:bottom w:val="single" w:sz="8" w:space="0" w:color="auto"/>
            </w:tcBorders>
          </w:tcPr>
          <w:p w14:paraId="603FBF34" w14:textId="77777777" w:rsidR="00542A05" w:rsidRPr="00542A05" w:rsidRDefault="00542A05" w:rsidP="00542A05">
            <w:pPr>
              <w:tabs>
                <w:tab w:val="left" w:pos="8080"/>
              </w:tabs>
              <w:ind w:right="-28"/>
              <w:rPr>
                <w:rFonts w:ascii="Calibri" w:hAnsi="Calibri" w:cs="Calibri"/>
                <w:sz w:val="18"/>
                <w:szCs w:val="18"/>
              </w:rPr>
            </w:pPr>
          </w:p>
        </w:tc>
        <w:tc>
          <w:tcPr>
            <w:tcW w:w="1134" w:type="dxa"/>
            <w:gridSpan w:val="2"/>
            <w:tcBorders>
              <w:top w:val="single" w:sz="8" w:space="0" w:color="auto"/>
              <w:bottom w:val="single" w:sz="8" w:space="0" w:color="auto"/>
            </w:tcBorders>
          </w:tcPr>
          <w:p w14:paraId="089711EC" w14:textId="77777777" w:rsidR="00542A05" w:rsidRPr="00542A05" w:rsidRDefault="00542A05" w:rsidP="00542A05">
            <w:pPr>
              <w:tabs>
                <w:tab w:val="left" w:pos="8080"/>
              </w:tabs>
              <w:ind w:right="-28"/>
              <w:rPr>
                <w:rFonts w:ascii="Calibri" w:hAnsi="Calibri" w:cs="Calibri"/>
                <w:sz w:val="18"/>
                <w:szCs w:val="18"/>
              </w:rPr>
            </w:pPr>
          </w:p>
        </w:tc>
      </w:tr>
      <w:tr w:rsidR="00542A05" w:rsidRPr="008901A5" w14:paraId="7BE78A7D" w14:textId="77777777" w:rsidTr="00B87E67">
        <w:trPr>
          <w:gridAfter w:val="1"/>
          <w:wAfter w:w="61" w:type="dxa"/>
          <w:trHeight w:val="226"/>
        </w:trPr>
        <w:tc>
          <w:tcPr>
            <w:tcW w:w="15289" w:type="dxa"/>
            <w:gridSpan w:val="8"/>
          </w:tcPr>
          <w:p w14:paraId="0ED26782" w14:textId="3D3A2C85" w:rsidR="00542A05" w:rsidRDefault="00542A05" w:rsidP="00542A05">
            <w:pPr>
              <w:tabs>
                <w:tab w:val="left" w:pos="8080"/>
              </w:tabs>
              <w:ind w:right="-28"/>
              <w:rPr>
                <w:rFonts w:ascii="Calibri" w:hAnsi="Calibri" w:cs="Calibri"/>
                <w:sz w:val="18"/>
                <w:szCs w:val="18"/>
              </w:rPr>
            </w:pPr>
            <w:bookmarkStart w:id="18" w:name="_Hlk158382126"/>
            <w:r w:rsidRPr="00007501">
              <w:rPr>
                <w:rFonts w:ascii="Calibri" w:hAnsi="Calibri" w:cs="Calibri"/>
                <w:sz w:val="18"/>
                <w:szCs w:val="18"/>
              </w:rPr>
              <w:t xml:space="preserve">* In 2022 </w:t>
            </w:r>
            <w:r w:rsidR="001B2A49">
              <w:rPr>
                <w:rFonts w:ascii="Calibri" w:hAnsi="Calibri" w:cs="Calibri"/>
                <w:sz w:val="18"/>
                <w:szCs w:val="18"/>
              </w:rPr>
              <w:t xml:space="preserve">and 2023 </w:t>
            </w:r>
            <w:r w:rsidRPr="00007501">
              <w:rPr>
                <w:rFonts w:ascii="Calibri" w:hAnsi="Calibri" w:cs="Calibri"/>
                <w:sz w:val="18"/>
                <w:szCs w:val="18"/>
              </w:rPr>
              <w:t xml:space="preserve">new ordinary shares were allotted to employees of FBD Holdings plc </w:t>
            </w:r>
            <w:r w:rsidRPr="001C5B7A">
              <w:rPr>
                <w:rFonts w:asciiTheme="minorHAnsi" w:hAnsiTheme="minorHAnsi" w:cstheme="minorHAnsi"/>
                <w:sz w:val="18"/>
                <w:szCs w:val="18"/>
              </w:rPr>
              <w:t>as part of the performance share awards scheme</w:t>
            </w:r>
            <w:r w:rsidRPr="00007501">
              <w:rPr>
                <w:rFonts w:ascii="Calibri" w:hAnsi="Calibri" w:cs="Calibri"/>
                <w:sz w:val="18"/>
                <w:szCs w:val="18"/>
              </w:rPr>
              <w:t xml:space="preserve">. </w:t>
            </w:r>
          </w:p>
          <w:p w14:paraId="0C3F853F" w14:textId="20E3012E" w:rsidR="00542A05" w:rsidRPr="00987D69" w:rsidRDefault="00542A05" w:rsidP="00542A05">
            <w:pPr>
              <w:tabs>
                <w:tab w:val="left" w:pos="8080"/>
              </w:tabs>
              <w:ind w:right="-28"/>
              <w:rPr>
                <w:rFonts w:ascii="Calibri" w:hAnsi="Calibri" w:cs="Calibri"/>
                <w:b/>
                <w:sz w:val="18"/>
                <w:szCs w:val="18"/>
              </w:rPr>
            </w:pPr>
            <w:r w:rsidRPr="001D5AED">
              <w:rPr>
                <w:rFonts w:asciiTheme="minorHAnsi" w:hAnsiTheme="minorHAnsi" w:cstheme="minorHAnsi"/>
                <w:sz w:val="18"/>
                <w:szCs w:val="18"/>
              </w:rPr>
              <w:t xml:space="preserve">   </w:t>
            </w:r>
            <w:r w:rsidRPr="00007501">
              <w:rPr>
                <w:rFonts w:ascii="Calibri" w:hAnsi="Calibri" w:cs="Calibri"/>
                <w:sz w:val="18"/>
                <w:szCs w:val="18"/>
              </w:rPr>
              <w:t xml:space="preserve"> </w:t>
            </w:r>
          </w:p>
        </w:tc>
      </w:tr>
    </w:tbl>
    <w:p w14:paraId="58112A22" w14:textId="6CC21D37" w:rsidR="005F4B69" w:rsidRDefault="005F4B69" w:rsidP="00542A05">
      <w:pPr>
        <w:ind w:left="567"/>
        <w:jc w:val="both"/>
        <w:rPr>
          <w:rFonts w:asciiTheme="minorHAnsi" w:hAnsiTheme="minorHAnsi" w:cstheme="minorHAnsi"/>
          <w:i/>
          <w:color w:val="000000"/>
        </w:rPr>
      </w:pPr>
      <w:r w:rsidRPr="001D5AED">
        <w:rPr>
          <w:rFonts w:asciiTheme="minorHAnsi" w:hAnsiTheme="minorHAnsi" w:cstheme="minorHAnsi"/>
          <w:i/>
          <w:color w:val="000000"/>
        </w:rPr>
        <w:br w:type="page"/>
      </w:r>
    </w:p>
    <w:bookmarkEnd w:id="18"/>
    <w:p w14:paraId="727143C8" w14:textId="77777777" w:rsidR="00DB7D80" w:rsidRDefault="00DB7D80" w:rsidP="00B2228B">
      <w:pPr>
        <w:tabs>
          <w:tab w:val="right" w:pos="1134"/>
        </w:tabs>
        <w:jc w:val="both"/>
        <w:rPr>
          <w:rFonts w:asciiTheme="minorHAnsi" w:hAnsiTheme="minorHAnsi" w:cstheme="minorHAnsi"/>
          <w:i/>
          <w:color w:val="000000"/>
        </w:rPr>
        <w:sectPr w:rsidR="00DB7D80" w:rsidSect="00DB7D80">
          <w:pgSz w:w="16838" w:h="11906" w:orient="landscape"/>
          <w:pgMar w:top="1440" w:right="1440" w:bottom="1440" w:left="1440" w:header="708" w:footer="708" w:gutter="0"/>
          <w:cols w:space="708"/>
          <w:docGrid w:linePitch="360"/>
        </w:sectPr>
      </w:pPr>
    </w:p>
    <w:p w14:paraId="79D60265" w14:textId="77777777" w:rsidR="00DB7D80" w:rsidRPr="001D5AED" w:rsidRDefault="00DB7D80" w:rsidP="00B2228B">
      <w:pPr>
        <w:tabs>
          <w:tab w:val="right" w:pos="1134"/>
        </w:tabs>
        <w:jc w:val="both"/>
        <w:rPr>
          <w:rFonts w:asciiTheme="minorHAnsi" w:hAnsiTheme="minorHAnsi" w:cstheme="minorHAnsi"/>
          <w:i/>
          <w:color w:val="000000"/>
        </w:rPr>
      </w:pPr>
    </w:p>
    <w:p w14:paraId="5106E095" w14:textId="78CB4C35" w:rsidR="006A43D4" w:rsidRPr="001D5AED" w:rsidRDefault="006A43D4" w:rsidP="003E636B">
      <w:pPr>
        <w:tabs>
          <w:tab w:val="right" w:pos="9778"/>
        </w:tabs>
        <w:jc w:val="center"/>
        <w:rPr>
          <w:rFonts w:asciiTheme="minorHAnsi" w:hAnsiTheme="minorHAnsi" w:cstheme="minorHAnsi"/>
          <w:color w:val="000000"/>
          <w:sz w:val="22"/>
          <w:szCs w:val="22"/>
        </w:rPr>
      </w:pPr>
      <w:r w:rsidRPr="001D5AED">
        <w:rPr>
          <w:rFonts w:asciiTheme="minorHAnsi" w:hAnsiTheme="minorHAnsi" w:cstheme="minorHAnsi"/>
          <w:b/>
          <w:color w:val="000000"/>
          <w:sz w:val="22"/>
          <w:szCs w:val="22"/>
        </w:rPr>
        <w:t>FBD Holdings plc</w:t>
      </w:r>
    </w:p>
    <w:p w14:paraId="0FE29DEE" w14:textId="5E79562C" w:rsidR="006A43D4" w:rsidRPr="001D5AED" w:rsidRDefault="006A43D4" w:rsidP="003E636B">
      <w:pPr>
        <w:tabs>
          <w:tab w:val="left" w:pos="-142"/>
          <w:tab w:val="decimal" w:pos="4678"/>
          <w:tab w:val="decimal" w:pos="5670"/>
          <w:tab w:val="decimal" w:pos="6946"/>
          <w:tab w:val="decimal" w:pos="10348"/>
        </w:tabs>
        <w:jc w:val="center"/>
        <w:rPr>
          <w:rFonts w:asciiTheme="minorHAnsi" w:hAnsiTheme="minorHAnsi" w:cstheme="minorHAnsi"/>
          <w:b/>
          <w:color w:val="000000"/>
          <w:sz w:val="22"/>
          <w:szCs w:val="22"/>
        </w:rPr>
      </w:pPr>
      <w:r w:rsidRPr="001D5AED">
        <w:rPr>
          <w:rFonts w:asciiTheme="minorHAnsi" w:hAnsiTheme="minorHAnsi" w:cstheme="minorHAnsi"/>
          <w:b/>
          <w:color w:val="000000"/>
          <w:sz w:val="22"/>
          <w:szCs w:val="22"/>
        </w:rPr>
        <w:t>Supplementary Information</w:t>
      </w:r>
    </w:p>
    <w:p w14:paraId="03D17939" w14:textId="22BD04CF" w:rsidR="006A43D4" w:rsidRPr="001D5AED" w:rsidRDefault="006A43D4" w:rsidP="003E636B">
      <w:pPr>
        <w:tabs>
          <w:tab w:val="left" w:pos="426"/>
          <w:tab w:val="left" w:pos="851"/>
          <w:tab w:val="left" w:pos="10604"/>
        </w:tabs>
        <w:ind w:right="-28"/>
        <w:jc w:val="center"/>
        <w:rPr>
          <w:rFonts w:asciiTheme="minorHAnsi" w:hAnsiTheme="minorHAnsi" w:cstheme="minorHAnsi"/>
          <w:b/>
          <w:color w:val="000000"/>
          <w:sz w:val="22"/>
          <w:szCs w:val="22"/>
          <w:lang w:val="en-US"/>
        </w:rPr>
      </w:pPr>
      <w:r w:rsidRPr="001D5AED">
        <w:rPr>
          <w:rFonts w:asciiTheme="minorHAnsi" w:hAnsiTheme="minorHAnsi" w:cstheme="minorHAnsi"/>
          <w:b/>
          <w:color w:val="000000"/>
          <w:sz w:val="22"/>
          <w:szCs w:val="22"/>
        </w:rPr>
        <w:t>Fo</w:t>
      </w:r>
      <w:r w:rsidR="00A77CA9" w:rsidRPr="001D5AED">
        <w:rPr>
          <w:rFonts w:asciiTheme="minorHAnsi" w:hAnsiTheme="minorHAnsi" w:cstheme="minorHAnsi"/>
          <w:b/>
          <w:color w:val="000000"/>
          <w:sz w:val="22"/>
          <w:szCs w:val="22"/>
        </w:rPr>
        <w:t>r the year ended 31 December 202</w:t>
      </w:r>
      <w:r w:rsidR="00460D52">
        <w:rPr>
          <w:rFonts w:asciiTheme="minorHAnsi" w:hAnsiTheme="minorHAnsi" w:cstheme="minorHAnsi"/>
          <w:b/>
          <w:color w:val="000000"/>
          <w:sz w:val="22"/>
          <w:szCs w:val="22"/>
        </w:rPr>
        <w:t>3</w:t>
      </w:r>
    </w:p>
    <w:p w14:paraId="1624374F" w14:textId="77777777" w:rsidR="006A43D4" w:rsidRPr="001D5AED" w:rsidRDefault="006A43D4" w:rsidP="006A43D4">
      <w:pPr>
        <w:rPr>
          <w:rFonts w:asciiTheme="minorHAnsi" w:hAnsiTheme="minorHAnsi" w:cstheme="minorHAnsi"/>
          <w:color w:val="000000"/>
          <w:sz w:val="22"/>
          <w:szCs w:val="22"/>
        </w:rPr>
      </w:pPr>
    </w:p>
    <w:p w14:paraId="424D71E3" w14:textId="77777777" w:rsidR="004258F5" w:rsidRDefault="004258F5" w:rsidP="006A43D4">
      <w:pPr>
        <w:tabs>
          <w:tab w:val="decimal" w:pos="8460"/>
          <w:tab w:val="decimal" w:pos="10080"/>
        </w:tabs>
        <w:rPr>
          <w:rFonts w:asciiTheme="minorHAnsi" w:hAnsiTheme="minorHAnsi" w:cstheme="minorHAnsi"/>
          <w:b/>
          <w:color w:val="000000"/>
        </w:rPr>
      </w:pPr>
    </w:p>
    <w:p w14:paraId="1E537234" w14:textId="77777777" w:rsidR="004258F5" w:rsidRPr="004258F5" w:rsidRDefault="004258F5" w:rsidP="004258F5">
      <w:pPr>
        <w:ind w:right="142"/>
        <w:rPr>
          <w:rFonts w:ascii="Calibri" w:hAnsi="Calibri" w:cs="Calibri"/>
          <w:b/>
        </w:rPr>
      </w:pPr>
    </w:p>
    <w:p w14:paraId="0250F75B" w14:textId="01957FD2" w:rsidR="004258F5" w:rsidRPr="004258F5" w:rsidRDefault="004258F5" w:rsidP="004258F5">
      <w:pPr>
        <w:ind w:right="142"/>
        <w:rPr>
          <w:rFonts w:ascii="Calibri" w:hAnsi="Calibri" w:cs="Calibri"/>
          <w:b/>
        </w:rPr>
      </w:pPr>
      <w:r w:rsidRPr="004258F5">
        <w:rPr>
          <w:rFonts w:ascii="Calibri" w:hAnsi="Calibri" w:cs="Calibri"/>
          <w:b/>
        </w:rPr>
        <w:t xml:space="preserve">Note </w:t>
      </w:r>
      <w:r w:rsidR="00197776">
        <w:rPr>
          <w:rFonts w:ascii="Calibri" w:hAnsi="Calibri" w:cs="Calibri"/>
          <w:b/>
        </w:rPr>
        <w:t>1</w:t>
      </w:r>
      <w:r w:rsidRPr="004258F5">
        <w:rPr>
          <w:rFonts w:ascii="Calibri" w:hAnsi="Calibri" w:cs="Calibri"/>
          <w:b/>
        </w:rPr>
        <w:t xml:space="preserve">     INCOME TAXATION CHARGE </w:t>
      </w:r>
    </w:p>
    <w:p w14:paraId="772E15F4" w14:textId="77777777" w:rsidR="004258F5" w:rsidRPr="004258F5" w:rsidRDefault="004258F5" w:rsidP="004258F5">
      <w:pPr>
        <w:ind w:left="142" w:right="142"/>
        <w:rPr>
          <w:rFonts w:ascii="Calibri" w:hAnsi="Calibri" w:cs="Calibri"/>
          <w:b/>
        </w:rPr>
      </w:pPr>
    </w:p>
    <w:p w14:paraId="3E0D1ED0" w14:textId="39B4D1AC" w:rsidR="004258F5" w:rsidRPr="004258F5" w:rsidRDefault="004258F5" w:rsidP="004258F5">
      <w:pPr>
        <w:tabs>
          <w:tab w:val="left" w:pos="9639"/>
        </w:tabs>
        <w:autoSpaceDE w:val="0"/>
        <w:autoSpaceDN w:val="0"/>
        <w:adjustRightInd w:val="0"/>
        <w:ind w:right="142"/>
        <w:jc w:val="both"/>
        <w:rPr>
          <w:rFonts w:ascii="Calibri" w:hAnsi="Calibri" w:cs="Calibri"/>
          <w:color w:val="000000"/>
        </w:rPr>
      </w:pPr>
      <w:r w:rsidRPr="004258F5">
        <w:rPr>
          <w:rFonts w:ascii="Calibri" w:hAnsi="Calibri" w:cs="Calibri"/>
          <w:color w:val="000000"/>
        </w:rPr>
        <w:t>The effective tax rate for the period was 14.6% (2022: 12.6%) which is the best estimate of the weighted average annual income tax rate expected for the full year. The effective tax rate for the period was higher than the standard Irish corporation tax rate of 12.5% primarily due to assumed higher disallowable expenses in the period.</w:t>
      </w:r>
    </w:p>
    <w:p w14:paraId="1863F4FF" w14:textId="77777777" w:rsidR="004258F5" w:rsidRPr="004258F5" w:rsidRDefault="004258F5" w:rsidP="004258F5">
      <w:pPr>
        <w:ind w:right="142"/>
        <w:rPr>
          <w:rFonts w:asciiTheme="minorHAnsi" w:hAnsiTheme="minorHAnsi" w:cstheme="minorHAnsi"/>
          <w:b/>
        </w:rPr>
      </w:pPr>
    </w:p>
    <w:p w14:paraId="7C3F2AA2" w14:textId="77777777" w:rsidR="004258F5" w:rsidRPr="004258F5" w:rsidRDefault="004258F5" w:rsidP="006A43D4">
      <w:pPr>
        <w:tabs>
          <w:tab w:val="decimal" w:pos="8460"/>
          <w:tab w:val="decimal" w:pos="10080"/>
        </w:tabs>
        <w:rPr>
          <w:rFonts w:asciiTheme="minorHAnsi" w:hAnsiTheme="minorHAnsi" w:cstheme="minorHAnsi"/>
          <w:b/>
          <w:color w:val="000000"/>
        </w:rPr>
      </w:pPr>
    </w:p>
    <w:p w14:paraId="410F4005" w14:textId="3C61EC1A" w:rsidR="006A43D4" w:rsidRPr="004258F5" w:rsidRDefault="006A43D4" w:rsidP="006A43D4">
      <w:pPr>
        <w:tabs>
          <w:tab w:val="decimal" w:pos="8460"/>
          <w:tab w:val="decimal" w:pos="10080"/>
        </w:tabs>
        <w:rPr>
          <w:rFonts w:asciiTheme="minorHAnsi" w:hAnsiTheme="minorHAnsi" w:cstheme="minorHAnsi"/>
          <w:b/>
          <w:color w:val="000000"/>
        </w:rPr>
      </w:pPr>
      <w:r w:rsidRPr="004258F5">
        <w:rPr>
          <w:rFonts w:asciiTheme="minorHAnsi" w:hAnsiTheme="minorHAnsi" w:cstheme="minorHAnsi"/>
          <w:b/>
          <w:color w:val="000000"/>
        </w:rPr>
        <w:t xml:space="preserve">Note </w:t>
      </w:r>
      <w:r w:rsidR="00197776">
        <w:rPr>
          <w:rFonts w:asciiTheme="minorHAnsi" w:hAnsiTheme="minorHAnsi" w:cstheme="minorHAnsi"/>
          <w:b/>
          <w:color w:val="000000"/>
        </w:rPr>
        <w:t>2</w:t>
      </w:r>
      <w:r w:rsidR="00EC645C">
        <w:rPr>
          <w:rFonts w:asciiTheme="minorHAnsi" w:hAnsiTheme="minorHAnsi" w:cstheme="minorHAnsi"/>
          <w:b/>
          <w:color w:val="000000"/>
        </w:rPr>
        <w:t xml:space="preserve">  </w:t>
      </w:r>
      <w:r w:rsidRPr="004258F5">
        <w:rPr>
          <w:rFonts w:asciiTheme="minorHAnsi" w:hAnsiTheme="minorHAnsi" w:cstheme="minorHAnsi"/>
          <w:b/>
          <w:color w:val="000000"/>
        </w:rPr>
        <w:t xml:space="preserve">   </w:t>
      </w:r>
      <w:r w:rsidR="00D845E0" w:rsidRPr="004258F5">
        <w:rPr>
          <w:rFonts w:asciiTheme="minorHAnsi" w:hAnsiTheme="minorHAnsi" w:cstheme="minorHAnsi"/>
          <w:b/>
          <w:color w:val="000000"/>
        </w:rPr>
        <w:t>EARNINGS</w:t>
      </w:r>
      <w:r w:rsidRPr="004258F5">
        <w:rPr>
          <w:rFonts w:asciiTheme="minorHAnsi" w:hAnsiTheme="minorHAnsi" w:cstheme="minorHAnsi"/>
          <w:b/>
          <w:color w:val="000000"/>
        </w:rPr>
        <w:t xml:space="preserve"> PER €0.60 ORDINARY SHARE</w:t>
      </w:r>
    </w:p>
    <w:p w14:paraId="0117D0E5" w14:textId="77777777" w:rsidR="006A43D4" w:rsidRPr="004258F5" w:rsidRDefault="006A43D4" w:rsidP="006A43D4">
      <w:pPr>
        <w:autoSpaceDE w:val="0"/>
        <w:autoSpaceDN w:val="0"/>
        <w:adjustRightInd w:val="0"/>
        <w:ind w:right="142"/>
        <w:jc w:val="both"/>
        <w:rPr>
          <w:rFonts w:asciiTheme="minorHAnsi" w:hAnsiTheme="minorHAnsi" w:cstheme="minorHAnsi"/>
          <w:color w:val="000000"/>
        </w:rPr>
      </w:pPr>
    </w:p>
    <w:p w14:paraId="09B582D6" w14:textId="77777777" w:rsidR="006A43D4" w:rsidRPr="004258F5" w:rsidRDefault="006A43D4" w:rsidP="006A43D4">
      <w:pPr>
        <w:autoSpaceDE w:val="0"/>
        <w:autoSpaceDN w:val="0"/>
        <w:adjustRightInd w:val="0"/>
        <w:ind w:right="142"/>
        <w:jc w:val="both"/>
        <w:rPr>
          <w:rFonts w:asciiTheme="minorHAnsi" w:hAnsiTheme="minorHAnsi" w:cstheme="minorHAnsi"/>
          <w:color w:val="000000"/>
        </w:rPr>
      </w:pPr>
      <w:r w:rsidRPr="004258F5">
        <w:rPr>
          <w:rFonts w:asciiTheme="minorHAnsi" w:hAnsiTheme="minorHAnsi" w:cstheme="minorHAnsi"/>
          <w:color w:val="000000"/>
        </w:rPr>
        <w:t>The calculation of the basic and diluted earnings per share attributable to the ordinary shareholders is based on the following data:</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4"/>
        <w:gridCol w:w="1559"/>
        <w:gridCol w:w="284"/>
        <w:gridCol w:w="1417"/>
      </w:tblGrid>
      <w:tr w:rsidR="003D155D" w:rsidRPr="004258F5" w14:paraId="464E56C6" w14:textId="77777777" w:rsidTr="008F1D8E">
        <w:trPr>
          <w:trHeight w:val="227"/>
        </w:trPr>
        <w:tc>
          <w:tcPr>
            <w:tcW w:w="5954" w:type="dxa"/>
            <w:tcBorders>
              <w:top w:val="nil"/>
              <w:left w:val="nil"/>
              <w:bottom w:val="nil"/>
              <w:right w:val="nil"/>
            </w:tcBorders>
          </w:tcPr>
          <w:p w14:paraId="13691494" w14:textId="77777777" w:rsidR="003D155D" w:rsidRPr="004258F5" w:rsidRDefault="003D155D" w:rsidP="006A43D4">
            <w:pPr>
              <w:autoSpaceDE w:val="0"/>
              <w:autoSpaceDN w:val="0"/>
              <w:adjustRightInd w:val="0"/>
              <w:ind w:right="142"/>
              <w:jc w:val="both"/>
              <w:rPr>
                <w:rFonts w:asciiTheme="minorHAnsi" w:hAnsiTheme="minorHAnsi" w:cstheme="minorHAnsi"/>
                <w:color w:val="000000"/>
                <w:highlight w:val="yellow"/>
              </w:rPr>
            </w:pPr>
          </w:p>
        </w:tc>
        <w:tc>
          <w:tcPr>
            <w:tcW w:w="1559" w:type="dxa"/>
            <w:tcBorders>
              <w:top w:val="nil"/>
              <w:left w:val="nil"/>
              <w:bottom w:val="nil"/>
              <w:right w:val="nil"/>
            </w:tcBorders>
          </w:tcPr>
          <w:p w14:paraId="41471FA9" w14:textId="77777777" w:rsidR="003D155D" w:rsidRPr="004258F5" w:rsidRDefault="003D155D" w:rsidP="006A43D4">
            <w:pPr>
              <w:autoSpaceDE w:val="0"/>
              <w:autoSpaceDN w:val="0"/>
              <w:adjustRightInd w:val="0"/>
              <w:ind w:right="142"/>
              <w:jc w:val="right"/>
              <w:rPr>
                <w:rFonts w:asciiTheme="minorHAnsi" w:hAnsiTheme="minorHAnsi" w:cstheme="minorHAnsi"/>
                <w:b/>
                <w:bCs/>
                <w:color w:val="000000"/>
              </w:rPr>
            </w:pPr>
          </w:p>
          <w:p w14:paraId="609666D4" w14:textId="5D40179C" w:rsidR="003D155D" w:rsidRPr="004258F5" w:rsidRDefault="00F47530" w:rsidP="008D06C2">
            <w:pPr>
              <w:autoSpaceDE w:val="0"/>
              <w:autoSpaceDN w:val="0"/>
              <w:adjustRightInd w:val="0"/>
              <w:ind w:right="142"/>
              <w:jc w:val="right"/>
              <w:rPr>
                <w:rFonts w:asciiTheme="minorHAnsi" w:hAnsiTheme="minorHAnsi" w:cstheme="minorHAnsi"/>
                <w:b/>
                <w:bCs/>
                <w:color w:val="000000"/>
              </w:rPr>
            </w:pPr>
            <w:r w:rsidRPr="004258F5">
              <w:rPr>
                <w:rFonts w:asciiTheme="minorHAnsi" w:hAnsiTheme="minorHAnsi" w:cstheme="minorHAnsi"/>
                <w:b/>
                <w:bCs/>
                <w:color w:val="000000"/>
              </w:rPr>
              <w:t>202</w:t>
            </w:r>
            <w:r w:rsidR="00BE3FF7" w:rsidRPr="004258F5">
              <w:rPr>
                <w:rFonts w:asciiTheme="minorHAnsi" w:hAnsiTheme="minorHAnsi" w:cstheme="minorHAnsi"/>
                <w:b/>
                <w:bCs/>
                <w:color w:val="000000"/>
              </w:rPr>
              <w:t>3</w:t>
            </w:r>
          </w:p>
        </w:tc>
        <w:tc>
          <w:tcPr>
            <w:tcW w:w="284" w:type="dxa"/>
            <w:tcBorders>
              <w:top w:val="nil"/>
              <w:left w:val="nil"/>
              <w:bottom w:val="nil"/>
              <w:right w:val="nil"/>
            </w:tcBorders>
          </w:tcPr>
          <w:p w14:paraId="04F3BFAA" w14:textId="77777777" w:rsidR="003D155D" w:rsidRPr="004258F5" w:rsidRDefault="003D155D" w:rsidP="006A43D4">
            <w:pPr>
              <w:autoSpaceDE w:val="0"/>
              <w:autoSpaceDN w:val="0"/>
              <w:adjustRightInd w:val="0"/>
              <w:ind w:right="142"/>
              <w:jc w:val="right"/>
              <w:rPr>
                <w:rFonts w:asciiTheme="minorHAnsi" w:hAnsiTheme="minorHAnsi" w:cstheme="minorHAnsi"/>
                <w:b/>
                <w:color w:val="000000"/>
              </w:rPr>
            </w:pPr>
          </w:p>
        </w:tc>
        <w:tc>
          <w:tcPr>
            <w:tcW w:w="1417" w:type="dxa"/>
            <w:tcBorders>
              <w:top w:val="nil"/>
              <w:left w:val="nil"/>
              <w:bottom w:val="nil"/>
              <w:right w:val="nil"/>
            </w:tcBorders>
          </w:tcPr>
          <w:p w14:paraId="160C9EC6" w14:textId="77777777" w:rsidR="003D155D" w:rsidRPr="004258F5" w:rsidRDefault="003D155D" w:rsidP="003D155D">
            <w:pPr>
              <w:autoSpaceDE w:val="0"/>
              <w:autoSpaceDN w:val="0"/>
              <w:adjustRightInd w:val="0"/>
              <w:ind w:right="142"/>
              <w:jc w:val="right"/>
              <w:rPr>
                <w:rFonts w:asciiTheme="minorHAnsi" w:hAnsiTheme="minorHAnsi" w:cstheme="minorHAnsi"/>
                <w:b/>
                <w:bCs/>
                <w:color w:val="000000"/>
              </w:rPr>
            </w:pPr>
          </w:p>
          <w:p w14:paraId="7D33C660" w14:textId="4D3DD59D" w:rsidR="003D155D" w:rsidRPr="004258F5" w:rsidRDefault="00A85C9A">
            <w:pPr>
              <w:autoSpaceDE w:val="0"/>
              <w:autoSpaceDN w:val="0"/>
              <w:adjustRightInd w:val="0"/>
              <w:ind w:right="142"/>
              <w:jc w:val="right"/>
              <w:rPr>
                <w:rFonts w:asciiTheme="minorHAnsi" w:hAnsiTheme="minorHAnsi" w:cstheme="minorHAnsi"/>
                <w:b/>
                <w:bCs/>
                <w:color w:val="000000"/>
              </w:rPr>
            </w:pPr>
            <w:r w:rsidRPr="004258F5">
              <w:rPr>
                <w:rFonts w:asciiTheme="minorHAnsi" w:hAnsiTheme="minorHAnsi" w:cstheme="minorHAnsi"/>
                <w:b/>
                <w:bCs/>
                <w:color w:val="000000"/>
              </w:rPr>
              <w:t>20</w:t>
            </w:r>
            <w:r w:rsidR="00B965BF" w:rsidRPr="004258F5">
              <w:rPr>
                <w:rFonts w:asciiTheme="minorHAnsi" w:hAnsiTheme="minorHAnsi" w:cstheme="minorHAnsi"/>
                <w:b/>
                <w:bCs/>
                <w:color w:val="000000"/>
              </w:rPr>
              <w:t>2</w:t>
            </w:r>
            <w:r w:rsidR="00BE3FF7" w:rsidRPr="004258F5">
              <w:rPr>
                <w:rFonts w:asciiTheme="minorHAnsi" w:hAnsiTheme="minorHAnsi" w:cstheme="minorHAnsi"/>
                <w:b/>
                <w:bCs/>
                <w:color w:val="000000"/>
              </w:rPr>
              <w:t>2 (restated)</w:t>
            </w:r>
          </w:p>
        </w:tc>
      </w:tr>
      <w:tr w:rsidR="003D155D" w:rsidRPr="004258F5" w14:paraId="2BFF48A7" w14:textId="77777777" w:rsidTr="008F1D8E">
        <w:trPr>
          <w:trHeight w:val="227"/>
        </w:trPr>
        <w:tc>
          <w:tcPr>
            <w:tcW w:w="5954" w:type="dxa"/>
            <w:tcBorders>
              <w:top w:val="nil"/>
              <w:left w:val="nil"/>
              <w:bottom w:val="nil"/>
              <w:right w:val="nil"/>
            </w:tcBorders>
          </w:tcPr>
          <w:p w14:paraId="4663B42F" w14:textId="77777777" w:rsidR="003D155D" w:rsidRPr="004258F5" w:rsidRDefault="003D155D" w:rsidP="006A43D4">
            <w:pPr>
              <w:autoSpaceDE w:val="0"/>
              <w:autoSpaceDN w:val="0"/>
              <w:adjustRightInd w:val="0"/>
              <w:ind w:right="142"/>
              <w:jc w:val="both"/>
              <w:rPr>
                <w:rFonts w:asciiTheme="minorHAnsi" w:hAnsiTheme="minorHAnsi" w:cstheme="minorHAnsi"/>
                <w:color w:val="000000"/>
              </w:rPr>
            </w:pPr>
            <w:r w:rsidRPr="004258F5">
              <w:rPr>
                <w:rFonts w:asciiTheme="minorHAnsi" w:hAnsiTheme="minorHAnsi" w:cstheme="minorHAnsi"/>
                <w:b/>
                <w:bCs/>
                <w:color w:val="000000"/>
              </w:rPr>
              <w:t>Earnings</w:t>
            </w:r>
          </w:p>
        </w:tc>
        <w:tc>
          <w:tcPr>
            <w:tcW w:w="1559" w:type="dxa"/>
            <w:tcBorders>
              <w:top w:val="nil"/>
              <w:left w:val="nil"/>
              <w:bottom w:val="nil"/>
              <w:right w:val="nil"/>
            </w:tcBorders>
          </w:tcPr>
          <w:p w14:paraId="7A044923" w14:textId="77777777" w:rsidR="003D155D" w:rsidRPr="004258F5" w:rsidRDefault="003D155D" w:rsidP="006A43D4">
            <w:pPr>
              <w:autoSpaceDE w:val="0"/>
              <w:autoSpaceDN w:val="0"/>
              <w:adjustRightInd w:val="0"/>
              <w:ind w:right="142"/>
              <w:jc w:val="right"/>
              <w:rPr>
                <w:rFonts w:asciiTheme="minorHAnsi" w:hAnsiTheme="minorHAnsi" w:cstheme="minorHAnsi"/>
                <w:color w:val="000000"/>
              </w:rPr>
            </w:pPr>
            <w:r w:rsidRPr="004258F5">
              <w:rPr>
                <w:rFonts w:asciiTheme="minorHAnsi" w:hAnsiTheme="minorHAnsi" w:cstheme="minorHAnsi"/>
                <w:b/>
                <w:bCs/>
                <w:color w:val="000000"/>
              </w:rPr>
              <w:t>€000s</w:t>
            </w:r>
          </w:p>
        </w:tc>
        <w:tc>
          <w:tcPr>
            <w:tcW w:w="284" w:type="dxa"/>
            <w:tcBorders>
              <w:top w:val="nil"/>
              <w:left w:val="nil"/>
              <w:bottom w:val="nil"/>
              <w:right w:val="nil"/>
            </w:tcBorders>
          </w:tcPr>
          <w:p w14:paraId="1176AA4B" w14:textId="77777777" w:rsidR="003D155D" w:rsidRPr="004258F5" w:rsidRDefault="003D155D" w:rsidP="006A43D4">
            <w:pPr>
              <w:autoSpaceDE w:val="0"/>
              <w:autoSpaceDN w:val="0"/>
              <w:adjustRightInd w:val="0"/>
              <w:ind w:right="142"/>
              <w:jc w:val="right"/>
              <w:rPr>
                <w:rFonts w:asciiTheme="minorHAnsi" w:hAnsiTheme="minorHAnsi" w:cstheme="minorHAnsi"/>
                <w:b/>
                <w:bCs/>
                <w:color w:val="000000"/>
              </w:rPr>
            </w:pPr>
          </w:p>
        </w:tc>
        <w:tc>
          <w:tcPr>
            <w:tcW w:w="1417" w:type="dxa"/>
            <w:tcBorders>
              <w:top w:val="nil"/>
              <w:left w:val="nil"/>
              <w:bottom w:val="nil"/>
              <w:right w:val="nil"/>
            </w:tcBorders>
          </w:tcPr>
          <w:p w14:paraId="106FCC5A" w14:textId="77777777" w:rsidR="003D155D" w:rsidRPr="004258F5" w:rsidRDefault="003D155D" w:rsidP="003D155D">
            <w:pPr>
              <w:autoSpaceDE w:val="0"/>
              <w:autoSpaceDN w:val="0"/>
              <w:adjustRightInd w:val="0"/>
              <w:ind w:right="142"/>
              <w:jc w:val="right"/>
              <w:rPr>
                <w:rFonts w:asciiTheme="minorHAnsi" w:hAnsiTheme="minorHAnsi" w:cstheme="minorHAnsi"/>
                <w:color w:val="000000"/>
              </w:rPr>
            </w:pPr>
            <w:r w:rsidRPr="004258F5">
              <w:rPr>
                <w:rFonts w:asciiTheme="minorHAnsi" w:hAnsiTheme="minorHAnsi" w:cstheme="minorHAnsi"/>
                <w:b/>
                <w:bCs/>
                <w:color w:val="000000"/>
              </w:rPr>
              <w:t>€000s</w:t>
            </w:r>
          </w:p>
        </w:tc>
      </w:tr>
      <w:tr w:rsidR="003D155D" w:rsidRPr="004258F5" w14:paraId="185454EC" w14:textId="77777777" w:rsidTr="008F1D8E">
        <w:trPr>
          <w:trHeight w:val="227"/>
        </w:trPr>
        <w:tc>
          <w:tcPr>
            <w:tcW w:w="5954" w:type="dxa"/>
            <w:tcBorders>
              <w:top w:val="nil"/>
              <w:left w:val="nil"/>
              <w:bottom w:val="nil"/>
              <w:right w:val="nil"/>
            </w:tcBorders>
          </w:tcPr>
          <w:p w14:paraId="7B92EBBB" w14:textId="77777777" w:rsidR="003D155D" w:rsidRPr="004258F5" w:rsidRDefault="003D155D" w:rsidP="006A43D4">
            <w:pPr>
              <w:autoSpaceDE w:val="0"/>
              <w:autoSpaceDN w:val="0"/>
              <w:adjustRightInd w:val="0"/>
              <w:ind w:right="142"/>
              <w:jc w:val="both"/>
              <w:rPr>
                <w:rFonts w:asciiTheme="minorHAnsi" w:hAnsiTheme="minorHAnsi" w:cstheme="minorHAnsi"/>
                <w:b/>
                <w:bCs/>
                <w:color w:val="000000"/>
              </w:rPr>
            </w:pPr>
          </w:p>
        </w:tc>
        <w:tc>
          <w:tcPr>
            <w:tcW w:w="1559" w:type="dxa"/>
            <w:tcBorders>
              <w:top w:val="nil"/>
              <w:left w:val="nil"/>
              <w:bottom w:val="nil"/>
              <w:right w:val="nil"/>
            </w:tcBorders>
          </w:tcPr>
          <w:p w14:paraId="4E6A668F" w14:textId="77777777" w:rsidR="003D155D" w:rsidRPr="004258F5" w:rsidRDefault="003D155D" w:rsidP="006A43D4">
            <w:pPr>
              <w:autoSpaceDE w:val="0"/>
              <w:autoSpaceDN w:val="0"/>
              <w:adjustRightInd w:val="0"/>
              <w:ind w:right="142"/>
              <w:jc w:val="right"/>
              <w:rPr>
                <w:rFonts w:asciiTheme="minorHAnsi" w:hAnsiTheme="minorHAnsi" w:cstheme="minorHAnsi"/>
                <w:b/>
                <w:bCs/>
                <w:color w:val="000000"/>
                <w:highlight w:val="yellow"/>
              </w:rPr>
            </w:pPr>
          </w:p>
        </w:tc>
        <w:tc>
          <w:tcPr>
            <w:tcW w:w="284" w:type="dxa"/>
            <w:tcBorders>
              <w:top w:val="nil"/>
              <w:left w:val="nil"/>
              <w:bottom w:val="nil"/>
              <w:right w:val="nil"/>
            </w:tcBorders>
          </w:tcPr>
          <w:p w14:paraId="62ED5F14" w14:textId="77777777" w:rsidR="003D155D" w:rsidRPr="004258F5" w:rsidRDefault="003D155D" w:rsidP="006A43D4">
            <w:pPr>
              <w:autoSpaceDE w:val="0"/>
              <w:autoSpaceDN w:val="0"/>
              <w:adjustRightInd w:val="0"/>
              <w:ind w:right="142"/>
              <w:jc w:val="right"/>
              <w:rPr>
                <w:rFonts w:asciiTheme="minorHAnsi" w:hAnsiTheme="minorHAnsi" w:cstheme="minorHAnsi"/>
                <w:b/>
                <w:bCs/>
                <w:color w:val="000000"/>
                <w:highlight w:val="yellow"/>
              </w:rPr>
            </w:pPr>
          </w:p>
        </w:tc>
        <w:tc>
          <w:tcPr>
            <w:tcW w:w="1417" w:type="dxa"/>
            <w:tcBorders>
              <w:top w:val="nil"/>
              <w:left w:val="nil"/>
              <w:bottom w:val="nil"/>
              <w:right w:val="nil"/>
            </w:tcBorders>
          </w:tcPr>
          <w:p w14:paraId="47656805" w14:textId="77777777" w:rsidR="003D155D" w:rsidRPr="004258F5" w:rsidRDefault="003D155D" w:rsidP="003D155D">
            <w:pPr>
              <w:autoSpaceDE w:val="0"/>
              <w:autoSpaceDN w:val="0"/>
              <w:adjustRightInd w:val="0"/>
              <w:ind w:right="142"/>
              <w:jc w:val="right"/>
              <w:rPr>
                <w:rFonts w:asciiTheme="minorHAnsi" w:hAnsiTheme="minorHAnsi" w:cstheme="minorHAnsi"/>
                <w:b/>
                <w:bCs/>
                <w:color w:val="000000"/>
                <w:highlight w:val="yellow"/>
              </w:rPr>
            </w:pPr>
          </w:p>
        </w:tc>
      </w:tr>
      <w:tr w:rsidR="00B965BF" w:rsidRPr="004258F5" w14:paraId="3DBFB955" w14:textId="77777777" w:rsidTr="008F1D8E">
        <w:trPr>
          <w:trHeight w:val="227"/>
        </w:trPr>
        <w:tc>
          <w:tcPr>
            <w:tcW w:w="5954" w:type="dxa"/>
            <w:tcBorders>
              <w:top w:val="nil"/>
              <w:left w:val="nil"/>
              <w:bottom w:val="nil"/>
              <w:right w:val="nil"/>
            </w:tcBorders>
          </w:tcPr>
          <w:p w14:paraId="764A91AF" w14:textId="7AD7E85F" w:rsidR="00B965BF" w:rsidRPr="004258F5" w:rsidRDefault="00B965BF" w:rsidP="00B965BF">
            <w:pPr>
              <w:autoSpaceDE w:val="0"/>
              <w:autoSpaceDN w:val="0"/>
              <w:adjustRightInd w:val="0"/>
              <w:ind w:right="142"/>
              <w:jc w:val="both"/>
              <w:rPr>
                <w:rFonts w:asciiTheme="minorHAnsi" w:hAnsiTheme="minorHAnsi" w:cstheme="minorHAnsi"/>
                <w:bCs/>
                <w:color w:val="000000"/>
              </w:rPr>
            </w:pPr>
            <w:r w:rsidRPr="004258F5">
              <w:rPr>
                <w:rFonts w:asciiTheme="minorHAnsi" w:hAnsiTheme="minorHAnsi" w:cstheme="minorHAnsi"/>
                <w:bCs/>
                <w:color w:val="000000"/>
              </w:rPr>
              <w:t>Profit for the year for the purpose of basic earnings per share</w:t>
            </w:r>
          </w:p>
        </w:tc>
        <w:tc>
          <w:tcPr>
            <w:tcW w:w="1559" w:type="dxa"/>
            <w:tcBorders>
              <w:top w:val="nil"/>
              <w:left w:val="nil"/>
              <w:bottom w:val="nil"/>
              <w:right w:val="nil"/>
            </w:tcBorders>
          </w:tcPr>
          <w:p w14:paraId="25C3F05F" w14:textId="0FAA13C5" w:rsidR="00B965BF" w:rsidRPr="004258F5" w:rsidRDefault="00993E3A" w:rsidP="00B965BF">
            <w:pPr>
              <w:autoSpaceDE w:val="0"/>
              <w:autoSpaceDN w:val="0"/>
              <w:adjustRightInd w:val="0"/>
              <w:ind w:right="142"/>
              <w:jc w:val="right"/>
              <w:rPr>
                <w:rFonts w:asciiTheme="minorHAnsi" w:hAnsiTheme="minorHAnsi" w:cstheme="minorHAnsi"/>
                <w:b/>
                <w:bCs/>
                <w:color w:val="000000"/>
                <w:highlight w:val="yellow"/>
              </w:rPr>
            </w:pPr>
            <w:r w:rsidRPr="004258F5">
              <w:rPr>
                <w:rFonts w:asciiTheme="minorHAnsi" w:hAnsiTheme="minorHAnsi" w:cstheme="minorHAnsi"/>
                <w:b/>
                <w:bCs/>
                <w:color w:val="000000"/>
              </w:rPr>
              <w:t>6</w:t>
            </w:r>
            <w:r w:rsidR="00F30DFC" w:rsidRPr="004258F5">
              <w:rPr>
                <w:rFonts w:asciiTheme="minorHAnsi" w:hAnsiTheme="minorHAnsi" w:cstheme="minorHAnsi"/>
                <w:b/>
                <w:bCs/>
                <w:color w:val="000000"/>
              </w:rPr>
              <w:t>9</w:t>
            </w:r>
            <w:r w:rsidRPr="004258F5">
              <w:rPr>
                <w:rFonts w:asciiTheme="minorHAnsi" w:hAnsiTheme="minorHAnsi" w:cstheme="minorHAnsi"/>
                <w:b/>
                <w:bCs/>
                <w:color w:val="000000"/>
              </w:rPr>
              <w:t>,</w:t>
            </w:r>
            <w:r w:rsidR="00B14E86">
              <w:rPr>
                <w:rFonts w:asciiTheme="minorHAnsi" w:hAnsiTheme="minorHAnsi" w:cstheme="minorHAnsi"/>
                <w:b/>
                <w:bCs/>
                <w:color w:val="000000"/>
              </w:rPr>
              <w:t>259</w:t>
            </w:r>
          </w:p>
        </w:tc>
        <w:tc>
          <w:tcPr>
            <w:tcW w:w="284" w:type="dxa"/>
            <w:tcBorders>
              <w:top w:val="nil"/>
              <w:left w:val="nil"/>
              <w:bottom w:val="nil"/>
              <w:right w:val="nil"/>
            </w:tcBorders>
          </w:tcPr>
          <w:p w14:paraId="68E9217C" w14:textId="77777777" w:rsidR="00B965BF" w:rsidRPr="004258F5" w:rsidRDefault="00B965BF" w:rsidP="00B965BF">
            <w:pPr>
              <w:autoSpaceDE w:val="0"/>
              <w:autoSpaceDN w:val="0"/>
              <w:adjustRightInd w:val="0"/>
              <w:ind w:right="142"/>
              <w:jc w:val="right"/>
              <w:rPr>
                <w:rFonts w:asciiTheme="minorHAnsi" w:hAnsiTheme="minorHAnsi" w:cstheme="minorHAnsi"/>
                <w:bCs/>
                <w:color w:val="000000"/>
                <w:highlight w:val="yellow"/>
              </w:rPr>
            </w:pPr>
          </w:p>
        </w:tc>
        <w:tc>
          <w:tcPr>
            <w:tcW w:w="1417" w:type="dxa"/>
            <w:tcBorders>
              <w:top w:val="nil"/>
              <w:left w:val="nil"/>
              <w:bottom w:val="nil"/>
              <w:right w:val="nil"/>
            </w:tcBorders>
          </w:tcPr>
          <w:p w14:paraId="52B67BFF" w14:textId="24E8D716" w:rsidR="00B965BF" w:rsidRPr="004258F5" w:rsidRDefault="00BE3FF7" w:rsidP="00B965BF">
            <w:pPr>
              <w:autoSpaceDE w:val="0"/>
              <w:autoSpaceDN w:val="0"/>
              <w:adjustRightInd w:val="0"/>
              <w:ind w:right="142"/>
              <w:jc w:val="right"/>
              <w:rPr>
                <w:rFonts w:asciiTheme="minorHAnsi" w:hAnsiTheme="minorHAnsi" w:cstheme="minorHAnsi"/>
                <w:bCs/>
                <w:color w:val="000000"/>
              </w:rPr>
            </w:pPr>
            <w:r w:rsidRPr="004258F5">
              <w:rPr>
                <w:rFonts w:asciiTheme="minorHAnsi" w:hAnsiTheme="minorHAnsi" w:cstheme="minorHAnsi"/>
                <w:bCs/>
                <w:color w:val="000000"/>
              </w:rPr>
              <w:t>57,274</w:t>
            </w:r>
          </w:p>
        </w:tc>
      </w:tr>
      <w:tr w:rsidR="00B965BF" w:rsidRPr="004258F5" w14:paraId="34EECC83" w14:textId="77777777" w:rsidTr="008F1D8E">
        <w:trPr>
          <w:trHeight w:val="227"/>
        </w:trPr>
        <w:tc>
          <w:tcPr>
            <w:tcW w:w="5954" w:type="dxa"/>
            <w:tcBorders>
              <w:top w:val="nil"/>
              <w:left w:val="nil"/>
              <w:bottom w:val="nil"/>
              <w:right w:val="nil"/>
            </w:tcBorders>
          </w:tcPr>
          <w:p w14:paraId="7F35C798" w14:textId="77777777" w:rsidR="00B965BF" w:rsidRPr="004258F5" w:rsidRDefault="00B965BF" w:rsidP="00B965BF">
            <w:pPr>
              <w:autoSpaceDE w:val="0"/>
              <w:autoSpaceDN w:val="0"/>
              <w:adjustRightInd w:val="0"/>
              <w:ind w:right="142"/>
              <w:jc w:val="both"/>
              <w:rPr>
                <w:rFonts w:asciiTheme="minorHAnsi" w:hAnsiTheme="minorHAnsi" w:cstheme="minorHAnsi"/>
                <w:b/>
                <w:bCs/>
                <w:color w:val="000000"/>
              </w:rPr>
            </w:pPr>
          </w:p>
        </w:tc>
        <w:tc>
          <w:tcPr>
            <w:tcW w:w="1559" w:type="dxa"/>
            <w:tcBorders>
              <w:top w:val="single" w:sz="4" w:space="0" w:color="auto"/>
              <w:left w:val="nil"/>
              <w:bottom w:val="nil"/>
              <w:right w:val="nil"/>
            </w:tcBorders>
          </w:tcPr>
          <w:p w14:paraId="4D370AA1" w14:textId="77777777" w:rsidR="00B965BF" w:rsidRPr="004258F5" w:rsidRDefault="00B965BF" w:rsidP="00B965BF">
            <w:pPr>
              <w:autoSpaceDE w:val="0"/>
              <w:autoSpaceDN w:val="0"/>
              <w:adjustRightInd w:val="0"/>
              <w:ind w:right="142"/>
              <w:jc w:val="right"/>
              <w:rPr>
                <w:rFonts w:asciiTheme="minorHAnsi" w:hAnsiTheme="minorHAnsi" w:cstheme="minorHAnsi"/>
                <w:b/>
                <w:bCs/>
                <w:color w:val="000000"/>
                <w:highlight w:val="yellow"/>
              </w:rPr>
            </w:pPr>
          </w:p>
        </w:tc>
        <w:tc>
          <w:tcPr>
            <w:tcW w:w="284" w:type="dxa"/>
            <w:tcBorders>
              <w:top w:val="nil"/>
              <w:left w:val="nil"/>
              <w:bottom w:val="nil"/>
              <w:right w:val="nil"/>
            </w:tcBorders>
          </w:tcPr>
          <w:p w14:paraId="539F986E" w14:textId="77777777" w:rsidR="00B965BF" w:rsidRPr="004258F5" w:rsidRDefault="00B965BF" w:rsidP="00B965BF">
            <w:pPr>
              <w:autoSpaceDE w:val="0"/>
              <w:autoSpaceDN w:val="0"/>
              <w:adjustRightInd w:val="0"/>
              <w:ind w:right="142"/>
              <w:jc w:val="right"/>
              <w:rPr>
                <w:rFonts w:asciiTheme="minorHAnsi" w:hAnsiTheme="minorHAnsi" w:cstheme="minorHAnsi"/>
                <w:bCs/>
                <w:color w:val="000000"/>
                <w:highlight w:val="yellow"/>
              </w:rPr>
            </w:pPr>
          </w:p>
        </w:tc>
        <w:tc>
          <w:tcPr>
            <w:tcW w:w="1417" w:type="dxa"/>
            <w:tcBorders>
              <w:top w:val="single" w:sz="4" w:space="0" w:color="auto"/>
              <w:left w:val="nil"/>
              <w:bottom w:val="nil"/>
              <w:right w:val="nil"/>
            </w:tcBorders>
          </w:tcPr>
          <w:p w14:paraId="2CA79AEA" w14:textId="77777777" w:rsidR="00B965BF" w:rsidRPr="004258F5" w:rsidRDefault="00B965BF" w:rsidP="00B965BF">
            <w:pPr>
              <w:autoSpaceDE w:val="0"/>
              <w:autoSpaceDN w:val="0"/>
              <w:adjustRightInd w:val="0"/>
              <w:ind w:right="142"/>
              <w:jc w:val="right"/>
              <w:rPr>
                <w:rFonts w:asciiTheme="minorHAnsi" w:hAnsiTheme="minorHAnsi" w:cstheme="minorHAnsi"/>
                <w:bCs/>
                <w:color w:val="000000"/>
              </w:rPr>
            </w:pPr>
          </w:p>
        </w:tc>
      </w:tr>
      <w:tr w:rsidR="00B965BF" w:rsidRPr="004258F5" w14:paraId="5616CC4B" w14:textId="77777777" w:rsidTr="008F1D8E">
        <w:trPr>
          <w:trHeight w:val="453"/>
        </w:trPr>
        <w:tc>
          <w:tcPr>
            <w:tcW w:w="5954" w:type="dxa"/>
            <w:tcBorders>
              <w:top w:val="nil"/>
              <w:left w:val="nil"/>
              <w:bottom w:val="nil"/>
              <w:right w:val="nil"/>
            </w:tcBorders>
          </w:tcPr>
          <w:p w14:paraId="48289EB2" w14:textId="47FA7ECB" w:rsidR="00B965BF" w:rsidRPr="004258F5" w:rsidRDefault="00B965BF" w:rsidP="00B965BF">
            <w:pPr>
              <w:autoSpaceDE w:val="0"/>
              <w:autoSpaceDN w:val="0"/>
              <w:adjustRightInd w:val="0"/>
              <w:ind w:right="142"/>
              <w:jc w:val="both"/>
              <w:rPr>
                <w:rFonts w:asciiTheme="minorHAnsi" w:hAnsiTheme="minorHAnsi" w:cstheme="minorHAnsi"/>
                <w:color w:val="000000"/>
              </w:rPr>
            </w:pPr>
            <w:r w:rsidRPr="004258F5">
              <w:rPr>
                <w:rFonts w:asciiTheme="minorHAnsi" w:hAnsiTheme="minorHAnsi" w:cstheme="minorHAnsi"/>
                <w:color w:val="000000"/>
              </w:rPr>
              <w:t xml:space="preserve">Profit for the year for the purpose of diluted earnings per share </w:t>
            </w:r>
          </w:p>
        </w:tc>
        <w:tc>
          <w:tcPr>
            <w:tcW w:w="1559" w:type="dxa"/>
            <w:tcBorders>
              <w:top w:val="nil"/>
              <w:left w:val="nil"/>
              <w:bottom w:val="single" w:sz="12" w:space="0" w:color="auto"/>
              <w:right w:val="nil"/>
            </w:tcBorders>
          </w:tcPr>
          <w:p w14:paraId="595CFC16" w14:textId="0AC53639" w:rsidR="00B965BF" w:rsidRPr="004258F5" w:rsidRDefault="00F30DFC" w:rsidP="00B965BF">
            <w:pPr>
              <w:autoSpaceDE w:val="0"/>
              <w:autoSpaceDN w:val="0"/>
              <w:adjustRightInd w:val="0"/>
              <w:ind w:right="142"/>
              <w:jc w:val="right"/>
              <w:rPr>
                <w:rFonts w:asciiTheme="minorHAnsi" w:hAnsiTheme="minorHAnsi" w:cstheme="minorHAnsi"/>
                <w:b/>
                <w:bCs/>
                <w:color w:val="000000"/>
                <w:highlight w:val="yellow"/>
              </w:rPr>
            </w:pPr>
            <w:r w:rsidRPr="004258F5">
              <w:rPr>
                <w:rFonts w:asciiTheme="minorHAnsi" w:hAnsiTheme="minorHAnsi" w:cstheme="minorHAnsi"/>
                <w:b/>
                <w:bCs/>
                <w:color w:val="000000"/>
              </w:rPr>
              <w:t>69,</w:t>
            </w:r>
            <w:r w:rsidR="00B14E86">
              <w:rPr>
                <w:rFonts w:asciiTheme="minorHAnsi" w:hAnsiTheme="minorHAnsi" w:cstheme="minorHAnsi"/>
                <w:b/>
                <w:bCs/>
                <w:color w:val="000000"/>
              </w:rPr>
              <w:t>259</w:t>
            </w:r>
          </w:p>
        </w:tc>
        <w:tc>
          <w:tcPr>
            <w:tcW w:w="284" w:type="dxa"/>
            <w:tcBorders>
              <w:top w:val="nil"/>
              <w:left w:val="nil"/>
              <w:bottom w:val="nil"/>
              <w:right w:val="nil"/>
            </w:tcBorders>
          </w:tcPr>
          <w:p w14:paraId="5F3FC7A2" w14:textId="77777777" w:rsidR="00B965BF" w:rsidRPr="004258F5" w:rsidRDefault="00B965BF" w:rsidP="00B965BF">
            <w:pPr>
              <w:autoSpaceDE w:val="0"/>
              <w:autoSpaceDN w:val="0"/>
              <w:adjustRightInd w:val="0"/>
              <w:ind w:right="142"/>
              <w:jc w:val="right"/>
              <w:rPr>
                <w:rFonts w:asciiTheme="minorHAnsi" w:hAnsiTheme="minorHAnsi" w:cstheme="minorHAnsi"/>
                <w:bCs/>
                <w:color w:val="000000"/>
                <w:highlight w:val="yellow"/>
              </w:rPr>
            </w:pPr>
          </w:p>
        </w:tc>
        <w:tc>
          <w:tcPr>
            <w:tcW w:w="1417" w:type="dxa"/>
            <w:tcBorders>
              <w:top w:val="nil"/>
              <w:left w:val="nil"/>
              <w:bottom w:val="single" w:sz="12" w:space="0" w:color="auto"/>
              <w:right w:val="nil"/>
            </w:tcBorders>
          </w:tcPr>
          <w:p w14:paraId="2CDA846B" w14:textId="557916DC" w:rsidR="00B965BF" w:rsidRPr="004258F5" w:rsidRDefault="00BE3FF7" w:rsidP="00B965BF">
            <w:pPr>
              <w:autoSpaceDE w:val="0"/>
              <w:autoSpaceDN w:val="0"/>
              <w:adjustRightInd w:val="0"/>
              <w:ind w:right="142"/>
              <w:jc w:val="right"/>
              <w:rPr>
                <w:rFonts w:asciiTheme="minorHAnsi" w:hAnsiTheme="minorHAnsi" w:cstheme="minorHAnsi"/>
                <w:bCs/>
                <w:color w:val="000000"/>
              </w:rPr>
            </w:pPr>
            <w:r w:rsidRPr="004258F5">
              <w:rPr>
                <w:rFonts w:asciiTheme="minorHAnsi" w:hAnsiTheme="minorHAnsi" w:cstheme="minorHAnsi"/>
                <w:bCs/>
                <w:color w:val="000000"/>
              </w:rPr>
              <w:t>57,274</w:t>
            </w:r>
          </w:p>
        </w:tc>
      </w:tr>
      <w:tr w:rsidR="002C26B8" w:rsidRPr="004258F5" w14:paraId="2C5C0F81" w14:textId="77777777" w:rsidTr="008F1D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5954" w:type="dxa"/>
          </w:tcPr>
          <w:p w14:paraId="43A847C4" w14:textId="77777777" w:rsidR="002C26B8" w:rsidRPr="004258F5" w:rsidRDefault="002C26B8" w:rsidP="002C26B8">
            <w:pPr>
              <w:autoSpaceDE w:val="0"/>
              <w:autoSpaceDN w:val="0"/>
              <w:adjustRightInd w:val="0"/>
              <w:ind w:right="142"/>
              <w:jc w:val="both"/>
              <w:rPr>
                <w:rFonts w:asciiTheme="minorHAnsi" w:hAnsiTheme="minorHAnsi" w:cstheme="minorHAnsi"/>
                <w:bCs/>
                <w:color w:val="000000"/>
              </w:rPr>
            </w:pPr>
          </w:p>
        </w:tc>
        <w:tc>
          <w:tcPr>
            <w:tcW w:w="1559" w:type="dxa"/>
            <w:tcBorders>
              <w:top w:val="single" w:sz="12" w:space="0" w:color="auto"/>
            </w:tcBorders>
          </w:tcPr>
          <w:p w14:paraId="29D600F9" w14:textId="77777777" w:rsidR="002C26B8" w:rsidRPr="004258F5" w:rsidRDefault="002C26B8" w:rsidP="002C26B8">
            <w:pPr>
              <w:autoSpaceDE w:val="0"/>
              <w:autoSpaceDN w:val="0"/>
              <w:adjustRightInd w:val="0"/>
              <w:ind w:right="142"/>
              <w:jc w:val="both"/>
              <w:rPr>
                <w:rFonts w:asciiTheme="minorHAnsi" w:hAnsiTheme="minorHAnsi" w:cstheme="minorHAnsi"/>
                <w:b/>
                <w:bCs/>
                <w:color w:val="000000"/>
                <w:highlight w:val="yellow"/>
              </w:rPr>
            </w:pPr>
          </w:p>
        </w:tc>
        <w:tc>
          <w:tcPr>
            <w:tcW w:w="284" w:type="dxa"/>
          </w:tcPr>
          <w:p w14:paraId="11F010F9" w14:textId="77777777" w:rsidR="002C26B8" w:rsidRPr="004258F5" w:rsidRDefault="002C26B8" w:rsidP="002C26B8">
            <w:pPr>
              <w:autoSpaceDE w:val="0"/>
              <w:autoSpaceDN w:val="0"/>
              <w:adjustRightInd w:val="0"/>
              <w:ind w:right="142"/>
              <w:jc w:val="both"/>
              <w:rPr>
                <w:rFonts w:asciiTheme="minorHAnsi" w:hAnsiTheme="minorHAnsi" w:cstheme="minorHAnsi"/>
                <w:bCs/>
                <w:color w:val="000000"/>
                <w:highlight w:val="yellow"/>
              </w:rPr>
            </w:pPr>
          </w:p>
        </w:tc>
        <w:tc>
          <w:tcPr>
            <w:tcW w:w="1417" w:type="dxa"/>
            <w:tcBorders>
              <w:top w:val="single" w:sz="12" w:space="0" w:color="auto"/>
            </w:tcBorders>
          </w:tcPr>
          <w:p w14:paraId="41C7E2FE" w14:textId="77777777" w:rsidR="002C26B8" w:rsidRPr="004258F5" w:rsidRDefault="002C26B8" w:rsidP="002C26B8">
            <w:pPr>
              <w:autoSpaceDE w:val="0"/>
              <w:autoSpaceDN w:val="0"/>
              <w:adjustRightInd w:val="0"/>
              <w:ind w:right="142"/>
              <w:jc w:val="both"/>
              <w:rPr>
                <w:rFonts w:asciiTheme="minorHAnsi" w:hAnsiTheme="minorHAnsi" w:cstheme="minorHAnsi"/>
                <w:bCs/>
                <w:color w:val="000000"/>
              </w:rPr>
            </w:pPr>
          </w:p>
        </w:tc>
      </w:tr>
      <w:tr w:rsidR="002C26B8" w:rsidRPr="004258F5" w14:paraId="26FEC9A2" w14:textId="77777777" w:rsidTr="008F1D8E">
        <w:trPr>
          <w:trHeight w:val="227"/>
        </w:trPr>
        <w:tc>
          <w:tcPr>
            <w:tcW w:w="5954" w:type="dxa"/>
            <w:tcBorders>
              <w:top w:val="nil"/>
              <w:left w:val="nil"/>
              <w:bottom w:val="nil"/>
              <w:right w:val="nil"/>
            </w:tcBorders>
          </w:tcPr>
          <w:p w14:paraId="62CB8A8C" w14:textId="77777777" w:rsidR="002C26B8" w:rsidRPr="004258F5" w:rsidRDefault="002C26B8" w:rsidP="002C26B8">
            <w:pPr>
              <w:autoSpaceDE w:val="0"/>
              <w:autoSpaceDN w:val="0"/>
              <w:adjustRightInd w:val="0"/>
              <w:ind w:right="142"/>
              <w:jc w:val="both"/>
              <w:rPr>
                <w:rFonts w:asciiTheme="minorHAnsi" w:hAnsiTheme="minorHAnsi" w:cstheme="minorHAnsi"/>
                <w:b/>
                <w:bCs/>
                <w:color w:val="000000"/>
              </w:rPr>
            </w:pPr>
            <w:r w:rsidRPr="004258F5">
              <w:rPr>
                <w:rFonts w:asciiTheme="minorHAnsi" w:hAnsiTheme="minorHAnsi" w:cstheme="minorHAnsi"/>
                <w:b/>
                <w:bCs/>
                <w:color w:val="000000"/>
              </w:rPr>
              <w:t>Number of shares</w:t>
            </w:r>
          </w:p>
        </w:tc>
        <w:tc>
          <w:tcPr>
            <w:tcW w:w="1559" w:type="dxa"/>
            <w:tcBorders>
              <w:top w:val="nil"/>
              <w:left w:val="nil"/>
              <w:bottom w:val="nil"/>
              <w:right w:val="nil"/>
            </w:tcBorders>
          </w:tcPr>
          <w:p w14:paraId="358F1006" w14:textId="38E7FD03" w:rsidR="002C26B8" w:rsidRPr="004258F5" w:rsidRDefault="00B965BF" w:rsidP="002C26B8">
            <w:pPr>
              <w:autoSpaceDE w:val="0"/>
              <w:autoSpaceDN w:val="0"/>
              <w:adjustRightInd w:val="0"/>
              <w:ind w:right="142"/>
              <w:jc w:val="right"/>
              <w:rPr>
                <w:rFonts w:asciiTheme="minorHAnsi" w:hAnsiTheme="minorHAnsi" w:cstheme="minorHAnsi"/>
                <w:b/>
                <w:bCs/>
                <w:color w:val="000000"/>
              </w:rPr>
            </w:pPr>
            <w:r w:rsidRPr="004258F5">
              <w:rPr>
                <w:rFonts w:asciiTheme="minorHAnsi" w:hAnsiTheme="minorHAnsi" w:cstheme="minorHAnsi"/>
                <w:b/>
                <w:bCs/>
                <w:color w:val="000000"/>
              </w:rPr>
              <w:t>202</w:t>
            </w:r>
            <w:r w:rsidR="00BE3FF7" w:rsidRPr="004258F5">
              <w:rPr>
                <w:rFonts w:asciiTheme="minorHAnsi" w:hAnsiTheme="minorHAnsi" w:cstheme="minorHAnsi"/>
                <w:b/>
                <w:bCs/>
                <w:color w:val="000000"/>
              </w:rPr>
              <w:t>3</w:t>
            </w:r>
          </w:p>
        </w:tc>
        <w:tc>
          <w:tcPr>
            <w:tcW w:w="284" w:type="dxa"/>
            <w:tcBorders>
              <w:top w:val="nil"/>
              <w:left w:val="nil"/>
              <w:bottom w:val="nil"/>
              <w:right w:val="nil"/>
            </w:tcBorders>
          </w:tcPr>
          <w:p w14:paraId="4C6696FD" w14:textId="77777777" w:rsidR="002C26B8" w:rsidRPr="004258F5" w:rsidRDefault="002C26B8" w:rsidP="002C26B8">
            <w:pPr>
              <w:autoSpaceDE w:val="0"/>
              <w:autoSpaceDN w:val="0"/>
              <w:adjustRightInd w:val="0"/>
              <w:ind w:right="142"/>
              <w:jc w:val="right"/>
              <w:rPr>
                <w:rFonts w:asciiTheme="minorHAnsi" w:hAnsiTheme="minorHAnsi" w:cstheme="minorHAnsi"/>
                <w:b/>
                <w:bCs/>
                <w:color w:val="000000"/>
                <w:highlight w:val="yellow"/>
              </w:rPr>
            </w:pPr>
          </w:p>
        </w:tc>
        <w:tc>
          <w:tcPr>
            <w:tcW w:w="1417" w:type="dxa"/>
            <w:tcBorders>
              <w:top w:val="nil"/>
              <w:left w:val="nil"/>
              <w:bottom w:val="nil"/>
              <w:right w:val="nil"/>
            </w:tcBorders>
          </w:tcPr>
          <w:p w14:paraId="16BB3577" w14:textId="292BCF4F" w:rsidR="002C26B8" w:rsidRPr="004258F5" w:rsidRDefault="00B965BF" w:rsidP="002C26B8">
            <w:pPr>
              <w:autoSpaceDE w:val="0"/>
              <w:autoSpaceDN w:val="0"/>
              <w:adjustRightInd w:val="0"/>
              <w:ind w:right="142"/>
              <w:jc w:val="right"/>
              <w:rPr>
                <w:rFonts w:asciiTheme="minorHAnsi" w:hAnsiTheme="minorHAnsi" w:cstheme="minorHAnsi"/>
                <w:b/>
                <w:bCs/>
                <w:color w:val="000000"/>
              </w:rPr>
            </w:pPr>
            <w:r w:rsidRPr="004258F5">
              <w:rPr>
                <w:rFonts w:asciiTheme="minorHAnsi" w:hAnsiTheme="minorHAnsi" w:cstheme="minorHAnsi"/>
                <w:b/>
                <w:bCs/>
                <w:color w:val="000000"/>
              </w:rPr>
              <w:t>202</w:t>
            </w:r>
            <w:r w:rsidR="00BE3FF7" w:rsidRPr="004258F5">
              <w:rPr>
                <w:rFonts w:asciiTheme="minorHAnsi" w:hAnsiTheme="minorHAnsi" w:cstheme="minorHAnsi"/>
                <w:b/>
                <w:bCs/>
                <w:color w:val="000000"/>
              </w:rPr>
              <w:t>2</w:t>
            </w:r>
          </w:p>
        </w:tc>
      </w:tr>
      <w:tr w:rsidR="002C26B8" w:rsidRPr="004258F5" w14:paraId="58FD5AAA" w14:textId="77777777" w:rsidTr="008F1D8E">
        <w:trPr>
          <w:trHeight w:val="240"/>
        </w:trPr>
        <w:tc>
          <w:tcPr>
            <w:tcW w:w="5954" w:type="dxa"/>
            <w:tcBorders>
              <w:top w:val="nil"/>
              <w:left w:val="nil"/>
              <w:bottom w:val="nil"/>
              <w:right w:val="nil"/>
            </w:tcBorders>
          </w:tcPr>
          <w:p w14:paraId="178A168F" w14:textId="77777777" w:rsidR="002C26B8" w:rsidRPr="004258F5" w:rsidRDefault="002C26B8" w:rsidP="002C26B8">
            <w:pPr>
              <w:autoSpaceDE w:val="0"/>
              <w:autoSpaceDN w:val="0"/>
              <w:adjustRightInd w:val="0"/>
              <w:ind w:right="142"/>
              <w:jc w:val="both"/>
              <w:rPr>
                <w:rFonts w:asciiTheme="minorHAnsi" w:hAnsiTheme="minorHAnsi" w:cstheme="minorHAnsi"/>
                <w:b/>
                <w:bCs/>
                <w:color w:val="000000"/>
              </w:rPr>
            </w:pPr>
          </w:p>
        </w:tc>
        <w:tc>
          <w:tcPr>
            <w:tcW w:w="1559" w:type="dxa"/>
            <w:tcBorders>
              <w:top w:val="nil"/>
              <w:left w:val="nil"/>
              <w:bottom w:val="nil"/>
              <w:right w:val="nil"/>
            </w:tcBorders>
          </w:tcPr>
          <w:p w14:paraId="27902319" w14:textId="77777777" w:rsidR="002C26B8" w:rsidRPr="004258F5" w:rsidRDefault="002C26B8" w:rsidP="002C26B8">
            <w:pPr>
              <w:autoSpaceDE w:val="0"/>
              <w:autoSpaceDN w:val="0"/>
              <w:adjustRightInd w:val="0"/>
              <w:ind w:right="142"/>
              <w:jc w:val="right"/>
              <w:rPr>
                <w:rFonts w:asciiTheme="minorHAnsi" w:hAnsiTheme="minorHAnsi" w:cstheme="minorHAnsi"/>
                <w:b/>
                <w:bCs/>
                <w:color w:val="000000"/>
              </w:rPr>
            </w:pPr>
            <w:r w:rsidRPr="004258F5">
              <w:rPr>
                <w:rFonts w:asciiTheme="minorHAnsi" w:hAnsiTheme="minorHAnsi" w:cstheme="minorHAnsi"/>
                <w:b/>
                <w:bCs/>
                <w:color w:val="000000"/>
              </w:rPr>
              <w:t>No.</w:t>
            </w:r>
          </w:p>
        </w:tc>
        <w:tc>
          <w:tcPr>
            <w:tcW w:w="284" w:type="dxa"/>
            <w:tcBorders>
              <w:top w:val="nil"/>
              <w:left w:val="nil"/>
              <w:bottom w:val="nil"/>
              <w:right w:val="nil"/>
            </w:tcBorders>
          </w:tcPr>
          <w:p w14:paraId="5F9F43EE" w14:textId="77777777" w:rsidR="002C26B8" w:rsidRPr="004258F5" w:rsidRDefault="002C26B8" w:rsidP="002C26B8">
            <w:pPr>
              <w:autoSpaceDE w:val="0"/>
              <w:autoSpaceDN w:val="0"/>
              <w:adjustRightInd w:val="0"/>
              <w:ind w:right="142"/>
              <w:jc w:val="right"/>
              <w:rPr>
                <w:rFonts w:asciiTheme="minorHAnsi" w:hAnsiTheme="minorHAnsi" w:cstheme="minorHAnsi"/>
                <w:bCs/>
                <w:color w:val="000000"/>
                <w:highlight w:val="yellow"/>
              </w:rPr>
            </w:pPr>
          </w:p>
        </w:tc>
        <w:tc>
          <w:tcPr>
            <w:tcW w:w="1417" w:type="dxa"/>
            <w:tcBorders>
              <w:top w:val="nil"/>
              <w:left w:val="nil"/>
              <w:bottom w:val="nil"/>
              <w:right w:val="nil"/>
            </w:tcBorders>
          </w:tcPr>
          <w:p w14:paraId="7BFDF718" w14:textId="30A99A4B" w:rsidR="002C26B8" w:rsidRPr="004258F5" w:rsidRDefault="002C26B8" w:rsidP="002C26B8">
            <w:pPr>
              <w:autoSpaceDE w:val="0"/>
              <w:autoSpaceDN w:val="0"/>
              <w:adjustRightInd w:val="0"/>
              <w:ind w:right="142"/>
              <w:jc w:val="right"/>
              <w:rPr>
                <w:rFonts w:asciiTheme="minorHAnsi" w:hAnsiTheme="minorHAnsi" w:cstheme="minorHAnsi"/>
                <w:b/>
                <w:bCs/>
                <w:color w:val="000000"/>
              </w:rPr>
            </w:pPr>
            <w:r w:rsidRPr="004258F5">
              <w:rPr>
                <w:rFonts w:asciiTheme="minorHAnsi" w:hAnsiTheme="minorHAnsi" w:cstheme="minorHAnsi"/>
                <w:b/>
                <w:bCs/>
                <w:color w:val="000000"/>
              </w:rPr>
              <w:t>No.</w:t>
            </w:r>
          </w:p>
        </w:tc>
      </w:tr>
      <w:tr w:rsidR="00BE3FF7" w:rsidRPr="004258F5" w14:paraId="74356EFF" w14:textId="77777777" w:rsidTr="00F30DFC">
        <w:trPr>
          <w:trHeight w:val="227"/>
        </w:trPr>
        <w:tc>
          <w:tcPr>
            <w:tcW w:w="5954" w:type="dxa"/>
            <w:tcBorders>
              <w:top w:val="nil"/>
              <w:left w:val="nil"/>
              <w:bottom w:val="nil"/>
              <w:right w:val="nil"/>
            </w:tcBorders>
          </w:tcPr>
          <w:p w14:paraId="0A8C0AD8" w14:textId="77777777" w:rsidR="00BE3FF7" w:rsidRPr="004258F5" w:rsidRDefault="00BE3FF7" w:rsidP="00BE3FF7">
            <w:pPr>
              <w:autoSpaceDE w:val="0"/>
              <w:autoSpaceDN w:val="0"/>
              <w:adjustRightInd w:val="0"/>
              <w:ind w:right="142"/>
              <w:jc w:val="both"/>
              <w:rPr>
                <w:rFonts w:asciiTheme="minorHAnsi" w:hAnsiTheme="minorHAnsi" w:cstheme="minorHAnsi"/>
                <w:color w:val="000000"/>
              </w:rPr>
            </w:pPr>
            <w:r w:rsidRPr="004258F5">
              <w:rPr>
                <w:rFonts w:asciiTheme="minorHAnsi" w:hAnsiTheme="minorHAnsi" w:cstheme="minorHAnsi"/>
                <w:color w:val="000000"/>
              </w:rPr>
              <w:t>Weighted average number of ordinary shares for the purpose of basic earnings per share (excludes treasury shares)</w:t>
            </w:r>
          </w:p>
        </w:tc>
        <w:tc>
          <w:tcPr>
            <w:tcW w:w="1559" w:type="dxa"/>
            <w:tcBorders>
              <w:top w:val="nil"/>
              <w:left w:val="nil"/>
              <w:bottom w:val="nil"/>
              <w:right w:val="nil"/>
            </w:tcBorders>
            <w:shd w:val="clear" w:color="auto" w:fill="auto"/>
          </w:tcPr>
          <w:p w14:paraId="5806DDCA" w14:textId="77777777" w:rsidR="00BE3FF7" w:rsidRPr="004258F5" w:rsidRDefault="00BE3FF7" w:rsidP="00BE3FF7">
            <w:pPr>
              <w:autoSpaceDE w:val="0"/>
              <w:autoSpaceDN w:val="0"/>
              <w:adjustRightInd w:val="0"/>
              <w:ind w:right="142"/>
              <w:jc w:val="right"/>
              <w:rPr>
                <w:rFonts w:asciiTheme="minorHAnsi" w:hAnsiTheme="minorHAnsi" w:cstheme="minorHAnsi"/>
                <w:b/>
                <w:color w:val="000000"/>
              </w:rPr>
            </w:pPr>
          </w:p>
          <w:p w14:paraId="4F4EDB59" w14:textId="5C4DA6BC" w:rsidR="00BE3FF7" w:rsidRPr="004258F5" w:rsidRDefault="00484724" w:rsidP="00BE3FF7">
            <w:pPr>
              <w:autoSpaceDE w:val="0"/>
              <w:autoSpaceDN w:val="0"/>
              <w:adjustRightInd w:val="0"/>
              <w:ind w:right="142"/>
              <w:jc w:val="right"/>
              <w:rPr>
                <w:rFonts w:asciiTheme="minorHAnsi" w:hAnsiTheme="minorHAnsi" w:cstheme="minorHAnsi"/>
                <w:b/>
                <w:color w:val="000000"/>
              </w:rPr>
            </w:pPr>
            <w:r>
              <w:rPr>
                <w:rFonts w:asciiTheme="minorHAnsi" w:hAnsiTheme="minorHAnsi" w:cstheme="minorHAnsi"/>
                <w:b/>
                <w:color w:val="000000"/>
              </w:rPr>
              <w:t>35,787,761</w:t>
            </w:r>
          </w:p>
        </w:tc>
        <w:tc>
          <w:tcPr>
            <w:tcW w:w="284" w:type="dxa"/>
            <w:tcBorders>
              <w:top w:val="nil"/>
              <w:left w:val="nil"/>
              <w:bottom w:val="nil"/>
              <w:right w:val="nil"/>
            </w:tcBorders>
          </w:tcPr>
          <w:p w14:paraId="1F41CDC9" w14:textId="77777777" w:rsidR="00BE3FF7" w:rsidRPr="004258F5" w:rsidRDefault="00BE3FF7" w:rsidP="00BE3FF7">
            <w:pPr>
              <w:autoSpaceDE w:val="0"/>
              <w:autoSpaceDN w:val="0"/>
              <w:adjustRightInd w:val="0"/>
              <w:ind w:right="142"/>
              <w:jc w:val="right"/>
              <w:rPr>
                <w:rFonts w:asciiTheme="minorHAnsi" w:hAnsiTheme="minorHAnsi" w:cstheme="minorHAnsi"/>
                <w:color w:val="000000"/>
                <w:highlight w:val="yellow"/>
              </w:rPr>
            </w:pPr>
          </w:p>
        </w:tc>
        <w:tc>
          <w:tcPr>
            <w:tcW w:w="1417" w:type="dxa"/>
            <w:tcBorders>
              <w:top w:val="nil"/>
              <w:left w:val="nil"/>
              <w:bottom w:val="nil"/>
              <w:right w:val="nil"/>
            </w:tcBorders>
          </w:tcPr>
          <w:p w14:paraId="005428A3" w14:textId="77777777" w:rsidR="00BE3FF7" w:rsidRPr="004258F5" w:rsidRDefault="00BE3FF7" w:rsidP="00BE3FF7">
            <w:pPr>
              <w:autoSpaceDE w:val="0"/>
              <w:autoSpaceDN w:val="0"/>
              <w:adjustRightInd w:val="0"/>
              <w:ind w:right="142"/>
              <w:jc w:val="right"/>
              <w:rPr>
                <w:rFonts w:asciiTheme="minorHAnsi" w:hAnsiTheme="minorHAnsi" w:cstheme="minorHAnsi"/>
                <w:bCs/>
                <w:color w:val="000000"/>
              </w:rPr>
            </w:pPr>
          </w:p>
          <w:p w14:paraId="680DCB19" w14:textId="37A7AC4A" w:rsidR="00BE3FF7" w:rsidRPr="004258F5" w:rsidRDefault="00BE3FF7" w:rsidP="00BE3FF7">
            <w:pPr>
              <w:autoSpaceDE w:val="0"/>
              <w:autoSpaceDN w:val="0"/>
              <w:adjustRightInd w:val="0"/>
              <w:ind w:right="142"/>
              <w:jc w:val="right"/>
              <w:rPr>
                <w:rFonts w:asciiTheme="minorHAnsi" w:hAnsiTheme="minorHAnsi" w:cstheme="minorHAnsi"/>
                <w:bCs/>
                <w:color w:val="000000"/>
              </w:rPr>
            </w:pPr>
            <w:r w:rsidRPr="004258F5">
              <w:rPr>
                <w:rFonts w:asciiTheme="minorHAnsi" w:hAnsiTheme="minorHAnsi" w:cstheme="minorHAnsi"/>
                <w:bCs/>
                <w:color w:val="000000"/>
              </w:rPr>
              <w:t>35,507,806</w:t>
            </w:r>
          </w:p>
        </w:tc>
      </w:tr>
      <w:tr w:rsidR="00BE3FF7" w:rsidRPr="004258F5" w14:paraId="6F58CA13" w14:textId="77777777" w:rsidTr="00F30DFC">
        <w:trPr>
          <w:trHeight w:val="227"/>
        </w:trPr>
        <w:tc>
          <w:tcPr>
            <w:tcW w:w="5954" w:type="dxa"/>
            <w:tcBorders>
              <w:top w:val="nil"/>
              <w:left w:val="nil"/>
              <w:bottom w:val="nil"/>
              <w:right w:val="nil"/>
            </w:tcBorders>
          </w:tcPr>
          <w:p w14:paraId="40F02293" w14:textId="77777777" w:rsidR="00BE3FF7" w:rsidRPr="004258F5" w:rsidRDefault="00BE3FF7" w:rsidP="00BE3FF7">
            <w:pPr>
              <w:autoSpaceDE w:val="0"/>
              <w:autoSpaceDN w:val="0"/>
              <w:adjustRightInd w:val="0"/>
              <w:ind w:right="142"/>
              <w:jc w:val="both"/>
              <w:rPr>
                <w:rFonts w:asciiTheme="minorHAnsi" w:hAnsiTheme="minorHAnsi" w:cstheme="minorHAnsi"/>
                <w:color w:val="000000"/>
              </w:rPr>
            </w:pPr>
          </w:p>
        </w:tc>
        <w:tc>
          <w:tcPr>
            <w:tcW w:w="1559" w:type="dxa"/>
            <w:tcBorders>
              <w:top w:val="single" w:sz="12" w:space="0" w:color="auto"/>
              <w:left w:val="nil"/>
              <w:bottom w:val="nil"/>
              <w:right w:val="nil"/>
            </w:tcBorders>
            <w:shd w:val="clear" w:color="auto" w:fill="auto"/>
          </w:tcPr>
          <w:p w14:paraId="576B37A5" w14:textId="77777777" w:rsidR="00BE3FF7" w:rsidRPr="004258F5" w:rsidRDefault="00BE3FF7" w:rsidP="00BE3FF7">
            <w:pPr>
              <w:autoSpaceDE w:val="0"/>
              <w:autoSpaceDN w:val="0"/>
              <w:adjustRightInd w:val="0"/>
              <w:ind w:right="142"/>
              <w:jc w:val="right"/>
              <w:rPr>
                <w:rFonts w:asciiTheme="minorHAnsi" w:hAnsiTheme="minorHAnsi" w:cstheme="minorHAnsi"/>
                <w:b/>
                <w:color w:val="000000"/>
              </w:rPr>
            </w:pPr>
          </w:p>
        </w:tc>
        <w:tc>
          <w:tcPr>
            <w:tcW w:w="284" w:type="dxa"/>
            <w:tcBorders>
              <w:top w:val="nil"/>
              <w:left w:val="nil"/>
              <w:bottom w:val="nil"/>
              <w:right w:val="nil"/>
            </w:tcBorders>
          </w:tcPr>
          <w:p w14:paraId="47429167" w14:textId="77777777" w:rsidR="00BE3FF7" w:rsidRPr="004258F5" w:rsidRDefault="00BE3FF7" w:rsidP="00BE3FF7">
            <w:pPr>
              <w:autoSpaceDE w:val="0"/>
              <w:autoSpaceDN w:val="0"/>
              <w:adjustRightInd w:val="0"/>
              <w:ind w:right="142"/>
              <w:jc w:val="right"/>
              <w:rPr>
                <w:rFonts w:asciiTheme="minorHAnsi" w:hAnsiTheme="minorHAnsi" w:cstheme="minorHAnsi"/>
                <w:b/>
                <w:color w:val="000000"/>
                <w:highlight w:val="yellow"/>
              </w:rPr>
            </w:pPr>
          </w:p>
        </w:tc>
        <w:tc>
          <w:tcPr>
            <w:tcW w:w="1417" w:type="dxa"/>
            <w:tcBorders>
              <w:top w:val="single" w:sz="12" w:space="0" w:color="auto"/>
              <w:left w:val="nil"/>
              <w:bottom w:val="nil"/>
              <w:right w:val="nil"/>
            </w:tcBorders>
          </w:tcPr>
          <w:p w14:paraId="5FD0FBCD" w14:textId="77777777" w:rsidR="00BE3FF7" w:rsidRPr="004258F5" w:rsidRDefault="00BE3FF7" w:rsidP="00BE3FF7">
            <w:pPr>
              <w:autoSpaceDE w:val="0"/>
              <w:autoSpaceDN w:val="0"/>
              <w:adjustRightInd w:val="0"/>
              <w:ind w:right="142"/>
              <w:jc w:val="right"/>
              <w:rPr>
                <w:rFonts w:asciiTheme="minorHAnsi" w:hAnsiTheme="minorHAnsi" w:cstheme="minorHAnsi"/>
                <w:bCs/>
                <w:color w:val="000000"/>
              </w:rPr>
            </w:pPr>
          </w:p>
        </w:tc>
      </w:tr>
      <w:tr w:rsidR="00BE3FF7" w:rsidRPr="004258F5" w14:paraId="634F0E52" w14:textId="77777777" w:rsidTr="00F30DFC">
        <w:trPr>
          <w:trHeight w:val="227"/>
        </w:trPr>
        <w:tc>
          <w:tcPr>
            <w:tcW w:w="5954" w:type="dxa"/>
            <w:tcBorders>
              <w:top w:val="nil"/>
              <w:left w:val="nil"/>
              <w:bottom w:val="nil"/>
              <w:right w:val="nil"/>
            </w:tcBorders>
          </w:tcPr>
          <w:p w14:paraId="3C4D3C9B" w14:textId="77777777" w:rsidR="00BE3FF7" w:rsidRPr="004258F5" w:rsidRDefault="00BE3FF7" w:rsidP="00BE3FF7">
            <w:pPr>
              <w:autoSpaceDE w:val="0"/>
              <w:autoSpaceDN w:val="0"/>
              <w:adjustRightInd w:val="0"/>
              <w:ind w:right="142"/>
              <w:jc w:val="both"/>
              <w:rPr>
                <w:rFonts w:asciiTheme="minorHAnsi" w:hAnsiTheme="minorHAnsi" w:cstheme="minorHAnsi"/>
                <w:color w:val="000000"/>
              </w:rPr>
            </w:pPr>
            <w:r w:rsidRPr="004258F5">
              <w:rPr>
                <w:rFonts w:asciiTheme="minorHAnsi" w:hAnsiTheme="minorHAnsi" w:cstheme="minorHAnsi"/>
                <w:color w:val="000000"/>
              </w:rPr>
              <w:t>Weighted average number of ordinary shares for the purpose of diluted earnings per share (excludes treasury shares)</w:t>
            </w:r>
          </w:p>
        </w:tc>
        <w:tc>
          <w:tcPr>
            <w:tcW w:w="1559" w:type="dxa"/>
            <w:tcBorders>
              <w:top w:val="nil"/>
              <w:left w:val="nil"/>
              <w:bottom w:val="nil"/>
              <w:right w:val="nil"/>
            </w:tcBorders>
            <w:shd w:val="clear" w:color="auto" w:fill="auto"/>
          </w:tcPr>
          <w:p w14:paraId="131F7B19" w14:textId="77777777" w:rsidR="00BE3FF7" w:rsidRPr="004258F5" w:rsidRDefault="00BE3FF7" w:rsidP="00BE3FF7">
            <w:pPr>
              <w:autoSpaceDE w:val="0"/>
              <w:autoSpaceDN w:val="0"/>
              <w:adjustRightInd w:val="0"/>
              <w:ind w:right="142"/>
              <w:jc w:val="right"/>
              <w:rPr>
                <w:rFonts w:asciiTheme="minorHAnsi" w:hAnsiTheme="minorHAnsi" w:cstheme="minorHAnsi"/>
                <w:b/>
                <w:color w:val="000000"/>
              </w:rPr>
            </w:pPr>
          </w:p>
          <w:p w14:paraId="70C309C1" w14:textId="4A5D2FD5" w:rsidR="00BE3FF7" w:rsidRPr="004258F5" w:rsidRDefault="00BE3FF7" w:rsidP="00BE3FF7">
            <w:pPr>
              <w:autoSpaceDE w:val="0"/>
              <w:autoSpaceDN w:val="0"/>
              <w:adjustRightInd w:val="0"/>
              <w:ind w:right="142"/>
              <w:jc w:val="right"/>
              <w:rPr>
                <w:rFonts w:asciiTheme="minorHAnsi" w:hAnsiTheme="minorHAnsi" w:cstheme="minorHAnsi"/>
                <w:b/>
                <w:color w:val="000000"/>
              </w:rPr>
            </w:pPr>
            <w:r w:rsidRPr="004258F5">
              <w:rPr>
                <w:rFonts w:asciiTheme="minorHAnsi" w:hAnsiTheme="minorHAnsi" w:cstheme="minorHAnsi"/>
                <w:b/>
                <w:color w:val="000000"/>
              </w:rPr>
              <w:t>3</w:t>
            </w:r>
            <w:r w:rsidR="00484724">
              <w:rPr>
                <w:rFonts w:asciiTheme="minorHAnsi" w:hAnsiTheme="minorHAnsi" w:cstheme="minorHAnsi"/>
                <w:b/>
                <w:color w:val="000000"/>
              </w:rPr>
              <w:t>6</w:t>
            </w:r>
            <w:r w:rsidR="00F30DFC" w:rsidRPr="004258F5">
              <w:rPr>
                <w:rFonts w:asciiTheme="minorHAnsi" w:hAnsiTheme="minorHAnsi" w:cstheme="minorHAnsi"/>
                <w:b/>
                <w:color w:val="000000"/>
              </w:rPr>
              <w:t>,</w:t>
            </w:r>
            <w:r w:rsidR="00484724">
              <w:rPr>
                <w:rFonts w:asciiTheme="minorHAnsi" w:hAnsiTheme="minorHAnsi" w:cstheme="minorHAnsi"/>
                <w:b/>
                <w:color w:val="000000"/>
              </w:rPr>
              <w:t>65</w:t>
            </w:r>
            <w:r w:rsidR="00B14E86">
              <w:rPr>
                <w:rFonts w:asciiTheme="minorHAnsi" w:hAnsiTheme="minorHAnsi" w:cstheme="minorHAnsi"/>
                <w:b/>
                <w:color w:val="000000"/>
              </w:rPr>
              <w:t>0,830</w:t>
            </w:r>
          </w:p>
        </w:tc>
        <w:tc>
          <w:tcPr>
            <w:tcW w:w="284" w:type="dxa"/>
            <w:tcBorders>
              <w:top w:val="nil"/>
              <w:left w:val="nil"/>
              <w:bottom w:val="nil"/>
              <w:right w:val="nil"/>
            </w:tcBorders>
          </w:tcPr>
          <w:p w14:paraId="055A293A" w14:textId="77777777" w:rsidR="00BE3FF7" w:rsidRPr="004258F5" w:rsidRDefault="00BE3FF7" w:rsidP="00BE3FF7">
            <w:pPr>
              <w:autoSpaceDE w:val="0"/>
              <w:autoSpaceDN w:val="0"/>
              <w:adjustRightInd w:val="0"/>
              <w:ind w:right="142"/>
              <w:jc w:val="right"/>
              <w:rPr>
                <w:rFonts w:asciiTheme="minorHAnsi" w:hAnsiTheme="minorHAnsi" w:cstheme="minorHAnsi"/>
                <w:b/>
                <w:color w:val="000000"/>
                <w:highlight w:val="yellow"/>
              </w:rPr>
            </w:pPr>
          </w:p>
        </w:tc>
        <w:tc>
          <w:tcPr>
            <w:tcW w:w="1417" w:type="dxa"/>
            <w:tcBorders>
              <w:top w:val="nil"/>
              <w:left w:val="nil"/>
              <w:bottom w:val="nil"/>
              <w:right w:val="nil"/>
            </w:tcBorders>
          </w:tcPr>
          <w:p w14:paraId="4E4595FC" w14:textId="77777777" w:rsidR="00BE3FF7" w:rsidRPr="004258F5" w:rsidRDefault="00BE3FF7" w:rsidP="00BE3FF7">
            <w:pPr>
              <w:autoSpaceDE w:val="0"/>
              <w:autoSpaceDN w:val="0"/>
              <w:adjustRightInd w:val="0"/>
              <w:ind w:right="142"/>
              <w:jc w:val="right"/>
              <w:rPr>
                <w:rFonts w:asciiTheme="minorHAnsi" w:hAnsiTheme="minorHAnsi" w:cstheme="minorHAnsi"/>
                <w:bCs/>
                <w:color w:val="000000"/>
              </w:rPr>
            </w:pPr>
          </w:p>
          <w:p w14:paraId="7ACB4626" w14:textId="5E97BFF5" w:rsidR="00BE3FF7" w:rsidRPr="004258F5" w:rsidRDefault="00BE3FF7" w:rsidP="00BE3FF7">
            <w:pPr>
              <w:autoSpaceDE w:val="0"/>
              <w:autoSpaceDN w:val="0"/>
              <w:adjustRightInd w:val="0"/>
              <w:ind w:right="142"/>
              <w:jc w:val="right"/>
              <w:rPr>
                <w:rFonts w:asciiTheme="minorHAnsi" w:hAnsiTheme="minorHAnsi" w:cstheme="minorHAnsi"/>
                <w:bCs/>
                <w:color w:val="000000"/>
              </w:rPr>
            </w:pPr>
            <w:r w:rsidRPr="004258F5">
              <w:rPr>
                <w:rFonts w:asciiTheme="minorHAnsi" w:hAnsiTheme="minorHAnsi" w:cstheme="minorHAnsi"/>
                <w:bCs/>
                <w:color w:val="000000"/>
              </w:rPr>
              <w:t>36,424,983</w:t>
            </w:r>
          </w:p>
        </w:tc>
      </w:tr>
      <w:tr w:rsidR="002C26B8" w:rsidRPr="004258F5" w14:paraId="5164EC08" w14:textId="77777777" w:rsidTr="005C2BAE">
        <w:trPr>
          <w:trHeight w:val="227"/>
        </w:trPr>
        <w:tc>
          <w:tcPr>
            <w:tcW w:w="5954" w:type="dxa"/>
            <w:tcBorders>
              <w:top w:val="nil"/>
              <w:left w:val="nil"/>
              <w:bottom w:val="nil"/>
              <w:right w:val="nil"/>
            </w:tcBorders>
          </w:tcPr>
          <w:p w14:paraId="6AE55CFE" w14:textId="77777777" w:rsidR="002C26B8" w:rsidRPr="004258F5" w:rsidRDefault="002C26B8" w:rsidP="002C26B8">
            <w:pPr>
              <w:autoSpaceDE w:val="0"/>
              <w:autoSpaceDN w:val="0"/>
              <w:adjustRightInd w:val="0"/>
              <w:ind w:right="142"/>
              <w:jc w:val="both"/>
              <w:rPr>
                <w:rFonts w:asciiTheme="minorHAnsi" w:hAnsiTheme="minorHAnsi" w:cstheme="minorHAnsi"/>
                <w:color w:val="000000"/>
                <w:highlight w:val="yellow"/>
              </w:rPr>
            </w:pPr>
          </w:p>
        </w:tc>
        <w:tc>
          <w:tcPr>
            <w:tcW w:w="1559" w:type="dxa"/>
            <w:tcBorders>
              <w:top w:val="single" w:sz="18" w:space="0" w:color="auto"/>
              <w:left w:val="nil"/>
              <w:bottom w:val="nil"/>
              <w:right w:val="nil"/>
            </w:tcBorders>
          </w:tcPr>
          <w:p w14:paraId="7C2D6A1D" w14:textId="77777777" w:rsidR="002C26B8" w:rsidRPr="004258F5" w:rsidRDefault="002C26B8" w:rsidP="002C26B8">
            <w:pPr>
              <w:autoSpaceDE w:val="0"/>
              <w:autoSpaceDN w:val="0"/>
              <w:adjustRightInd w:val="0"/>
              <w:ind w:right="142"/>
              <w:jc w:val="right"/>
              <w:rPr>
                <w:rFonts w:asciiTheme="minorHAnsi" w:hAnsiTheme="minorHAnsi" w:cstheme="minorHAnsi"/>
                <w:b/>
                <w:color w:val="000000"/>
                <w:highlight w:val="yellow"/>
              </w:rPr>
            </w:pPr>
          </w:p>
        </w:tc>
        <w:tc>
          <w:tcPr>
            <w:tcW w:w="284" w:type="dxa"/>
            <w:tcBorders>
              <w:top w:val="nil"/>
              <w:left w:val="nil"/>
              <w:bottom w:val="nil"/>
              <w:right w:val="nil"/>
            </w:tcBorders>
          </w:tcPr>
          <w:p w14:paraId="754CE5D3" w14:textId="77777777" w:rsidR="002C26B8" w:rsidRPr="004258F5" w:rsidRDefault="002C26B8" w:rsidP="002C26B8">
            <w:pPr>
              <w:autoSpaceDE w:val="0"/>
              <w:autoSpaceDN w:val="0"/>
              <w:adjustRightInd w:val="0"/>
              <w:ind w:right="142"/>
              <w:jc w:val="right"/>
              <w:rPr>
                <w:rFonts w:asciiTheme="minorHAnsi" w:hAnsiTheme="minorHAnsi" w:cstheme="minorHAnsi"/>
                <w:b/>
                <w:color w:val="000000"/>
                <w:highlight w:val="yellow"/>
              </w:rPr>
            </w:pPr>
          </w:p>
        </w:tc>
        <w:tc>
          <w:tcPr>
            <w:tcW w:w="1417" w:type="dxa"/>
            <w:tcBorders>
              <w:top w:val="single" w:sz="18" w:space="0" w:color="auto"/>
              <w:left w:val="nil"/>
              <w:bottom w:val="nil"/>
              <w:right w:val="nil"/>
            </w:tcBorders>
          </w:tcPr>
          <w:p w14:paraId="2219C345" w14:textId="77777777" w:rsidR="002C26B8" w:rsidRPr="004258F5" w:rsidRDefault="002C26B8" w:rsidP="002C26B8">
            <w:pPr>
              <w:autoSpaceDE w:val="0"/>
              <w:autoSpaceDN w:val="0"/>
              <w:adjustRightInd w:val="0"/>
              <w:ind w:right="142"/>
              <w:jc w:val="right"/>
              <w:rPr>
                <w:rFonts w:asciiTheme="minorHAnsi" w:hAnsiTheme="minorHAnsi" w:cstheme="minorHAnsi"/>
                <w:bCs/>
                <w:color w:val="000000"/>
                <w:highlight w:val="yellow"/>
              </w:rPr>
            </w:pPr>
          </w:p>
        </w:tc>
      </w:tr>
      <w:tr w:rsidR="002C26B8" w:rsidRPr="004258F5" w14:paraId="7CC96DA9" w14:textId="77777777" w:rsidTr="008F1D8E">
        <w:trPr>
          <w:trHeight w:val="227"/>
        </w:trPr>
        <w:tc>
          <w:tcPr>
            <w:tcW w:w="5954" w:type="dxa"/>
            <w:tcBorders>
              <w:top w:val="nil"/>
              <w:left w:val="nil"/>
              <w:bottom w:val="nil"/>
              <w:right w:val="nil"/>
            </w:tcBorders>
          </w:tcPr>
          <w:p w14:paraId="27BFD110" w14:textId="77777777" w:rsidR="002C26B8" w:rsidRPr="004258F5" w:rsidRDefault="002C26B8" w:rsidP="002C26B8">
            <w:pPr>
              <w:autoSpaceDE w:val="0"/>
              <w:autoSpaceDN w:val="0"/>
              <w:adjustRightInd w:val="0"/>
              <w:ind w:right="142"/>
              <w:jc w:val="both"/>
              <w:rPr>
                <w:rFonts w:asciiTheme="minorHAnsi" w:hAnsiTheme="minorHAnsi" w:cstheme="minorHAnsi"/>
                <w:color w:val="000000"/>
                <w:highlight w:val="yellow"/>
              </w:rPr>
            </w:pPr>
          </w:p>
        </w:tc>
        <w:tc>
          <w:tcPr>
            <w:tcW w:w="1559" w:type="dxa"/>
            <w:tcBorders>
              <w:top w:val="nil"/>
              <w:left w:val="nil"/>
              <w:bottom w:val="nil"/>
              <w:right w:val="nil"/>
            </w:tcBorders>
          </w:tcPr>
          <w:p w14:paraId="04C42AB5" w14:textId="77777777" w:rsidR="002C26B8" w:rsidRPr="004258F5" w:rsidRDefault="002C26B8" w:rsidP="002C26B8">
            <w:pPr>
              <w:autoSpaceDE w:val="0"/>
              <w:autoSpaceDN w:val="0"/>
              <w:adjustRightInd w:val="0"/>
              <w:ind w:right="142"/>
              <w:jc w:val="right"/>
              <w:rPr>
                <w:rFonts w:asciiTheme="minorHAnsi" w:hAnsiTheme="minorHAnsi" w:cstheme="minorHAnsi"/>
                <w:b/>
                <w:color w:val="000000"/>
              </w:rPr>
            </w:pPr>
            <w:r w:rsidRPr="004258F5">
              <w:rPr>
                <w:rFonts w:asciiTheme="minorHAnsi" w:hAnsiTheme="minorHAnsi" w:cstheme="minorHAnsi"/>
                <w:b/>
                <w:color w:val="000000"/>
              </w:rPr>
              <w:t>Cent</w:t>
            </w:r>
          </w:p>
        </w:tc>
        <w:tc>
          <w:tcPr>
            <w:tcW w:w="284" w:type="dxa"/>
            <w:tcBorders>
              <w:top w:val="nil"/>
              <w:left w:val="nil"/>
              <w:bottom w:val="nil"/>
              <w:right w:val="nil"/>
            </w:tcBorders>
          </w:tcPr>
          <w:p w14:paraId="74A717B3" w14:textId="77777777" w:rsidR="002C26B8" w:rsidRPr="004258F5" w:rsidRDefault="002C26B8" w:rsidP="002C26B8">
            <w:pPr>
              <w:autoSpaceDE w:val="0"/>
              <w:autoSpaceDN w:val="0"/>
              <w:adjustRightInd w:val="0"/>
              <w:ind w:right="142"/>
              <w:jc w:val="right"/>
              <w:rPr>
                <w:rFonts w:asciiTheme="minorHAnsi" w:hAnsiTheme="minorHAnsi" w:cstheme="minorHAnsi"/>
                <w:b/>
                <w:color w:val="000000"/>
              </w:rPr>
            </w:pPr>
          </w:p>
        </w:tc>
        <w:tc>
          <w:tcPr>
            <w:tcW w:w="1417" w:type="dxa"/>
            <w:tcBorders>
              <w:top w:val="nil"/>
              <w:left w:val="nil"/>
              <w:bottom w:val="nil"/>
              <w:right w:val="nil"/>
            </w:tcBorders>
          </w:tcPr>
          <w:p w14:paraId="494525D6" w14:textId="217DABA0" w:rsidR="002C26B8" w:rsidRPr="004258F5" w:rsidRDefault="002C26B8" w:rsidP="002C26B8">
            <w:pPr>
              <w:autoSpaceDE w:val="0"/>
              <w:autoSpaceDN w:val="0"/>
              <w:adjustRightInd w:val="0"/>
              <w:ind w:right="142"/>
              <w:jc w:val="right"/>
              <w:rPr>
                <w:rFonts w:asciiTheme="minorHAnsi" w:hAnsiTheme="minorHAnsi" w:cstheme="minorHAnsi"/>
                <w:b/>
                <w:color w:val="000000"/>
              </w:rPr>
            </w:pPr>
            <w:r w:rsidRPr="004258F5">
              <w:rPr>
                <w:rFonts w:asciiTheme="minorHAnsi" w:hAnsiTheme="minorHAnsi" w:cstheme="minorHAnsi"/>
                <w:b/>
                <w:color w:val="000000"/>
              </w:rPr>
              <w:t>Cent</w:t>
            </w:r>
          </w:p>
        </w:tc>
      </w:tr>
      <w:tr w:rsidR="00B965BF" w:rsidRPr="00E31D02" w14:paraId="07B64E06" w14:textId="77777777" w:rsidTr="008F1D8E">
        <w:trPr>
          <w:trHeight w:val="227"/>
        </w:trPr>
        <w:tc>
          <w:tcPr>
            <w:tcW w:w="5954" w:type="dxa"/>
            <w:tcBorders>
              <w:top w:val="nil"/>
              <w:left w:val="nil"/>
              <w:bottom w:val="nil"/>
              <w:right w:val="nil"/>
            </w:tcBorders>
          </w:tcPr>
          <w:p w14:paraId="5680F450" w14:textId="77777777" w:rsidR="00B965BF" w:rsidRPr="00E31D02" w:rsidRDefault="00B965BF" w:rsidP="00B965BF">
            <w:pPr>
              <w:autoSpaceDE w:val="0"/>
              <w:autoSpaceDN w:val="0"/>
              <w:adjustRightInd w:val="0"/>
              <w:ind w:right="142"/>
              <w:jc w:val="both"/>
              <w:rPr>
                <w:rFonts w:asciiTheme="minorHAnsi" w:hAnsiTheme="minorHAnsi" w:cstheme="minorHAnsi"/>
                <w:b/>
                <w:color w:val="000000"/>
              </w:rPr>
            </w:pPr>
            <w:r w:rsidRPr="00E31D02">
              <w:rPr>
                <w:rFonts w:asciiTheme="minorHAnsi" w:hAnsiTheme="minorHAnsi" w:cstheme="minorHAnsi"/>
                <w:color w:val="000000"/>
              </w:rPr>
              <w:t xml:space="preserve">Basic earnings per share </w:t>
            </w:r>
          </w:p>
        </w:tc>
        <w:tc>
          <w:tcPr>
            <w:tcW w:w="1559" w:type="dxa"/>
            <w:tcBorders>
              <w:top w:val="nil"/>
              <w:left w:val="nil"/>
              <w:bottom w:val="single" w:sz="12" w:space="0" w:color="auto"/>
              <w:right w:val="nil"/>
            </w:tcBorders>
          </w:tcPr>
          <w:p w14:paraId="2C298E16" w14:textId="201669C8" w:rsidR="00B965BF" w:rsidRPr="00E31D02" w:rsidRDefault="00993E3A" w:rsidP="00B965BF">
            <w:pPr>
              <w:autoSpaceDE w:val="0"/>
              <w:autoSpaceDN w:val="0"/>
              <w:adjustRightInd w:val="0"/>
              <w:ind w:right="142"/>
              <w:jc w:val="right"/>
              <w:rPr>
                <w:rFonts w:asciiTheme="minorHAnsi" w:hAnsiTheme="minorHAnsi" w:cstheme="minorHAnsi"/>
                <w:b/>
                <w:color w:val="000000"/>
              </w:rPr>
            </w:pPr>
            <w:r w:rsidRPr="00E31D02">
              <w:rPr>
                <w:rFonts w:asciiTheme="minorHAnsi" w:hAnsiTheme="minorHAnsi" w:cstheme="minorHAnsi"/>
                <w:b/>
                <w:color w:val="000000"/>
              </w:rPr>
              <w:t>1</w:t>
            </w:r>
            <w:r w:rsidR="00F30DFC" w:rsidRPr="00E31D02">
              <w:rPr>
                <w:rFonts w:asciiTheme="minorHAnsi" w:hAnsiTheme="minorHAnsi" w:cstheme="minorHAnsi"/>
                <w:b/>
                <w:color w:val="000000"/>
              </w:rPr>
              <w:t>9</w:t>
            </w:r>
            <w:r w:rsidR="00E31D02" w:rsidRPr="00E31D02">
              <w:rPr>
                <w:rFonts w:asciiTheme="minorHAnsi" w:hAnsiTheme="minorHAnsi" w:cstheme="minorHAnsi"/>
                <w:b/>
                <w:color w:val="000000"/>
              </w:rPr>
              <w:t>4</w:t>
            </w:r>
          </w:p>
        </w:tc>
        <w:tc>
          <w:tcPr>
            <w:tcW w:w="284" w:type="dxa"/>
            <w:tcBorders>
              <w:top w:val="nil"/>
              <w:left w:val="nil"/>
              <w:bottom w:val="nil"/>
              <w:right w:val="nil"/>
            </w:tcBorders>
          </w:tcPr>
          <w:p w14:paraId="513CA07B" w14:textId="77777777" w:rsidR="00B965BF" w:rsidRPr="00E31D02" w:rsidRDefault="00B965BF" w:rsidP="00B965BF">
            <w:pPr>
              <w:autoSpaceDE w:val="0"/>
              <w:autoSpaceDN w:val="0"/>
              <w:adjustRightInd w:val="0"/>
              <w:ind w:right="142"/>
              <w:jc w:val="right"/>
              <w:rPr>
                <w:rFonts w:asciiTheme="minorHAnsi" w:hAnsiTheme="minorHAnsi" w:cstheme="minorHAnsi"/>
                <w:b/>
                <w:color w:val="000000"/>
              </w:rPr>
            </w:pPr>
          </w:p>
        </w:tc>
        <w:tc>
          <w:tcPr>
            <w:tcW w:w="1417" w:type="dxa"/>
            <w:tcBorders>
              <w:top w:val="nil"/>
              <w:left w:val="nil"/>
              <w:bottom w:val="single" w:sz="12" w:space="0" w:color="auto"/>
              <w:right w:val="nil"/>
            </w:tcBorders>
          </w:tcPr>
          <w:p w14:paraId="1DE57B42" w14:textId="0ECA819C" w:rsidR="00B965BF" w:rsidRPr="00E31D02" w:rsidRDefault="002E6706" w:rsidP="00B965BF">
            <w:pPr>
              <w:autoSpaceDE w:val="0"/>
              <w:autoSpaceDN w:val="0"/>
              <w:adjustRightInd w:val="0"/>
              <w:ind w:right="142"/>
              <w:jc w:val="right"/>
              <w:rPr>
                <w:rFonts w:asciiTheme="minorHAnsi" w:hAnsiTheme="minorHAnsi" w:cstheme="minorHAnsi"/>
                <w:color w:val="000000"/>
              </w:rPr>
            </w:pPr>
            <w:r w:rsidRPr="00E31D02">
              <w:rPr>
                <w:rFonts w:asciiTheme="minorHAnsi" w:hAnsiTheme="minorHAnsi" w:cstheme="minorHAnsi"/>
                <w:color w:val="000000"/>
              </w:rPr>
              <w:t>161</w:t>
            </w:r>
          </w:p>
        </w:tc>
      </w:tr>
      <w:tr w:rsidR="00B965BF" w:rsidRPr="00E31D02" w14:paraId="209597BB" w14:textId="77777777" w:rsidTr="00E31D02">
        <w:trPr>
          <w:trHeight w:val="227"/>
        </w:trPr>
        <w:tc>
          <w:tcPr>
            <w:tcW w:w="5954" w:type="dxa"/>
            <w:tcBorders>
              <w:top w:val="nil"/>
              <w:left w:val="nil"/>
              <w:bottom w:val="nil"/>
              <w:right w:val="nil"/>
            </w:tcBorders>
          </w:tcPr>
          <w:p w14:paraId="77DBF4BF" w14:textId="77777777" w:rsidR="00B965BF" w:rsidRPr="00E31D02" w:rsidRDefault="00B965BF" w:rsidP="00B965BF">
            <w:pPr>
              <w:autoSpaceDE w:val="0"/>
              <w:autoSpaceDN w:val="0"/>
              <w:adjustRightInd w:val="0"/>
              <w:ind w:right="142"/>
              <w:jc w:val="both"/>
              <w:rPr>
                <w:rFonts w:asciiTheme="minorHAnsi" w:hAnsiTheme="minorHAnsi" w:cstheme="minorHAnsi"/>
                <w:color w:val="000000"/>
              </w:rPr>
            </w:pPr>
            <w:r w:rsidRPr="00E31D02">
              <w:rPr>
                <w:rFonts w:asciiTheme="minorHAnsi" w:hAnsiTheme="minorHAnsi" w:cstheme="minorHAnsi"/>
                <w:color w:val="000000"/>
              </w:rPr>
              <w:t>Diluted earnings per share</w:t>
            </w:r>
          </w:p>
        </w:tc>
        <w:tc>
          <w:tcPr>
            <w:tcW w:w="1559" w:type="dxa"/>
            <w:tcBorders>
              <w:top w:val="single" w:sz="12" w:space="0" w:color="auto"/>
              <w:left w:val="nil"/>
              <w:bottom w:val="single" w:sz="12" w:space="0" w:color="auto"/>
              <w:right w:val="nil"/>
            </w:tcBorders>
          </w:tcPr>
          <w:p w14:paraId="4C4948E9" w14:textId="16E4D076" w:rsidR="00B965BF" w:rsidRPr="00E31D02" w:rsidRDefault="00993E3A" w:rsidP="00B965BF">
            <w:pPr>
              <w:autoSpaceDE w:val="0"/>
              <w:autoSpaceDN w:val="0"/>
              <w:adjustRightInd w:val="0"/>
              <w:ind w:right="142"/>
              <w:jc w:val="right"/>
              <w:rPr>
                <w:rFonts w:asciiTheme="minorHAnsi" w:hAnsiTheme="minorHAnsi" w:cstheme="minorHAnsi"/>
                <w:b/>
                <w:color w:val="000000"/>
              </w:rPr>
            </w:pPr>
            <w:r w:rsidRPr="00E31D02">
              <w:rPr>
                <w:rFonts w:asciiTheme="minorHAnsi" w:hAnsiTheme="minorHAnsi" w:cstheme="minorHAnsi"/>
                <w:b/>
                <w:color w:val="000000"/>
              </w:rPr>
              <w:t>1</w:t>
            </w:r>
            <w:r w:rsidR="00E31D02" w:rsidRPr="00E31D02">
              <w:rPr>
                <w:rFonts w:asciiTheme="minorHAnsi" w:hAnsiTheme="minorHAnsi" w:cstheme="minorHAnsi"/>
                <w:b/>
                <w:color w:val="000000"/>
              </w:rPr>
              <w:t>90</w:t>
            </w:r>
          </w:p>
        </w:tc>
        <w:tc>
          <w:tcPr>
            <w:tcW w:w="284" w:type="dxa"/>
            <w:tcBorders>
              <w:top w:val="nil"/>
              <w:left w:val="nil"/>
              <w:bottom w:val="nil"/>
              <w:right w:val="nil"/>
            </w:tcBorders>
          </w:tcPr>
          <w:p w14:paraId="327EE07F" w14:textId="77777777" w:rsidR="00B965BF" w:rsidRPr="00E31D02" w:rsidRDefault="00B965BF" w:rsidP="00B965BF">
            <w:pPr>
              <w:autoSpaceDE w:val="0"/>
              <w:autoSpaceDN w:val="0"/>
              <w:adjustRightInd w:val="0"/>
              <w:ind w:right="142"/>
              <w:jc w:val="right"/>
              <w:rPr>
                <w:rFonts w:asciiTheme="minorHAnsi" w:hAnsiTheme="minorHAnsi" w:cstheme="minorHAnsi"/>
                <w:color w:val="000000"/>
              </w:rPr>
            </w:pPr>
          </w:p>
        </w:tc>
        <w:tc>
          <w:tcPr>
            <w:tcW w:w="1417" w:type="dxa"/>
            <w:tcBorders>
              <w:top w:val="single" w:sz="12" w:space="0" w:color="auto"/>
              <w:left w:val="nil"/>
              <w:bottom w:val="single" w:sz="12" w:space="0" w:color="auto"/>
              <w:right w:val="nil"/>
            </w:tcBorders>
            <w:shd w:val="clear" w:color="auto" w:fill="auto"/>
          </w:tcPr>
          <w:p w14:paraId="48773769" w14:textId="149BF2C1" w:rsidR="00B965BF" w:rsidRPr="00E31D02" w:rsidRDefault="00F30DFC" w:rsidP="00B965BF">
            <w:pPr>
              <w:autoSpaceDE w:val="0"/>
              <w:autoSpaceDN w:val="0"/>
              <w:adjustRightInd w:val="0"/>
              <w:ind w:right="142"/>
              <w:jc w:val="right"/>
              <w:rPr>
                <w:rFonts w:asciiTheme="minorHAnsi" w:hAnsiTheme="minorHAnsi" w:cstheme="minorHAnsi"/>
                <w:color w:val="000000"/>
              </w:rPr>
            </w:pPr>
            <w:r w:rsidRPr="00E31D02">
              <w:rPr>
                <w:rFonts w:asciiTheme="minorHAnsi" w:hAnsiTheme="minorHAnsi" w:cstheme="minorHAnsi"/>
                <w:color w:val="000000"/>
              </w:rPr>
              <w:t>157</w:t>
            </w:r>
          </w:p>
        </w:tc>
      </w:tr>
      <w:tr w:rsidR="00DD6DBC" w:rsidRPr="004258F5" w14:paraId="5987C3E1" w14:textId="77777777" w:rsidTr="008F1D8E">
        <w:trPr>
          <w:trHeight w:val="227"/>
        </w:trPr>
        <w:tc>
          <w:tcPr>
            <w:tcW w:w="5954" w:type="dxa"/>
            <w:tcBorders>
              <w:top w:val="nil"/>
              <w:left w:val="nil"/>
              <w:bottom w:val="nil"/>
              <w:right w:val="nil"/>
            </w:tcBorders>
          </w:tcPr>
          <w:p w14:paraId="25EA9995" w14:textId="77777777" w:rsidR="00DD6DBC" w:rsidRPr="00E31D02" w:rsidRDefault="00DD6DBC" w:rsidP="006A43D4">
            <w:pPr>
              <w:autoSpaceDE w:val="0"/>
              <w:autoSpaceDN w:val="0"/>
              <w:adjustRightInd w:val="0"/>
              <w:ind w:right="142"/>
              <w:jc w:val="both"/>
              <w:rPr>
                <w:rFonts w:asciiTheme="minorHAnsi" w:hAnsiTheme="minorHAnsi" w:cstheme="minorHAnsi"/>
                <w:color w:val="000000"/>
              </w:rPr>
            </w:pPr>
          </w:p>
        </w:tc>
        <w:tc>
          <w:tcPr>
            <w:tcW w:w="1559" w:type="dxa"/>
            <w:tcBorders>
              <w:top w:val="single" w:sz="12" w:space="0" w:color="auto"/>
              <w:left w:val="nil"/>
              <w:bottom w:val="nil"/>
              <w:right w:val="nil"/>
            </w:tcBorders>
          </w:tcPr>
          <w:p w14:paraId="3412A8E5" w14:textId="77777777" w:rsidR="00DD6DBC" w:rsidRPr="00E31D02" w:rsidRDefault="00DD6DBC">
            <w:pPr>
              <w:autoSpaceDE w:val="0"/>
              <w:autoSpaceDN w:val="0"/>
              <w:adjustRightInd w:val="0"/>
              <w:ind w:right="142"/>
              <w:jc w:val="right"/>
              <w:rPr>
                <w:rFonts w:asciiTheme="minorHAnsi" w:hAnsiTheme="minorHAnsi" w:cstheme="minorHAnsi"/>
                <w:b/>
                <w:color w:val="000000"/>
              </w:rPr>
            </w:pPr>
          </w:p>
        </w:tc>
        <w:tc>
          <w:tcPr>
            <w:tcW w:w="284" w:type="dxa"/>
            <w:tcBorders>
              <w:top w:val="nil"/>
              <w:left w:val="nil"/>
              <w:bottom w:val="nil"/>
              <w:right w:val="nil"/>
            </w:tcBorders>
          </w:tcPr>
          <w:p w14:paraId="4AE622C5" w14:textId="77777777" w:rsidR="00DD6DBC" w:rsidRPr="00E31D02" w:rsidRDefault="00DD6DBC" w:rsidP="00297348">
            <w:pPr>
              <w:autoSpaceDE w:val="0"/>
              <w:autoSpaceDN w:val="0"/>
              <w:adjustRightInd w:val="0"/>
              <w:ind w:right="142"/>
              <w:jc w:val="right"/>
              <w:rPr>
                <w:rFonts w:asciiTheme="minorHAnsi" w:hAnsiTheme="minorHAnsi" w:cstheme="minorHAnsi"/>
                <w:color w:val="000000"/>
              </w:rPr>
            </w:pPr>
          </w:p>
        </w:tc>
        <w:tc>
          <w:tcPr>
            <w:tcW w:w="1417" w:type="dxa"/>
            <w:tcBorders>
              <w:top w:val="single" w:sz="12" w:space="0" w:color="auto"/>
              <w:left w:val="nil"/>
              <w:bottom w:val="nil"/>
              <w:right w:val="nil"/>
            </w:tcBorders>
          </w:tcPr>
          <w:p w14:paraId="79D0C7A3" w14:textId="77777777" w:rsidR="00DD6DBC" w:rsidRPr="00E31D02" w:rsidRDefault="00DD6DBC" w:rsidP="00A85C9A">
            <w:pPr>
              <w:autoSpaceDE w:val="0"/>
              <w:autoSpaceDN w:val="0"/>
              <w:adjustRightInd w:val="0"/>
              <w:ind w:right="142"/>
              <w:jc w:val="right"/>
              <w:rPr>
                <w:rFonts w:asciiTheme="minorHAnsi" w:hAnsiTheme="minorHAnsi" w:cstheme="minorHAnsi"/>
                <w:color w:val="000000"/>
              </w:rPr>
            </w:pPr>
          </w:p>
        </w:tc>
      </w:tr>
    </w:tbl>
    <w:p w14:paraId="48727EC2" w14:textId="08A2157E" w:rsidR="006A43D4" w:rsidRPr="004258F5" w:rsidRDefault="006A43D4" w:rsidP="006A43D4">
      <w:pPr>
        <w:autoSpaceDE w:val="0"/>
        <w:autoSpaceDN w:val="0"/>
        <w:adjustRightInd w:val="0"/>
        <w:ind w:right="142"/>
        <w:jc w:val="both"/>
        <w:rPr>
          <w:rFonts w:asciiTheme="minorHAnsi" w:hAnsiTheme="minorHAnsi" w:cstheme="minorHAnsi"/>
          <w:color w:val="000000"/>
          <w:lang w:val="en-IE"/>
        </w:rPr>
      </w:pPr>
      <w:r w:rsidRPr="004258F5">
        <w:rPr>
          <w:rFonts w:asciiTheme="minorHAnsi" w:hAnsiTheme="minorHAnsi" w:cstheme="minorHAnsi"/>
          <w:color w:val="000000"/>
          <w:lang w:val="en-IE"/>
        </w:rPr>
        <w:t xml:space="preserve"> </w:t>
      </w:r>
    </w:p>
    <w:p w14:paraId="6B75A128" w14:textId="77777777" w:rsidR="00F32A38" w:rsidRPr="004258F5" w:rsidRDefault="00F32A38" w:rsidP="00B2228B">
      <w:pPr>
        <w:autoSpaceDE w:val="0"/>
        <w:autoSpaceDN w:val="0"/>
        <w:adjustRightInd w:val="0"/>
        <w:ind w:right="142"/>
        <w:jc w:val="both"/>
        <w:rPr>
          <w:rFonts w:asciiTheme="minorHAnsi" w:hAnsiTheme="minorHAnsi" w:cstheme="minorHAnsi"/>
          <w:color w:val="000000"/>
        </w:rPr>
      </w:pPr>
      <w:r w:rsidRPr="004258F5">
        <w:rPr>
          <w:rFonts w:asciiTheme="minorHAnsi" w:hAnsiTheme="minorHAnsi" w:cstheme="minorHAnsi"/>
          <w:color w:val="000000"/>
        </w:rPr>
        <w:t>The ‘A’ ordinary shares of €0.01 each that are in issue have no impact on the earnings per share calculation.</w:t>
      </w:r>
    </w:p>
    <w:p w14:paraId="1AB45CB7" w14:textId="77777777" w:rsidR="00F32A38" w:rsidRPr="004258F5" w:rsidRDefault="00F32A38" w:rsidP="006A43D4">
      <w:pPr>
        <w:autoSpaceDE w:val="0"/>
        <w:autoSpaceDN w:val="0"/>
        <w:adjustRightInd w:val="0"/>
        <w:ind w:right="142"/>
        <w:jc w:val="both"/>
        <w:rPr>
          <w:rFonts w:asciiTheme="minorHAnsi" w:hAnsiTheme="minorHAnsi" w:cstheme="minorHAnsi"/>
          <w:color w:val="000000"/>
        </w:rPr>
      </w:pPr>
    </w:p>
    <w:p w14:paraId="1FA97881" w14:textId="3E0392B1" w:rsidR="002008BE" w:rsidRPr="004258F5" w:rsidRDefault="002008BE" w:rsidP="00A976BA">
      <w:pPr>
        <w:tabs>
          <w:tab w:val="left" w:pos="6912"/>
          <w:tab w:val="left" w:pos="8613"/>
          <w:tab w:val="left" w:pos="9639"/>
        </w:tabs>
        <w:ind w:right="142"/>
        <w:jc w:val="both"/>
        <w:rPr>
          <w:rFonts w:asciiTheme="minorHAnsi" w:hAnsiTheme="minorHAnsi" w:cstheme="minorHAnsi"/>
          <w:color w:val="000000"/>
        </w:rPr>
      </w:pPr>
      <w:r w:rsidRPr="004258F5">
        <w:rPr>
          <w:rFonts w:asciiTheme="minorHAnsi" w:hAnsiTheme="minorHAnsi" w:cstheme="minorHAnsi"/>
          <w:color w:val="000000"/>
        </w:rPr>
        <w:t xml:space="preserve">The below table reconciles the profit attributable to the parent entity for the </w:t>
      </w:r>
      <w:r w:rsidR="00CD2EED" w:rsidRPr="004258F5">
        <w:rPr>
          <w:rFonts w:asciiTheme="minorHAnsi" w:hAnsiTheme="minorHAnsi" w:cstheme="minorHAnsi"/>
          <w:color w:val="000000"/>
        </w:rPr>
        <w:t>year</w:t>
      </w:r>
      <w:r w:rsidRPr="004258F5">
        <w:rPr>
          <w:rFonts w:asciiTheme="minorHAnsi" w:hAnsiTheme="minorHAnsi" w:cstheme="minorHAnsi"/>
          <w:color w:val="000000"/>
        </w:rPr>
        <w:t xml:space="preserve"> to the amounts used as the numerators in calculating basic and diluted earnings per share for the </w:t>
      </w:r>
      <w:r w:rsidR="00CD2EED" w:rsidRPr="004258F5">
        <w:rPr>
          <w:rFonts w:asciiTheme="minorHAnsi" w:hAnsiTheme="minorHAnsi" w:cstheme="minorHAnsi"/>
          <w:color w:val="000000"/>
        </w:rPr>
        <w:t>year</w:t>
      </w:r>
      <w:r w:rsidRPr="004258F5">
        <w:rPr>
          <w:rFonts w:asciiTheme="minorHAnsi" w:hAnsiTheme="minorHAnsi" w:cstheme="minorHAnsi"/>
          <w:color w:val="000000"/>
        </w:rPr>
        <w:t xml:space="preserve"> and the comparative </w:t>
      </w:r>
      <w:r w:rsidR="00CD2EED" w:rsidRPr="004258F5">
        <w:rPr>
          <w:rFonts w:asciiTheme="minorHAnsi" w:hAnsiTheme="minorHAnsi" w:cstheme="minorHAnsi"/>
          <w:color w:val="000000"/>
        </w:rPr>
        <w:t>year</w:t>
      </w:r>
      <w:r w:rsidRPr="004258F5">
        <w:rPr>
          <w:rFonts w:asciiTheme="minorHAnsi" w:hAnsiTheme="minorHAnsi" w:cstheme="minorHAnsi"/>
          <w:color w:val="000000"/>
        </w:rPr>
        <w:t xml:space="preserve"> including the individual effect of each class of instruments that affects earnings per share:</w:t>
      </w:r>
    </w:p>
    <w:p w14:paraId="53AF6F4C" w14:textId="0C412CAC" w:rsidR="002008BE" w:rsidRPr="004258F5" w:rsidRDefault="002008BE" w:rsidP="002008BE">
      <w:pPr>
        <w:tabs>
          <w:tab w:val="left" w:pos="6912"/>
          <w:tab w:val="left" w:pos="8613"/>
          <w:tab w:val="left" w:pos="9639"/>
        </w:tabs>
        <w:ind w:left="284" w:right="142"/>
        <w:jc w:val="both"/>
        <w:rPr>
          <w:rFonts w:asciiTheme="minorHAnsi" w:hAnsiTheme="minorHAnsi" w:cstheme="minorHAnsi"/>
          <w:color w:val="000000"/>
          <w:lang w:val="en-IE"/>
        </w:rPr>
      </w:pPr>
    </w:p>
    <w:p w14:paraId="3B5B8A91" w14:textId="4001859C" w:rsidR="002008BE" w:rsidRPr="004258F5" w:rsidRDefault="002008BE" w:rsidP="002008BE">
      <w:pPr>
        <w:tabs>
          <w:tab w:val="left" w:pos="6912"/>
          <w:tab w:val="left" w:pos="8613"/>
          <w:tab w:val="left" w:pos="9639"/>
        </w:tabs>
        <w:ind w:left="284" w:right="142"/>
        <w:jc w:val="both"/>
        <w:rPr>
          <w:rFonts w:asciiTheme="minorHAnsi" w:hAnsiTheme="minorHAnsi" w:cstheme="minorHAnsi"/>
          <w:iCs/>
          <w:color w:val="000000"/>
          <w:lang w:val="en-US"/>
        </w:rPr>
      </w:pPr>
    </w:p>
    <w:p w14:paraId="156F9554" w14:textId="62AC1089" w:rsidR="002008BE" w:rsidRPr="004258F5" w:rsidRDefault="002008BE" w:rsidP="002008BE">
      <w:pPr>
        <w:tabs>
          <w:tab w:val="left" w:pos="6912"/>
          <w:tab w:val="left" w:pos="8613"/>
          <w:tab w:val="left" w:pos="9639"/>
        </w:tabs>
        <w:ind w:left="284" w:right="142"/>
        <w:jc w:val="both"/>
        <w:rPr>
          <w:rFonts w:asciiTheme="minorHAnsi" w:hAnsiTheme="minorHAnsi" w:cstheme="minorHAnsi"/>
          <w:iCs/>
          <w:color w:val="000000"/>
          <w:lang w:val="en-US"/>
        </w:rPr>
      </w:pPr>
    </w:p>
    <w:p w14:paraId="7E034337" w14:textId="2BE4E113" w:rsidR="002008BE" w:rsidRPr="004258F5" w:rsidRDefault="002008BE" w:rsidP="002008BE">
      <w:pPr>
        <w:tabs>
          <w:tab w:val="left" w:pos="6912"/>
          <w:tab w:val="left" w:pos="8613"/>
          <w:tab w:val="left" w:pos="9639"/>
        </w:tabs>
        <w:ind w:left="284" w:right="142"/>
        <w:jc w:val="both"/>
        <w:rPr>
          <w:rFonts w:asciiTheme="minorHAnsi" w:hAnsiTheme="minorHAnsi" w:cstheme="minorHAnsi"/>
          <w:iCs/>
          <w:color w:val="000000"/>
          <w:lang w:val="en-US"/>
        </w:rPr>
      </w:pPr>
    </w:p>
    <w:p w14:paraId="069B549F" w14:textId="765C95A9" w:rsidR="00EA79CE" w:rsidRPr="004258F5" w:rsidRDefault="00EA79CE" w:rsidP="002008BE">
      <w:pPr>
        <w:tabs>
          <w:tab w:val="left" w:pos="6912"/>
          <w:tab w:val="left" w:pos="8613"/>
          <w:tab w:val="left" w:pos="9639"/>
        </w:tabs>
        <w:ind w:left="284" w:right="142"/>
        <w:jc w:val="both"/>
        <w:rPr>
          <w:rFonts w:asciiTheme="minorHAnsi" w:hAnsiTheme="minorHAnsi" w:cstheme="minorHAnsi"/>
          <w:iCs/>
          <w:color w:val="000000"/>
          <w:lang w:val="en-US"/>
        </w:rPr>
      </w:pPr>
    </w:p>
    <w:p w14:paraId="58E65F9E" w14:textId="4F206AD7" w:rsidR="00EA79CE" w:rsidRPr="004258F5" w:rsidRDefault="00EA79CE" w:rsidP="002008BE">
      <w:pPr>
        <w:tabs>
          <w:tab w:val="left" w:pos="6912"/>
          <w:tab w:val="left" w:pos="8613"/>
          <w:tab w:val="left" w:pos="9639"/>
        </w:tabs>
        <w:ind w:left="284" w:right="142"/>
        <w:jc w:val="both"/>
        <w:rPr>
          <w:rFonts w:asciiTheme="minorHAnsi" w:hAnsiTheme="minorHAnsi" w:cstheme="minorHAnsi"/>
          <w:iCs/>
          <w:color w:val="000000"/>
          <w:lang w:val="en-US"/>
        </w:rPr>
      </w:pPr>
    </w:p>
    <w:p w14:paraId="29AFA867" w14:textId="5A2377FF" w:rsidR="00EA79CE" w:rsidRPr="004258F5" w:rsidRDefault="00EA79CE" w:rsidP="002008BE">
      <w:pPr>
        <w:tabs>
          <w:tab w:val="left" w:pos="6912"/>
          <w:tab w:val="left" w:pos="8613"/>
          <w:tab w:val="left" w:pos="9639"/>
        </w:tabs>
        <w:ind w:left="284" w:right="142"/>
        <w:jc w:val="both"/>
        <w:rPr>
          <w:rFonts w:asciiTheme="minorHAnsi" w:hAnsiTheme="minorHAnsi" w:cstheme="minorHAnsi"/>
          <w:iCs/>
          <w:color w:val="000000"/>
          <w:lang w:val="en-US"/>
        </w:rPr>
      </w:pPr>
    </w:p>
    <w:p w14:paraId="1DBF6A93" w14:textId="2426557D" w:rsidR="00EA79CE" w:rsidRPr="004258F5" w:rsidRDefault="00EA79CE" w:rsidP="002008BE">
      <w:pPr>
        <w:tabs>
          <w:tab w:val="left" w:pos="6912"/>
          <w:tab w:val="left" w:pos="8613"/>
          <w:tab w:val="left" w:pos="9639"/>
        </w:tabs>
        <w:ind w:left="284" w:right="142"/>
        <w:jc w:val="both"/>
        <w:rPr>
          <w:rFonts w:asciiTheme="minorHAnsi" w:hAnsiTheme="minorHAnsi" w:cstheme="minorHAnsi"/>
          <w:iCs/>
          <w:color w:val="000000"/>
          <w:lang w:val="en-US"/>
        </w:rPr>
      </w:pPr>
    </w:p>
    <w:p w14:paraId="6DAA60E4" w14:textId="77777777" w:rsidR="00EA79CE" w:rsidRPr="004258F5" w:rsidRDefault="00EA79CE" w:rsidP="002008BE">
      <w:pPr>
        <w:tabs>
          <w:tab w:val="left" w:pos="6912"/>
          <w:tab w:val="left" w:pos="8613"/>
          <w:tab w:val="left" w:pos="9639"/>
        </w:tabs>
        <w:ind w:left="284" w:right="142"/>
        <w:jc w:val="both"/>
        <w:rPr>
          <w:rFonts w:asciiTheme="minorHAnsi" w:hAnsiTheme="minorHAnsi" w:cstheme="minorHAnsi"/>
          <w:iCs/>
          <w:color w:val="000000"/>
          <w:lang w:val="en-US"/>
        </w:rPr>
      </w:pPr>
    </w:p>
    <w:p w14:paraId="7478653B" w14:textId="77777777" w:rsidR="00DA3594" w:rsidRPr="00A06132" w:rsidRDefault="00DA3594" w:rsidP="003E636B">
      <w:pPr>
        <w:tabs>
          <w:tab w:val="right" w:pos="9778"/>
        </w:tabs>
        <w:jc w:val="center"/>
        <w:rPr>
          <w:rFonts w:asciiTheme="minorHAnsi" w:hAnsiTheme="minorHAnsi" w:cstheme="minorHAnsi"/>
          <w:color w:val="000000"/>
          <w:sz w:val="22"/>
          <w:szCs w:val="22"/>
        </w:rPr>
      </w:pPr>
      <w:r w:rsidRPr="00A06132">
        <w:rPr>
          <w:rFonts w:asciiTheme="minorHAnsi" w:hAnsiTheme="minorHAnsi" w:cstheme="minorHAnsi"/>
          <w:b/>
          <w:color w:val="000000"/>
          <w:sz w:val="22"/>
          <w:szCs w:val="22"/>
        </w:rPr>
        <w:t>FBD Holdings plc</w:t>
      </w:r>
    </w:p>
    <w:p w14:paraId="49D08B7C" w14:textId="77777777" w:rsidR="00DA3594" w:rsidRPr="00A06132" w:rsidRDefault="00DA3594" w:rsidP="003E636B">
      <w:pPr>
        <w:tabs>
          <w:tab w:val="left" w:pos="-142"/>
          <w:tab w:val="decimal" w:pos="4678"/>
          <w:tab w:val="decimal" w:pos="5670"/>
          <w:tab w:val="decimal" w:pos="6946"/>
          <w:tab w:val="decimal" w:pos="10348"/>
        </w:tabs>
        <w:jc w:val="center"/>
        <w:rPr>
          <w:rFonts w:asciiTheme="minorHAnsi" w:hAnsiTheme="minorHAnsi" w:cstheme="minorHAnsi"/>
          <w:b/>
          <w:color w:val="000000"/>
          <w:sz w:val="22"/>
          <w:szCs w:val="22"/>
        </w:rPr>
      </w:pPr>
      <w:r w:rsidRPr="00A06132">
        <w:rPr>
          <w:rFonts w:asciiTheme="minorHAnsi" w:hAnsiTheme="minorHAnsi" w:cstheme="minorHAnsi"/>
          <w:b/>
          <w:color w:val="000000"/>
          <w:sz w:val="22"/>
          <w:szCs w:val="22"/>
        </w:rPr>
        <w:t>Supplementary Information (continued)</w:t>
      </w:r>
    </w:p>
    <w:p w14:paraId="6083E20C" w14:textId="14BB174C" w:rsidR="00DA3594" w:rsidRPr="00A06132" w:rsidRDefault="00DA3594" w:rsidP="003E636B">
      <w:pPr>
        <w:tabs>
          <w:tab w:val="left" w:pos="426"/>
          <w:tab w:val="left" w:pos="851"/>
          <w:tab w:val="left" w:pos="10604"/>
        </w:tabs>
        <w:ind w:right="-28"/>
        <w:jc w:val="center"/>
        <w:rPr>
          <w:rFonts w:asciiTheme="minorHAnsi" w:hAnsiTheme="minorHAnsi" w:cstheme="minorHAnsi"/>
          <w:b/>
          <w:color w:val="000000"/>
          <w:sz w:val="22"/>
          <w:szCs w:val="22"/>
        </w:rPr>
      </w:pPr>
      <w:r w:rsidRPr="00A06132">
        <w:rPr>
          <w:rFonts w:asciiTheme="minorHAnsi" w:hAnsiTheme="minorHAnsi" w:cstheme="minorHAnsi"/>
          <w:b/>
          <w:color w:val="000000"/>
          <w:sz w:val="22"/>
          <w:szCs w:val="22"/>
        </w:rPr>
        <w:t>For the year ended 31 December 202</w:t>
      </w:r>
      <w:r w:rsidR="00460D52" w:rsidRPr="00A06132">
        <w:rPr>
          <w:rFonts w:asciiTheme="minorHAnsi" w:hAnsiTheme="minorHAnsi" w:cstheme="minorHAnsi"/>
          <w:b/>
          <w:color w:val="000000"/>
          <w:sz w:val="22"/>
          <w:szCs w:val="22"/>
        </w:rPr>
        <w:t>3</w:t>
      </w:r>
    </w:p>
    <w:p w14:paraId="790ACA9D" w14:textId="77777777" w:rsidR="00DA3594" w:rsidRDefault="00DA3594" w:rsidP="00DA3594">
      <w:pPr>
        <w:tabs>
          <w:tab w:val="left" w:pos="426"/>
          <w:tab w:val="left" w:pos="851"/>
          <w:tab w:val="left" w:pos="10604"/>
        </w:tabs>
        <w:ind w:right="-28"/>
        <w:rPr>
          <w:rFonts w:asciiTheme="minorHAnsi" w:hAnsiTheme="minorHAnsi" w:cstheme="minorHAnsi"/>
          <w:b/>
          <w:color w:val="000000"/>
          <w:lang w:val="en-US"/>
        </w:rPr>
      </w:pPr>
    </w:p>
    <w:p w14:paraId="01C4DD21" w14:textId="77777777" w:rsidR="00955A1C" w:rsidRDefault="00955A1C" w:rsidP="00DA3594">
      <w:pPr>
        <w:tabs>
          <w:tab w:val="left" w:pos="426"/>
          <w:tab w:val="left" w:pos="851"/>
          <w:tab w:val="left" w:pos="10604"/>
        </w:tabs>
        <w:ind w:right="-28"/>
        <w:rPr>
          <w:rFonts w:asciiTheme="minorHAnsi" w:hAnsiTheme="minorHAnsi" w:cstheme="minorHAnsi"/>
          <w:b/>
          <w:color w:val="000000"/>
          <w:lang w:val="en-US"/>
        </w:rPr>
      </w:pPr>
    </w:p>
    <w:p w14:paraId="16E5E799" w14:textId="77777777" w:rsidR="00955A1C" w:rsidRDefault="00955A1C" w:rsidP="00DA3594">
      <w:pPr>
        <w:tabs>
          <w:tab w:val="left" w:pos="426"/>
          <w:tab w:val="left" w:pos="851"/>
          <w:tab w:val="left" w:pos="10604"/>
        </w:tabs>
        <w:ind w:right="-28"/>
        <w:rPr>
          <w:rFonts w:asciiTheme="minorHAnsi" w:hAnsiTheme="minorHAnsi" w:cstheme="minorHAnsi"/>
          <w:b/>
          <w:color w:val="000000"/>
          <w:lang w:val="en-US"/>
        </w:rPr>
      </w:pPr>
    </w:p>
    <w:p w14:paraId="648C0E16" w14:textId="77777777" w:rsidR="00955A1C" w:rsidRPr="004258F5" w:rsidRDefault="00955A1C" w:rsidP="00DA3594">
      <w:pPr>
        <w:tabs>
          <w:tab w:val="left" w:pos="426"/>
          <w:tab w:val="left" w:pos="851"/>
          <w:tab w:val="left" w:pos="10604"/>
        </w:tabs>
        <w:ind w:right="-28"/>
        <w:rPr>
          <w:rFonts w:asciiTheme="minorHAnsi" w:hAnsiTheme="minorHAnsi" w:cstheme="minorHAnsi"/>
          <w:b/>
          <w:color w:val="000000"/>
          <w:lang w:val="en-US"/>
        </w:rPr>
      </w:pPr>
    </w:p>
    <w:p w14:paraId="417D484F" w14:textId="72C48D42" w:rsidR="009D5A13" w:rsidRPr="004258F5" w:rsidRDefault="009D5A13" w:rsidP="009D5A13">
      <w:pPr>
        <w:tabs>
          <w:tab w:val="decimal" w:pos="8460"/>
          <w:tab w:val="decimal" w:pos="10080"/>
        </w:tabs>
        <w:rPr>
          <w:rFonts w:asciiTheme="minorHAnsi" w:hAnsiTheme="minorHAnsi" w:cstheme="minorHAnsi"/>
          <w:b/>
          <w:color w:val="000000"/>
        </w:rPr>
      </w:pPr>
      <w:r w:rsidRPr="004258F5">
        <w:rPr>
          <w:rFonts w:asciiTheme="minorHAnsi" w:hAnsiTheme="minorHAnsi" w:cstheme="minorHAnsi"/>
          <w:b/>
          <w:color w:val="000000"/>
        </w:rPr>
        <w:t xml:space="preserve">Note </w:t>
      </w:r>
      <w:r w:rsidR="00197776">
        <w:rPr>
          <w:rFonts w:asciiTheme="minorHAnsi" w:hAnsiTheme="minorHAnsi" w:cstheme="minorHAnsi"/>
          <w:b/>
          <w:color w:val="000000"/>
        </w:rPr>
        <w:t>2</w:t>
      </w:r>
      <w:r w:rsidRPr="004258F5">
        <w:rPr>
          <w:rFonts w:asciiTheme="minorHAnsi" w:hAnsiTheme="minorHAnsi" w:cstheme="minorHAnsi"/>
          <w:b/>
          <w:color w:val="000000"/>
        </w:rPr>
        <w:t xml:space="preserve">  </w:t>
      </w:r>
      <w:r w:rsidR="00EC645C">
        <w:rPr>
          <w:rFonts w:asciiTheme="minorHAnsi" w:hAnsiTheme="minorHAnsi" w:cstheme="minorHAnsi"/>
          <w:b/>
          <w:color w:val="000000"/>
        </w:rPr>
        <w:t xml:space="preserve">   </w:t>
      </w:r>
      <w:r w:rsidRPr="004258F5">
        <w:rPr>
          <w:rFonts w:asciiTheme="minorHAnsi" w:hAnsiTheme="minorHAnsi" w:cstheme="minorHAnsi"/>
          <w:b/>
          <w:color w:val="000000"/>
        </w:rPr>
        <w:t>EARNINGS PER €0.60 ORDINARY SHARE (continued)</w:t>
      </w:r>
    </w:p>
    <w:p w14:paraId="4380B252" w14:textId="77777777" w:rsidR="002008BE" w:rsidRPr="004258F5" w:rsidRDefault="002008BE" w:rsidP="002008BE">
      <w:pPr>
        <w:pStyle w:val="Default"/>
        <w:ind w:left="360"/>
        <w:jc w:val="both"/>
        <w:rPr>
          <w:rFonts w:asciiTheme="minorHAnsi" w:hAnsiTheme="minorHAnsi" w:cstheme="minorHAnsi"/>
          <w:sz w:val="20"/>
          <w:szCs w:val="20"/>
        </w:rPr>
      </w:pPr>
    </w:p>
    <w:tbl>
      <w:tblPr>
        <w:tblW w:w="8221" w:type="dxa"/>
        <w:tblInd w:w="392" w:type="dxa"/>
        <w:tblLayout w:type="fixed"/>
        <w:tblLook w:val="0000" w:firstRow="0" w:lastRow="0" w:firstColumn="0" w:lastColumn="0" w:noHBand="0" w:noVBand="0"/>
      </w:tblPr>
      <w:tblGrid>
        <w:gridCol w:w="5137"/>
        <w:gridCol w:w="250"/>
        <w:gridCol w:w="1275"/>
        <w:gridCol w:w="283"/>
        <w:gridCol w:w="1276"/>
      </w:tblGrid>
      <w:tr w:rsidR="002008BE" w:rsidRPr="004258F5" w14:paraId="1C055159" w14:textId="77777777" w:rsidTr="00BE3FF7">
        <w:tc>
          <w:tcPr>
            <w:tcW w:w="5137" w:type="dxa"/>
          </w:tcPr>
          <w:p w14:paraId="3B45DC3D" w14:textId="2AB845F4" w:rsidR="002008BE" w:rsidRPr="004258F5" w:rsidRDefault="002008BE" w:rsidP="00B904B9">
            <w:pPr>
              <w:rPr>
                <w:rFonts w:asciiTheme="minorHAnsi" w:hAnsiTheme="minorHAnsi" w:cstheme="minorHAnsi"/>
                <w:b/>
                <w:color w:val="000000"/>
              </w:rPr>
            </w:pPr>
          </w:p>
        </w:tc>
        <w:tc>
          <w:tcPr>
            <w:tcW w:w="250" w:type="dxa"/>
          </w:tcPr>
          <w:p w14:paraId="021EF1F2" w14:textId="77777777" w:rsidR="002008BE" w:rsidRPr="004258F5" w:rsidRDefault="002008BE" w:rsidP="00B904B9">
            <w:pPr>
              <w:jc w:val="center"/>
              <w:rPr>
                <w:rFonts w:asciiTheme="minorHAnsi" w:hAnsiTheme="minorHAnsi" w:cstheme="minorHAnsi"/>
                <w:b/>
                <w:color w:val="000000"/>
              </w:rPr>
            </w:pPr>
          </w:p>
        </w:tc>
        <w:tc>
          <w:tcPr>
            <w:tcW w:w="1275" w:type="dxa"/>
          </w:tcPr>
          <w:p w14:paraId="43311A19" w14:textId="5C194E3E" w:rsidR="002008BE" w:rsidRPr="004258F5" w:rsidRDefault="00D04251" w:rsidP="00B904B9">
            <w:pPr>
              <w:autoSpaceDE w:val="0"/>
              <w:autoSpaceDN w:val="0"/>
              <w:adjustRightInd w:val="0"/>
              <w:jc w:val="center"/>
              <w:rPr>
                <w:rFonts w:asciiTheme="minorHAnsi" w:hAnsiTheme="minorHAnsi" w:cstheme="minorHAnsi"/>
                <w:b/>
                <w:color w:val="000000"/>
              </w:rPr>
            </w:pPr>
            <w:r w:rsidRPr="004258F5">
              <w:rPr>
                <w:rFonts w:asciiTheme="minorHAnsi" w:hAnsiTheme="minorHAnsi" w:cstheme="minorHAnsi"/>
                <w:b/>
                <w:color w:val="000000"/>
              </w:rPr>
              <w:t>202</w:t>
            </w:r>
            <w:r w:rsidR="00BE3FF7" w:rsidRPr="004258F5">
              <w:rPr>
                <w:rFonts w:asciiTheme="minorHAnsi" w:hAnsiTheme="minorHAnsi" w:cstheme="minorHAnsi"/>
                <w:b/>
                <w:color w:val="000000"/>
              </w:rPr>
              <w:t>3</w:t>
            </w:r>
          </w:p>
        </w:tc>
        <w:tc>
          <w:tcPr>
            <w:tcW w:w="283" w:type="dxa"/>
          </w:tcPr>
          <w:p w14:paraId="4DC2FE1C" w14:textId="77777777" w:rsidR="002008BE" w:rsidRPr="004258F5" w:rsidRDefault="002008BE" w:rsidP="00B904B9">
            <w:pPr>
              <w:jc w:val="center"/>
              <w:rPr>
                <w:rFonts w:asciiTheme="minorHAnsi" w:hAnsiTheme="minorHAnsi" w:cstheme="minorHAnsi"/>
                <w:color w:val="000000"/>
              </w:rPr>
            </w:pPr>
          </w:p>
        </w:tc>
        <w:tc>
          <w:tcPr>
            <w:tcW w:w="1276" w:type="dxa"/>
          </w:tcPr>
          <w:p w14:paraId="7C13A0DD" w14:textId="5D0996BD" w:rsidR="002008BE" w:rsidRPr="004258F5" w:rsidRDefault="00D04251" w:rsidP="00B904B9">
            <w:pPr>
              <w:autoSpaceDE w:val="0"/>
              <w:autoSpaceDN w:val="0"/>
              <w:adjustRightInd w:val="0"/>
              <w:ind w:left="33" w:firstLine="30"/>
              <w:jc w:val="center"/>
              <w:rPr>
                <w:rFonts w:asciiTheme="minorHAnsi" w:hAnsiTheme="minorHAnsi" w:cstheme="minorHAnsi"/>
                <w:color w:val="000000"/>
              </w:rPr>
            </w:pPr>
            <w:r w:rsidRPr="004258F5">
              <w:rPr>
                <w:rFonts w:asciiTheme="minorHAnsi" w:hAnsiTheme="minorHAnsi" w:cstheme="minorHAnsi"/>
                <w:color w:val="000000"/>
              </w:rPr>
              <w:t>202</w:t>
            </w:r>
            <w:r w:rsidR="00BE3FF7" w:rsidRPr="004258F5">
              <w:rPr>
                <w:rFonts w:asciiTheme="minorHAnsi" w:hAnsiTheme="minorHAnsi" w:cstheme="minorHAnsi"/>
                <w:color w:val="000000"/>
              </w:rPr>
              <w:t>2 (restated)</w:t>
            </w:r>
          </w:p>
          <w:p w14:paraId="180F3F8A" w14:textId="77777777" w:rsidR="002008BE" w:rsidRPr="004258F5" w:rsidRDefault="002008BE" w:rsidP="00B904B9">
            <w:pPr>
              <w:autoSpaceDE w:val="0"/>
              <w:autoSpaceDN w:val="0"/>
              <w:adjustRightInd w:val="0"/>
              <w:ind w:left="33" w:firstLine="30"/>
              <w:jc w:val="center"/>
              <w:rPr>
                <w:rFonts w:asciiTheme="minorHAnsi" w:hAnsiTheme="minorHAnsi" w:cstheme="minorHAnsi"/>
                <w:color w:val="000000"/>
              </w:rPr>
            </w:pPr>
          </w:p>
        </w:tc>
      </w:tr>
      <w:tr w:rsidR="002008BE" w:rsidRPr="004258F5" w14:paraId="60E915BC" w14:textId="77777777" w:rsidTr="00BE3FF7">
        <w:tblPrEx>
          <w:tblLook w:val="01E0" w:firstRow="1" w:lastRow="1" w:firstColumn="1" w:lastColumn="1" w:noHBand="0" w:noVBand="0"/>
        </w:tblPrEx>
        <w:tc>
          <w:tcPr>
            <w:tcW w:w="5137" w:type="dxa"/>
          </w:tcPr>
          <w:p w14:paraId="130E905D" w14:textId="77777777" w:rsidR="002008BE" w:rsidRPr="004258F5" w:rsidRDefault="002008BE" w:rsidP="00B904B9">
            <w:pPr>
              <w:rPr>
                <w:rFonts w:asciiTheme="minorHAnsi" w:hAnsiTheme="minorHAnsi" w:cstheme="minorHAnsi"/>
                <w:b/>
                <w:color w:val="000000"/>
              </w:rPr>
            </w:pPr>
          </w:p>
        </w:tc>
        <w:tc>
          <w:tcPr>
            <w:tcW w:w="250" w:type="dxa"/>
          </w:tcPr>
          <w:p w14:paraId="30C4E8C6" w14:textId="77777777" w:rsidR="002008BE" w:rsidRPr="004258F5" w:rsidRDefault="002008BE" w:rsidP="00B904B9">
            <w:pPr>
              <w:jc w:val="center"/>
              <w:rPr>
                <w:rFonts w:asciiTheme="minorHAnsi" w:hAnsiTheme="minorHAnsi" w:cstheme="minorHAnsi"/>
                <w:b/>
                <w:color w:val="000000"/>
              </w:rPr>
            </w:pPr>
          </w:p>
        </w:tc>
        <w:tc>
          <w:tcPr>
            <w:tcW w:w="1275" w:type="dxa"/>
          </w:tcPr>
          <w:p w14:paraId="0D22B51F" w14:textId="77777777" w:rsidR="002008BE" w:rsidRPr="004258F5" w:rsidRDefault="002008BE" w:rsidP="00B904B9">
            <w:pPr>
              <w:jc w:val="center"/>
              <w:rPr>
                <w:rFonts w:asciiTheme="minorHAnsi" w:hAnsiTheme="minorHAnsi" w:cstheme="minorHAnsi"/>
                <w:b/>
                <w:color w:val="000000"/>
              </w:rPr>
            </w:pPr>
            <w:r w:rsidRPr="004258F5">
              <w:rPr>
                <w:rFonts w:asciiTheme="minorHAnsi" w:hAnsiTheme="minorHAnsi" w:cstheme="minorHAnsi"/>
                <w:b/>
                <w:color w:val="000000"/>
              </w:rPr>
              <w:t>€000s</w:t>
            </w:r>
          </w:p>
        </w:tc>
        <w:tc>
          <w:tcPr>
            <w:tcW w:w="283" w:type="dxa"/>
          </w:tcPr>
          <w:p w14:paraId="078B1ACA" w14:textId="77777777" w:rsidR="002008BE" w:rsidRPr="004258F5" w:rsidRDefault="002008BE" w:rsidP="00B904B9">
            <w:pPr>
              <w:jc w:val="center"/>
              <w:rPr>
                <w:rFonts w:asciiTheme="minorHAnsi" w:hAnsiTheme="minorHAnsi" w:cstheme="minorHAnsi"/>
                <w:color w:val="000000"/>
              </w:rPr>
            </w:pPr>
          </w:p>
        </w:tc>
        <w:tc>
          <w:tcPr>
            <w:tcW w:w="1276" w:type="dxa"/>
          </w:tcPr>
          <w:p w14:paraId="7E8F7785" w14:textId="77777777" w:rsidR="002008BE" w:rsidRPr="004258F5" w:rsidRDefault="002008BE" w:rsidP="00B904B9">
            <w:pPr>
              <w:jc w:val="center"/>
              <w:rPr>
                <w:rFonts w:asciiTheme="minorHAnsi" w:hAnsiTheme="minorHAnsi" w:cstheme="minorHAnsi"/>
                <w:color w:val="000000"/>
              </w:rPr>
            </w:pPr>
            <w:r w:rsidRPr="004258F5">
              <w:rPr>
                <w:rFonts w:asciiTheme="minorHAnsi" w:hAnsiTheme="minorHAnsi" w:cstheme="minorHAnsi"/>
                <w:color w:val="000000"/>
              </w:rPr>
              <w:t>€000s</w:t>
            </w:r>
          </w:p>
        </w:tc>
      </w:tr>
      <w:tr w:rsidR="00BE3FF7" w:rsidRPr="004258F5" w14:paraId="6BB3AA40" w14:textId="77777777" w:rsidTr="00BE3FF7">
        <w:tblPrEx>
          <w:tblLook w:val="01E0" w:firstRow="1" w:lastRow="1" w:firstColumn="1" w:lastColumn="1" w:noHBand="0" w:noVBand="0"/>
        </w:tblPrEx>
        <w:tc>
          <w:tcPr>
            <w:tcW w:w="5137" w:type="dxa"/>
          </w:tcPr>
          <w:p w14:paraId="68F3C734" w14:textId="0C58A3CD" w:rsidR="00BE3FF7" w:rsidRPr="004258F5" w:rsidRDefault="00BE3FF7" w:rsidP="00BE3FF7">
            <w:pPr>
              <w:rPr>
                <w:rFonts w:asciiTheme="minorHAnsi" w:hAnsiTheme="minorHAnsi" w:cstheme="minorHAnsi"/>
                <w:b/>
                <w:color w:val="000000"/>
              </w:rPr>
            </w:pPr>
            <w:r w:rsidRPr="004258F5">
              <w:rPr>
                <w:rFonts w:asciiTheme="minorHAnsi" w:hAnsiTheme="minorHAnsi" w:cstheme="minorHAnsi"/>
                <w:b/>
                <w:color w:val="000000"/>
              </w:rPr>
              <w:t>Profit attributable to the parent entity for the year</w:t>
            </w:r>
          </w:p>
        </w:tc>
        <w:tc>
          <w:tcPr>
            <w:tcW w:w="250" w:type="dxa"/>
          </w:tcPr>
          <w:p w14:paraId="6B2E0408" w14:textId="77777777" w:rsidR="00BE3FF7" w:rsidRPr="004258F5" w:rsidRDefault="00BE3FF7" w:rsidP="00BE3FF7">
            <w:pPr>
              <w:jc w:val="right"/>
              <w:rPr>
                <w:rFonts w:asciiTheme="minorHAnsi" w:hAnsiTheme="minorHAnsi" w:cstheme="minorHAnsi"/>
                <w:b/>
                <w:color w:val="000000"/>
              </w:rPr>
            </w:pPr>
          </w:p>
        </w:tc>
        <w:tc>
          <w:tcPr>
            <w:tcW w:w="1275" w:type="dxa"/>
            <w:tcBorders>
              <w:bottom w:val="single" w:sz="12" w:space="0" w:color="auto"/>
            </w:tcBorders>
          </w:tcPr>
          <w:p w14:paraId="5F5DA78E" w14:textId="1EBF4F5E" w:rsidR="00BE3FF7" w:rsidRPr="004258F5" w:rsidRDefault="00BE3FF7" w:rsidP="00BE3FF7">
            <w:pPr>
              <w:jc w:val="right"/>
              <w:rPr>
                <w:rFonts w:asciiTheme="minorHAnsi" w:hAnsiTheme="minorHAnsi" w:cstheme="minorHAnsi"/>
                <w:b/>
                <w:color w:val="000000"/>
              </w:rPr>
            </w:pPr>
            <w:r w:rsidRPr="004258F5">
              <w:rPr>
                <w:rFonts w:asciiTheme="minorHAnsi" w:hAnsiTheme="minorHAnsi" w:cstheme="minorHAnsi"/>
                <w:b/>
                <w:color w:val="000000"/>
              </w:rPr>
              <w:t>69,5</w:t>
            </w:r>
            <w:r w:rsidR="00F30DFC" w:rsidRPr="004258F5">
              <w:rPr>
                <w:rFonts w:asciiTheme="minorHAnsi" w:hAnsiTheme="minorHAnsi" w:cstheme="minorHAnsi"/>
                <w:b/>
                <w:color w:val="000000"/>
              </w:rPr>
              <w:t>41</w:t>
            </w:r>
          </w:p>
        </w:tc>
        <w:tc>
          <w:tcPr>
            <w:tcW w:w="283" w:type="dxa"/>
          </w:tcPr>
          <w:p w14:paraId="26F1EE25" w14:textId="77777777" w:rsidR="00BE3FF7" w:rsidRPr="004258F5" w:rsidRDefault="00BE3FF7" w:rsidP="00BE3FF7">
            <w:pPr>
              <w:jc w:val="right"/>
              <w:rPr>
                <w:rFonts w:asciiTheme="minorHAnsi" w:hAnsiTheme="minorHAnsi" w:cstheme="minorHAnsi"/>
                <w:color w:val="000000"/>
              </w:rPr>
            </w:pPr>
          </w:p>
        </w:tc>
        <w:tc>
          <w:tcPr>
            <w:tcW w:w="1276" w:type="dxa"/>
            <w:tcBorders>
              <w:bottom w:val="single" w:sz="12" w:space="0" w:color="auto"/>
            </w:tcBorders>
          </w:tcPr>
          <w:p w14:paraId="2A49C913" w14:textId="73624726" w:rsidR="00BE3FF7" w:rsidRPr="004258F5" w:rsidRDefault="00BE3FF7" w:rsidP="00BE3FF7">
            <w:pPr>
              <w:jc w:val="right"/>
              <w:rPr>
                <w:rFonts w:asciiTheme="minorHAnsi" w:hAnsiTheme="minorHAnsi" w:cstheme="minorHAnsi"/>
                <w:bCs/>
                <w:color w:val="000000"/>
              </w:rPr>
            </w:pPr>
            <w:r w:rsidRPr="004258F5">
              <w:rPr>
                <w:rFonts w:asciiTheme="minorHAnsi" w:hAnsiTheme="minorHAnsi" w:cstheme="minorHAnsi"/>
                <w:bCs/>
                <w:color w:val="000000"/>
              </w:rPr>
              <w:t>57,556</w:t>
            </w:r>
          </w:p>
        </w:tc>
      </w:tr>
      <w:tr w:rsidR="00BE3FF7" w:rsidRPr="004258F5" w14:paraId="04FF8F9F" w14:textId="77777777" w:rsidTr="00BE3FF7">
        <w:tblPrEx>
          <w:tblLook w:val="01E0" w:firstRow="1" w:lastRow="1" w:firstColumn="1" w:lastColumn="1" w:noHBand="0" w:noVBand="0"/>
        </w:tblPrEx>
        <w:tc>
          <w:tcPr>
            <w:tcW w:w="5137" w:type="dxa"/>
          </w:tcPr>
          <w:p w14:paraId="66975CF9" w14:textId="10BEEAFC" w:rsidR="00BE3FF7" w:rsidRPr="004258F5" w:rsidRDefault="00BE3FF7" w:rsidP="00BE3FF7">
            <w:pPr>
              <w:rPr>
                <w:rFonts w:asciiTheme="minorHAnsi" w:hAnsiTheme="minorHAnsi" w:cstheme="minorHAnsi"/>
                <w:color w:val="000000"/>
              </w:rPr>
            </w:pPr>
            <w:r w:rsidRPr="004258F5">
              <w:rPr>
                <w:rFonts w:asciiTheme="minorHAnsi" w:hAnsiTheme="minorHAnsi" w:cstheme="minorHAnsi"/>
                <w:color w:val="000000"/>
              </w:rPr>
              <w:t>2023 dividend of 8.4 cent (2022: 8.4 cent) per share on 14% non</w:t>
            </w:r>
            <w:r w:rsidR="00542A05">
              <w:rPr>
                <w:rFonts w:asciiTheme="minorHAnsi" w:hAnsiTheme="minorHAnsi" w:cstheme="minorHAnsi"/>
                <w:color w:val="000000"/>
              </w:rPr>
              <w:t>-</w:t>
            </w:r>
            <w:r w:rsidRPr="004258F5">
              <w:rPr>
                <w:rFonts w:asciiTheme="minorHAnsi" w:hAnsiTheme="minorHAnsi" w:cstheme="minorHAnsi"/>
                <w:color w:val="000000"/>
              </w:rPr>
              <w:t>cumulative preference shares of €0.60 each</w:t>
            </w:r>
          </w:p>
        </w:tc>
        <w:tc>
          <w:tcPr>
            <w:tcW w:w="250" w:type="dxa"/>
            <w:shd w:val="clear" w:color="auto" w:fill="auto"/>
          </w:tcPr>
          <w:p w14:paraId="57D6A2E2" w14:textId="77777777" w:rsidR="00BE3FF7" w:rsidRPr="004258F5" w:rsidRDefault="00BE3FF7" w:rsidP="00BE3FF7">
            <w:pPr>
              <w:jc w:val="right"/>
              <w:rPr>
                <w:rFonts w:asciiTheme="minorHAnsi" w:hAnsiTheme="minorHAnsi" w:cstheme="minorHAnsi"/>
                <w:b/>
                <w:color w:val="000000"/>
              </w:rPr>
            </w:pPr>
          </w:p>
        </w:tc>
        <w:tc>
          <w:tcPr>
            <w:tcW w:w="1275" w:type="dxa"/>
            <w:tcBorders>
              <w:top w:val="single" w:sz="12" w:space="0" w:color="auto"/>
            </w:tcBorders>
            <w:shd w:val="clear" w:color="auto" w:fill="auto"/>
          </w:tcPr>
          <w:p w14:paraId="4FA06108" w14:textId="77777777" w:rsidR="00BE3FF7" w:rsidRPr="004258F5" w:rsidRDefault="00BE3FF7" w:rsidP="00BE3FF7">
            <w:pPr>
              <w:jc w:val="right"/>
              <w:rPr>
                <w:rFonts w:asciiTheme="minorHAnsi" w:hAnsiTheme="minorHAnsi" w:cstheme="minorHAnsi"/>
                <w:color w:val="000000"/>
              </w:rPr>
            </w:pPr>
          </w:p>
          <w:p w14:paraId="3730282E" w14:textId="56B75F66" w:rsidR="00BE3FF7" w:rsidRPr="004258F5" w:rsidRDefault="00BE3FF7" w:rsidP="00BE3FF7">
            <w:pPr>
              <w:jc w:val="right"/>
              <w:rPr>
                <w:rFonts w:asciiTheme="minorHAnsi" w:hAnsiTheme="minorHAnsi" w:cstheme="minorHAnsi"/>
                <w:b/>
                <w:color w:val="000000"/>
              </w:rPr>
            </w:pPr>
            <w:r w:rsidRPr="004258F5">
              <w:rPr>
                <w:rFonts w:asciiTheme="minorHAnsi" w:hAnsiTheme="minorHAnsi" w:cstheme="minorHAnsi"/>
                <w:color w:val="000000"/>
              </w:rPr>
              <w:t>(113)</w:t>
            </w:r>
          </w:p>
        </w:tc>
        <w:tc>
          <w:tcPr>
            <w:tcW w:w="283" w:type="dxa"/>
            <w:shd w:val="clear" w:color="auto" w:fill="auto"/>
          </w:tcPr>
          <w:p w14:paraId="4D822D26" w14:textId="77777777" w:rsidR="00BE3FF7" w:rsidRPr="004258F5" w:rsidRDefault="00BE3FF7" w:rsidP="00BE3FF7">
            <w:pPr>
              <w:jc w:val="right"/>
              <w:rPr>
                <w:rFonts w:asciiTheme="minorHAnsi" w:hAnsiTheme="minorHAnsi" w:cstheme="minorHAnsi"/>
                <w:color w:val="000000"/>
              </w:rPr>
            </w:pPr>
          </w:p>
        </w:tc>
        <w:tc>
          <w:tcPr>
            <w:tcW w:w="1276" w:type="dxa"/>
            <w:tcBorders>
              <w:top w:val="single" w:sz="12" w:space="0" w:color="auto"/>
            </w:tcBorders>
            <w:shd w:val="clear" w:color="auto" w:fill="auto"/>
          </w:tcPr>
          <w:p w14:paraId="0AB8E840" w14:textId="77777777" w:rsidR="00BE3FF7" w:rsidRPr="004258F5" w:rsidRDefault="00BE3FF7" w:rsidP="00BE3FF7">
            <w:pPr>
              <w:jc w:val="right"/>
              <w:rPr>
                <w:rFonts w:asciiTheme="minorHAnsi" w:hAnsiTheme="minorHAnsi" w:cstheme="minorHAnsi"/>
                <w:bCs/>
                <w:color w:val="000000"/>
              </w:rPr>
            </w:pPr>
          </w:p>
          <w:p w14:paraId="3C28D1A6" w14:textId="72B2A05C" w:rsidR="00BE3FF7" w:rsidRPr="004258F5" w:rsidRDefault="00BE3FF7" w:rsidP="00BE3FF7">
            <w:pPr>
              <w:jc w:val="right"/>
              <w:rPr>
                <w:rFonts w:asciiTheme="minorHAnsi" w:hAnsiTheme="minorHAnsi" w:cstheme="minorHAnsi"/>
                <w:bCs/>
                <w:color w:val="000000"/>
              </w:rPr>
            </w:pPr>
            <w:r w:rsidRPr="004258F5">
              <w:rPr>
                <w:rFonts w:asciiTheme="minorHAnsi" w:hAnsiTheme="minorHAnsi" w:cstheme="minorHAnsi"/>
                <w:bCs/>
                <w:color w:val="000000"/>
              </w:rPr>
              <w:t>(113)</w:t>
            </w:r>
          </w:p>
        </w:tc>
      </w:tr>
      <w:tr w:rsidR="00BE3FF7" w:rsidRPr="004258F5" w14:paraId="7CC81E0B" w14:textId="77777777" w:rsidTr="00BE3FF7">
        <w:tblPrEx>
          <w:tblLook w:val="01E0" w:firstRow="1" w:lastRow="1" w:firstColumn="1" w:lastColumn="1" w:noHBand="0" w:noVBand="0"/>
        </w:tblPrEx>
        <w:tc>
          <w:tcPr>
            <w:tcW w:w="5137" w:type="dxa"/>
          </w:tcPr>
          <w:p w14:paraId="5B3570B8" w14:textId="511AE94F" w:rsidR="00BE3FF7" w:rsidRPr="004258F5" w:rsidRDefault="00BE3FF7" w:rsidP="00BE3FF7">
            <w:pPr>
              <w:rPr>
                <w:rFonts w:asciiTheme="minorHAnsi" w:hAnsiTheme="minorHAnsi" w:cstheme="minorHAnsi"/>
                <w:color w:val="000000"/>
              </w:rPr>
            </w:pPr>
            <w:r w:rsidRPr="004258F5">
              <w:rPr>
                <w:rFonts w:asciiTheme="minorHAnsi" w:hAnsiTheme="minorHAnsi" w:cstheme="minorHAnsi"/>
                <w:bCs/>
                <w:color w:val="000000"/>
              </w:rPr>
              <w:t>2023 dividend of 4.8 cent (2022: 4.8 cent) per share on 8% non-cumulative preference shares of €0.60 each</w:t>
            </w:r>
          </w:p>
        </w:tc>
        <w:tc>
          <w:tcPr>
            <w:tcW w:w="250" w:type="dxa"/>
            <w:shd w:val="clear" w:color="auto" w:fill="auto"/>
          </w:tcPr>
          <w:p w14:paraId="2C323842" w14:textId="77777777" w:rsidR="00BE3FF7" w:rsidRPr="004258F5" w:rsidRDefault="00BE3FF7" w:rsidP="00BE3FF7">
            <w:pPr>
              <w:jc w:val="right"/>
              <w:rPr>
                <w:rFonts w:asciiTheme="minorHAnsi" w:hAnsiTheme="minorHAnsi" w:cstheme="minorHAnsi"/>
                <w:b/>
                <w:color w:val="000000"/>
              </w:rPr>
            </w:pPr>
          </w:p>
        </w:tc>
        <w:tc>
          <w:tcPr>
            <w:tcW w:w="1275" w:type="dxa"/>
            <w:tcBorders>
              <w:bottom w:val="single" w:sz="4" w:space="0" w:color="auto"/>
            </w:tcBorders>
            <w:shd w:val="clear" w:color="auto" w:fill="auto"/>
          </w:tcPr>
          <w:p w14:paraId="53D3B0AF" w14:textId="77777777" w:rsidR="00BE3FF7" w:rsidRPr="004258F5" w:rsidRDefault="00BE3FF7" w:rsidP="00BE3FF7">
            <w:pPr>
              <w:jc w:val="right"/>
              <w:rPr>
                <w:rFonts w:asciiTheme="minorHAnsi" w:hAnsiTheme="minorHAnsi" w:cstheme="minorHAnsi"/>
                <w:color w:val="000000"/>
              </w:rPr>
            </w:pPr>
          </w:p>
          <w:p w14:paraId="5F237D0A" w14:textId="7B2E013D" w:rsidR="00BE3FF7" w:rsidRPr="004258F5" w:rsidRDefault="00BE3FF7" w:rsidP="00BE3FF7">
            <w:pPr>
              <w:jc w:val="right"/>
              <w:rPr>
                <w:rFonts w:asciiTheme="minorHAnsi" w:hAnsiTheme="minorHAnsi" w:cstheme="minorHAnsi"/>
                <w:b/>
                <w:color w:val="000000"/>
              </w:rPr>
            </w:pPr>
            <w:r w:rsidRPr="004258F5">
              <w:rPr>
                <w:rFonts w:asciiTheme="minorHAnsi" w:hAnsiTheme="minorHAnsi" w:cstheme="minorHAnsi"/>
                <w:color w:val="000000"/>
              </w:rPr>
              <w:t>(169)</w:t>
            </w:r>
          </w:p>
        </w:tc>
        <w:tc>
          <w:tcPr>
            <w:tcW w:w="283" w:type="dxa"/>
            <w:shd w:val="clear" w:color="auto" w:fill="auto"/>
          </w:tcPr>
          <w:p w14:paraId="6F80CDA2" w14:textId="77777777" w:rsidR="00BE3FF7" w:rsidRPr="004258F5" w:rsidRDefault="00BE3FF7" w:rsidP="00BE3FF7">
            <w:pPr>
              <w:jc w:val="right"/>
              <w:rPr>
                <w:rFonts w:asciiTheme="minorHAnsi" w:hAnsiTheme="minorHAnsi" w:cstheme="minorHAnsi"/>
                <w:color w:val="000000"/>
              </w:rPr>
            </w:pPr>
          </w:p>
        </w:tc>
        <w:tc>
          <w:tcPr>
            <w:tcW w:w="1276" w:type="dxa"/>
            <w:tcBorders>
              <w:bottom w:val="single" w:sz="4" w:space="0" w:color="auto"/>
            </w:tcBorders>
            <w:shd w:val="clear" w:color="auto" w:fill="auto"/>
          </w:tcPr>
          <w:p w14:paraId="3B325B04" w14:textId="77777777" w:rsidR="00BE3FF7" w:rsidRPr="004258F5" w:rsidRDefault="00BE3FF7" w:rsidP="00BE3FF7">
            <w:pPr>
              <w:jc w:val="right"/>
              <w:rPr>
                <w:rFonts w:asciiTheme="minorHAnsi" w:hAnsiTheme="minorHAnsi" w:cstheme="minorHAnsi"/>
                <w:bCs/>
                <w:color w:val="000000"/>
              </w:rPr>
            </w:pPr>
          </w:p>
          <w:p w14:paraId="15C334AA" w14:textId="15DA6E24" w:rsidR="00BE3FF7" w:rsidRPr="004258F5" w:rsidRDefault="00BE3FF7" w:rsidP="00BE3FF7">
            <w:pPr>
              <w:jc w:val="right"/>
              <w:rPr>
                <w:rFonts w:asciiTheme="minorHAnsi" w:hAnsiTheme="minorHAnsi" w:cstheme="minorHAnsi"/>
                <w:bCs/>
                <w:color w:val="000000"/>
              </w:rPr>
            </w:pPr>
            <w:r w:rsidRPr="004258F5">
              <w:rPr>
                <w:rFonts w:asciiTheme="minorHAnsi" w:hAnsiTheme="minorHAnsi" w:cstheme="minorHAnsi"/>
                <w:bCs/>
                <w:color w:val="000000"/>
              </w:rPr>
              <w:t>(169)</w:t>
            </w:r>
          </w:p>
        </w:tc>
      </w:tr>
      <w:tr w:rsidR="00BE3FF7" w:rsidRPr="004258F5" w14:paraId="39667ABE" w14:textId="77777777" w:rsidTr="00BE3FF7">
        <w:tblPrEx>
          <w:tblLook w:val="01E0" w:firstRow="1" w:lastRow="1" w:firstColumn="1" w:lastColumn="1" w:noHBand="0" w:noVBand="0"/>
        </w:tblPrEx>
        <w:tc>
          <w:tcPr>
            <w:tcW w:w="5137" w:type="dxa"/>
          </w:tcPr>
          <w:p w14:paraId="2435865B" w14:textId="11630253" w:rsidR="00BE3FF7" w:rsidRPr="004258F5" w:rsidRDefault="00BE3FF7" w:rsidP="00BE3FF7">
            <w:pPr>
              <w:rPr>
                <w:rFonts w:asciiTheme="minorHAnsi" w:hAnsiTheme="minorHAnsi" w:cstheme="minorHAnsi"/>
                <w:b/>
                <w:color w:val="000000"/>
              </w:rPr>
            </w:pPr>
            <w:r w:rsidRPr="004258F5">
              <w:rPr>
                <w:rFonts w:asciiTheme="minorHAnsi" w:hAnsiTheme="minorHAnsi" w:cstheme="minorHAnsi"/>
                <w:b/>
                <w:color w:val="000000"/>
              </w:rPr>
              <w:t>Profit for the year for the purpose of calculating basic and diluted earnings</w:t>
            </w:r>
          </w:p>
        </w:tc>
        <w:tc>
          <w:tcPr>
            <w:tcW w:w="250" w:type="dxa"/>
          </w:tcPr>
          <w:p w14:paraId="34701C5D" w14:textId="77777777" w:rsidR="00BE3FF7" w:rsidRPr="004258F5" w:rsidRDefault="00BE3FF7" w:rsidP="00BE3FF7">
            <w:pPr>
              <w:jc w:val="right"/>
              <w:rPr>
                <w:rFonts w:asciiTheme="minorHAnsi" w:hAnsiTheme="minorHAnsi" w:cstheme="minorHAnsi"/>
                <w:b/>
                <w:color w:val="000000"/>
              </w:rPr>
            </w:pPr>
          </w:p>
        </w:tc>
        <w:tc>
          <w:tcPr>
            <w:tcW w:w="1275" w:type="dxa"/>
            <w:tcBorders>
              <w:top w:val="single" w:sz="4" w:space="0" w:color="auto"/>
            </w:tcBorders>
          </w:tcPr>
          <w:p w14:paraId="07A9CE6E" w14:textId="77777777" w:rsidR="00BE3FF7" w:rsidRPr="004258F5" w:rsidRDefault="00BE3FF7" w:rsidP="00BE3FF7">
            <w:pPr>
              <w:jc w:val="right"/>
              <w:rPr>
                <w:rFonts w:asciiTheme="minorHAnsi" w:hAnsiTheme="minorHAnsi" w:cstheme="minorHAnsi"/>
                <w:b/>
                <w:color w:val="000000"/>
              </w:rPr>
            </w:pPr>
          </w:p>
          <w:p w14:paraId="3FCFCAAC" w14:textId="79A7EFC4" w:rsidR="00BE3FF7" w:rsidRPr="004258F5" w:rsidRDefault="00BE3FF7" w:rsidP="00BE3FF7">
            <w:pPr>
              <w:jc w:val="right"/>
              <w:rPr>
                <w:rFonts w:asciiTheme="minorHAnsi" w:hAnsiTheme="minorHAnsi" w:cstheme="minorHAnsi"/>
                <w:b/>
                <w:color w:val="000000"/>
              </w:rPr>
            </w:pPr>
            <w:r w:rsidRPr="004258F5">
              <w:rPr>
                <w:rFonts w:asciiTheme="minorHAnsi" w:hAnsiTheme="minorHAnsi" w:cstheme="minorHAnsi"/>
                <w:b/>
                <w:color w:val="000000"/>
              </w:rPr>
              <w:t>69,25</w:t>
            </w:r>
            <w:r w:rsidR="004050E4" w:rsidRPr="004258F5">
              <w:rPr>
                <w:rFonts w:asciiTheme="minorHAnsi" w:hAnsiTheme="minorHAnsi" w:cstheme="minorHAnsi"/>
                <w:b/>
                <w:color w:val="000000"/>
              </w:rPr>
              <w:t>9</w:t>
            </w:r>
          </w:p>
        </w:tc>
        <w:tc>
          <w:tcPr>
            <w:tcW w:w="283" w:type="dxa"/>
          </w:tcPr>
          <w:p w14:paraId="219EFAC2" w14:textId="77777777" w:rsidR="00BE3FF7" w:rsidRPr="004258F5" w:rsidRDefault="00BE3FF7" w:rsidP="00BE3FF7">
            <w:pPr>
              <w:jc w:val="right"/>
              <w:rPr>
                <w:rFonts w:asciiTheme="minorHAnsi" w:hAnsiTheme="minorHAnsi" w:cstheme="minorHAnsi"/>
                <w:color w:val="000000"/>
              </w:rPr>
            </w:pPr>
          </w:p>
        </w:tc>
        <w:tc>
          <w:tcPr>
            <w:tcW w:w="1276" w:type="dxa"/>
            <w:tcBorders>
              <w:top w:val="single" w:sz="4" w:space="0" w:color="auto"/>
            </w:tcBorders>
          </w:tcPr>
          <w:p w14:paraId="1D8DF42D" w14:textId="77777777" w:rsidR="00BE3FF7" w:rsidRPr="004258F5" w:rsidRDefault="00BE3FF7" w:rsidP="00BE3FF7">
            <w:pPr>
              <w:jc w:val="right"/>
              <w:rPr>
                <w:rFonts w:asciiTheme="minorHAnsi" w:hAnsiTheme="minorHAnsi" w:cstheme="minorHAnsi"/>
                <w:bCs/>
                <w:color w:val="000000"/>
              </w:rPr>
            </w:pPr>
          </w:p>
          <w:p w14:paraId="7989E015" w14:textId="1C74FAD7" w:rsidR="00BE3FF7" w:rsidRPr="004258F5" w:rsidRDefault="00BE3FF7" w:rsidP="00BE3FF7">
            <w:pPr>
              <w:jc w:val="right"/>
              <w:rPr>
                <w:rFonts w:asciiTheme="minorHAnsi" w:hAnsiTheme="minorHAnsi" w:cstheme="minorHAnsi"/>
                <w:bCs/>
                <w:color w:val="000000"/>
              </w:rPr>
            </w:pPr>
            <w:r w:rsidRPr="004258F5">
              <w:rPr>
                <w:rFonts w:asciiTheme="minorHAnsi" w:hAnsiTheme="minorHAnsi" w:cstheme="minorHAnsi"/>
                <w:bCs/>
                <w:color w:val="000000"/>
              </w:rPr>
              <w:t>57,274</w:t>
            </w:r>
          </w:p>
        </w:tc>
      </w:tr>
      <w:tr w:rsidR="003C1A44" w:rsidRPr="004258F5" w14:paraId="77A35617" w14:textId="77777777" w:rsidTr="00BE3FF7">
        <w:tblPrEx>
          <w:tblLook w:val="01E0" w:firstRow="1" w:lastRow="1" w:firstColumn="1" w:lastColumn="1" w:noHBand="0" w:noVBand="0"/>
        </w:tblPrEx>
        <w:tc>
          <w:tcPr>
            <w:tcW w:w="5137" w:type="dxa"/>
          </w:tcPr>
          <w:p w14:paraId="2B7FA144" w14:textId="77777777" w:rsidR="003C1A44" w:rsidRPr="004258F5" w:rsidRDefault="003C1A44" w:rsidP="003C1A44">
            <w:pPr>
              <w:rPr>
                <w:rFonts w:asciiTheme="minorHAnsi" w:hAnsiTheme="minorHAnsi" w:cstheme="minorHAnsi"/>
                <w:b/>
                <w:color w:val="000000"/>
                <w:highlight w:val="yellow"/>
              </w:rPr>
            </w:pPr>
          </w:p>
        </w:tc>
        <w:tc>
          <w:tcPr>
            <w:tcW w:w="250" w:type="dxa"/>
          </w:tcPr>
          <w:p w14:paraId="5A5A8A2A" w14:textId="77777777" w:rsidR="003C1A44" w:rsidRPr="004258F5" w:rsidRDefault="003C1A44" w:rsidP="003C1A44">
            <w:pPr>
              <w:jc w:val="right"/>
              <w:rPr>
                <w:rFonts w:asciiTheme="minorHAnsi" w:hAnsiTheme="minorHAnsi" w:cstheme="minorHAnsi"/>
                <w:color w:val="000000"/>
                <w:highlight w:val="yellow"/>
              </w:rPr>
            </w:pPr>
          </w:p>
        </w:tc>
        <w:tc>
          <w:tcPr>
            <w:tcW w:w="1275" w:type="dxa"/>
            <w:tcBorders>
              <w:top w:val="single" w:sz="12" w:space="0" w:color="auto"/>
            </w:tcBorders>
          </w:tcPr>
          <w:p w14:paraId="5E734CA4" w14:textId="77777777" w:rsidR="003C1A44" w:rsidRPr="004258F5" w:rsidRDefault="003C1A44" w:rsidP="003C1A44">
            <w:pPr>
              <w:jc w:val="right"/>
              <w:rPr>
                <w:rFonts w:asciiTheme="minorHAnsi" w:hAnsiTheme="minorHAnsi" w:cstheme="minorHAnsi"/>
                <w:color w:val="000000"/>
                <w:highlight w:val="yellow"/>
              </w:rPr>
            </w:pPr>
          </w:p>
        </w:tc>
        <w:tc>
          <w:tcPr>
            <w:tcW w:w="283" w:type="dxa"/>
          </w:tcPr>
          <w:p w14:paraId="08501230" w14:textId="77777777" w:rsidR="003C1A44" w:rsidRPr="004258F5" w:rsidRDefault="003C1A44" w:rsidP="003C1A44">
            <w:pPr>
              <w:jc w:val="right"/>
              <w:rPr>
                <w:rFonts w:asciiTheme="minorHAnsi" w:hAnsiTheme="minorHAnsi" w:cstheme="minorHAnsi"/>
                <w:color w:val="000000"/>
                <w:highlight w:val="yellow"/>
              </w:rPr>
            </w:pPr>
          </w:p>
        </w:tc>
        <w:tc>
          <w:tcPr>
            <w:tcW w:w="1276" w:type="dxa"/>
            <w:tcBorders>
              <w:top w:val="single" w:sz="12" w:space="0" w:color="auto"/>
            </w:tcBorders>
          </w:tcPr>
          <w:p w14:paraId="02D6706A" w14:textId="77777777" w:rsidR="003C1A44" w:rsidRPr="004258F5" w:rsidRDefault="003C1A44" w:rsidP="003C1A44">
            <w:pPr>
              <w:jc w:val="right"/>
              <w:rPr>
                <w:rFonts w:asciiTheme="minorHAnsi" w:hAnsiTheme="minorHAnsi" w:cstheme="minorHAnsi"/>
                <w:color w:val="000000"/>
                <w:highlight w:val="yellow"/>
              </w:rPr>
            </w:pPr>
          </w:p>
        </w:tc>
      </w:tr>
    </w:tbl>
    <w:p w14:paraId="502AAA6A" w14:textId="75316529" w:rsidR="002008BE" w:rsidRPr="004258F5" w:rsidRDefault="002008BE" w:rsidP="002008BE">
      <w:pPr>
        <w:ind w:left="284"/>
        <w:jc w:val="center"/>
        <w:rPr>
          <w:rFonts w:asciiTheme="minorHAnsi" w:hAnsiTheme="minorHAnsi" w:cstheme="minorHAnsi"/>
          <w:b/>
          <w:color w:val="000000"/>
          <w:highlight w:val="yellow"/>
        </w:rPr>
      </w:pPr>
    </w:p>
    <w:p w14:paraId="0FD8913B" w14:textId="77777777" w:rsidR="002008BE" w:rsidRPr="004258F5" w:rsidRDefault="002008BE" w:rsidP="002008BE">
      <w:pPr>
        <w:autoSpaceDE w:val="0"/>
        <w:autoSpaceDN w:val="0"/>
        <w:adjustRightInd w:val="0"/>
        <w:rPr>
          <w:rFonts w:asciiTheme="minorHAnsi" w:hAnsiTheme="minorHAnsi" w:cstheme="minorHAnsi"/>
          <w:color w:val="000000"/>
          <w:highlight w:val="yellow"/>
          <w:lang w:val="en-IE"/>
        </w:rPr>
      </w:pPr>
    </w:p>
    <w:p w14:paraId="56972E70" w14:textId="68BC87AC" w:rsidR="002008BE" w:rsidRPr="004258F5" w:rsidRDefault="002008BE" w:rsidP="002008BE">
      <w:pPr>
        <w:pStyle w:val="Default"/>
        <w:ind w:left="360"/>
        <w:jc w:val="both"/>
        <w:rPr>
          <w:rFonts w:asciiTheme="minorHAnsi" w:eastAsiaTheme="minorHAnsi" w:hAnsiTheme="minorHAnsi" w:cstheme="minorHAnsi"/>
          <w:color w:val="auto"/>
          <w:sz w:val="20"/>
          <w:szCs w:val="20"/>
          <w:lang w:val="en-IE"/>
        </w:rPr>
      </w:pPr>
      <w:r w:rsidRPr="004258F5">
        <w:rPr>
          <w:rFonts w:asciiTheme="minorHAnsi" w:eastAsiaTheme="minorHAnsi" w:hAnsiTheme="minorHAnsi" w:cstheme="minorHAnsi"/>
          <w:color w:val="auto"/>
          <w:sz w:val="20"/>
          <w:szCs w:val="20"/>
          <w:lang w:val="en-IE"/>
        </w:rPr>
        <w:t>The below table reconciles the weighted average number of ordinary shares used as the denominator in calculating basic earnings per share to the weighted average number of ordinary shares used as the denominator in calculating diluted earnings per share including the individual effect of each class of instruments that affects earnings per share:</w:t>
      </w:r>
    </w:p>
    <w:p w14:paraId="00DD5C5A" w14:textId="77777777" w:rsidR="002008BE" w:rsidRPr="004258F5" w:rsidRDefault="002008BE" w:rsidP="002008BE">
      <w:pPr>
        <w:autoSpaceDE w:val="0"/>
        <w:autoSpaceDN w:val="0"/>
        <w:adjustRightInd w:val="0"/>
        <w:rPr>
          <w:rFonts w:asciiTheme="minorHAnsi" w:hAnsiTheme="minorHAnsi" w:cstheme="minorHAnsi"/>
          <w:color w:val="000000"/>
          <w:highlight w:val="yellow"/>
        </w:rPr>
      </w:pPr>
    </w:p>
    <w:tbl>
      <w:tblPr>
        <w:tblW w:w="8221" w:type="dxa"/>
        <w:tblInd w:w="392" w:type="dxa"/>
        <w:tblLayout w:type="fixed"/>
        <w:tblLook w:val="0000" w:firstRow="0" w:lastRow="0" w:firstColumn="0" w:lastColumn="0" w:noHBand="0" w:noVBand="0"/>
      </w:tblPr>
      <w:tblGrid>
        <w:gridCol w:w="5103"/>
        <w:gridCol w:w="284"/>
        <w:gridCol w:w="1309"/>
        <w:gridCol w:w="249"/>
        <w:gridCol w:w="1276"/>
      </w:tblGrid>
      <w:tr w:rsidR="00BE3FF7" w:rsidRPr="004258F5" w14:paraId="12822409" w14:textId="77777777" w:rsidTr="00BE3FF7">
        <w:tc>
          <w:tcPr>
            <w:tcW w:w="5103" w:type="dxa"/>
          </w:tcPr>
          <w:p w14:paraId="472C9E1E" w14:textId="77777777" w:rsidR="00BE3FF7" w:rsidRPr="004258F5" w:rsidRDefault="00BE3FF7" w:rsidP="00BE3FF7">
            <w:pPr>
              <w:rPr>
                <w:rFonts w:asciiTheme="minorHAnsi" w:hAnsiTheme="minorHAnsi" w:cstheme="minorHAnsi"/>
                <w:b/>
                <w:color w:val="000000"/>
                <w:highlight w:val="yellow"/>
              </w:rPr>
            </w:pPr>
          </w:p>
        </w:tc>
        <w:tc>
          <w:tcPr>
            <w:tcW w:w="284" w:type="dxa"/>
          </w:tcPr>
          <w:p w14:paraId="15BAD24C" w14:textId="77777777" w:rsidR="00BE3FF7" w:rsidRPr="004258F5" w:rsidRDefault="00BE3FF7" w:rsidP="00BE3FF7">
            <w:pPr>
              <w:jc w:val="center"/>
              <w:rPr>
                <w:rFonts w:asciiTheme="minorHAnsi" w:hAnsiTheme="minorHAnsi" w:cstheme="minorHAnsi"/>
                <w:b/>
                <w:color w:val="000000"/>
                <w:highlight w:val="yellow"/>
              </w:rPr>
            </w:pPr>
          </w:p>
        </w:tc>
        <w:tc>
          <w:tcPr>
            <w:tcW w:w="1309" w:type="dxa"/>
          </w:tcPr>
          <w:p w14:paraId="7E80AB7B" w14:textId="08D0C2E2" w:rsidR="00BE3FF7" w:rsidRPr="004258F5" w:rsidRDefault="00BE3FF7" w:rsidP="00BE3FF7">
            <w:pPr>
              <w:autoSpaceDE w:val="0"/>
              <w:autoSpaceDN w:val="0"/>
              <w:adjustRightInd w:val="0"/>
              <w:jc w:val="center"/>
              <w:rPr>
                <w:rFonts w:asciiTheme="minorHAnsi" w:hAnsiTheme="minorHAnsi" w:cstheme="minorHAnsi"/>
                <w:b/>
                <w:color w:val="000000"/>
              </w:rPr>
            </w:pPr>
            <w:r w:rsidRPr="004258F5">
              <w:rPr>
                <w:rFonts w:asciiTheme="minorHAnsi" w:hAnsiTheme="minorHAnsi" w:cstheme="minorHAnsi"/>
                <w:b/>
                <w:color w:val="000000"/>
              </w:rPr>
              <w:t>2023</w:t>
            </w:r>
          </w:p>
        </w:tc>
        <w:tc>
          <w:tcPr>
            <w:tcW w:w="249" w:type="dxa"/>
          </w:tcPr>
          <w:p w14:paraId="293F9455" w14:textId="77777777" w:rsidR="00BE3FF7" w:rsidRPr="004258F5" w:rsidRDefault="00BE3FF7" w:rsidP="00BE3FF7">
            <w:pPr>
              <w:jc w:val="center"/>
              <w:rPr>
                <w:rFonts w:asciiTheme="minorHAnsi" w:hAnsiTheme="minorHAnsi" w:cstheme="minorHAnsi"/>
                <w:color w:val="000000"/>
                <w:highlight w:val="yellow"/>
              </w:rPr>
            </w:pPr>
          </w:p>
        </w:tc>
        <w:tc>
          <w:tcPr>
            <w:tcW w:w="1276" w:type="dxa"/>
          </w:tcPr>
          <w:p w14:paraId="7B82FD92" w14:textId="2FF90566" w:rsidR="00BE3FF7" w:rsidRPr="004258F5" w:rsidRDefault="00BE3FF7" w:rsidP="00BE3FF7">
            <w:pPr>
              <w:autoSpaceDE w:val="0"/>
              <w:autoSpaceDN w:val="0"/>
              <w:adjustRightInd w:val="0"/>
              <w:ind w:left="33" w:firstLine="30"/>
              <w:jc w:val="center"/>
              <w:rPr>
                <w:rFonts w:asciiTheme="minorHAnsi" w:hAnsiTheme="minorHAnsi" w:cstheme="minorHAnsi"/>
                <w:color w:val="000000"/>
              </w:rPr>
            </w:pPr>
            <w:r w:rsidRPr="004258F5">
              <w:rPr>
                <w:rFonts w:asciiTheme="minorHAnsi" w:hAnsiTheme="minorHAnsi" w:cstheme="minorHAnsi"/>
                <w:color w:val="000000"/>
              </w:rPr>
              <w:t>2022</w:t>
            </w:r>
          </w:p>
          <w:p w14:paraId="6B46B45C" w14:textId="77777777" w:rsidR="00BE3FF7" w:rsidRPr="004258F5" w:rsidRDefault="00BE3FF7" w:rsidP="00BE3FF7">
            <w:pPr>
              <w:autoSpaceDE w:val="0"/>
              <w:autoSpaceDN w:val="0"/>
              <w:adjustRightInd w:val="0"/>
              <w:ind w:left="33" w:firstLine="30"/>
              <w:jc w:val="center"/>
              <w:rPr>
                <w:rFonts w:asciiTheme="minorHAnsi" w:hAnsiTheme="minorHAnsi" w:cstheme="minorHAnsi"/>
                <w:color w:val="000000"/>
              </w:rPr>
            </w:pPr>
          </w:p>
        </w:tc>
      </w:tr>
      <w:tr w:rsidR="00BE3FF7" w:rsidRPr="004258F5" w14:paraId="33797839" w14:textId="77777777" w:rsidTr="00BE3FF7">
        <w:tblPrEx>
          <w:tblLook w:val="01E0" w:firstRow="1" w:lastRow="1" w:firstColumn="1" w:lastColumn="1" w:noHBand="0" w:noVBand="0"/>
        </w:tblPrEx>
        <w:tc>
          <w:tcPr>
            <w:tcW w:w="5103" w:type="dxa"/>
          </w:tcPr>
          <w:p w14:paraId="25AD356D" w14:textId="77777777" w:rsidR="00BE3FF7" w:rsidRPr="004258F5" w:rsidRDefault="00BE3FF7" w:rsidP="00BE3FF7">
            <w:pPr>
              <w:rPr>
                <w:rFonts w:asciiTheme="minorHAnsi" w:hAnsiTheme="minorHAnsi" w:cstheme="minorHAnsi"/>
                <w:b/>
                <w:color w:val="000000"/>
                <w:highlight w:val="yellow"/>
              </w:rPr>
            </w:pPr>
          </w:p>
        </w:tc>
        <w:tc>
          <w:tcPr>
            <w:tcW w:w="284" w:type="dxa"/>
          </w:tcPr>
          <w:p w14:paraId="00E76D5E" w14:textId="77777777" w:rsidR="00BE3FF7" w:rsidRPr="004258F5" w:rsidRDefault="00BE3FF7" w:rsidP="00BE3FF7">
            <w:pPr>
              <w:jc w:val="center"/>
              <w:rPr>
                <w:rFonts w:asciiTheme="minorHAnsi" w:hAnsiTheme="minorHAnsi" w:cstheme="minorHAnsi"/>
                <w:b/>
                <w:color w:val="000000"/>
                <w:highlight w:val="yellow"/>
              </w:rPr>
            </w:pPr>
          </w:p>
        </w:tc>
        <w:tc>
          <w:tcPr>
            <w:tcW w:w="1309" w:type="dxa"/>
          </w:tcPr>
          <w:p w14:paraId="495B6FA9" w14:textId="77777777" w:rsidR="00BE3FF7" w:rsidRPr="004258F5" w:rsidRDefault="00BE3FF7" w:rsidP="00BE3FF7">
            <w:pPr>
              <w:jc w:val="center"/>
              <w:rPr>
                <w:rFonts w:asciiTheme="minorHAnsi" w:hAnsiTheme="minorHAnsi" w:cstheme="minorHAnsi"/>
                <w:b/>
                <w:color w:val="000000"/>
              </w:rPr>
            </w:pPr>
            <w:r w:rsidRPr="004258F5">
              <w:rPr>
                <w:rFonts w:asciiTheme="minorHAnsi" w:hAnsiTheme="minorHAnsi" w:cstheme="minorHAnsi"/>
                <w:b/>
                <w:color w:val="000000"/>
              </w:rPr>
              <w:t>No.</w:t>
            </w:r>
          </w:p>
        </w:tc>
        <w:tc>
          <w:tcPr>
            <w:tcW w:w="249" w:type="dxa"/>
          </w:tcPr>
          <w:p w14:paraId="53D78F4B" w14:textId="77777777" w:rsidR="00BE3FF7" w:rsidRPr="004258F5" w:rsidRDefault="00BE3FF7" w:rsidP="00BE3FF7">
            <w:pPr>
              <w:jc w:val="center"/>
              <w:rPr>
                <w:rFonts w:asciiTheme="minorHAnsi" w:hAnsiTheme="minorHAnsi" w:cstheme="minorHAnsi"/>
                <w:color w:val="000000"/>
                <w:highlight w:val="yellow"/>
              </w:rPr>
            </w:pPr>
          </w:p>
        </w:tc>
        <w:tc>
          <w:tcPr>
            <w:tcW w:w="1276" w:type="dxa"/>
          </w:tcPr>
          <w:p w14:paraId="0FA120F1" w14:textId="44B12FD7" w:rsidR="00BE3FF7" w:rsidRPr="004258F5" w:rsidRDefault="00BE3FF7" w:rsidP="00BE3FF7">
            <w:pPr>
              <w:jc w:val="center"/>
              <w:rPr>
                <w:rFonts w:asciiTheme="minorHAnsi" w:hAnsiTheme="minorHAnsi" w:cstheme="minorHAnsi"/>
                <w:color w:val="000000"/>
              </w:rPr>
            </w:pPr>
            <w:r w:rsidRPr="004258F5">
              <w:rPr>
                <w:rFonts w:asciiTheme="minorHAnsi" w:hAnsiTheme="minorHAnsi" w:cstheme="minorHAnsi"/>
                <w:color w:val="000000"/>
              </w:rPr>
              <w:t>No.</w:t>
            </w:r>
          </w:p>
        </w:tc>
      </w:tr>
      <w:tr w:rsidR="00BE3FF7" w:rsidRPr="004258F5" w14:paraId="70AE05E1" w14:textId="77777777" w:rsidTr="00BE3FF7">
        <w:tblPrEx>
          <w:tblLook w:val="01E0" w:firstRow="1" w:lastRow="1" w:firstColumn="1" w:lastColumn="1" w:noHBand="0" w:noVBand="0"/>
        </w:tblPrEx>
        <w:tc>
          <w:tcPr>
            <w:tcW w:w="5103" w:type="dxa"/>
          </w:tcPr>
          <w:p w14:paraId="5605DECC" w14:textId="77777777" w:rsidR="00BE3FF7" w:rsidRPr="004258F5" w:rsidRDefault="00BE3FF7" w:rsidP="00BE3FF7">
            <w:pPr>
              <w:rPr>
                <w:rFonts w:asciiTheme="minorHAnsi" w:hAnsiTheme="minorHAnsi" w:cstheme="minorHAnsi"/>
                <w:b/>
                <w:color w:val="000000"/>
              </w:rPr>
            </w:pPr>
            <w:r w:rsidRPr="004258F5">
              <w:rPr>
                <w:rFonts w:asciiTheme="minorHAnsi" w:hAnsiTheme="minorHAnsi" w:cstheme="minorHAnsi"/>
                <w:b/>
                <w:color w:val="000000"/>
              </w:rPr>
              <w:t>Weighted average number of ordinary shares for the purpose of calculating basic earnings per share</w:t>
            </w:r>
          </w:p>
        </w:tc>
        <w:tc>
          <w:tcPr>
            <w:tcW w:w="284" w:type="dxa"/>
          </w:tcPr>
          <w:p w14:paraId="3A412BE0" w14:textId="77777777" w:rsidR="00BE3FF7" w:rsidRPr="004258F5" w:rsidRDefault="00BE3FF7" w:rsidP="00BE3FF7">
            <w:pPr>
              <w:jc w:val="right"/>
              <w:rPr>
                <w:rFonts w:asciiTheme="minorHAnsi" w:hAnsiTheme="minorHAnsi" w:cstheme="minorHAnsi"/>
                <w:color w:val="000000"/>
                <w:highlight w:val="yellow"/>
              </w:rPr>
            </w:pPr>
          </w:p>
        </w:tc>
        <w:tc>
          <w:tcPr>
            <w:tcW w:w="1309" w:type="dxa"/>
            <w:tcBorders>
              <w:bottom w:val="single" w:sz="12" w:space="0" w:color="auto"/>
            </w:tcBorders>
          </w:tcPr>
          <w:p w14:paraId="7830CF03" w14:textId="77777777" w:rsidR="00BE3FF7" w:rsidRPr="004258F5" w:rsidRDefault="00BE3FF7" w:rsidP="00BE3FF7">
            <w:pPr>
              <w:jc w:val="right"/>
              <w:rPr>
                <w:rFonts w:asciiTheme="minorHAnsi" w:hAnsiTheme="minorHAnsi" w:cstheme="minorHAnsi"/>
                <w:b/>
                <w:color w:val="000000"/>
              </w:rPr>
            </w:pPr>
          </w:p>
          <w:p w14:paraId="73E5D393" w14:textId="0FC7218E" w:rsidR="00BE3FF7" w:rsidRPr="004258F5" w:rsidRDefault="00BE3FF7" w:rsidP="00BE3FF7">
            <w:pPr>
              <w:jc w:val="right"/>
              <w:rPr>
                <w:rFonts w:asciiTheme="minorHAnsi" w:hAnsiTheme="minorHAnsi" w:cstheme="minorHAnsi"/>
                <w:b/>
                <w:color w:val="000000"/>
              </w:rPr>
            </w:pPr>
            <w:r w:rsidRPr="004258F5">
              <w:rPr>
                <w:rFonts w:asciiTheme="minorHAnsi" w:hAnsiTheme="minorHAnsi" w:cstheme="minorHAnsi"/>
                <w:b/>
                <w:color w:val="000000"/>
              </w:rPr>
              <w:t>35,</w:t>
            </w:r>
            <w:r w:rsidR="0091063E">
              <w:rPr>
                <w:rFonts w:asciiTheme="minorHAnsi" w:hAnsiTheme="minorHAnsi" w:cstheme="minorHAnsi"/>
                <w:b/>
                <w:color w:val="000000"/>
              </w:rPr>
              <w:t>787</w:t>
            </w:r>
            <w:r w:rsidRPr="004258F5">
              <w:rPr>
                <w:rFonts w:asciiTheme="minorHAnsi" w:hAnsiTheme="minorHAnsi" w:cstheme="minorHAnsi"/>
                <w:b/>
                <w:color w:val="000000"/>
              </w:rPr>
              <w:t>,</w:t>
            </w:r>
            <w:r w:rsidR="0091063E">
              <w:rPr>
                <w:rFonts w:asciiTheme="minorHAnsi" w:hAnsiTheme="minorHAnsi" w:cstheme="minorHAnsi"/>
                <w:b/>
                <w:color w:val="000000"/>
              </w:rPr>
              <w:t>761</w:t>
            </w:r>
          </w:p>
        </w:tc>
        <w:tc>
          <w:tcPr>
            <w:tcW w:w="249" w:type="dxa"/>
          </w:tcPr>
          <w:p w14:paraId="52F2B0A0" w14:textId="77777777" w:rsidR="00BE3FF7" w:rsidRPr="004258F5" w:rsidRDefault="00BE3FF7" w:rsidP="00BE3FF7">
            <w:pPr>
              <w:jc w:val="right"/>
              <w:rPr>
                <w:rFonts w:asciiTheme="minorHAnsi" w:hAnsiTheme="minorHAnsi" w:cstheme="minorHAnsi"/>
                <w:color w:val="000000"/>
                <w:highlight w:val="yellow"/>
              </w:rPr>
            </w:pPr>
          </w:p>
        </w:tc>
        <w:tc>
          <w:tcPr>
            <w:tcW w:w="1276" w:type="dxa"/>
            <w:tcBorders>
              <w:bottom w:val="single" w:sz="12" w:space="0" w:color="auto"/>
            </w:tcBorders>
          </w:tcPr>
          <w:p w14:paraId="7BD45D09" w14:textId="77777777" w:rsidR="00BE3FF7" w:rsidRPr="004258F5" w:rsidRDefault="00BE3FF7" w:rsidP="00BE3FF7">
            <w:pPr>
              <w:jc w:val="right"/>
              <w:rPr>
                <w:rFonts w:asciiTheme="minorHAnsi" w:hAnsiTheme="minorHAnsi" w:cstheme="minorHAnsi"/>
                <w:bCs/>
                <w:color w:val="000000"/>
              </w:rPr>
            </w:pPr>
          </w:p>
          <w:p w14:paraId="0F5FFE5E" w14:textId="1D020C38" w:rsidR="00BE3FF7" w:rsidRPr="004258F5" w:rsidRDefault="00BE3FF7" w:rsidP="00BE3FF7">
            <w:pPr>
              <w:jc w:val="right"/>
              <w:rPr>
                <w:rFonts w:asciiTheme="minorHAnsi" w:hAnsiTheme="minorHAnsi" w:cstheme="minorHAnsi"/>
                <w:bCs/>
                <w:color w:val="000000"/>
              </w:rPr>
            </w:pPr>
            <w:r w:rsidRPr="004258F5">
              <w:rPr>
                <w:rFonts w:asciiTheme="minorHAnsi" w:hAnsiTheme="minorHAnsi" w:cstheme="minorHAnsi"/>
                <w:bCs/>
                <w:color w:val="000000"/>
              </w:rPr>
              <w:t>35,507,806</w:t>
            </w:r>
          </w:p>
        </w:tc>
      </w:tr>
      <w:tr w:rsidR="00BE3FF7" w:rsidRPr="004258F5" w14:paraId="1827C634" w14:textId="77777777" w:rsidTr="00BE3FF7">
        <w:tblPrEx>
          <w:tblLook w:val="01E0" w:firstRow="1" w:lastRow="1" w:firstColumn="1" w:lastColumn="1" w:noHBand="0" w:noVBand="0"/>
        </w:tblPrEx>
        <w:tc>
          <w:tcPr>
            <w:tcW w:w="5103" w:type="dxa"/>
          </w:tcPr>
          <w:p w14:paraId="31816047" w14:textId="77777777" w:rsidR="00BE3FF7" w:rsidRPr="004258F5" w:rsidRDefault="00BE3FF7" w:rsidP="00BE3FF7">
            <w:pPr>
              <w:rPr>
                <w:rFonts w:asciiTheme="minorHAnsi" w:hAnsiTheme="minorHAnsi" w:cstheme="minorHAnsi"/>
                <w:color w:val="000000"/>
              </w:rPr>
            </w:pPr>
          </w:p>
          <w:p w14:paraId="5F248F9C" w14:textId="5DFF4522" w:rsidR="00BE3FF7" w:rsidRPr="004258F5" w:rsidRDefault="00BE3FF7" w:rsidP="00BE3FF7">
            <w:pPr>
              <w:rPr>
                <w:rFonts w:asciiTheme="minorHAnsi" w:hAnsiTheme="minorHAnsi" w:cstheme="minorHAnsi"/>
                <w:color w:val="000000"/>
              </w:rPr>
            </w:pPr>
            <w:r w:rsidRPr="004258F5">
              <w:rPr>
                <w:rFonts w:asciiTheme="minorHAnsi" w:hAnsiTheme="minorHAnsi" w:cstheme="minorHAnsi"/>
                <w:color w:val="000000"/>
              </w:rPr>
              <w:t>Potential vesting of share</w:t>
            </w:r>
            <w:r w:rsidR="00EC645C">
              <w:rPr>
                <w:rFonts w:asciiTheme="minorHAnsi" w:hAnsiTheme="minorHAnsi" w:cstheme="minorHAnsi"/>
                <w:color w:val="000000"/>
              </w:rPr>
              <w:t>-</w:t>
            </w:r>
            <w:r w:rsidRPr="004258F5">
              <w:rPr>
                <w:rFonts w:asciiTheme="minorHAnsi" w:hAnsiTheme="minorHAnsi" w:cstheme="minorHAnsi"/>
                <w:color w:val="000000"/>
              </w:rPr>
              <w:t>based payments</w:t>
            </w:r>
          </w:p>
        </w:tc>
        <w:tc>
          <w:tcPr>
            <w:tcW w:w="284" w:type="dxa"/>
            <w:shd w:val="clear" w:color="auto" w:fill="auto"/>
          </w:tcPr>
          <w:p w14:paraId="18A62BB7" w14:textId="77777777" w:rsidR="00BE3FF7" w:rsidRPr="004258F5" w:rsidRDefault="00BE3FF7" w:rsidP="00BE3FF7">
            <w:pPr>
              <w:jc w:val="right"/>
              <w:rPr>
                <w:rFonts w:asciiTheme="minorHAnsi" w:hAnsiTheme="minorHAnsi" w:cstheme="minorHAnsi"/>
                <w:color w:val="000000"/>
                <w:highlight w:val="yellow"/>
              </w:rPr>
            </w:pPr>
          </w:p>
        </w:tc>
        <w:tc>
          <w:tcPr>
            <w:tcW w:w="1309" w:type="dxa"/>
            <w:tcBorders>
              <w:top w:val="single" w:sz="12" w:space="0" w:color="auto"/>
            </w:tcBorders>
            <w:shd w:val="clear" w:color="auto" w:fill="auto"/>
          </w:tcPr>
          <w:p w14:paraId="0A296178" w14:textId="77777777" w:rsidR="00BE3FF7" w:rsidRPr="004258F5" w:rsidRDefault="00BE3FF7" w:rsidP="00BE3FF7">
            <w:pPr>
              <w:jc w:val="right"/>
              <w:rPr>
                <w:rFonts w:asciiTheme="minorHAnsi" w:hAnsiTheme="minorHAnsi" w:cstheme="minorHAnsi"/>
                <w:b/>
                <w:color w:val="000000"/>
              </w:rPr>
            </w:pPr>
          </w:p>
          <w:p w14:paraId="0D0B125B" w14:textId="544A2F53" w:rsidR="00BE3FF7" w:rsidRPr="004258F5" w:rsidRDefault="004050E4" w:rsidP="00BE3FF7">
            <w:pPr>
              <w:jc w:val="right"/>
              <w:rPr>
                <w:rFonts w:asciiTheme="minorHAnsi" w:hAnsiTheme="minorHAnsi" w:cstheme="minorHAnsi"/>
                <w:b/>
                <w:color w:val="000000"/>
              </w:rPr>
            </w:pPr>
            <w:r w:rsidRPr="004258F5">
              <w:rPr>
                <w:rFonts w:asciiTheme="minorHAnsi" w:hAnsiTheme="minorHAnsi" w:cstheme="minorHAnsi"/>
                <w:b/>
                <w:color w:val="000000"/>
              </w:rPr>
              <w:t>8</w:t>
            </w:r>
            <w:r w:rsidR="0091063E">
              <w:rPr>
                <w:rFonts w:asciiTheme="minorHAnsi" w:hAnsiTheme="minorHAnsi" w:cstheme="minorHAnsi"/>
                <w:b/>
                <w:color w:val="000000"/>
              </w:rPr>
              <w:t>63</w:t>
            </w:r>
            <w:r w:rsidR="00BE3FF7" w:rsidRPr="004258F5">
              <w:rPr>
                <w:rFonts w:asciiTheme="minorHAnsi" w:hAnsiTheme="minorHAnsi" w:cstheme="minorHAnsi"/>
                <w:b/>
                <w:color w:val="000000"/>
              </w:rPr>
              <w:t>,</w:t>
            </w:r>
            <w:r w:rsidRPr="004258F5">
              <w:rPr>
                <w:rFonts w:asciiTheme="minorHAnsi" w:hAnsiTheme="minorHAnsi" w:cstheme="minorHAnsi"/>
                <w:b/>
                <w:color w:val="000000"/>
              </w:rPr>
              <w:t>0</w:t>
            </w:r>
            <w:r w:rsidR="0091063E">
              <w:rPr>
                <w:rFonts w:asciiTheme="minorHAnsi" w:hAnsiTheme="minorHAnsi" w:cstheme="minorHAnsi"/>
                <w:b/>
                <w:color w:val="000000"/>
              </w:rPr>
              <w:t>69</w:t>
            </w:r>
          </w:p>
        </w:tc>
        <w:tc>
          <w:tcPr>
            <w:tcW w:w="249" w:type="dxa"/>
            <w:shd w:val="clear" w:color="auto" w:fill="auto"/>
          </w:tcPr>
          <w:p w14:paraId="7CCBF24A" w14:textId="77777777" w:rsidR="00BE3FF7" w:rsidRPr="004258F5" w:rsidRDefault="00BE3FF7" w:rsidP="00BE3FF7">
            <w:pPr>
              <w:jc w:val="right"/>
              <w:rPr>
                <w:rFonts w:asciiTheme="minorHAnsi" w:hAnsiTheme="minorHAnsi" w:cstheme="minorHAnsi"/>
                <w:color w:val="000000"/>
                <w:highlight w:val="yellow"/>
              </w:rPr>
            </w:pPr>
          </w:p>
        </w:tc>
        <w:tc>
          <w:tcPr>
            <w:tcW w:w="1276" w:type="dxa"/>
            <w:tcBorders>
              <w:top w:val="single" w:sz="12" w:space="0" w:color="auto"/>
            </w:tcBorders>
            <w:shd w:val="clear" w:color="auto" w:fill="auto"/>
          </w:tcPr>
          <w:p w14:paraId="5590D917" w14:textId="77777777" w:rsidR="00BE3FF7" w:rsidRPr="004258F5" w:rsidRDefault="00BE3FF7" w:rsidP="00BE3FF7">
            <w:pPr>
              <w:jc w:val="right"/>
              <w:rPr>
                <w:rFonts w:asciiTheme="minorHAnsi" w:hAnsiTheme="minorHAnsi" w:cstheme="minorHAnsi"/>
                <w:bCs/>
                <w:color w:val="000000"/>
              </w:rPr>
            </w:pPr>
          </w:p>
          <w:p w14:paraId="2114059B" w14:textId="30E537AD" w:rsidR="00BE3FF7" w:rsidRPr="004258F5" w:rsidRDefault="00BE3FF7" w:rsidP="00BE3FF7">
            <w:pPr>
              <w:jc w:val="right"/>
              <w:rPr>
                <w:rFonts w:asciiTheme="minorHAnsi" w:hAnsiTheme="minorHAnsi" w:cstheme="minorHAnsi"/>
                <w:bCs/>
                <w:color w:val="000000"/>
              </w:rPr>
            </w:pPr>
            <w:r w:rsidRPr="004258F5">
              <w:rPr>
                <w:rFonts w:asciiTheme="minorHAnsi" w:hAnsiTheme="minorHAnsi" w:cstheme="minorHAnsi"/>
                <w:bCs/>
                <w:color w:val="000000"/>
              </w:rPr>
              <w:t>917,177</w:t>
            </w:r>
          </w:p>
        </w:tc>
      </w:tr>
      <w:tr w:rsidR="00BE3FF7" w:rsidRPr="004258F5" w14:paraId="2D17A0B6" w14:textId="77777777" w:rsidTr="00BE3FF7">
        <w:tblPrEx>
          <w:tblLook w:val="01E0" w:firstRow="1" w:lastRow="1" w:firstColumn="1" w:lastColumn="1" w:noHBand="0" w:noVBand="0"/>
        </w:tblPrEx>
        <w:tc>
          <w:tcPr>
            <w:tcW w:w="5103" w:type="dxa"/>
          </w:tcPr>
          <w:p w14:paraId="48EB89E3" w14:textId="77777777" w:rsidR="00BE3FF7" w:rsidRPr="004258F5" w:rsidRDefault="00BE3FF7" w:rsidP="00BE3FF7">
            <w:pPr>
              <w:rPr>
                <w:rFonts w:asciiTheme="minorHAnsi" w:hAnsiTheme="minorHAnsi" w:cstheme="minorHAnsi"/>
                <w:b/>
                <w:color w:val="000000"/>
              </w:rPr>
            </w:pPr>
            <w:r w:rsidRPr="004258F5">
              <w:rPr>
                <w:rFonts w:asciiTheme="minorHAnsi" w:hAnsiTheme="minorHAnsi" w:cstheme="minorHAnsi"/>
                <w:b/>
                <w:color w:val="000000"/>
              </w:rPr>
              <w:t>Weighted average number of ordinary shares for the purpose of calculating diluted earnings per share</w:t>
            </w:r>
          </w:p>
        </w:tc>
        <w:tc>
          <w:tcPr>
            <w:tcW w:w="284" w:type="dxa"/>
          </w:tcPr>
          <w:p w14:paraId="0F15B0DF" w14:textId="77777777" w:rsidR="00BE3FF7" w:rsidRPr="004258F5" w:rsidRDefault="00BE3FF7" w:rsidP="00BE3FF7">
            <w:pPr>
              <w:jc w:val="right"/>
              <w:rPr>
                <w:rFonts w:asciiTheme="minorHAnsi" w:hAnsiTheme="minorHAnsi" w:cstheme="minorHAnsi"/>
                <w:color w:val="000000"/>
                <w:highlight w:val="yellow"/>
              </w:rPr>
            </w:pPr>
          </w:p>
        </w:tc>
        <w:tc>
          <w:tcPr>
            <w:tcW w:w="1309" w:type="dxa"/>
            <w:tcBorders>
              <w:top w:val="single" w:sz="4" w:space="0" w:color="auto"/>
            </w:tcBorders>
          </w:tcPr>
          <w:p w14:paraId="13BEE797" w14:textId="77777777" w:rsidR="00BE3FF7" w:rsidRPr="004258F5" w:rsidRDefault="00BE3FF7" w:rsidP="00BE3FF7">
            <w:pPr>
              <w:jc w:val="right"/>
              <w:rPr>
                <w:rFonts w:asciiTheme="minorHAnsi" w:hAnsiTheme="minorHAnsi" w:cstheme="minorHAnsi"/>
                <w:b/>
                <w:color w:val="000000"/>
              </w:rPr>
            </w:pPr>
          </w:p>
          <w:p w14:paraId="7C5D3953" w14:textId="5D4071FF" w:rsidR="00BE3FF7" w:rsidRPr="004258F5" w:rsidRDefault="00BE3FF7" w:rsidP="00BE3FF7">
            <w:pPr>
              <w:jc w:val="right"/>
              <w:rPr>
                <w:rFonts w:asciiTheme="minorHAnsi" w:hAnsiTheme="minorHAnsi" w:cstheme="minorHAnsi"/>
                <w:b/>
                <w:color w:val="000000"/>
              </w:rPr>
            </w:pPr>
            <w:r w:rsidRPr="004258F5">
              <w:rPr>
                <w:rFonts w:asciiTheme="minorHAnsi" w:hAnsiTheme="minorHAnsi" w:cstheme="minorHAnsi"/>
                <w:b/>
                <w:color w:val="000000"/>
              </w:rPr>
              <w:t>36,</w:t>
            </w:r>
            <w:r w:rsidR="0091063E">
              <w:rPr>
                <w:rFonts w:asciiTheme="minorHAnsi" w:hAnsiTheme="minorHAnsi" w:cstheme="minorHAnsi"/>
                <w:b/>
                <w:color w:val="000000"/>
              </w:rPr>
              <w:t>650,830</w:t>
            </w:r>
          </w:p>
        </w:tc>
        <w:tc>
          <w:tcPr>
            <w:tcW w:w="249" w:type="dxa"/>
          </w:tcPr>
          <w:p w14:paraId="1F6D10D4" w14:textId="77777777" w:rsidR="00BE3FF7" w:rsidRPr="004258F5" w:rsidRDefault="00BE3FF7" w:rsidP="00BE3FF7">
            <w:pPr>
              <w:jc w:val="right"/>
              <w:rPr>
                <w:rFonts w:asciiTheme="minorHAnsi" w:hAnsiTheme="minorHAnsi" w:cstheme="minorHAnsi"/>
                <w:color w:val="000000"/>
                <w:highlight w:val="yellow"/>
              </w:rPr>
            </w:pPr>
          </w:p>
        </w:tc>
        <w:tc>
          <w:tcPr>
            <w:tcW w:w="1276" w:type="dxa"/>
            <w:tcBorders>
              <w:top w:val="single" w:sz="4" w:space="0" w:color="auto"/>
            </w:tcBorders>
          </w:tcPr>
          <w:p w14:paraId="5C0F9E54" w14:textId="77777777" w:rsidR="00BE3FF7" w:rsidRPr="004258F5" w:rsidRDefault="00BE3FF7" w:rsidP="00BE3FF7">
            <w:pPr>
              <w:jc w:val="right"/>
              <w:rPr>
                <w:rFonts w:asciiTheme="minorHAnsi" w:hAnsiTheme="minorHAnsi" w:cstheme="minorHAnsi"/>
                <w:bCs/>
                <w:color w:val="000000"/>
              </w:rPr>
            </w:pPr>
          </w:p>
          <w:p w14:paraId="35A59A27" w14:textId="5E39EE68" w:rsidR="00BE3FF7" w:rsidRPr="004258F5" w:rsidRDefault="00BE3FF7" w:rsidP="00BE3FF7">
            <w:pPr>
              <w:jc w:val="right"/>
              <w:rPr>
                <w:rFonts w:asciiTheme="minorHAnsi" w:hAnsiTheme="minorHAnsi" w:cstheme="minorHAnsi"/>
                <w:bCs/>
                <w:color w:val="000000"/>
              </w:rPr>
            </w:pPr>
            <w:r w:rsidRPr="004258F5">
              <w:rPr>
                <w:rFonts w:asciiTheme="minorHAnsi" w:hAnsiTheme="minorHAnsi" w:cstheme="minorHAnsi"/>
                <w:bCs/>
                <w:color w:val="000000"/>
              </w:rPr>
              <w:t>36,424,983</w:t>
            </w:r>
          </w:p>
        </w:tc>
      </w:tr>
      <w:tr w:rsidR="00BE3FF7" w:rsidRPr="004258F5" w14:paraId="7128F5D9" w14:textId="77777777" w:rsidTr="00BE3FF7">
        <w:tblPrEx>
          <w:tblLook w:val="01E0" w:firstRow="1" w:lastRow="1" w:firstColumn="1" w:lastColumn="1" w:noHBand="0" w:noVBand="0"/>
        </w:tblPrEx>
        <w:tc>
          <w:tcPr>
            <w:tcW w:w="5103" w:type="dxa"/>
          </w:tcPr>
          <w:p w14:paraId="7E7D3816" w14:textId="77777777" w:rsidR="00BE3FF7" w:rsidRPr="004258F5" w:rsidRDefault="00BE3FF7" w:rsidP="00BE3FF7">
            <w:pPr>
              <w:rPr>
                <w:rFonts w:asciiTheme="minorHAnsi" w:hAnsiTheme="minorHAnsi" w:cstheme="minorHAnsi"/>
                <w:b/>
                <w:color w:val="000000"/>
              </w:rPr>
            </w:pPr>
          </w:p>
        </w:tc>
        <w:tc>
          <w:tcPr>
            <w:tcW w:w="284" w:type="dxa"/>
          </w:tcPr>
          <w:p w14:paraId="24DD9942" w14:textId="77777777" w:rsidR="00BE3FF7" w:rsidRPr="004258F5" w:rsidRDefault="00BE3FF7" w:rsidP="00BE3FF7">
            <w:pPr>
              <w:jc w:val="right"/>
              <w:rPr>
                <w:rFonts w:asciiTheme="minorHAnsi" w:hAnsiTheme="minorHAnsi" w:cstheme="minorHAnsi"/>
                <w:color w:val="000000"/>
              </w:rPr>
            </w:pPr>
          </w:p>
        </w:tc>
        <w:tc>
          <w:tcPr>
            <w:tcW w:w="1309" w:type="dxa"/>
            <w:tcBorders>
              <w:top w:val="single" w:sz="12" w:space="0" w:color="auto"/>
            </w:tcBorders>
          </w:tcPr>
          <w:p w14:paraId="644D36CA" w14:textId="77777777" w:rsidR="00BE3FF7" w:rsidRPr="004258F5" w:rsidRDefault="00BE3FF7" w:rsidP="00BE3FF7">
            <w:pPr>
              <w:jc w:val="right"/>
              <w:rPr>
                <w:rFonts w:asciiTheme="minorHAnsi" w:hAnsiTheme="minorHAnsi" w:cstheme="minorHAnsi"/>
                <w:b/>
                <w:color w:val="000000"/>
              </w:rPr>
            </w:pPr>
          </w:p>
        </w:tc>
        <w:tc>
          <w:tcPr>
            <w:tcW w:w="249" w:type="dxa"/>
          </w:tcPr>
          <w:p w14:paraId="013BDDF8" w14:textId="77777777" w:rsidR="00BE3FF7" w:rsidRPr="004258F5" w:rsidRDefault="00BE3FF7" w:rsidP="00BE3FF7">
            <w:pPr>
              <w:jc w:val="right"/>
              <w:rPr>
                <w:rFonts w:asciiTheme="minorHAnsi" w:hAnsiTheme="minorHAnsi" w:cstheme="minorHAnsi"/>
                <w:color w:val="000000"/>
              </w:rPr>
            </w:pPr>
          </w:p>
        </w:tc>
        <w:tc>
          <w:tcPr>
            <w:tcW w:w="1276" w:type="dxa"/>
            <w:tcBorders>
              <w:top w:val="single" w:sz="12" w:space="0" w:color="auto"/>
            </w:tcBorders>
          </w:tcPr>
          <w:p w14:paraId="70BF2CDC" w14:textId="2C7B1850" w:rsidR="00BE3FF7" w:rsidRPr="004258F5" w:rsidRDefault="00BE3FF7" w:rsidP="00BE3FF7">
            <w:pPr>
              <w:jc w:val="right"/>
              <w:rPr>
                <w:rFonts w:asciiTheme="minorHAnsi" w:hAnsiTheme="minorHAnsi" w:cstheme="minorHAnsi"/>
                <w:color w:val="000000"/>
              </w:rPr>
            </w:pPr>
          </w:p>
        </w:tc>
      </w:tr>
    </w:tbl>
    <w:p w14:paraId="4B6C69DC" w14:textId="77777777" w:rsidR="002008BE" w:rsidRPr="004258F5" w:rsidRDefault="002008BE" w:rsidP="002008BE">
      <w:pPr>
        <w:rPr>
          <w:rFonts w:asciiTheme="minorHAnsi" w:hAnsiTheme="minorHAnsi" w:cstheme="minorHAnsi"/>
        </w:rPr>
      </w:pPr>
    </w:p>
    <w:p w14:paraId="6455114D" w14:textId="77777777" w:rsidR="002008BE" w:rsidRPr="004258F5" w:rsidRDefault="002008BE" w:rsidP="002647DC">
      <w:pPr>
        <w:tabs>
          <w:tab w:val="decimal" w:pos="5670"/>
          <w:tab w:val="right" w:pos="6523"/>
          <w:tab w:val="right" w:pos="6804"/>
          <w:tab w:val="right" w:pos="8222"/>
          <w:tab w:val="right" w:pos="8505"/>
          <w:tab w:val="right" w:pos="9778"/>
        </w:tabs>
        <w:ind w:right="1322"/>
        <w:jc w:val="both"/>
        <w:rPr>
          <w:rFonts w:asciiTheme="minorHAnsi" w:hAnsiTheme="minorHAnsi" w:cstheme="minorHAnsi"/>
          <w:color w:val="000000"/>
          <w:lang w:val="en-IE"/>
        </w:rPr>
      </w:pPr>
    </w:p>
    <w:p w14:paraId="412F3C38" w14:textId="77777777" w:rsidR="002647DC" w:rsidRPr="004258F5" w:rsidRDefault="002647DC" w:rsidP="006A43D4">
      <w:pPr>
        <w:rPr>
          <w:rFonts w:asciiTheme="minorHAnsi" w:hAnsiTheme="minorHAnsi" w:cstheme="minorHAnsi"/>
          <w:color w:val="000000"/>
          <w:vertAlign w:val="superscript"/>
          <w:lang w:val="en-IE"/>
        </w:rPr>
      </w:pPr>
    </w:p>
    <w:p w14:paraId="68593627" w14:textId="77777777" w:rsidR="0040516F" w:rsidRPr="004258F5" w:rsidRDefault="0040516F" w:rsidP="006A43D4">
      <w:pPr>
        <w:tabs>
          <w:tab w:val="right" w:pos="9778"/>
        </w:tabs>
        <w:rPr>
          <w:rFonts w:asciiTheme="minorHAnsi" w:hAnsiTheme="minorHAnsi" w:cstheme="minorHAnsi"/>
          <w:bCs/>
          <w:color w:val="000000"/>
        </w:rPr>
      </w:pPr>
    </w:p>
    <w:p w14:paraId="417F6091" w14:textId="77777777" w:rsidR="0040516F" w:rsidRPr="004258F5" w:rsidRDefault="0040516F" w:rsidP="006A43D4">
      <w:pPr>
        <w:tabs>
          <w:tab w:val="right" w:pos="9778"/>
        </w:tabs>
        <w:rPr>
          <w:rFonts w:asciiTheme="minorHAnsi" w:hAnsiTheme="minorHAnsi" w:cstheme="minorHAnsi"/>
          <w:bCs/>
          <w:color w:val="000000"/>
        </w:rPr>
      </w:pPr>
    </w:p>
    <w:p w14:paraId="4EA871D1" w14:textId="77777777" w:rsidR="0040516F" w:rsidRPr="004258F5" w:rsidRDefault="0040516F" w:rsidP="006A43D4">
      <w:pPr>
        <w:tabs>
          <w:tab w:val="right" w:pos="9778"/>
        </w:tabs>
        <w:rPr>
          <w:rFonts w:asciiTheme="minorHAnsi" w:hAnsiTheme="minorHAnsi" w:cstheme="minorHAnsi"/>
          <w:bCs/>
          <w:color w:val="000000"/>
        </w:rPr>
      </w:pPr>
    </w:p>
    <w:p w14:paraId="76B29873" w14:textId="77777777" w:rsidR="0040516F" w:rsidRPr="004258F5" w:rsidRDefault="0040516F" w:rsidP="006A43D4">
      <w:pPr>
        <w:tabs>
          <w:tab w:val="right" w:pos="9778"/>
        </w:tabs>
        <w:rPr>
          <w:rFonts w:asciiTheme="minorHAnsi" w:hAnsiTheme="minorHAnsi" w:cstheme="minorHAnsi"/>
          <w:bCs/>
          <w:color w:val="000000"/>
        </w:rPr>
      </w:pPr>
    </w:p>
    <w:p w14:paraId="3C8F5AE1" w14:textId="09629BF2" w:rsidR="0040516F" w:rsidRPr="004258F5" w:rsidRDefault="0040516F" w:rsidP="006A43D4">
      <w:pPr>
        <w:tabs>
          <w:tab w:val="right" w:pos="9778"/>
        </w:tabs>
        <w:rPr>
          <w:rFonts w:asciiTheme="minorHAnsi" w:hAnsiTheme="minorHAnsi" w:cstheme="minorHAnsi"/>
          <w:bCs/>
          <w:color w:val="000000"/>
        </w:rPr>
      </w:pPr>
    </w:p>
    <w:p w14:paraId="629E412E" w14:textId="77777777" w:rsidR="0040516F" w:rsidRPr="004258F5" w:rsidRDefault="0040516F" w:rsidP="006A43D4">
      <w:pPr>
        <w:tabs>
          <w:tab w:val="right" w:pos="9778"/>
        </w:tabs>
        <w:rPr>
          <w:rFonts w:asciiTheme="minorHAnsi" w:hAnsiTheme="minorHAnsi" w:cstheme="minorHAnsi"/>
          <w:bCs/>
          <w:color w:val="000000"/>
        </w:rPr>
      </w:pPr>
    </w:p>
    <w:p w14:paraId="6C375A93" w14:textId="77777777" w:rsidR="0040516F" w:rsidRPr="004258F5" w:rsidRDefault="0040516F" w:rsidP="006A43D4">
      <w:pPr>
        <w:tabs>
          <w:tab w:val="right" w:pos="9778"/>
        </w:tabs>
        <w:rPr>
          <w:rFonts w:asciiTheme="minorHAnsi" w:hAnsiTheme="minorHAnsi" w:cstheme="minorHAnsi"/>
          <w:bCs/>
          <w:color w:val="000000"/>
        </w:rPr>
      </w:pPr>
    </w:p>
    <w:p w14:paraId="229AA394" w14:textId="77777777" w:rsidR="0040516F" w:rsidRPr="001D5AED" w:rsidRDefault="0040516F" w:rsidP="006A43D4">
      <w:pPr>
        <w:tabs>
          <w:tab w:val="right" w:pos="9778"/>
        </w:tabs>
        <w:rPr>
          <w:rFonts w:asciiTheme="minorHAnsi" w:hAnsiTheme="minorHAnsi" w:cstheme="minorHAnsi"/>
          <w:bCs/>
          <w:color w:val="000000"/>
          <w:sz w:val="22"/>
          <w:szCs w:val="22"/>
        </w:rPr>
      </w:pPr>
    </w:p>
    <w:p w14:paraId="3BFF24E3" w14:textId="77777777" w:rsidR="004258F5" w:rsidRDefault="004258F5">
      <w:pPr>
        <w:spacing w:after="200" w:line="276" w:lineRule="auto"/>
        <w:rPr>
          <w:rFonts w:asciiTheme="minorHAnsi" w:hAnsiTheme="minorHAnsi" w:cstheme="minorHAnsi"/>
          <w:b/>
          <w:color w:val="000000"/>
          <w:sz w:val="22"/>
          <w:szCs w:val="22"/>
        </w:rPr>
      </w:pPr>
      <w:r>
        <w:rPr>
          <w:rFonts w:asciiTheme="minorHAnsi" w:hAnsiTheme="minorHAnsi" w:cstheme="minorHAnsi"/>
          <w:b/>
          <w:color w:val="000000"/>
          <w:sz w:val="22"/>
          <w:szCs w:val="22"/>
        </w:rPr>
        <w:br w:type="page"/>
      </w:r>
    </w:p>
    <w:p w14:paraId="10C82CF6" w14:textId="1D360233" w:rsidR="006A43D4" w:rsidRPr="00A06132" w:rsidRDefault="006A43D4" w:rsidP="003E636B">
      <w:pPr>
        <w:tabs>
          <w:tab w:val="right" w:pos="9778"/>
        </w:tabs>
        <w:jc w:val="center"/>
        <w:rPr>
          <w:rFonts w:asciiTheme="minorHAnsi" w:hAnsiTheme="minorHAnsi" w:cstheme="minorHAnsi"/>
          <w:color w:val="000000"/>
          <w:sz w:val="22"/>
          <w:szCs w:val="22"/>
        </w:rPr>
      </w:pPr>
      <w:r w:rsidRPr="00A06132">
        <w:rPr>
          <w:rFonts w:asciiTheme="minorHAnsi" w:hAnsiTheme="minorHAnsi" w:cstheme="minorHAnsi"/>
          <w:b/>
          <w:color w:val="000000"/>
          <w:sz w:val="22"/>
          <w:szCs w:val="22"/>
        </w:rPr>
        <w:t>FBD Holdings plc</w:t>
      </w:r>
    </w:p>
    <w:p w14:paraId="6A719E60" w14:textId="77777777" w:rsidR="006A43D4" w:rsidRPr="00A06132" w:rsidRDefault="006A43D4" w:rsidP="003E636B">
      <w:pPr>
        <w:tabs>
          <w:tab w:val="left" w:pos="-142"/>
          <w:tab w:val="decimal" w:pos="4678"/>
          <w:tab w:val="decimal" w:pos="5670"/>
          <w:tab w:val="decimal" w:pos="6946"/>
          <w:tab w:val="decimal" w:pos="10348"/>
        </w:tabs>
        <w:jc w:val="center"/>
        <w:rPr>
          <w:rFonts w:asciiTheme="minorHAnsi" w:hAnsiTheme="minorHAnsi" w:cstheme="minorHAnsi"/>
          <w:b/>
          <w:color w:val="000000"/>
          <w:sz w:val="22"/>
          <w:szCs w:val="22"/>
        </w:rPr>
      </w:pPr>
      <w:r w:rsidRPr="00A06132">
        <w:rPr>
          <w:rFonts w:asciiTheme="minorHAnsi" w:hAnsiTheme="minorHAnsi" w:cstheme="minorHAnsi"/>
          <w:b/>
          <w:color w:val="000000"/>
          <w:sz w:val="22"/>
          <w:szCs w:val="22"/>
        </w:rPr>
        <w:t>Supplementary Information (continued)</w:t>
      </w:r>
    </w:p>
    <w:p w14:paraId="23D5ADE1" w14:textId="15CFCB08" w:rsidR="006A43D4" w:rsidRPr="00A06132" w:rsidRDefault="006A43D4" w:rsidP="003E636B">
      <w:pPr>
        <w:tabs>
          <w:tab w:val="left" w:pos="426"/>
          <w:tab w:val="left" w:pos="851"/>
          <w:tab w:val="left" w:pos="10604"/>
        </w:tabs>
        <w:ind w:right="-28"/>
        <w:jc w:val="center"/>
        <w:rPr>
          <w:rFonts w:asciiTheme="minorHAnsi" w:hAnsiTheme="minorHAnsi" w:cstheme="minorHAnsi"/>
          <w:b/>
          <w:color w:val="000000"/>
          <w:sz w:val="22"/>
          <w:szCs w:val="22"/>
          <w:lang w:val="en-US"/>
        </w:rPr>
      </w:pPr>
      <w:r w:rsidRPr="00A06132">
        <w:rPr>
          <w:rFonts w:asciiTheme="minorHAnsi" w:hAnsiTheme="minorHAnsi" w:cstheme="minorHAnsi"/>
          <w:b/>
          <w:color w:val="000000"/>
          <w:sz w:val="22"/>
          <w:szCs w:val="22"/>
        </w:rPr>
        <w:t xml:space="preserve">For the year ended 31 December </w:t>
      </w:r>
      <w:r w:rsidR="00F47530" w:rsidRPr="00A06132">
        <w:rPr>
          <w:rFonts w:asciiTheme="minorHAnsi" w:hAnsiTheme="minorHAnsi" w:cstheme="minorHAnsi"/>
          <w:b/>
          <w:color w:val="000000"/>
          <w:sz w:val="22"/>
          <w:szCs w:val="22"/>
        </w:rPr>
        <w:t>202</w:t>
      </w:r>
      <w:r w:rsidR="00460D52" w:rsidRPr="00A06132">
        <w:rPr>
          <w:rFonts w:asciiTheme="minorHAnsi" w:hAnsiTheme="minorHAnsi" w:cstheme="minorHAnsi"/>
          <w:b/>
          <w:color w:val="000000"/>
          <w:sz w:val="22"/>
          <w:szCs w:val="22"/>
        </w:rPr>
        <w:t>3</w:t>
      </w:r>
    </w:p>
    <w:p w14:paraId="577C64E2" w14:textId="77777777" w:rsidR="006A43D4" w:rsidRPr="004258F5" w:rsidRDefault="006A43D4" w:rsidP="003E636B">
      <w:pPr>
        <w:tabs>
          <w:tab w:val="decimal" w:pos="8460"/>
          <w:tab w:val="decimal" w:pos="10080"/>
        </w:tabs>
        <w:ind w:right="-7"/>
        <w:jc w:val="center"/>
        <w:rPr>
          <w:rFonts w:asciiTheme="minorHAnsi" w:hAnsiTheme="minorHAnsi" w:cstheme="minorHAnsi"/>
          <w:b/>
          <w:color w:val="000000"/>
          <w:lang w:val="en-US"/>
        </w:rPr>
      </w:pPr>
    </w:p>
    <w:p w14:paraId="5A370B44" w14:textId="1A064860" w:rsidR="006A43D4" w:rsidRPr="004258F5" w:rsidRDefault="006A43D4" w:rsidP="006A43D4">
      <w:pPr>
        <w:tabs>
          <w:tab w:val="right" w:pos="9778"/>
        </w:tabs>
        <w:rPr>
          <w:rFonts w:asciiTheme="minorHAnsi" w:hAnsiTheme="minorHAnsi" w:cstheme="minorHAnsi"/>
          <w:b/>
          <w:color w:val="000000"/>
        </w:rPr>
      </w:pPr>
      <w:r w:rsidRPr="004258F5">
        <w:rPr>
          <w:rFonts w:asciiTheme="minorHAnsi" w:hAnsiTheme="minorHAnsi" w:cstheme="minorHAnsi"/>
          <w:b/>
          <w:color w:val="000000"/>
        </w:rPr>
        <w:t xml:space="preserve">Note </w:t>
      </w:r>
      <w:r w:rsidR="00197776">
        <w:rPr>
          <w:rFonts w:asciiTheme="minorHAnsi" w:hAnsiTheme="minorHAnsi" w:cstheme="minorHAnsi"/>
          <w:b/>
          <w:color w:val="000000"/>
        </w:rPr>
        <w:t>3</w:t>
      </w:r>
      <w:r w:rsidR="00EC645C">
        <w:rPr>
          <w:rFonts w:asciiTheme="minorHAnsi" w:hAnsiTheme="minorHAnsi" w:cstheme="minorHAnsi"/>
          <w:b/>
          <w:color w:val="000000"/>
        </w:rPr>
        <w:t xml:space="preserve">  </w:t>
      </w:r>
      <w:r w:rsidRPr="004258F5">
        <w:rPr>
          <w:rFonts w:asciiTheme="minorHAnsi" w:hAnsiTheme="minorHAnsi" w:cstheme="minorHAnsi"/>
          <w:b/>
          <w:color w:val="000000"/>
        </w:rPr>
        <w:t xml:space="preserve">   DIVIDENDS</w:t>
      </w:r>
      <w:r w:rsidR="00ED74F9" w:rsidRPr="004258F5">
        <w:rPr>
          <w:rFonts w:asciiTheme="minorHAnsi" w:hAnsiTheme="minorHAnsi" w:cstheme="minorHAnsi"/>
          <w:b/>
          <w:color w:val="000000"/>
        </w:rPr>
        <w:t xml:space="preserve"> </w:t>
      </w:r>
    </w:p>
    <w:p w14:paraId="0CB80F64" w14:textId="77777777" w:rsidR="006A43D4" w:rsidRPr="004258F5" w:rsidRDefault="006A43D4" w:rsidP="006A43D4">
      <w:pPr>
        <w:rPr>
          <w:rFonts w:asciiTheme="minorHAnsi" w:hAnsiTheme="minorHAnsi" w:cstheme="minorHAnsi"/>
        </w:rPr>
      </w:pPr>
    </w:p>
    <w:p w14:paraId="0C332116" w14:textId="77777777" w:rsidR="00A8014B" w:rsidRPr="004258F5" w:rsidRDefault="00A8014B" w:rsidP="006A43D4">
      <w:pPr>
        <w:rPr>
          <w:rFonts w:asciiTheme="minorHAnsi" w:hAnsiTheme="minorHAnsi" w:cstheme="minorHAnsi"/>
        </w:rPr>
      </w:pPr>
    </w:p>
    <w:tbl>
      <w:tblPr>
        <w:tblW w:w="93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1200"/>
        <w:gridCol w:w="1500"/>
      </w:tblGrid>
      <w:tr w:rsidR="00A8014B" w:rsidRPr="004258F5" w14:paraId="21614165" w14:textId="77777777" w:rsidTr="00A8014B">
        <w:tc>
          <w:tcPr>
            <w:tcW w:w="6663" w:type="dxa"/>
            <w:tcBorders>
              <w:top w:val="nil"/>
              <w:left w:val="nil"/>
              <w:bottom w:val="nil"/>
              <w:right w:val="nil"/>
            </w:tcBorders>
          </w:tcPr>
          <w:p w14:paraId="2088ED7C" w14:textId="77777777" w:rsidR="00A8014B" w:rsidRPr="004258F5" w:rsidRDefault="00A8014B" w:rsidP="00A8014B">
            <w:pPr>
              <w:spacing w:line="276" w:lineRule="auto"/>
              <w:ind w:left="34"/>
              <w:rPr>
                <w:rFonts w:asciiTheme="minorHAnsi" w:hAnsiTheme="minorHAnsi" w:cstheme="minorHAnsi"/>
                <w:b/>
                <w:color w:val="000000"/>
              </w:rPr>
            </w:pPr>
          </w:p>
        </w:tc>
        <w:tc>
          <w:tcPr>
            <w:tcW w:w="1200" w:type="dxa"/>
            <w:tcBorders>
              <w:top w:val="nil"/>
              <w:left w:val="nil"/>
              <w:bottom w:val="nil"/>
              <w:right w:val="nil"/>
            </w:tcBorders>
            <w:hideMark/>
          </w:tcPr>
          <w:p w14:paraId="400B7322" w14:textId="2B39CC29" w:rsidR="00A8014B" w:rsidRPr="004258F5" w:rsidRDefault="006D0025" w:rsidP="006318DB">
            <w:pPr>
              <w:spacing w:line="276" w:lineRule="auto"/>
              <w:ind w:left="34"/>
              <w:jc w:val="right"/>
              <w:rPr>
                <w:rFonts w:asciiTheme="minorHAnsi" w:hAnsiTheme="minorHAnsi" w:cstheme="minorHAnsi"/>
                <w:b/>
                <w:color w:val="000000"/>
              </w:rPr>
            </w:pPr>
            <w:r w:rsidRPr="004258F5">
              <w:rPr>
                <w:rFonts w:asciiTheme="minorHAnsi" w:hAnsiTheme="minorHAnsi" w:cstheme="minorHAnsi"/>
                <w:b/>
                <w:color w:val="000000"/>
              </w:rPr>
              <w:t>20</w:t>
            </w:r>
            <w:r w:rsidR="006318DB" w:rsidRPr="004258F5">
              <w:rPr>
                <w:rFonts w:asciiTheme="minorHAnsi" w:hAnsiTheme="minorHAnsi" w:cstheme="minorHAnsi"/>
                <w:b/>
                <w:color w:val="000000"/>
              </w:rPr>
              <w:t>2</w:t>
            </w:r>
            <w:r w:rsidR="009A13A0" w:rsidRPr="004258F5">
              <w:rPr>
                <w:rFonts w:asciiTheme="minorHAnsi" w:hAnsiTheme="minorHAnsi" w:cstheme="minorHAnsi"/>
                <w:b/>
                <w:color w:val="000000"/>
              </w:rPr>
              <w:t>3</w:t>
            </w:r>
          </w:p>
        </w:tc>
        <w:tc>
          <w:tcPr>
            <w:tcW w:w="1500" w:type="dxa"/>
            <w:tcBorders>
              <w:top w:val="nil"/>
              <w:left w:val="nil"/>
              <w:bottom w:val="nil"/>
              <w:right w:val="nil"/>
            </w:tcBorders>
            <w:hideMark/>
          </w:tcPr>
          <w:p w14:paraId="124CA4F7" w14:textId="30548ADF" w:rsidR="00A8014B" w:rsidRPr="00542A05" w:rsidRDefault="00A8014B" w:rsidP="006D0025">
            <w:pPr>
              <w:spacing w:line="276" w:lineRule="auto"/>
              <w:ind w:left="34"/>
              <w:jc w:val="right"/>
              <w:rPr>
                <w:rFonts w:asciiTheme="minorHAnsi" w:hAnsiTheme="minorHAnsi" w:cstheme="minorHAnsi"/>
                <w:bCs/>
                <w:color w:val="000000"/>
              </w:rPr>
            </w:pPr>
            <w:r w:rsidRPr="00542A05">
              <w:rPr>
                <w:rFonts w:asciiTheme="minorHAnsi" w:hAnsiTheme="minorHAnsi" w:cstheme="minorHAnsi"/>
                <w:bCs/>
                <w:color w:val="000000"/>
              </w:rPr>
              <w:t>20</w:t>
            </w:r>
            <w:r w:rsidR="00B965BF" w:rsidRPr="00542A05">
              <w:rPr>
                <w:rFonts w:asciiTheme="minorHAnsi" w:hAnsiTheme="minorHAnsi" w:cstheme="minorHAnsi"/>
                <w:bCs/>
                <w:color w:val="000000"/>
              </w:rPr>
              <w:t>2</w:t>
            </w:r>
            <w:r w:rsidR="009A13A0" w:rsidRPr="00542A05">
              <w:rPr>
                <w:rFonts w:asciiTheme="minorHAnsi" w:hAnsiTheme="minorHAnsi" w:cstheme="minorHAnsi"/>
                <w:bCs/>
                <w:color w:val="000000"/>
              </w:rPr>
              <w:t>2</w:t>
            </w:r>
          </w:p>
        </w:tc>
      </w:tr>
      <w:tr w:rsidR="00A8014B" w:rsidRPr="004258F5" w14:paraId="1AD6D2A2" w14:textId="77777777" w:rsidTr="00A8014B">
        <w:tc>
          <w:tcPr>
            <w:tcW w:w="6663" w:type="dxa"/>
            <w:tcBorders>
              <w:top w:val="nil"/>
              <w:left w:val="nil"/>
              <w:bottom w:val="nil"/>
              <w:right w:val="nil"/>
            </w:tcBorders>
            <w:hideMark/>
          </w:tcPr>
          <w:p w14:paraId="2B1672DE" w14:textId="77777777" w:rsidR="00A8014B" w:rsidRPr="004258F5" w:rsidRDefault="00A8014B" w:rsidP="00A8014B">
            <w:pPr>
              <w:spacing w:line="276" w:lineRule="auto"/>
              <w:ind w:left="-107"/>
              <w:rPr>
                <w:rFonts w:asciiTheme="minorHAnsi" w:hAnsiTheme="minorHAnsi" w:cstheme="minorHAnsi"/>
                <w:b/>
                <w:color w:val="000000"/>
              </w:rPr>
            </w:pPr>
          </w:p>
        </w:tc>
        <w:tc>
          <w:tcPr>
            <w:tcW w:w="1200" w:type="dxa"/>
            <w:tcBorders>
              <w:top w:val="nil"/>
              <w:left w:val="nil"/>
              <w:bottom w:val="nil"/>
              <w:right w:val="nil"/>
            </w:tcBorders>
            <w:hideMark/>
          </w:tcPr>
          <w:p w14:paraId="17418AD0" w14:textId="77777777" w:rsidR="00A8014B" w:rsidRPr="004258F5" w:rsidRDefault="00A8014B" w:rsidP="00A8014B">
            <w:pPr>
              <w:spacing w:line="276" w:lineRule="auto"/>
              <w:ind w:left="-107"/>
              <w:jc w:val="right"/>
              <w:rPr>
                <w:rFonts w:asciiTheme="minorHAnsi" w:hAnsiTheme="minorHAnsi" w:cstheme="minorHAnsi"/>
                <w:b/>
                <w:color w:val="000000"/>
              </w:rPr>
            </w:pPr>
            <w:r w:rsidRPr="004258F5">
              <w:rPr>
                <w:rFonts w:asciiTheme="minorHAnsi" w:hAnsiTheme="minorHAnsi" w:cstheme="minorHAnsi"/>
                <w:b/>
                <w:color w:val="000000"/>
              </w:rPr>
              <w:t>€000s</w:t>
            </w:r>
          </w:p>
        </w:tc>
        <w:tc>
          <w:tcPr>
            <w:tcW w:w="1500" w:type="dxa"/>
            <w:tcBorders>
              <w:top w:val="nil"/>
              <w:left w:val="nil"/>
              <w:bottom w:val="nil"/>
              <w:right w:val="nil"/>
            </w:tcBorders>
            <w:hideMark/>
          </w:tcPr>
          <w:p w14:paraId="48771113" w14:textId="77777777" w:rsidR="00A8014B" w:rsidRPr="00542A05" w:rsidRDefault="00A8014B" w:rsidP="00A8014B">
            <w:pPr>
              <w:spacing w:line="276" w:lineRule="auto"/>
              <w:ind w:left="-107"/>
              <w:jc w:val="right"/>
              <w:rPr>
                <w:rFonts w:asciiTheme="minorHAnsi" w:hAnsiTheme="minorHAnsi" w:cstheme="minorHAnsi"/>
                <w:bCs/>
                <w:color w:val="000000"/>
              </w:rPr>
            </w:pPr>
            <w:r w:rsidRPr="00542A05">
              <w:rPr>
                <w:rFonts w:asciiTheme="minorHAnsi" w:hAnsiTheme="minorHAnsi" w:cstheme="minorHAnsi"/>
                <w:bCs/>
                <w:color w:val="000000"/>
              </w:rPr>
              <w:t>€000s</w:t>
            </w:r>
          </w:p>
        </w:tc>
      </w:tr>
      <w:tr w:rsidR="00A8014B" w:rsidRPr="004258F5" w14:paraId="1C93313E" w14:textId="77777777" w:rsidTr="00A8014B">
        <w:tc>
          <w:tcPr>
            <w:tcW w:w="6663" w:type="dxa"/>
            <w:tcBorders>
              <w:top w:val="nil"/>
              <w:left w:val="nil"/>
              <w:bottom w:val="nil"/>
              <w:right w:val="nil"/>
            </w:tcBorders>
          </w:tcPr>
          <w:p w14:paraId="3E5B4454" w14:textId="77777777" w:rsidR="00A8014B" w:rsidRPr="004258F5" w:rsidRDefault="00A8014B" w:rsidP="00A8014B">
            <w:pPr>
              <w:spacing w:line="276" w:lineRule="auto"/>
              <w:ind w:left="-107"/>
              <w:rPr>
                <w:rFonts w:asciiTheme="minorHAnsi" w:hAnsiTheme="minorHAnsi" w:cstheme="minorHAnsi"/>
                <w:b/>
                <w:color w:val="000000"/>
              </w:rPr>
            </w:pPr>
            <w:r w:rsidRPr="004258F5">
              <w:rPr>
                <w:rFonts w:asciiTheme="minorHAnsi" w:hAnsiTheme="minorHAnsi" w:cstheme="minorHAnsi"/>
                <w:b/>
                <w:color w:val="000000"/>
              </w:rPr>
              <w:t>Paid during year:</w:t>
            </w:r>
          </w:p>
        </w:tc>
        <w:tc>
          <w:tcPr>
            <w:tcW w:w="1200" w:type="dxa"/>
            <w:tcBorders>
              <w:top w:val="nil"/>
              <w:left w:val="nil"/>
              <w:bottom w:val="nil"/>
              <w:right w:val="nil"/>
            </w:tcBorders>
          </w:tcPr>
          <w:p w14:paraId="4E591C30" w14:textId="77777777" w:rsidR="00A8014B" w:rsidRPr="004258F5" w:rsidRDefault="00A8014B" w:rsidP="00A8014B">
            <w:pPr>
              <w:tabs>
                <w:tab w:val="left" w:pos="1074"/>
              </w:tabs>
              <w:spacing w:line="276" w:lineRule="auto"/>
              <w:ind w:left="-107"/>
              <w:jc w:val="right"/>
              <w:rPr>
                <w:rFonts w:asciiTheme="minorHAnsi" w:hAnsiTheme="minorHAnsi" w:cstheme="minorHAnsi"/>
                <w:color w:val="000000"/>
              </w:rPr>
            </w:pPr>
          </w:p>
        </w:tc>
        <w:tc>
          <w:tcPr>
            <w:tcW w:w="1500" w:type="dxa"/>
            <w:tcBorders>
              <w:top w:val="nil"/>
              <w:left w:val="nil"/>
              <w:bottom w:val="nil"/>
              <w:right w:val="nil"/>
            </w:tcBorders>
          </w:tcPr>
          <w:p w14:paraId="4B9B36D4" w14:textId="77777777" w:rsidR="00A8014B" w:rsidRPr="004258F5" w:rsidRDefault="00A8014B" w:rsidP="00A8014B">
            <w:pPr>
              <w:spacing w:line="276" w:lineRule="auto"/>
              <w:ind w:left="-107"/>
              <w:jc w:val="right"/>
              <w:rPr>
                <w:rFonts w:asciiTheme="minorHAnsi" w:hAnsiTheme="minorHAnsi" w:cstheme="minorHAnsi"/>
                <w:color w:val="000000"/>
              </w:rPr>
            </w:pPr>
          </w:p>
        </w:tc>
      </w:tr>
      <w:tr w:rsidR="009A13A0" w:rsidRPr="004258F5" w14:paraId="33DC91B1" w14:textId="77777777" w:rsidTr="00A8014B">
        <w:tc>
          <w:tcPr>
            <w:tcW w:w="6663" w:type="dxa"/>
            <w:tcBorders>
              <w:top w:val="nil"/>
              <w:left w:val="nil"/>
              <w:bottom w:val="nil"/>
              <w:right w:val="nil"/>
            </w:tcBorders>
          </w:tcPr>
          <w:p w14:paraId="55D4E346" w14:textId="1EB83CD7" w:rsidR="009A13A0" w:rsidRPr="004258F5" w:rsidRDefault="009A13A0" w:rsidP="009A13A0">
            <w:pPr>
              <w:spacing w:line="276" w:lineRule="auto"/>
              <w:ind w:left="-108"/>
              <w:rPr>
                <w:rFonts w:asciiTheme="minorHAnsi" w:hAnsiTheme="minorHAnsi" w:cstheme="minorHAnsi"/>
                <w:color w:val="000000"/>
              </w:rPr>
            </w:pPr>
            <w:r w:rsidRPr="004258F5">
              <w:rPr>
                <w:rFonts w:asciiTheme="minorHAnsi" w:hAnsiTheme="minorHAnsi" w:cstheme="minorHAnsi"/>
                <w:color w:val="000000"/>
              </w:rPr>
              <w:t>2022 dividend of 8.4 cent</w:t>
            </w:r>
            <w:r w:rsidRPr="004258F5">
              <w:rPr>
                <w:rFonts w:asciiTheme="minorHAnsi" w:hAnsiTheme="minorHAnsi" w:cstheme="minorHAnsi"/>
                <w:b/>
                <w:color w:val="000000"/>
              </w:rPr>
              <w:t xml:space="preserve"> </w:t>
            </w:r>
            <w:r w:rsidRPr="004258F5">
              <w:rPr>
                <w:rFonts w:asciiTheme="minorHAnsi" w:hAnsiTheme="minorHAnsi" w:cstheme="minorHAnsi"/>
                <w:color w:val="000000"/>
              </w:rPr>
              <w:t>(2021: 8.4 cent) per share on 14% non-cumulative preference shares of €0.60 each</w:t>
            </w:r>
          </w:p>
        </w:tc>
        <w:tc>
          <w:tcPr>
            <w:tcW w:w="1200" w:type="dxa"/>
            <w:tcBorders>
              <w:top w:val="nil"/>
              <w:left w:val="nil"/>
              <w:bottom w:val="nil"/>
              <w:right w:val="nil"/>
            </w:tcBorders>
          </w:tcPr>
          <w:p w14:paraId="6D9A22EE" w14:textId="77777777" w:rsidR="009A13A0" w:rsidRPr="004258F5" w:rsidRDefault="009A13A0" w:rsidP="009A13A0">
            <w:pPr>
              <w:spacing w:line="276" w:lineRule="auto"/>
              <w:ind w:left="-108"/>
              <w:jc w:val="right"/>
              <w:rPr>
                <w:rFonts w:asciiTheme="minorHAnsi" w:hAnsiTheme="minorHAnsi" w:cstheme="minorHAnsi"/>
                <w:b/>
                <w:color w:val="000000"/>
              </w:rPr>
            </w:pPr>
          </w:p>
          <w:p w14:paraId="59E4F473" w14:textId="59A5FDFE" w:rsidR="009A13A0" w:rsidRPr="004258F5" w:rsidRDefault="009A13A0" w:rsidP="009A13A0">
            <w:pPr>
              <w:spacing w:line="276" w:lineRule="auto"/>
              <w:ind w:left="-108"/>
              <w:jc w:val="right"/>
              <w:rPr>
                <w:rFonts w:asciiTheme="minorHAnsi" w:hAnsiTheme="minorHAnsi" w:cstheme="minorHAnsi"/>
                <w:b/>
                <w:color w:val="000000"/>
              </w:rPr>
            </w:pPr>
            <w:r w:rsidRPr="004258F5">
              <w:rPr>
                <w:rFonts w:asciiTheme="minorHAnsi" w:hAnsiTheme="minorHAnsi" w:cstheme="minorHAnsi"/>
                <w:b/>
                <w:color w:val="000000"/>
              </w:rPr>
              <w:t>113</w:t>
            </w:r>
          </w:p>
        </w:tc>
        <w:tc>
          <w:tcPr>
            <w:tcW w:w="1500" w:type="dxa"/>
            <w:tcBorders>
              <w:top w:val="nil"/>
              <w:left w:val="nil"/>
              <w:bottom w:val="nil"/>
              <w:right w:val="nil"/>
            </w:tcBorders>
          </w:tcPr>
          <w:p w14:paraId="1C863465" w14:textId="77777777" w:rsidR="009A13A0" w:rsidRPr="00542A05" w:rsidRDefault="009A13A0" w:rsidP="009A13A0">
            <w:pPr>
              <w:spacing w:line="276" w:lineRule="auto"/>
              <w:ind w:left="-108"/>
              <w:jc w:val="right"/>
              <w:rPr>
                <w:rFonts w:asciiTheme="minorHAnsi" w:hAnsiTheme="minorHAnsi" w:cstheme="minorHAnsi"/>
                <w:bCs/>
                <w:color w:val="000000"/>
              </w:rPr>
            </w:pPr>
          </w:p>
          <w:p w14:paraId="144B9D41" w14:textId="6394C029" w:rsidR="009A13A0" w:rsidRPr="00542A05" w:rsidRDefault="009A13A0" w:rsidP="009A13A0">
            <w:pPr>
              <w:spacing w:line="276" w:lineRule="auto"/>
              <w:ind w:left="-108"/>
              <w:jc w:val="right"/>
              <w:rPr>
                <w:rFonts w:asciiTheme="minorHAnsi" w:hAnsiTheme="minorHAnsi" w:cstheme="minorHAnsi"/>
                <w:bCs/>
                <w:color w:val="000000"/>
              </w:rPr>
            </w:pPr>
            <w:r w:rsidRPr="00542A05">
              <w:rPr>
                <w:rFonts w:asciiTheme="minorHAnsi" w:hAnsiTheme="minorHAnsi" w:cstheme="minorHAnsi"/>
                <w:bCs/>
                <w:color w:val="000000"/>
              </w:rPr>
              <w:t>113</w:t>
            </w:r>
          </w:p>
        </w:tc>
      </w:tr>
      <w:tr w:rsidR="009A13A0" w:rsidRPr="004258F5" w14:paraId="14091526" w14:textId="77777777" w:rsidTr="009A13A0">
        <w:tc>
          <w:tcPr>
            <w:tcW w:w="6663" w:type="dxa"/>
            <w:tcBorders>
              <w:top w:val="nil"/>
              <w:left w:val="nil"/>
              <w:bottom w:val="nil"/>
              <w:right w:val="nil"/>
            </w:tcBorders>
          </w:tcPr>
          <w:p w14:paraId="2FCE0D4A" w14:textId="36106851" w:rsidR="009A13A0" w:rsidRPr="004258F5" w:rsidRDefault="009A13A0" w:rsidP="009A13A0">
            <w:pPr>
              <w:spacing w:line="276" w:lineRule="auto"/>
              <w:ind w:left="-108"/>
              <w:rPr>
                <w:rFonts w:asciiTheme="minorHAnsi" w:hAnsiTheme="minorHAnsi" w:cstheme="minorHAnsi"/>
                <w:color w:val="000000"/>
              </w:rPr>
            </w:pPr>
            <w:r w:rsidRPr="004258F5">
              <w:rPr>
                <w:rFonts w:asciiTheme="minorHAnsi" w:hAnsiTheme="minorHAnsi" w:cstheme="minorHAnsi"/>
                <w:color w:val="000000"/>
              </w:rPr>
              <w:t>2022 dividend of 4.8 cent</w:t>
            </w:r>
            <w:r w:rsidRPr="004258F5">
              <w:rPr>
                <w:rFonts w:asciiTheme="minorHAnsi" w:hAnsiTheme="minorHAnsi" w:cstheme="minorHAnsi"/>
                <w:b/>
                <w:color w:val="000000"/>
              </w:rPr>
              <w:t xml:space="preserve"> </w:t>
            </w:r>
            <w:r w:rsidRPr="004258F5">
              <w:rPr>
                <w:rFonts w:asciiTheme="minorHAnsi" w:hAnsiTheme="minorHAnsi" w:cstheme="minorHAnsi"/>
                <w:color w:val="000000"/>
              </w:rPr>
              <w:t>(2021: 4.8 cent) per share on 8% non-cumulative preference shares of €0.60 each</w:t>
            </w:r>
          </w:p>
        </w:tc>
        <w:tc>
          <w:tcPr>
            <w:tcW w:w="1200" w:type="dxa"/>
            <w:tcBorders>
              <w:top w:val="nil"/>
              <w:left w:val="nil"/>
              <w:bottom w:val="nil"/>
              <w:right w:val="nil"/>
            </w:tcBorders>
          </w:tcPr>
          <w:p w14:paraId="43C7D1AC" w14:textId="77777777" w:rsidR="009A13A0" w:rsidRPr="004258F5" w:rsidRDefault="009A13A0" w:rsidP="009A13A0">
            <w:pPr>
              <w:spacing w:line="276" w:lineRule="auto"/>
              <w:ind w:left="-108"/>
              <w:jc w:val="right"/>
              <w:rPr>
                <w:rFonts w:asciiTheme="minorHAnsi" w:hAnsiTheme="minorHAnsi" w:cstheme="minorHAnsi"/>
                <w:b/>
                <w:color w:val="000000"/>
              </w:rPr>
            </w:pPr>
          </w:p>
          <w:p w14:paraId="5CB945EB" w14:textId="11F59B87" w:rsidR="009A13A0" w:rsidRPr="004258F5" w:rsidRDefault="009A13A0" w:rsidP="009A13A0">
            <w:pPr>
              <w:spacing w:line="276" w:lineRule="auto"/>
              <w:ind w:left="-108"/>
              <w:jc w:val="right"/>
              <w:rPr>
                <w:rFonts w:asciiTheme="minorHAnsi" w:hAnsiTheme="minorHAnsi" w:cstheme="minorHAnsi"/>
                <w:b/>
                <w:color w:val="000000"/>
              </w:rPr>
            </w:pPr>
            <w:r w:rsidRPr="004258F5">
              <w:rPr>
                <w:rFonts w:asciiTheme="minorHAnsi" w:hAnsiTheme="minorHAnsi" w:cstheme="minorHAnsi"/>
                <w:b/>
                <w:color w:val="000000"/>
              </w:rPr>
              <w:t>169</w:t>
            </w:r>
          </w:p>
        </w:tc>
        <w:tc>
          <w:tcPr>
            <w:tcW w:w="1500" w:type="dxa"/>
            <w:tcBorders>
              <w:top w:val="nil"/>
              <w:left w:val="nil"/>
              <w:bottom w:val="nil"/>
              <w:right w:val="nil"/>
            </w:tcBorders>
          </w:tcPr>
          <w:p w14:paraId="06228EE4" w14:textId="77777777" w:rsidR="009A13A0" w:rsidRPr="00542A05" w:rsidRDefault="009A13A0" w:rsidP="009A13A0">
            <w:pPr>
              <w:spacing w:line="276" w:lineRule="auto"/>
              <w:ind w:left="-108"/>
              <w:jc w:val="right"/>
              <w:rPr>
                <w:rFonts w:asciiTheme="minorHAnsi" w:hAnsiTheme="minorHAnsi" w:cstheme="minorHAnsi"/>
                <w:bCs/>
                <w:color w:val="000000"/>
              </w:rPr>
            </w:pPr>
          </w:p>
          <w:p w14:paraId="329833D4" w14:textId="76D086A9" w:rsidR="009A13A0" w:rsidRPr="00542A05" w:rsidRDefault="009A13A0" w:rsidP="009A13A0">
            <w:pPr>
              <w:spacing w:line="276" w:lineRule="auto"/>
              <w:ind w:left="-108"/>
              <w:jc w:val="right"/>
              <w:rPr>
                <w:rFonts w:asciiTheme="minorHAnsi" w:hAnsiTheme="minorHAnsi" w:cstheme="minorHAnsi"/>
                <w:bCs/>
                <w:color w:val="000000"/>
              </w:rPr>
            </w:pPr>
            <w:r w:rsidRPr="00542A05">
              <w:rPr>
                <w:rFonts w:asciiTheme="minorHAnsi" w:hAnsiTheme="minorHAnsi" w:cstheme="minorHAnsi"/>
                <w:bCs/>
                <w:color w:val="000000"/>
              </w:rPr>
              <w:t>169</w:t>
            </w:r>
          </w:p>
        </w:tc>
      </w:tr>
      <w:tr w:rsidR="009A13A0" w:rsidRPr="004258F5" w14:paraId="072D4831" w14:textId="77777777" w:rsidTr="009A13A0">
        <w:tc>
          <w:tcPr>
            <w:tcW w:w="6663" w:type="dxa"/>
            <w:tcBorders>
              <w:top w:val="nil"/>
              <w:left w:val="nil"/>
              <w:bottom w:val="nil"/>
              <w:right w:val="nil"/>
            </w:tcBorders>
          </w:tcPr>
          <w:p w14:paraId="3B7D1112" w14:textId="64A3AD84" w:rsidR="009A13A0" w:rsidRPr="004258F5" w:rsidRDefault="009A13A0" w:rsidP="009A13A0">
            <w:pPr>
              <w:spacing w:line="276" w:lineRule="auto"/>
              <w:ind w:left="-108"/>
              <w:rPr>
                <w:rFonts w:asciiTheme="minorHAnsi" w:hAnsiTheme="minorHAnsi" w:cstheme="minorHAnsi"/>
                <w:color w:val="000000"/>
              </w:rPr>
            </w:pPr>
            <w:r w:rsidRPr="004258F5">
              <w:rPr>
                <w:rFonts w:asciiTheme="minorHAnsi" w:hAnsiTheme="minorHAnsi" w:cstheme="minorHAnsi"/>
                <w:color w:val="000000"/>
              </w:rPr>
              <w:t xml:space="preserve">2022 final dividend of 100.0 </w:t>
            </w:r>
            <w:r w:rsidRPr="004258F5">
              <w:rPr>
                <w:rFonts w:asciiTheme="minorHAnsi" w:hAnsiTheme="minorHAnsi" w:cstheme="minorHAnsi"/>
              </w:rPr>
              <w:t xml:space="preserve">cent </w:t>
            </w:r>
            <w:r w:rsidRPr="004258F5">
              <w:rPr>
                <w:rFonts w:asciiTheme="minorHAnsi" w:hAnsiTheme="minorHAnsi" w:cstheme="minorHAnsi"/>
                <w:color w:val="000000"/>
              </w:rPr>
              <w:t>(2021: 100.0 cent) per share on ordinary shares of €0.60 each</w:t>
            </w:r>
          </w:p>
        </w:tc>
        <w:tc>
          <w:tcPr>
            <w:tcW w:w="1200" w:type="dxa"/>
            <w:tcBorders>
              <w:top w:val="nil"/>
              <w:left w:val="nil"/>
              <w:bottom w:val="nil"/>
              <w:right w:val="nil"/>
            </w:tcBorders>
          </w:tcPr>
          <w:p w14:paraId="5A9B1233" w14:textId="77777777" w:rsidR="00204AE0" w:rsidRPr="004258F5" w:rsidRDefault="00204AE0" w:rsidP="009A13A0">
            <w:pPr>
              <w:spacing w:line="276" w:lineRule="auto"/>
              <w:ind w:left="-108"/>
              <w:jc w:val="right"/>
              <w:rPr>
                <w:rFonts w:asciiTheme="minorHAnsi" w:hAnsiTheme="minorHAnsi" w:cstheme="minorHAnsi"/>
                <w:b/>
                <w:color w:val="000000"/>
              </w:rPr>
            </w:pPr>
          </w:p>
          <w:p w14:paraId="77F533A8" w14:textId="1DD4B3E2" w:rsidR="009A13A0" w:rsidRPr="004258F5" w:rsidRDefault="0017262A" w:rsidP="009A13A0">
            <w:pPr>
              <w:spacing w:line="276" w:lineRule="auto"/>
              <w:ind w:left="-108"/>
              <w:jc w:val="right"/>
              <w:rPr>
                <w:rFonts w:asciiTheme="minorHAnsi" w:hAnsiTheme="minorHAnsi" w:cstheme="minorHAnsi"/>
                <w:b/>
                <w:color w:val="000000"/>
              </w:rPr>
            </w:pPr>
            <w:r w:rsidRPr="004258F5">
              <w:rPr>
                <w:rFonts w:asciiTheme="minorHAnsi" w:hAnsiTheme="minorHAnsi" w:cstheme="minorHAnsi"/>
                <w:b/>
                <w:color w:val="000000"/>
              </w:rPr>
              <w:t>35,884</w:t>
            </w:r>
          </w:p>
        </w:tc>
        <w:tc>
          <w:tcPr>
            <w:tcW w:w="1500" w:type="dxa"/>
            <w:tcBorders>
              <w:top w:val="nil"/>
              <w:left w:val="nil"/>
              <w:bottom w:val="nil"/>
              <w:right w:val="nil"/>
            </w:tcBorders>
          </w:tcPr>
          <w:p w14:paraId="5AF2CB67" w14:textId="77777777" w:rsidR="009A13A0" w:rsidRPr="00542A05" w:rsidRDefault="009A13A0" w:rsidP="009A13A0">
            <w:pPr>
              <w:spacing w:line="276" w:lineRule="auto"/>
              <w:ind w:left="-108"/>
              <w:jc w:val="right"/>
              <w:rPr>
                <w:rFonts w:asciiTheme="minorHAnsi" w:hAnsiTheme="minorHAnsi" w:cstheme="minorHAnsi"/>
                <w:bCs/>
                <w:color w:val="000000"/>
              </w:rPr>
            </w:pPr>
          </w:p>
          <w:p w14:paraId="66668C9D" w14:textId="2F7212AC" w:rsidR="009A13A0" w:rsidRPr="00542A05" w:rsidRDefault="009A13A0" w:rsidP="009A13A0">
            <w:pPr>
              <w:spacing w:line="276" w:lineRule="auto"/>
              <w:ind w:left="-108"/>
              <w:jc w:val="right"/>
              <w:rPr>
                <w:rFonts w:asciiTheme="minorHAnsi" w:hAnsiTheme="minorHAnsi" w:cstheme="minorHAnsi"/>
                <w:bCs/>
                <w:color w:val="000000"/>
              </w:rPr>
            </w:pPr>
            <w:r w:rsidRPr="00542A05">
              <w:rPr>
                <w:rFonts w:asciiTheme="minorHAnsi" w:hAnsiTheme="minorHAnsi" w:cstheme="minorHAnsi"/>
                <w:bCs/>
                <w:color w:val="000000"/>
              </w:rPr>
              <w:t>35,588</w:t>
            </w:r>
          </w:p>
        </w:tc>
      </w:tr>
      <w:tr w:rsidR="009A13A0" w:rsidRPr="004258F5" w14:paraId="6E6C31BC" w14:textId="77777777" w:rsidTr="009A13A0">
        <w:tc>
          <w:tcPr>
            <w:tcW w:w="6663" w:type="dxa"/>
            <w:tcBorders>
              <w:top w:val="nil"/>
              <w:left w:val="nil"/>
              <w:bottom w:val="nil"/>
              <w:right w:val="nil"/>
            </w:tcBorders>
          </w:tcPr>
          <w:p w14:paraId="65D3B915" w14:textId="0C6236BB" w:rsidR="009A13A0" w:rsidRPr="004258F5" w:rsidRDefault="009A13A0" w:rsidP="009A13A0">
            <w:pPr>
              <w:spacing w:line="276" w:lineRule="auto"/>
              <w:ind w:left="-107"/>
              <w:rPr>
                <w:rFonts w:asciiTheme="minorHAnsi" w:hAnsiTheme="minorHAnsi" w:cstheme="minorHAnsi"/>
                <w:b/>
                <w:color w:val="000000"/>
              </w:rPr>
            </w:pPr>
            <w:r w:rsidRPr="004258F5">
              <w:rPr>
                <w:rFonts w:asciiTheme="minorHAnsi" w:hAnsiTheme="minorHAnsi" w:cstheme="minorHAnsi"/>
                <w:color w:val="000000"/>
              </w:rPr>
              <w:t>202</w:t>
            </w:r>
            <w:r w:rsidR="0091063E">
              <w:rPr>
                <w:rFonts w:asciiTheme="minorHAnsi" w:hAnsiTheme="minorHAnsi" w:cstheme="minorHAnsi"/>
                <w:color w:val="000000"/>
              </w:rPr>
              <w:t>3</w:t>
            </w:r>
            <w:r w:rsidRPr="004258F5">
              <w:rPr>
                <w:rFonts w:asciiTheme="minorHAnsi" w:hAnsiTheme="minorHAnsi" w:cstheme="minorHAnsi"/>
                <w:color w:val="000000"/>
              </w:rPr>
              <w:t xml:space="preserve"> special dividend of 100.0 </w:t>
            </w:r>
            <w:r w:rsidRPr="004258F5">
              <w:rPr>
                <w:rFonts w:asciiTheme="minorHAnsi" w:hAnsiTheme="minorHAnsi" w:cstheme="minorHAnsi"/>
              </w:rPr>
              <w:t xml:space="preserve">cent </w:t>
            </w:r>
            <w:r w:rsidRPr="004258F5">
              <w:rPr>
                <w:rFonts w:asciiTheme="minorHAnsi" w:hAnsiTheme="minorHAnsi" w:cstheme="minorHAnsi"/>
                <w:color w:val="000000"/>
              </w:rPr>
              <w:t>(2021: 0.0 cent) per share on ordinary shares of €0.60 each</w:t>
            </w:r>
          </w:p>
        </w:tc>
        <w:tc>
          <w:tcPr>
            <w:tcW w:w="1200" w:type="dxa"/>
            <w:tcBorders>
              <w:top w:val="nil"/>
              <w:left w:val="nil"/>
              <w:bottom w:val="single" w:sz="4" w:space="0" w:color="auto"/>
              <w:right w:val="nil"/>
            </w:tcBorders>
          </w:tcPr>
          <w:p w14:paraId="4D312C70" w14:textId="77777777" w:rsidR="009A13A0" w:rsidRPr="004258F5" w:rsidRDefault="009A13A0" w:rsidP="009A13A0">
            <w:pPr>
              <w:spacing w:line="276" w:lineRule="auto"/>
              <w:ind w:left="-108"/>
              <w:jc w:val="right"/>
              <w:rPr>
                <w:rFonts w:asciiTheme="minorHAnsi" w:hAnsiTheme="minorHAnsi" w:cstheme="minorHAnsi"/>
                <w:b/>
                <w:color w:val="000000"/>
              </w:rPr>
            </w:pPr>
          </w:p>
          <w:p w14:paraId="06705909" w14:textId="363E40C7" w:rsidR="009A13A0" w:rsidRPr="004258F5" w:rsidRDefault="002641E4" w:rsidP="009A13A0">
            <w:pPr>
              <w:spacing w:line="276" w:lineRule="auto"/>
              <w:ind w:left="-108"/>
              <w:jc w:val="right"/>
              <w:rPr>
                <w:rFonts w:asciiTheme="minorHAnsi" w:hAnsiTheme="minorHAnsi" w:cstheme="minorHAnsi"/>
                <w:b/>
                <w:color w:val="000000"/>
              </w:rPr>
            </w:pPr>
            <w:r w:rsidRPr="004258F5">
              <w:rPr>
                <w:rFonts w:asciiTheme="minorHAnsi" w:hAnsiTheme="minorHAnsi" w:cstheme="minorHAnsi"/>
                <w:b/>
                <w:color w:val="000000"/>
              </w:rPr>
              <w:t>3</w:t>
            </w:r>
            <w:r w:rsidR="0017262A" w:rsidRPr="004258F5">
              <w:rPr>
                <w:rFonts w:asciiTheme="minorHAnsi" w:hAnsiTheme="minorHAnsi" w:cstheme="minorHAnsi"/>
                <w:b/>
                <w:color w:val="000000"/>
              </w:rPr>
              <w:t>5,860</w:t>
            </w:r>
          </w:p>
        </w:tc>
        <w:tc>
          <w:tcPr>
            <w:tcW w:w="1500" w:type="dxa"/>
            <w:tcBorders>
              <w:top w:val="nil"/>
              <w:left w:val="nil"/>
              <w:bottom w:val="single" w:sz="4" w:space="0" w:color="auto"/>
              <w:right w:val="nil"/>
            </w:tcBorders>
          </w:tcPr>
          <w:p w14:paraId="1983E1A5" w14:textId="77777777" w:rsidR="009A13A0" w:rsidRPr="00542A05" w:rsidRDefault="009A13A0" w:rsidP="009A13A0">
            <w:pPr>
              <w:spacing w:line="276" w:lineRule="auto"/>
              <w:ind w:left="-108"/>
              <w:jc w:val="right"/>
              <w:rPr>
                <w:rFonts w:asciiTheme="minorHAnsi" w:hAnsiTheme="minorHAnsi" w:cstheme="minorHAnsi"/>
                <w:bCs/>
                <w:color w:val="000000"/>
              </w:rPr>
            </w:pPr>
          </w:p>
          <w:p w14:paraId="1F147228" w14:textId="19AF42E9" w:rsidR="009A13A0" w:rsidRPr="00542A05" w:rsidRDefault="002641E4" w:rsidP="009A13A0">
            <w:pPr>
              <w:spacing w:line="276" w:lineRule="auto"/>
              <w:ind w:left="-108"/>
              <w:jc w:val="right"/>
              <w:rPr>
                <w:rFonts w:asciiTheme="minorHAnsi" w:hAnsiTheme="minorHAnsi" w:cstheme="minorHAnsi"/>
                <w:bCs/>
                <w:color w:val="000000"/>
              </w:rPr>
            </w:pPr>
            <w:r w:rsidRPr="00542A05">
              <w:rPr>
                <w:rFonts w:asciiTheme="minorHAnsi" w:hAnsiTheme="minorHAnsi" w:cstheme="minorHAnsi"/>
                <w:bCs/>
                <w:color w:val="000000"/>
              </w:rPr>
              <w:t>-</w:t>
            </w:r>
          </w:p>
        </w:tc>
      </w:tr>
      <w:tr w:rsidR="009A13A0" w:rsidRPr="004258F5" w14:paraId="24A02A4B" w14:textId="77777777" w:rsidTr="00A8014B">
        <w:tc>
          <w:tcPr>
            <w:tcW w:w="6663" w:type="dxa"/>
            <w:tcBorders>
              <w:top w:val="nil"/>
              <w:left w:val="nil"/>
              <w:bottom w:val="nil"/>
              <w:right w:val="nil"/>
            </w:tcBorders>
          </w:tcPr>
          <w:p w14:paraId="6F373B84" w14:textId="77777777" w:rsidR="009A13A0" w:rsidRPr="004258F5" w:rsidRDefault="009A13A0" w:rsidP="009A13A0">
            <w:pPr>
              <w:spacing w:line="276" w:lineRule="auto"/>
              <w:ind w:left="-107"/>
              <w:rPr>
                <w:rFonts w:asciiTheme="minorHAnsi" w:hAnsiTheme="minorHAnsi" w:cstheme="minorHAnsi"/>
                <w:b/>
                <w:color w:val="000000"/>
              </w:rPr>
            </w:pPr>
            <w:r w:rsidRPr="004258F5">
              <w:rPr>
                <w:rFonts w:asciiTheme="minorHAnsi" w:hAnsiTheme="minorHAnsi" w:cstheme="minorHAnsi"/>
                <w:b/>
                <w:color w:val="000000"/>
              </w:rPr>
              <w:t>Total dividends paid</w:t>
            </w:r>
          </w:p>
        </w:tc>
        <w:tc>
          <w:tcPr>
            <w:tcW w:w="1200" w:type="dxa"/>
            <w:tcBorders>
              <w:top w:val="single" w:sz="4" w:space="0" w:color="auto"/>
              <w:left w:val="nil"/>
              <w:bottom w:val="single" w:sz="4" w:space="0" w:color="auto"/>
              <w:right w:val="nil"/>
            </w:tcBorders>
          </w:tcPr>
          <w:p w14:paraId="34F32E3D" w14:textId="203693E0" w:rsidR="009A13A0" w:rsidRPr="004258F5" w:rsidRDefault="00204AE0" w:rsidP="009A13A0">
            <w:pPr>
              <w:spacing w:line="276" w:lineRule="auto"/>
              <w:ind w:left="-108"/>
              <w:jc w:val="right"/>
              <w:rPr>
                <w:rFonts w:asciiTheme="minorHAnsi" w:hAnsiTheme="minorHAnsi" w:cstheme="minorHAnsi"/>
                <w:b/>
                <w:color w:val="000000"/>
              </w:rPr>
            </w:pPr>
            <w:r w:rsidRPr="004258F5">
              <w:rPr>
                <w:rFonts w:asciiTheme="minorHAnsi" w:hAnsiTheme="minorHAnsi" w:cstheme="minorHAnsi"/>
                <w:b/>
                <w:color w:val="000000"/>
              </w:rPr>
              <w:t>72,</w:t>
            </w:r>
            <w:r w:rsidR="0017262A" w:rsidRPr="004258F5">
              <w:rPr>
                <w:rFonts w:asciiTheme="minorHAnsi" w:hAnsiTheme="minorHAnsi" w:cstheme="minorHAnsi"/>
                <w:b/>
                <w:color w:val="000000"/>
              </w:rPr>
              <w:t>026</w:t>
            </w:r>
          </w:p>
        </w:tc>
        <w:tc>
          <w:tcPr>
            <w:tcW w:w="1500" w:type="dxa"/>
            <w:tcBorders>
              <w:top w:val="single" w:sz="4" w:space="0" w:color="auto"/>
              <w:left w:val="nil"/>
              <w:bottom w:val="single" w:sz="4" w:space="0" w:color="auto"/>
              <w:right w:val="nil"/>
            </w:tcBorders>
          </w:tcPr>
          <w:p w14:paraId="7041BA97" w14:textId="19EF4180" w:rsidR="009A13A0" w:rsidRPr="00542A05" w:rsidRDefault="009A13A0" w:rsidP="009A13A0">
            <w:pPr>
              <w:spacing w:line="276" w:lineRule="auto"/>
              <w:ind w:left="-108"/>
              <w:jc w:val="right"/>
              <w:rPr>
                <w:rFonts w:asciiTheme="minorHAnsi" w:hAnsiTheme="minorHAnsi" w:cstheme="minorHAnsi"/>
                <w:bCs/>
                <w:color w:val="000000"/>
              </w:rPr>
            </w:pPr>
            <w:r w:rsidRPr="00542A05">
              <w:rPr>
                <w:rFonts w:asciiTheme="minorHAnsi" w:hAnsiTheme="minorHAnsi" w:cstheme="minorHAnsi"/>
                <w:bCs/>
                <w:color w:val="000000"/>
              </w:rPr>
              <w:t>35,870</w:t>
            </w:r>
          </w:p>
        </w:tc>
      </w:tr>
      <w:tr w:rsidR="002C26B8" w:rsidRPr="004258F5" w14:paraId="4C1F392D" w14:textId="77777777" w:rsidTr="00A8014B">
        <w:tc>
          <w:tcPr>
            <w:tcW w:w="6663" w:type="dxa"/>
            <w:tcBorders>
              <w:top w:val="nil"/>
              <w:left w:val="nil"/>
              <w:bottom w:val="nil"/>
              <w:right w:val="nil"/>
            </w:tcBorders>
          </w:tcPr>
          <w:p w14:paraId="2F834767" w14:textId="77777777" w:rsidR="002C26B8" w:rsidRPr="004258F5" w:rsidRDefault="002C26B8" w:rsidP="002C26B8">
            <w:pPr>
              <w:spacing w:line="276" w:lineRule="auto"/>
              <w:ind w:left="-107"/>
              <w:rPr>
                <w:rFonts w:asciiTheme="minorHAnsi" w:hAnsiTheme="minorHAnsi" w:cstheme="minorHAnsi"/>
                <w:b/>
                <w:color w:val="000000"/>
              </w:rPr>
            </w:pPr>
          </w:p>
        </w:tc>
        <w:tc>
          <w:tcPr>
            <w:tcW w:w="1200" w:type="dxa"/>
            <w:tcBorders>
              <w:top w:val="single" w:sz="4" w:space="0" w:color="auto"/>
              <w:left w:val="nil"/>
              <w:bottom w:val="nil"/>
              <w:right w:val="nil"/>
            </w:tcBorders>
          </w:tcPr>
          <w:p w14:paraId="5A57112F" w14:textId="77777777" w:rsidR="002C26B8" w:rsidRPr="004258F5" w:rsidRDefault="002C26B8" w:rsidP="002C26B8">
            <w:pPr>
              <w:tabs>
                <w:tab w:val="left" w:pos="1074"/>
              </w:tabs>
              <w:spacing w:line="276" w:lineRule="auto"/>
              <w:ind w:left="-107"/>
              <w:jc w:val="right"/>
              <w:rPr>
                <w:rFonts w:asciiTheme="minorHAnsi" w:hAnsiTheme="minorHAnsi" w:cstheme="minorHAnsi"/>
                <w:color w:val="000000"/>
              </w:rPr>
            </w:pPr>
          </w:p>
        </w:tc>
        <w:tc>
          <w:tcPr>
            <w:tcW w:w="1500" w:type="dxa"/>
            <w:tcBorders>
              <w:top w:val="single" w:sz="4" w:space="0" w:color="auto"/>
              <w:left w:val="nil"/>
              <w:bottom w:val="nil"/>
              <w:right w:val="nil"/>
            </w:tcBorders>
          </w:tcPr>
          <w:p w14:paraId="593B1EF3" w14:textId="77777777" w:rsidR="002C26B8" w:rsidRPr="004258F5" w:rsidRDefault="002C26B8" w:rsidP="002C26B8">
            <w:pPr>
              <w:spacing w:line="276" w:lineRule="auto"/>
              <w:ind w:left="-107"/>
              <w:jc w:val="right"/>
              <w:rPr>
                <w:rFonts w:asciiTheme="minorHAnsi" w:hAnsiTheme="minorHAnsi" w:cstheme="minorHAnsi"/>
                <w:color w:val="000000"/>
              </w:rPr>
            </w:pPr>
          </w:p>
        </w:tc>
      </w:tr>
      <w:tr w:rsidR="002C26B8" w:rsidRPr="004258F5" w14:paraId="26C0DC5C" w14:textId="77777777" w:rsidTr="00A8014B">
        <w:tc>
          <w:tcPr>
            <w:tcW w:w="6663" w:type="dxa"/>
            <w:tcBorders>
              <w:top w:val="nil"/>
              <w:left w:val="nil"/>
              <w:bottom w:val="nil"/>
              <w:right w:val="nil"/>
            </w:tcBorders>
          </w:tcPr>
          <w:p w14:paraId="64E15893" w14:textId="77777777" w:rsidR="002C26B8" w:rsidRPr="004258F5" w:rsidRDefault="002C26B8" w:rsidP="002C26B8">
            <w:pPr>
              <w:spacing w:line="276" w:lineRule="auto"/>
              <w:ind w:left="-107"/>
              <w:rPr>
                <w:rFonts w:asciiTheme="minorHAnsi" w:hAnsiTheme="minorHAnsi" w:cstheme="minorHAnsi"/>
                <w:b/>
                <w:color w:val="000000"/>
              </w:rPr>
            </w:pPr>
          </w:p>
        </w:tc>
        <w:tc>
          <w:tcPr>
            <w:tcW w:w="1200" w:type="dxa"/>
            <w:tcBorders>
              <w:top w:val="nil"/>
              <w:left w:val="nil"/>
              <w:bottom w:val="nil"/>
              <w:right w:val="nil"/>
            </w:tcBorders>
          </w:tcPr>
          <w:p w14:paraId="340FE874" w14:textId="15093A42" w:rsidR="002C26B8" w:rsidRPr="004258F5" w:rsidRDefault="002C26B8" w:rsidP="002C26B8">
            <w:pPr>
              <w:spacing w:line="276" w:lineRule="auto"/>
              <w:ind w:left="34"/>
              <w:jc w:val="right"/>
              <w:rPr>
                <w:rFonts w:asciiTheme="minorHAnsi" w:hAnsiTheme="minorHAnsi" w:cstheme="minorHAnsi"/>
                <w:b/>
                <w:color w:val="000000"/>
              </w:rPr>
            </w:pPr>
            <w:r w:rsidRPr="004258F5">
              <w:rPr>
                <w:rFonts w:asciiTheme="minorHAnsi" w:hAnsiTheme="minorHAnsi" w:cstheme="minorHAnsi"/>
                <w:b/>
                <w:color w:val="000000"/>
              </w:rPr>
              <w:t>20</w:t>
            </w:r>
            <w:r w:rsidR="00B965BF" w:rsidRPr="004258F5">
              <w:rPr>
                <w:rFonts w:asciiTheme="minorHAnsi" w:hAnsiTheme="minorHAnsi" w:cstheme="minorHAnsi"/>
                <w:b/>
                <w:color w:val="000000"/>
              </w:rPr>
              <w:t>2</w:t>
            </w:r>
            <w:r w:rsidR="00204AE0" w:rsidRPr="004258F5">
              <w:rPr>
                <w:rFonts w:asciiTheme="minorHAnsi" w:hAnsiTheme="minorHAnsi" w:cstheme="minorHAnsi"/>
                <w:b/>
                <w:color w:val="000000"/>
              </w:rPr>
              <w:t>3</w:t>
            </w:r>
          </w:p>
        </w:tc>
        <w:tc>
          <w:tcPr>
            <w:tcW w:w="1500" w:type="dxa"/>
            <w:tcBorders>
              <w:top w:val="nil"/>
              <w:left w:val="nil"/>
              <w:bottom w:val="nil"/>
              <w:right w:val="nil"/>
            </w:tcBorders>
          </w:tcPr>
          <w:p w14:paraId="615576F1" w14:textId="3830DB07" w:rsidR="002C26B8" w:rsidRPr="00542A05" w:rsidRDefault="002C26B8" w:rsidP="002C26B8">
            <w:pPr>
              <w:spacing w:line="276" w:lineRule="auto"/>
              <w:ind w:left="34"/>
              <w:jc w:val="right"/>
              <w:rPr>
                <w:rFonts w:asciiTheme="minorHAnsi" w:hAnsiTheme="minorHAnsi" w:cstheme="minorHAnsi"/>
                <w:bCs/>
                <w:color w:val="000000"/>
              </w:rPr>
            </w:pPr>
            <w:r w:rsidRPr="00542A05">
              <w:rPr>
                <w:rFonts w:asciiTheme="minorHAnsi" w:hAnsiTheme="minorHAnsi" w:cstheme="minorHAnsi"/>
                <w:bCs/>
                <w:color w:val="000000"/>
              </w:rPr>
              <w:t>20</w:t>
            </w:r>
            <w:r w:rsidR="00B965BF" w:rsidRPr="00542A05">
              <w:rPr>
                <w:rFonts w:asciiTheme="minorHAnsi" w:hAnsiTheme="minorHAnsi" w:cstheme="minorHAnsi"/>
                <w:bCs/>
                <w:color w:val="000000"/>
              </w:rPr>
              <w:t>2</w:t>
            </w:r>
            <w:r w:rsidR="00204AE0" w:rsidRPr="00542A05">
              <w:rPr>
                <w:rFonts w:asciiTheme="minorHAnsi" w:hAnsiTheme="minorHAnsi" w:cstheme="minorHAnsi"/>
                <w:bCs/>
                <w:color w:val="000000"/>
              </w:rPr>
              <w:t>2</w:t>
            </w:r>
          </w:p>
        </w:tc>
      </w:tr>
      <w:tr w:rsidR="002C26B8" w:rsidRPr="004258F5" w14:paraId="008BFEA9" w14:textId="77777777" w:rsidTr="00A8014B">
        <w:tc>
          <w:tcPr>
            <w:tcW w:w="6663" w:type="dxa"/>
            <w:tcBorders>
              <w:top w:val="nil"/>
              <w:left w:val="nil"/>
              <w:bottom w:val="nil"/>
              <w:right w:val="nil"/>
            </w:tcBorders>
          </w:tcPr>
          <w:p w14:paraId="4FD282F9" w14:textId="77777777" w:rsidR="002C26B8" w:rsidRPr="004258F5" w:rsidRDefault="002C26B8" w:rsidP="002C26B8">
            <w:pPr>
              <w:spacing w:line="276" w:lineRule="auto"/>
              <w:ind w:left="-107"/>
              <w:rPr>
                <w:rFonts w:asciiTheme="minorHAnsi" w:hAnsiTheme="minorHAnsi" w:cstheme="minorHAnsi"/>
                <w:b/>
                <w:color w:val="000000"/>
              </w:rPr>
            </w:pPr>
          </w:p>
        </w:tc>
        <w:tc>
          <w:tcPr>
            <w:tcW w:w="1200" w:type="dxa"/>
            <w:tcBorders>
              <w:top w:val="nil"/>
              <w:left w:val="nil"/>
              <w:bottom w:val="nil"/>
              <w:right w:val="nil"/>
            </w:tcBorders>
          </w:tcPr>
          <w:p w14:paraId="59F76438" w14:textId="77777777" w:rsidR="002C26B8" w:rsidRPr="004258F5" w:rsidRDefault="002C26B8" w:rsidP="002C26B8">
            <w:pPr>
              <w:spacing w:line="276" w:lineRule="auto"/>
              <w:ind w:left="-107"/>
              <w:jc w:val="right"/>
              <w:rPr>
                <w:rFonts w:asciiTheme="minorHAnsi" w:hAnsiTheme="minorHAnsi" w:cstheme="minorHAnsi"/>
                <w:b/>
                <w:color w:val="000000"/>
              </w:rPr>
            </w:pPr>
            <w:r w:rsidRPr="004258F5">
              <w:rPr>
                <w:rFonts w:asciiTheme="minorHAnsi" w:hAnsiTheme="minorHAnsi" w:cstheme="minorHAnsi"/>
                <w:b/>
                <w:color w:val="000000"/>
              </w:rPr>
              <w:t>€000s</w:t>
            </w:r>
          </w:p>
        </w:tc>
        <w:tc>
          <w:tcPr>
            <w:tcW w:w="1500" w:type="dxa"/>
            <w:tcBorders>
              <w:top w:val="nil"/>
              <w:left w:val="nil"/>
              <w:bottom w:val="nil"/>
              <w:right w:val="nil"/>
            </w:tcBorders>
          </w:tcPr>
          <w:p w14:paraId="02CCA96A" w14:textId="03826C95" w:rsidR="002C26B8" w:rsidRPr="00542A05" w:rsidRDefault="002C26B8" w:rsidP="002C26B8">
            <w:pPr>
              <w:spacing w:line="276" w:lineRule="auto"/>
              <w:ind w:left="-107"/>
              <w:jc w:val="right"/>
              <w:rPr>
                <w:rFonts w:asciiTheme="minorHAnsi" w:hAnsiTheme="minorHAnsi" w:cstheme="minorHAnsi"/>
                <w:bCs/>
                <w:color w:val="000000"/>
              </w:rPr>
            </w:pPr>
            <w:r w:rsidRPr="00542A05">
              <w:rPr>
                <w:rFonts w:asciiTheme="minorHAnsi" w:hAnsiTheme="minorHAnsi" w:cstheme="minorHAnsi"/>
                <w:bCs/>
                <w:color w:val="000000"/>
              </w:rPr>
              <w:t>€000s</w:t>
            </w:r>
          </w:p>
        </w:tc>
      </w:tr>
      <w:tr w:rsidR="002C26B8" w:rsidRPr="004258F5" w14:paraId="5CB45B30" w14:textId="77777777" w:rsidTr="00A8014B">
        <w:tc>
          <w:tcPr>
            <w:tcW w:w="6663" w:type="dxa"/>
            <w:tcBorders>
              <w:top w:val="nil"/>
              <w:left w:val="nil"/>
              <w:bottom w:val="nil"/>
              <w:right w:val="nil"/>
            </w:tcBorders>
          </w:tcPr>
          <w:p w14:paraId="15B540E3" w14:textId="77777777" w:rsidR="002C26B8" w:rsidRPr="004258F5" w:rsidRDefault="002C26B8" w:rsidP="002C26B8">
            <w:pPr>
              <w:spacing w:line="276" w:lineRule="auto"/>
              <w:ind w:left="-107"/>
              <w:rPr>
                <w:rFonts w:asciiTheme="minorHAnsi" w:hAnsiTheme="minorHAnsi" w:cstheme="minorHAnsi"/>
                <w:b/>
                <w:color w:val="000000"/>
              </w:rPr>
            </w:pPr>
            <w:r w:rsidRPr="004258F5">
              <w:rPr>
                <w:rFonts w:asciiTheme="minorHAnsi" w:hAnsiTheme="minorHAnsi" w:cstheme="minorHAnsi"/>
                <w:b/>
                <w:color w:val="000000"/>
              </w:rPr>
              <w:t>Proposed:</w:t>
            </w:r>
          </w:p>
        </w:tc>
        <w:tc>
          <w:tcPr>
            <w:tcW w:w="1200" w:type="dxa"/>
            <w:tcBorders>
              <w:top w:val="nil"/>
              <w:left w:val="nil"/>
              <w:bottom w:val="nil"/>
              <w:right w:val="nil"/>
            </w:tcBorders>
          </w:tcPr>
          <w:p w14:paraId="6587045F" w14:textId="77777777" w:rsidR="002C26B8" w:rsidRPr="004258F5" w:rsidRDefault="002C26B8" w:rsidP="002C26B8">
            <w:pPr>
              <w:tabs>
                <w:tab w:val="left" w:pos="1074"/>
              </w:tabs>
              <w:spacing w:line="276" w:lineRule="auto"/>
              <w:ind w:left="-107"/>
              <w:jc w:val="right"/>
              <w:rPr>
                <w:rFonts w:asciiTheme="minorHAnsi" w:hAnsiTheme="minorHAnsi" w:cstheme="minorHAnsi"/>
                <w:color w:val="000000"/>
              </w:rPr>
            </w:pPr>
          </w:p>
        </w:tc>
        <w:tc>
          <w:tcPr>
            <w:tcW w:w="1500" w:type="dxa"/>
            <w:tcBorders>
              <w:top w:val="nil"/>
              <w:left w:val="nil"/>
              <w:bottom w:val="nil"/>
              <w:right w:val="nil"/>
            </w:tcBorders>
          </w:tcPr>
          <w:p w14:paraId="07BF9B45" w14:textId="77777777" w:rsidR="002C26B8" w:rsidRPr="00542A05" w:rsidRDefault="002C26B8" w:rsidP="002C26B8">
            <w:pPr>
              <w:spacing w:line="276" w:lineRule="auto"/>
              <w:ind w:left="-107"/>
              <w:jc w:val="right"/>
              <w:rPr>
                <w:rFonts w:asciiTheme="minorHAnsi" w:hAnsiTheme="minorHAnsi" w:cstheme="minorHAnsi"/>
                <w:bCs/>
                <w:color w:val="000000"/>
              </w:rPr>
            </w:pPr>
          </w:p>
        </w:tc>
      </w:tr>
      <w:tr w:rsidR="003C1A44" w:rsidRPr="004258F5" w14:paraId="1F303A38" w14:textId="77777777" w:rsidTr="00A8014B">
        <w:tc>
          <w:tcPr>
            <w:tcW w:w="6663" w:type="dxa"/>
            <w:tcBorders>
              <w:top w:val="nil"/>
              <w:left w:val="nil"/>
              <w:bottom w:val="nil"/>
              <w:right w:val="nil"/>
            </w:tcBorders>
          </w:tcPr>
          <w:p w14:paraId="0E1B3853" w14:textId="0E5377CA" w:rsidR="003C1A44" w:rsidRPr="004258F5" w:rsidRDefault="003C1A44" w:rsidP="003C1A44">
            <w:pPr>
              <w:spacing w:line="276" w:lineRule="auto"/>
              <w:ind w:left="-108"/>
              <w:rPr>
                <w:rFonts w:asciiTheme="minorHAnsi" w:hAnsiTheme="minorHAnsi" w:cstheme="minorHAnsi"/>
                <w:color w:val="000000"/>
              </w:rPr>
            </w:pPr>
            <w:r w:rsidRPr="004258F5">
              <w:rPr>
                <w:rFonts w:asciiTheme="minorHAnsi" w:hAnsiTheme="minorHAnsi" w:cstheme="minorHAnsi"/>
                <w:color w:val="000000"/>
              </w:rPr>
              <w:t>202</w:t>
            </w:r>
            <w:r w:rsidR="0035582A" w:rsidRPr="004258F5">
              <w:rPr>
                <w:rFonts w:asciiTheme="minorHAnsi" w:hAnsiTheme="minorHAnsi" w:cstheme="minorHAnsi"/>
                <w:color w:val="000000"/>
              </w:rPr>
              <w:t>3</w:t>
            </w:r>
            <w:r w:rsidRPr="004258F5">
              <w:rPr>
                <w:rFonts w:asciiTheme="minorHAnsi" w:hAnsiTheme="minorHAnsi" w:cstheme="minorHAnsi"/>
                <w:color w:val="000000"/>
              </w:rPr>
              <w:t xml:space="preserve"> dividend of 8.4 cent</w:t>
            </w:r>
            <w:r w:rsidRPr="004258F5">
              <w:rPr>
                <w:rFonts w:asciiTheme="minorHAnsi" w:hAnsiTheme="minorHAnsi" w:cstheme="minorHAnsi"/>
                <w:b/>
                <w:color w:val="000000"/>
              </w:rPr>
              <w:t xml:space="preserve"> </w:t>
            </w:r>
            <w:r w:rsidRPr="004258F5">
              <w:rPr>
                <w:rFonts w:asciiTheme="minorHAnsi" w:hAnsiTheme="minorHAnsi" w:cstheme="minorHAnsi"/>
                <w:color w:val="000000"/>
              </w:rPr>
              <w:t>(202</w:t>
            </w:r>
            <w:r w:rsidR="0035582A" w:rsidRPr="004258F5">
              <w:rPr>
                <w:rFonts w:asciiTheme="minorHAnsi" w:hAnsiTheme="minorHAnsi" w:cstheme="minorHAnsi"/>
                <w:color w:val="000000"/>
              </w:rPr>
              <w:t>2</w:t>
            </w:r>
            <w:r w:rsidRPr="004258F5">
              <w:rPr>
                <w:rFonts w:asciiTheme="minorHAnsi" w:hAnsiTheme="minorHAnsi" w:cstheme="minorHAnsi"/>
                <w:color w:val="000000"/>
              </w:rPr>
              <w:t>: 8.4 cent) per share on 14% non-cumulative preference shares of €0.60 each</w:t>
            </w:r>
          </w:p>
        </w:tc>
        <w:tc>
          <w:tcPr>
            <w:tcW w:w="1200" w:type="dxa"/>
            <w:tcBorders>
              <w:top w:val="nil"/>
              <w:left w:val="nil"/>
              <w:bottom w:val="nil"/>
              <w:right w:val="nil"/>
            </w:tcBorders>
          </w:tcPr>
          <w:p w14:paraId="711CE3CE" w14:textId="77777777" w:rsidR="003C1A44" w:rsidRPr="004258F5" w:rsidRDefault="003C1A44" w:rsidP="003C1A44">
            <w:pPr>
              <w:spacing w:line="276" w:lineRule="auto"/>
              <w:ind w:left="-108"/>
              <w:jc w:val="right"/>
              <w:rPr>
                <w:rFonts w:asciiTheme="minorHAnsi" w:hAnsiTheme="minorHAnsi" w:cstheme="minorHAnsi"/>
                <w:b/>
                <w:color w:val="000000"/>
              </w:rPr>
            </w:pPr>
          </w:p>
          <w:p w14:paraId="25C777C7" w14:textId="7C5C4148" w:rsidR="003C1A44" w:rsidRPr="004258F5" w:rsidRDefault="003C1A44" w:rsidP="003C1A44">
            <w:pPr>
              <w:spacing w:line="276" w:lineRule="auto"/>
              <w:ind w:left="-108"/>
              <w:jc w:val="right"/>
              <w:rPr>
                <w:rFonts w:asciiTheme="minorHAnsi" w:hAnsiTheme="minorHAnsi" w:cstheme="minorHAnsi"/>
                <w:b/>
                <w:color w:val="000000"/>
              </w:rPr>
            </w:pPr>
            <w:r w:rsidRPr="004258F5">
              <w:rPr>
                <w:rFonts w:asciiTheme="minorHAnsi" w:hAnsiTheme="minorHAnsi" w:cstheme="minorHAnsi"/>
                <w:b/>
                <w:color w:val="000000"/>
              </w:rPr>
              <w:t>113</w:t>
            </w:r>
          </w:p>
        </w:tc>
        <w:tc>
          <w:tcPr>
            <w:tcW w:w="1500" w:type="dxa"/>
            <w:tcBorders>
              <w:top w:val="nil"/>
              <w:left w:val="nil"/>
              <w:bottom w:val="nil"/>
              <w:right w:val="nil"/>
            </w:tcBorders>
          </w:tcPr>
          <w:p w14:paraId="20DDFB82" w14:textId="77777777" w:rsidR="003C1A44" w:rsidRPr="004258F5" w:rsidRDefault="003C1A44" w:rsidP="003C1A44">
            <w:pPr>
              <w:spacing w:line="276" w:lineRule="auto"/>
              <w:ind w:left="-108"/>
              <w:jc w:val="right"/>
              <w:rPr>
                <w:rFonts w:asciiTheme="minorHAnsi" w:hAnsiTheme="minorHAnsi" w:cstheme="minorHAnsi"/>
                <w:color w:val="000000"/>
              </w:rPr>
            </w:pPr>
          </w:p>
          <w:p w14:paraId="0258AEA2" w14:textId="7F065E86" w:rsidR="003C1A44" w:rsidRPr="004258F5" w:rsidRDefault="003C1A44" w:rsidP="003C1A44">
            <w:pPr>
              <w:spacing w:line="276" w:lineRule="auto"/>
              <w:ind w:left="-108"/>
              <w:jc w:val="right"/>
              <w:rPr>
                <w:rFonts w:asciiTheme="minorHAnsi" w:hAnsiTheme="minorHAnsi" w:cstheme="minorHAnsi"/>
                <w:color w:val="000000"/>
              </w:rPr>
            </w:pPr>
            <w:r w:rsidRPr="004258F5">
              <w:rPr>
                <w:rFonts w:asciiTheme="minorHAnsi" w:hAnsiTheme="minorHAnsi" w:cstheme="minorHAnsi"/>
                <w:color w:val="000000"/>
              </w:rPr>
              <w:t>113</w:t>
            </w:r>
          </w:p>
        </w:tc>
      </w:tr>
      <w:tr w:rsidR="003C1A44" w:rsidRPr="004C6E1E" w14:paraId="424BC502" w14:textId="77777777" w:rsidTr="00A8014B">
        <w:tc>
          <w:tcPr>
            <w:tcW w:w="6663" w:type="dxa"/>
            <w:tcBorders>
              <w:top w:val="nil"/>
              <w:left w:val="nil"/>
              <w:bottom w:val="nil"/>
              <w:right w:val="nil"/>
            </w:tcBorders>
            <w:hideMark/>
          </w:tcPr>
          <w:p w14:paraId="1836471F" w14:textId="5BC9B3FC" w:rsidR="003C1A44" w:rsidRPr="004C6E1E" w:rsidRDefault="003C1A44" w:rsidP="003C1A44">
            <w:pPr>
              <w:spacing w:line="276" w:lineRule="auto"/>
              <w:ind w:left="-108"/>
              <w:rPr>
                <w:rFonts w:asciiTheme="minorHAnsi" w:hAnsiTheme="minorHAnsi" w:cstheme="minorHAnsi"/>
                <w:color w:val="000000"/>
              </w:rPr>
            </w:pPr>
            <w:r w:rsidRPr="004C6E1E">
              <w:rPr>
                <w:rFonts w:asciiTheme="minorHAnsi" w:hAnsiTheme="minorHAnsi" w:cstheme="minorHAnsi"/>
                <w:color w:val="000000"/>
              </w:rPr>
              <w:t>202</w:t>
            </w:r>
            <w:r w:rsidR="0035582A" w:rsidRPr="004C6E1E">
              <w:rPr>
                <w:rFonts w:asciiTheme="minorHAnsi" w:hAnsiTheme="minorHAnsi" w:cstheme="minorHAnsi"/>
                <w:color w:val="000000"/>
              </w:rPr>
              <w:t>3</w:t>
            </w:r>
            <w:r w:rsidRPr="004C6E1E">
              <w:rPr>
                <w:rFonts w:asciiTheme="minorHAnsi" w:hAnsiTheme="minorHAnsi" w:cstheme="minorHAnsi"/>
                <w:color w:val="000000"/>
              </w:rPr>
              <w:t xml:space="preserve"> dividend of 4.8 cent</w:t>
            </w:r>
            <w:r w:rsidRPr="004C6E1E">
              <w:rPr>
                <w:rFonts w:asciiTheme="minorHAnsi" w:hAnsiTheme="minorHAnsi" w:cstheme="minorHAnsi"/>
                <w:b/>
                <w:color w:val="000000"/>
              </w:rPr>
              <w:t xml:space="preserve"> </w:t>
            </w:r>
            <w:r w:rsidRPr="004C6E1E">
              <w:rPr>
                <w:rFonts w:asciiTheme="minorHAnsi" w:hAnsiTheme="minorHAnsi" w:cstheme="minorHAnsi"/>
                <w:color w:val="000000"/>
              </w:rPr>
              <w:t>(202</w:t>
            </w:r>
            <w:r w:rsidR="0035582A" w:rsidRPr="004C6E1E">
              <w:rPr>
                <w:rFonts w:asciiTheme="minorHAnsi" w:hAnsiTheme="minorHAnsi" w:cstheme="minorHAnsi"/>
                <w:color w:val="000000"/>
              </w:rPr>
              <w:t>2</w:t>
            </w:r>
            <w:r w:rsidRPr="004C6E1E">
              <w:rPr>
                <w:rFonts w:asciiTheme="minorHAnsi" w:hAnsiTheme="minorHAnsi" w:cstheme="minorHAnsi"/>
                <w:color w:val="000000"/>
              </w:rPr>
              <w:t>: 4.8 cent) per share on 8% non-cumulative preference shares of €0.60 each</w:t>
            </w:r>
          </w:p>
        </w:tc>
        <w:tc>
          <w:tcPr>
            <w:tcW w:w="1200" w:type="dxa"/>
            <w:tcBorders>
              <w:top w:val="nil"/>
              <w:left w:val="nil"/>
              <w:bottom w:val="nil"/>
              <w:right w:val="nil"/>
            </w:tcBorders>
          </w:tcPr>
          <w:p w14:paraId="7A415346" w14:textId="77777777" w:rsidR="003C1A44" w:rsidRPr="004C6E1E" w:rsidRDefault="003C1A44" w:rsidP="003C1A44">
            <w:pPr>
              <w:spacing w:line="276" w:lineRule="auto"/>
              <w:ind w:left="-108"/>
              <w:jc w:val="right"/>
              <w:rPr>
                <w:rFonts w:asciiTheme="minorHAnsi" w:hAnsiTheme="minorHAnsi" w:cstheme="minorHAnsi"/>
                <w:b/>
                <w:color w:val="000000"/>
              </w:rPr>
            </w:pPr>
          </w:p>
          <w:p w14:paraId="13E7A04E" w14:textId="3724A8D4" w:rsidR="003C1A44" w:rsidRPr="004C6E1E" w:rsidRDefault="003C1A44" w:rsidP="003C1A44">
            <w:pPr>
              <w:spacing w:line="276" w:lineRule="auto"/>
              <w:ind w:left="-108"/>
              <w:jc w:val="right"/>
              <w:rPr>
                <w:rFonts w:asciiTheme="minorHAnsi" w:hAnsiTheme="minorHAnsi" w:cstheme="minorHAnsi"/>
                <w:b/>
                <w:color w:val="000000"/>
              </w:rPr>
            </w:pPr>
            <w:r w:rsidRPr="004C6E1E">
              <w:rPr>
                <w:rFonts w:asciiTheme="minorHAnsi" w:hAnsiTheme="minorHAnsi" w:cstheme="minorHAnsi"/>
                <w:b/>
                <w:color w:val="000000"/>
              </w:rPr>
              <w:t>169</w:t>
            </w:r>
          </w:p>
        </w:tc>
        <w:tc>
          <w:tcPr>
            <w:tcW w:w="1500" w:type="dxa"/>
            <w:tcBorders>
              <w:top w:val="nil"/>
              <w:left w:val="nil"/>
              <w:bottom w:val="nil"/>
              <w:right w:val="nil"/>
            </w:tcBorders>
          </w:tcPr>
          <w:p w14:paraId="6F549012" w14:textId="77777777" w:rsidR="003C1A44" w:rsidRPr="004C6E1E" w:rsidRDefault="003C1A44" w:rsidP="003C1A44">
            <w:pPr>
              <w:spacing w:line="276" w:lineRule="auto"/>
              <w:ind w:left="-108"/>
              <w:jc w:val="right"/>
              <w:rPr>
                <w:rFonts w:asciiTheme="minorHAnsi" w:hAnsiTheme="minorHAnsi" w:cstheme="minorHAnsi"/>
                <w:color w:val="000000"/>
              </w:rPr>
            </w:pPr>
          </w:p>
          <w:p w14:paraId="16CFF08B" w14:textId="1A280238" w:rsidR="003C1A44" w:rsidRPr="004C6E1E" w:rsidRDefault="003C1A44" w:rsidP="003C1A44">
            <w:pPr>
              <w:spacing w:line="276" w:lineRule="auto"/>
              <w:ind w:left="-108"/>
              <w:jc w:val="right"/>
              <w:rPr>
                <w:rFonts w:asciiTheme="minorHAnsi" w:hAnsiTheme="minorHAnsi" w:cstheme="minorHAnsi"/>
                <w:color w:val="000000"/>
              </w:rPr>
            </w:pPr>
            <w:r w:rsidRPr="004C6E1E">
              <w:rPr>
                <w:rFonts w:asciiTheme="minorHAnsi" w:hAnsiTheme="minorHAnsi" w:cstheme="minorHAnsi"/>
                <w:color w:val="000000"/>
              </w:rPr>
              <w:t>169</w:t>
            </w:r>
          </w:p>
        </w:tc>
      </w:tr>
      <w:tr w:rsidR="003C1A44" w:rsidRPr="004C6E1E" w14:paraId="56763AA4" w14:textId="77777777" w:rsidTr="00A8014B">
        <w:tc>
          <w:tcPr>
            <w:tcW w:w="6663" w:type="dxa"/>
            <w:tcBorders>
              <w:top w:val="nil"/>
              <w:left w:val="nil"/>
              <w:bottom w:val="nil"/>
              <w:right w:val="nil"/>
            </w:tcBorders>
            <w:hideMark/>
          </w:tcPr>
          <w:p w14:paraId="6FD1C6A0" w14:textId="420AC0B4" w:rsidR="003C1A44" w:rsidRPr="00942390" w:rsidRDefault="003C1A44" w:rsidP="003C1A44">
            <w:pPr>
              <w:spacing w:line="276" w:lineRule="auto"/>
              <w:ind w:left="-108"/>
              <w:rPr>
                <w:rFonts w:asciiTheme="minorHAnsi" w:hAnsiTheme="minorHAnsi" w:cstheme="minorHAnsi"/>
                <w:color w:val="000000"/>
              </w:rPr>
            </w:pPr>
            <w:r w:rsidRPr="004C6E1E">
              <w:rPr>
                <w:rFonts w:asciiTheme="minorHAnsi" w:hAnsiTheme="minorHAnsi" w:cstheme="minorHAnsi"/>
                <w:color w:val="000000"/>
              </w:rPr>
              <w:t>202</w:t>
            </w:r>
            <w:r w:rsidR="0035582A" w:rsidRPr="004C6E1E">
              <w:rPr>
                <w:rFonts w:asciiTheme="minorHAnsi" w:hAnsiTheme="minorHAnsi" w:cstheme="minorHAnsi"/>
                <w:color w:val="000000"/>
              </w:rPr>
              <w:t>3</w:t>
            </w:r>
            <w:r w:rsidRPr="004C6E1E">
              <w:rPr>
                <w:rFonts w:asciiTheme="minorHAnsi" w:hAnsiTheme="minorHAnsi" w:cstheme="minorHAnsi"/>
                <w:color w:val="000000"/>
              </w:rPr>
              <w:t xml:space="preserve"> final dividend of </w:t>
            </w:r>
            <w:r w:rsidRPr="00942390">
              <w:rPr>
                <w:rFonts w:asciiTheme="minorHAnsi" w:hAnsiTheme="minorHAnsi" w:cstheme="minorHAnsi"/>
                <w:color w:val="000000"/>
              </w:rPr>
              <w:t xml:space="preserve">100.0 </w:t>
            </w:r>
            <w:r w:rsidRPr="00942390">
              <w:rPr>
                <w:rFonts w:asciiTheme="minorHAnsi" w:hAnsiTheme="minorHAnsi" w:cstheme="minorHAnsi"/>
              </w:rPr>
              <w:t>cent</w:t>
            </w:r>
            <w:r w:rsidRPr="004C6E1E">
              <w:rPr>
                <w:rFonts w:asciiTheme="minorHAnsi" w:hAnsiTheme="minorHAnsi" w:cstheme="minorHAnsi"/>
              </w:rPr>
              <w:t xml:space="preserve"> </w:t>
            </w:r>
            <w:r w:rsidRPr="004C6E1E">
              <w:rPr>
                <w:rFonts w:asciiTheme="minorHAnsi" w:hAnsiTheme="minorHAnsi" w:cstheme="minorHAnsi"/>
                <w:color w:val="000000"/>
              </w:rPr>
              <w:t>(202</w:t>
            </w:r>
            <w:r w:rsidR="0035582A" w:rsidRPr="004C6E1E">
              <w:rPr>
                <w:rFonts w:asciiTheme="minorHAnsi" w:hAnsiTheme="minorHAnsi" w:cstheme="minorHAnsi"/>
                <w:color w:val="000000"/>
              </w:rPr>
              <w:t>2</w:t>
            </w:r>
            <w:r w:rsidRPr="004C6E1E">
              <w:rPr>
                <w:rFonts w:asciiTheme="minorHAnsi" w:hAnsiTheme="minorHAnsi" w:cstheme="minorHAnsi"/>
                <w:color w:val="000000"/>
              </w:rPr>
              <w:t>: 100.0 cent) per share on ordinary shares of €0.60 each</w:t>
            </w:r>
          </w:p>
        </w:tc>
        <w:tc>
          <w:tcPr>
            <w:tcW w:w="1200" w:type="dxa"/>
            <w:tcBorders>
              <w:top w:val="nil"/>
              <w:left w:val="nil"/>
              <w:bottom w:val="single" w:sz="4" w:space="0" w:color="auto"/>
              <w:right w:val="nil"/>
            </w:tcBorders>
          </w:tcPr>
          <w:p w14:paraId="27465485" w14:textId="77777777" w:rsidR="003C1A44" w:rsidRPr="00942390" w:rsidRDefault="003C1A44" w:rsidP="003C1A44">
            <w:pPr>
              <w:spacing w:line="276" w:lineRule="auto"/>
              <w:ind w:left="-108"/>
              <w:jc w:val="right"/>
              <w:rPr>
                <w:rFonts w:asciiTheme="minorHAnsi" w:hAnsiTheme="minorHAnsi" w:cstheme="minorHAnsi"/>
                <w:b/>
                <w:color w:val="000000"/>
              </w:rPr>
            </w:pPr>
          </w:p>
          <w:p w14:paraId="557BDED2" w14:textId="368DC6A1" w:rsidR="00993E3A" w:rsidRPr="00942390" w:rsidRDefault="00BE3FF7" w:rsidP="003C1A44">
            <w:pPr>
              <w:spacing w:line="276" w:lineRule="auto"/>
              <w:ind w:left="-108"/>
              <w:jc w:val="right"/>
              <w:rPr>
                <w:rFonts w:asciiTheme="minorHAnsi" w:hAnsiTheme="minorHAnsi" w:cstheme="minorHAnsi"/>
                <w:b/>
                <w:color w:val="000000"/>
              </w:rPr>
            </w:pPr>
            <w:r w:rsidRPr="00942390">
              <w:rPr>
                <w:rFonts w:asciiTheme="minorHAnsi" w:hAnsiTheme="minorHAnsi" w:cstheme="minorHAnsi"/>
                <w:b/>
                <w:color w:val="000000"/>
              </w:rPr>
              <w:t>3</w:t>
            </w:r>
            <w:r w:rsidR="00B61264" w:rsidRPr="00942390">
              <w:rPr>
                <w:rFonts w:asciiTheme="minorHAnsi" w:hAnsiTheme="minorHAnsi" w:cstheme="minorHAnsi"/>
                <w:b/>
                <w:color w:val="000000"/>
              </w:rPr>
              <w:t>5</w:t>
            </w:r>
            <w:r w:rsidRPr="00942390">
              <w:rPr>
                <w:rFonts w:asciiTheme="minorHAnsi" w:hAnsiTheme="minorHAnsi" w:cstheme="minorHAnsi"/>
                <w:b/>
                <w:color w:val="000000"/>
              </w:rPr>
              <w:t>,</w:t>
            </w:r>
            <w:r w:rsidR="00B61264" w:rsidRPr="00942390">
              <w:rPr>
                <w:rFonts w:asciiTheme="minorHAnsi" w:hAnsiTheme="minorHAnsi" w:cstheme="minorHAnsi"/>
                <w:b/>
                <w:color w:val="000000"/>
              </w:rPr>
              <w:t>857</w:t>
            </w:r>
          </w:p>
        </w:tc>
        <w:tc>
          <w:tcPr>
            <w:tcW w:w="1500" w:type="dxa"/>
            <w:tcBorders>
              <w:top w:val="nil"/>
              <w:left w:val="nil"/>
              <w:bottom w:val="single" w:sz="4" w:space="0" w:color="auto"/>
              <w:right w:val="nil"/>
            </w:tcBorders>
            <w:hideMark/>
          </w:tcPr>
          <w:p w14:paraId="271A14D2" w14:textId="77777777" w:rsidR="003C1A44" w:rsidRPr="004C6E1E" w:rsidRDefault="003C1A44" w:rsidP="003C1A44">
            <w:pPr>
              <w:spacing w:line="276" w:lineRule="auto"/>
              <w:ind w:left="-108"/>
              <w:jc w:val="right"/>
              <w:rPr>
                <w:rFonts w:asciiTheme="minorHAnsi" w:hAnsiTheme="minorHAnsi" w:cstheme="minorHAnsi"/>
                <w:color w:val="000000"/>
              </w:rPr>
            </w:pPr>
          </w:p>
          <w:p w14:paraId="40960623" w14:textId="5E39C1B9" w:rsidR="003C1A44" w:rsidRPr="004C6E1E" w:rsidRDefault="003C1A44" w:rsidP="003C1A44">
            <w:pPr>
              <w:spacing w:line="276" w:lineRule="auto"/>
              <w:ind w:left="-108"/>
              <w:jc w:val="right"/>
              <w:rPr>
                <w:rFonts w:asciiTheme="minorHAnsi" w:hAnsiTheme="minorHAnsi" w:cstheme="minorHAnsi"/>
                <w:color w:val="000000"/>
              </w:rPr>
            </w:pPr>
            <w:r w:rsidRPr="004C6E1E">
              <w:rPr>
                <w:rFonts w:asciiTheme="minorHAnsi" w:hAnsiTheme="minorHAnsi" w:cstheme="minorHAnsi"/>
                <w:color w:val="000000"/>
              </w:rPr>
              <w:t>35,</w:t>
            </w:r>
            <w:r w:rsidR="0035582A" w:rsidRPr="004C6E1E">
              <w:rPr>
                <w:rFonts w:asciiTheme="minorHAnsi" w:hAnsiTheme="minorHAnsi" w:cstheme="minorHAnsi"/>
                <w:color w:val="000000"/>
              </w:rPr>
              <w:t>588</w:t>
            </w:r>
          </w:p>
        </w:tc>
      </w:tr>
      <w:tr w:rsidR="003C1A44" w:rsidRPr="004C6E1E" w14:paraId="18214709" w14:textId="77777777" w:rsidTr="00A8014B">
        <w:tc>
          <w:tcPr>
            <w:tcW w:w="6663" w:type="dxa"/>
            <w:tcBorders>
              <w:top w:val="nil"/>
              <w:left w:val="nil"/>
              <w:bottom w:val="nil"/>
              <w:right w:val="nil"/>
            </w:tcBorders>
          </w:tcPr>
          <w:p w14:paraId="10B47BD3" w14:textId="77777777" w:rsidR="003C1A44" w:rsidRPr="00942390" w:rsidRDefault="003C1A44" w:rsidP="003C1A44">
            <w:pPr>
              <w:spacing w:line="276" w:lineRule="auto"/>
              <w:ind w:left="-108"/>
              <w:rPr>
                <w:rFonts w:asciiTheme="minorHAnsi" w:hAnsiTheme="minorHAnsi" w:cstheme="minorHAnsi"/>
                <w:b/>
                <w:color w:val="000000"/>
              </w:rPr>
            </w:pPr>
          </w:p>
        </w:tc>
        <w:tc>
          <w:tcPr>
            <w:tcW w:w="1200" w:type="dxa"/>
            <w:tcBorders>
              <w:top w:val="single" w:sz="4" w:space="0" w:color="auto"/>
              <w:left w:val="nil"/>
              <w:bottom w:val="nil"/>
              <w:right w:val="nil"/>
            </w:tcBorders>
          </w:tcPr>
          <w:p w14:paraId="76FF03BF" w14:textId="77777777" w:rsidR="003C1A44" w:rsidRPr="00942390" w:rsidRDefault="003C1A44" w:rsidP="003C1A44">
            <w:pPr>
              <w:spacing w:line="276" w:lineRule="auto"/>
              <w:ind w:left="-108"/>
              <w:jc w:val="right"/>
              <w:rPr>
                <w:rFonts w:asciiTheme="minorHAnsi" w:hAnsiTheme="minorHAnsi" w:cstheme="minorHAnsi"/>
                <w:color w:val="000000"/>
              </w:rPr>
            </w:pPr>
          </w:p>
        </w:tc>
        <w:tc>
          <w:tcPr>
            <w:tcW w:w="1500" w:type="dxa"/>
            <w:tcBorders>
              <w:top w:val="single" w:sz="4" w:space="0" w:color="auto"/>
              <w:left w:val="nil"/>
              <w:bottom w:val="nil"/>
              <w:right w:val="nil"/>
            </w:tcBorders>
          </w:tcPr>
          <w:p w14:paraId="303FBC23" w14:textId="77777777" w:rsidR="003C1A44" w:rsidRPr="004C6E1E" w:rsidRDefault="003C1A44" w:rsidP="003C1A44">
            <w:pPr>
              <w:spacing w:line="276" w:lineRule="auto"/>
              <w:ind w:left="-108"/>
              <w:jc w:val="right"/>
              <w:rPr>
                <w:rFonts w:asciiTheme="minorHAnsi" w:hAnsiTheme="minorHAnsi" w:cstheme="minorHAnsi"/>
                <w:color w:val="000000"/>
              </w:rPr>
            </w:pPr>
          </w:p>
        </w:tc>
      </w:tr>
      <w:tr w:rsidR="003C1A44" w:rsidRPr="004C6E1E" w14:paraId="3841113F" w14:textId="77777777" w:rsidTr="00A8014B">
        <w:tc>
          <w:tcPr>
            <w:tcW w:w="6663" w:type="dxa"/>
            <w:tcBorders>
              <w:top w:val="nil"/>
              <w:left w:val="nil"/>
              <w:bottom w:val="nil"/>
              <w:right w:val="nil"/>
            </w:tcBorders>
            <w:hideMark/>
          </w:tcPr>
          <w:p w14:paraId="4FAEE036" w14:textId="77777777" w:rsidR="003C1A44" w:rsidRPr="00942390" w:rsidRDefault="003C1A44" w:rsidP="003C1A44">
            <w:pPr>
              <w:spacing w:line="276" w:lineRule="auto"/>
              <w:ind w:left="-108"/>
              <w:rPr>
                <w:rFonts w:asciiTheme="minorHAnsi" w:hAnsiTheme="minorHAnsi" w:cstheme="minorHAnsi"/>
                <w:b/>
                <w:color w:val="000000"/>
              </w:rPr>
            </w:pPr>
            <w:r w:rsidRPr="004C6E1E">
              <w:rPr>
                <w:rFonts w:asciiTheme="minorHAnsi" w:hAnsiTheme="minorHAnsi" w:cstheme="minorHAnsi"/>
                <w:b/>
                <w:color w:val="000000"/>
              </w:rPr>
              <w:t>Total dividends proposed</w:t>
            </w:r>
          </w:p>
        </w:tc>
        <w:tc>
          <w:tcPr>
            <w:tcW w:w="1200" w:type="dxa"/>
            <w:tcBorders>
              <w:top w:val="nil"/>
              <w:left w:val="nil"/>
              <w:bottom w:val="single" w:sz="12" w:space="0" w:color="auto"/>
              <w:right w:val="nil"/>
            </w:tcBorders>
          </w:tcPr>
          <w:p w14:paraId="02DC5D73" w14:textId="7C74E0BC" w:rsidR="003C1A44" w:rsidRPr="00942390" w:rsidRDefault="00204AE0" w:rsidP="003C1A44">
            <w:pPr>
              <w:spacing w:line="276" w:lineRule="auto"/>
              <w:ind w:left="-108"/>
              <w:jc w:val="right"/>
              <w:rPr>
                <w:rFonts w:asciiTheme="minorHAnsi" w:hAnsiTheme="minorHAnsi" w:cstheme="minorHAnsi"/>
                <w:b/>
                <w:bCs/>
                <w:color w:val="000000"/>
              </w:rPr>
            </w:pPr>
            <w:r w:rsidRPr="00942390">
              <w:rPr>
                <w:rFonts w:asciiTheme="minorHAnsi" w:hAnsiTheme="minorHAnsi" w:cstheme="minorHAnsi"/>
                <w:b/>
                <w:bCs/>
                <w:color w:val="000000"/>
              </w:rPr>
              <w:t>3</w:t>
            </w:r>
            <w:r w:rsidR="00BE3FF7" w:rsidRPr="00942390">
              <w:rPr>
                <w:rFonts w:asciiTheme="minorHAnsi" w:hAnsiTheme="minorHAnsi" w:cstheme="minorHAnsi"/>
                <w:b/>
                <w:bCs/>
                <w:color w:val="000000"/>
              </w:rPr>
              <w:t>6</w:t>
            </w:r>
            <w:r w:rsidR="00B61264" w:rsidRPr="00942390">
              <w:rPr>
                <w:rFonts w:asciiTheme="minorHAnsi" w:hAnsiTheme="minorHAnsi" w:cstheme="minorHAnsi"/>
                <w:b/>
                <w:bCs/>
                <w:color w:val="000000"/>
              </w:rPr>
              <w:t>,139</w:t>
            </w:r>
          </w:p>
        </w:tc>
        <w:tc>
          <w:tcPr>
            <w:tcW w:w="1500" w:type="dxa"/>
            <w:tcBorders>
              <w:top w:val="nil"/>
              <w:left w:val="nil"/>
              <w:bottom w:val="single" w:sz="12" w:space="0" w:color="auto"/>
              <w:right w:val="nil"/>
            </w:tcBorders>
            <w:hideMark/>
          </w:tcPr>
          <w:p w14:paraId="5AF9B27B" w14:textId="60A20B54" w:rsidR="003C1A44" w:rsidRPr="004C6E1E" w:rsidRDefault="003C1A44" w:rsidP="003C1A44">
            <w:pPr>
              <w:spacing w:line="276" w:lineRule="auto"/>
              <w:ind w:left="-108"/>
              <w:jc w:val="right"/>
              <w:rPr>
                <w:rFonts w:asciiTheme="minorHAnsi" w:hAnsiTheme="minorHAnsi" w:cstheme="minorHAnsi"/>
                <w:color w:val="000000"/>
              </w:rPr>
            </w:pPr>
            <w:r w:rsidRPr="004C6E1E">
              <w:rPr>
                <w:rFonts w:asciiTheme="minorHAnsi" w:hAnsiTheme="minorHAnsi" w:cstheme="minorHAnsi"/>
                <w:color w:val="000000"/>
              </w:rPr>
              <w:t>35,</w:t>
            </w:r>
            <w:r w:rsidR="0035582A" w:rsidRPr="004C6E1E">
              <w:rPr>
                <w:rFonts w:asciiTheme="minorHAnsi" w:hAnsiTheme="minorHAnsi" w:cstheme="minorHAnsi"/>
                <w:color w:val="000000"/>
              </w:rPr>
              <w:t>870</w:t>
            </w:r>
          </w:p>
        </w:tc>
      </w:tr>
      <w:tr w:rsidR="003C1A44" w:rsidRPr="004258F5" w14:paraId="64CB53A2" w14:textId="77777777" w:rsidTr="00A8014B">
        <w:tc>
          <w:tcPr>
            <w:tcW w:w="6663" w:type="dxa"/>
            <w:tcBorders>
              <w:top w:val="nil"/>
              <w:left w:val="nil"/>
              <w:bottom w:val="nil"/>
              <w:right w:val="nil"/>
            </w:tcBorders>
          </w:tcPr>
          <w:p w14:paraId="333F7255" w14:textId="77777777" w:rsidR="003C1A44" w:rsidRPr="00942390" w:rsidRDefault="003C1A44" w:rsidP="003C1A44">
            <w:pPr>
              <w:spacing w:line="276" w:lineRule="auto"/>
              <w:ind w:left="-108"/>
              <w:rPr>
                <w:rFonts w:asciiTheme="minorHAnsi" w:hAnsiTheme="minorHAnsi" w:cstheme="minorHAnsi"/>
                <w:b/>
                <w:color w:val="000000"/>
              </w:rPr>
            </w:pPr>
          </w:p>
        </w:tc>
        <w:tc>
          <w:tcPr>
            <w:tcW w:w="1200" w:type="dxa"/>
            <w:tcBorders>
              <w:top w:val="single" w:sz="12" w:space="0" w:color="auto"/>
              <w:left w:val="nil"/>
              <w:bottom w:val="nil"/>
              <w:right w:val="nil"/>
            </w:tcBorders>
          </w:tcPr>
          <w:p w14:paraId="2411F58E" w14:textId="77777777" w:rsidR="003C1A44" w:rsidRPr="00942390" w:rsidRDefault="003C1A44" w:rsidP="003C1A44">
            <w:pPr>
              <w:spacing w:line="276" w:lineRule="auto"/>
              <w:ind w:left="-108"/>
              <w:jc w:val="right"/>
              <w:rPr>
                <w:rFonts w:asciiTheme="minorHAnsi" w:hAnsiTheme="minorHAnsi" w:cstheme="minorHAnsi"/>
                <w:color w:val="000000"/>
              </w:rPr>
            </w:pPr>
          </w:p>
        </w:tc>
        <w:tc>
          <w:tcPr>
            <w:tcW w:w="1500" w:type="dxa"/>
            <w:tcBorders>
              <w:top w:val="single" w:sz="12" w:space="0" w:color="auto"/>
              <w:left w:val="nil"/>
              <w:bottom w:val="nil"/>
              <w:right w:val="nil"/>
            </w:tcBorders>
          </w:tcPr>
          <w:p w14:paraId="600617C9" w14:textId="77777777" w:rsidR="003C1A44" w:rsidRPr="00942390" w:rsidRDefault="003C1A44" w:rsidP="003C1A44">
            <w:pPr>
              <w:spacing w:line="276" w:lineRule="auto"/>
              <w:ind w:left="-108"/>
              <w:jc w:val="right"/>
              <w:rPr>
                <w:rFonts w:asciiTheme="minorHAnsi" w:hAnsiTheme="minorHAnsi" w:cstheme="minorHAnsi"/>
                <w:color w:val="000000"/>
              </w:rPr>
            </w:pPr>
          </w:p>
        </w:tc>
      </w:tr>
    </w:tbl>
    <w:p w14:paraId="675450FB" w14:textId="77777777" w:rsidR="00A8014B" w:rsidRPr="004258F5" w:rsidRDefault="00A8014B" w:rsidP="006A43D4">
      <w:pPr>
        <w:rPr>
          <w:rFonts w:asciiTheme="minorHAnsi" w:hAnsiTheme="minorHAnsi" w:cstheme="minorHAnsi"/>
        </w:rPr>
      </w:pPr>
    </w:p>
    <w:p w14:paraId="0C18CE4B" w14:textId="2EDA5769" w:rsidR="00A8014B" w:rsidRPr="004258F5" w:rsidRDefault="00BA73B0" w:rsidP="00AC1381">
      <w:pPr>
        <w:pStyle w:val="NoSpacing"/>
        <w:jc w:val="both"/>
        <w:rPr>
          <w:rFonts w:cstheme="minorHAnsi"/>
          <w:sz w:val="20"/>
          <w:szCs w:val="20"/>
        </w:rPr>
      </w:pPr>
      <w:r w:rsidRPr="004258F5">
        <w:rPr>
          <w:rFonts w:cstheme="minorHAnsi"/>
          <w:sz w:val="20"/>
          <w:szCs w:val="20"/>
          <w:lang w:val="en-IE"/>
        </w:rPr>
        <w:t xml:space="preserve">The proposed dividend excludes any amounts due on outstanding share awards as </w:t>
      </w:r>
      <w:proofErr w:type="gramStart"/>
      <w:r w:rsidRPr="004258F5">
        <w:rPr>
          <w:rFonts w:cstheme="minorHAnsi"/>
          <w:sz w:val="20"/>
          <w:szCs w:val="20"/>
          <w:lang w:val="en-IE"/>
        </w:rPr>
        <w:t>at</w:t>
      </w:r>
      <w:proofErr w:type="gramEnd"/>
      <w:r w:rsidRPr="004258F5">
        <w:rPr>
          <w:rFonts w:cstheme="minorHAnsi"/>
          <w:sz w:val="20"/>
          <w:szCs w:val="20"/>
          <w:lang w:val="en-IE"/>
        </w:rPr>
        <w:t xml:space="preserve"> 31 December 202</w:t>
      </w:r>
      <w:r w:rsidR="00BE3FF7" w:rsidRPr="004258F5">
        <w:rPr>
          <w:rFonts w:cstheme="minorHAnsi"/>
          <w:sz w:val="20"/>
          <w:szCs w:val="20"/>
          <w:lang w:val="en-IE"/>
        </w:rPr>
        <w:t>3</w:t>
      </w:r>
      <w:r w:rsidRPr="004258F5">
        <w:rPr>
          <w:rFonts w:cstheme="minorHAnsi"/>
          <w:sz w:val="20"/>
          <w:szCs w:val="20"/>
          <w:lang w:val="en-IE"/>
        </w:rPr>
        <w:t xml:space="preserve"> that are due to vest in </w:t>
      </w:r>
      <w:r w:rsidR="0091063E">
        <w:rPr>
          <w:rFonts w:cstheme="minorHAnsi"/>
          <w:sz w:val="20"/>
          <w:szCs w:val="20"/>
          <w:lang w:val="en-IE"/>
        </w:rPr>
        <w:t xml:space="preserve">March </w:t>
      </w:r>
      <w:r w:rsidRPr="004258F5">
        <w:rPr>
          <w:rFonts w:cstheme="minorHAnsi"/>
          <w:sz w:val="20"/>
          <w:szCs w:val="20"/>
          <w:lang w:val="en-IE"/>
        </w:rPr>
        <w:t>202</w:t>
      </w:r>
      <w:r w:rsidR="00BE3FF7" w:rsidRPr="004258F5">
        <w:rPr>
          <w:rFonts w:cstheme="minorHAnsi"/>
          <w:sz w:val="20"/>
          <w:szCs w:val="20"/>
          <w:lang w:val="en-IE"/>
        </w:rPr>
        <w:t>4</w:t>
      </w:r>
      <w:r w:rsidRPr="004258F5">
        <w:rPr>
          <w:rFonts w:cstheme="minorHAnsi"/>
          <w:sz w:val="20"/>
          <w:szCs w:val="20"/>
          <w:lang w:val="en-IE"/>
        </w:rPr>
        <w:t xml:space="preserve"> and </w:t>
      </w:r>
      <w:r w:rsidR="00AC1381" w:rsidRPr="004258F5">
        <w:rPr>
          <w:rFonts w:cstheme="minorHAnsi"/>
          <w:sz w:val="20"/>
          <w:szCs w:val="20"/>
          <w:lang w:val="en-IE"/>
        </w:rPr>
        <w:t xml:space="preserve">is subject to approval by shareholders at the AGM on </w:t>
      </w:r>
      <w:r w:rsidR="00BE3FF7" w:rsidRPr="004258F5">
        <w:rPr>
          <w:rFonts w:cstheme="minorHAnsi"/>
          <w:sz w:val="20"/>
          <w:szCs w:val="20"/>
          <w:lang w:val="en-IE"/>
        </w:rPr>
        <w:t>9</w:t>
      </w:r>
      <w:r w:rsidR="00AC1381" w:rsidRPr="004258F5">
        <w:rPr>
          <w:rFonts w:cstheme="minorHAnsi"/>
          <w:sz w:val="20"/>
          <w:szCs w:val="20"/>
          <w:lang w:val="en-IE"/>
        </w:rPr>
        <w:t xml:space="preserve"> May 202</w:t>
      </w:r>
      <w:r w:rsidR="00BE3FF7" w:rsidRPr="004258F5">
        <w:rPr>
          <w:rFonts w:cstheme="minorHAnsi"/>
          <w:sz w:val="20"/>
          <w:szCs w:val="20"/>
          <w:lang w:val="en-IE"/>
        </w:rPr>
        <w:t>4</w:t>
      </w:r>
      <w:r w:rsidR="00AC1381" w:rsidRPr="004258F5">
        <w:rPr>
          <w:rFonts w:cstheme="minorHAnsi"/>
          <w:sz w:val="20"/>
          <w:szCs w:val="20"/>
          <w:lang w:val="en-IE"/>
        </w:rPr>
        <w:t>. The proposed dividends have not been included as a liability in the Consolidated Statement of Financial Position</w:t>
      </w:r>
      <w:r w:rsidR="009D5A13" w:rsidRPr="004258F5">
        <w:rPr>
          <w:rFonts w:cstheme="minorHAnsi"/>
          <w:sz w:val="20"/>
          <w:szCs w:val="20"/>
          <w:lang w:val="en-IE"/>
        </w:rPr>
        <w:t xml:space="preserve"> as </w:t>
      </w:r>
      <w:proofErr w:type="gramStart"/>
      <w:r w:rsidR="009D5A13" w:rsidRPr="004258F5">
        <w:rPr>
          <w:rFonts w:cstheme="minorHAnsi"/>
          <w:sz w:val="20"/>
          <w:szCs w:val="20"/>
          <w:lang w:val="en-IE"/>
        </w:rPr>
        <w:t>at</w:t>
      </w:r>
      <w:proofErr w:type="gramEnd"/>
      <w:r w:rsidR="009D5A13" w:rsidRPr="004258F5">
        <w:rPr>
          <w:rFonts w:cstheme="minorHAnsi"/>
          <w:sz w:val="20"/>
          <w:szCs w:val="20"/>
          <w:lang w:val="en-IE"/>
        </w:rPr>
        <w:t xml:space="preserve"> 31 December 202</w:t>
      </w:r>
      <w:r w:rsidR="00BE3FF7" w:rsidRPr="004258F5">
        <w:rPr>
          <w:rFonts w:cstheme="minorHAnsi"/>
          <w:sz w:val="20"/>
          <w:szCs w:val="20"/>
          <w:lang w:val="en-IE"/>
        </w:rPr>
        <w:t>3</w:t>
      </w:r>
      <w:r w:rsidR="00AC1381" w:rsidRPr="004258F5">
        <w:rPr>
          <w:rFonts w:cstheme="minorHAnsi"/>
          <w:sz w:val="20"/>
          <w:szCs w:val="20"/>
          <w:lang w:val="en-IE"/>
        </w:rPr>
        <w:t xml:space="preserve">.  </w:t>
      </w:r>
      <w:r w:rsidR="0042540E" w:rsidRPr="004258F5">
        <w:rPr>
          <w:rFonts w:cstheme="minorHAnsi"/>
          <w:sz w:val="20"/>
          <w:szCs w:val="20"/>
          <w:lang w:val="en-IE"/>
        </w:rPr>
        <w:t xml:space="preserve"> </w:t>
      </w:r>
    </w:p>
    <w:p w14:paraId="2EAEC334" w14:textId="77777777" w:rsidR="00A8014B" w:rsidRPr="004258F5" w:rsidRDefault="00A8014B" w:rsidP="006A43D4">
      <w:pPr>
        <w:tabs>
          <w:tab w:val="decimal" w:pos="8460"/>
          <w:tab w:val="decimal" w:pos="10080"/>
        </w:tabs>
        <w:rPr>
          <w:rFonts w:asciiTheme="minorHAnsi" w:hAnsiTheme="minorHAnsi" w:cstheme="minorHAnsi"/>
          <w:b/>
          <w:color w:val="000000"/>
        </w:rPr>
      </w:pPr>
    </w:p>
    <w:p w14:paraId="01835EF6" w14:textId="77777777" w:rsidR="00A8014B" w:rsidRPr="004258F5" w:rsidRDefault="00A8014B" w:rsidP="006A43D4">
      <w:pPr>
        <w:tabs>
          <w:tab w:val="decimal" w:pos="8460"/>
          <w:tab w:val="decimal" w:pos="10080"/>
        </w:tabs>
        <w:rPr>
          <w:rFonts w:asciiTheme="minorHAnsi" w:hAnsiTheme="minorHAnsi" w:cstheme="minorHAnsi"/>
          <w:b/>
          <w:color w:val="000000"/>
        </w:rPr>
      </w:pPr>
    </w:p>
    <w:p w14:paraId="27DEB845" w14:textId="77777777" w:rsidR="00A8014B" w:rsidRPr="001D5AED" w:rsidRDefault="00A8014B" w:rsidP="006A43D4">
      <w:pPr>
        <w:tabs>
          <w:tab w:val="decimal" w:pos="8460"/>
          <w:tab w:val="decimal" w:pos="10080"/>
        </w:tabs>
        <w:rPr>
          <w:rFonts w:asciiTheme="minorHAnsi" w:hAnsiTheme="minorHAnsi" w:cstheme="minorHAnsi"/>
          <w:b/>
          <w:color w:val="000000"/>
          <w:sz w:val="22"/>
          <w:szCs w:val="22"/>
        </w:rPr>
      </w:pPr>
    </w:p>
    <w:p w14:paraId="264FEBB0" w14:textId="77777777" w:rsidR="00A8014B" w:rsidRPr="001D5AED" w:rsidRDefault="00A8014B" w:rsidP="006A43D4">
      <w:pPr>
        <w:tabs>
          <w:tab w:val="decimal" w:pos="8460"/>
          <w:tab w:val="decimal" w:pos="10080"/>
        </w:tabs>
        <w:rPr>
          <w:rFonts w:asciiTheme="minorHAnsi" w:hAnsiTheme="minorHAnsi" w:cstheme="minorHAnsi"/>
          <w:b/>
          <w:color w:val="000000"/>
          <w:sz w:val="22"/>
          <w:szCs w:val="22"/>
        </w:rPr>
      </w:pPr>
    </w:p>
    <w:p w14:paraId="63117BE4" w14:textId="77777777" w:rsidR="00A8014B" w:rsidRPr="001D5AED" w:rsidRDefault="00A8014B" w:rsidP="006A43D4">
      <w:pPr>
        <w:tabs>
          <w:tab w:val="decimal" w:pos="8460"/>
          <w:tab w:val="decimal" w:pos="10080"/>
        </w:tabs>
        <w:rPr>
          <w:rFonts w:asciiTheme="minorHAnsi" w:hAnsiTheme="minorHAnsi" w:cstheme="minorHAnsi"/>
          <w:b/>
          <w:color w:val="000000"/>
          <w:sz w:val="22"/>
          <w:szCs w:val="22"/>
        </w:rPr>
      </w:pPr>
    </w:p>
    <w:p w14:paraId="30CABDD2" w14:textId="77777777" w:rsidR="00A8014B" w:rsidRPr="001D5AED" w:rsidRDefault="00A8014B" w:rsidP="006A43D4">
      <w:pPr>
        <w:tabs>
          <w:tab w:val="decimal" w:pos="8460"/>
          <w:tab w:val="decimal" w:pos="10080"/>
        </w:tabs>
        <w:rPr>
          <w:rFonts w:asciiTheme="minorHAnsi" w:hAnsiTheme="minorHAnsi" w:cstheme="minorHAnsi"/>
          <w:b/>
          <w:color w:val="000000"/>
          <w:sz w:val="22"/>
          <w:szCs w:val="22"/>
        </w:rPr>
      </w:pPr>
    </w:p>
    <w:p w14:paraId="6CE0F74E" w14:textId="77777777" w:rsidR="0040516F" w:rsidRPr="001D5AED" w:rsidRDefault="0040516F" w:rsidP="006A43D4">
      <w:pPr>
        <w:tabs>
          <w:tab w:val="decimal" w:pos="8460"/>
          <w:tab w:val="decimal" w:pos="10080"/>
        </w:tabs>
        <w:rPr>
          <w:rFonts w:asciiTheme="minorHAnsi" w:hAnsiTheme="minorHAnsi" w:cstheme="minorHAnsi"/>
          <w:b/>
          <w:color w:val="000000"/>
          <w:sz w:val="22"/>
          <w:szCs w:val="22"/>
        </w:rPr>
      </w:pPr>
    </w:p>
    <w:p w14:paraId="0D7C5942" w14:textId="77777777" w:rsidR="006C2D8A" w:rsidRPr="001D5AED" w:rsidRDefault="006C2D8A">
      <w:pPr>
        <w:spacing w:after="200" w:line="276" w:lineRule="auto"/>
        <w:rPr>
          <w:rFonts w:asciiTheme="minorHAnsi" w:hAnsiTheme="minorHAnsi" w:cstheme="minorHAnsi"/>
          <w:b/>
          <w:color w:val="000000"/>
          <w:sz w:val="22"/>
          <w:szCs w:val="22"/>
        </w:rPr>
      </w:pPr>
      <w:r w:rsidRPr="001D5AED">
        <w:rPr>
          <w:rFonts w:asciiTheme="minorHAnsi" w:hAnsiTheme="minorHAnsi" w:cstheme="minorHAnsi"/>
          <w:b/>
          <w:color w:val="000000"/>
          <w:sz w:val="22"/>
          <w:szCs w:val="22"/>
        </w:rPr>
        <w:br w:type="page"/>
      </w:r>
    </w:p>
    <w:p w14:paraId="7678FE6F" w14:textId="77777777" w:rsidR="00A8014B" w:rsidRPr="00A06132" w:rsidRDefault="00A8014B" w:rsidP="003E636B">
      <w:pPr>
        <w:jc w:val="center"/>
        <w:rPr>
          <w:rFonts w:asciiTheme="minorHAnsi" w:hAnsiTheme="minorHAnsi" w:cstheme="minorHAnsi"/>
          <w:color w:val="000000"/>
          <w:sz w:val="22"/>
          <w:szCs w:val="22"/>
        </w:rPr>
      </w:pPr>
      <w:r w:rsidRPr="00A06132">
        <w:rPr>
          <w:rFonts w:asciiTheme="minorHAnsi" w:hAnsiTheme="minorHAnsi" w:cstheme="minorHAnsi"/>
          <w:b/>
          <w:color w:val="000000"/>
          <w:sz w:val="22"/>
          <w:szCs w:val="22"/>
        </w:rPr>
        <w:t>FBD Holdings plc</w:t>
      </w:r>
    </w:p>
    <w:p w14:paraId="1AC5D0C7" w14:textId="77777777" w:rsidR="00A8014B" w:rsidRPr="00A06132" w:rsidRDefault="00A8014B" w:rsidP="003E636B">
      <w:pPr>
        <w:tabs>
          <w:tab w:val="left" w:pos="-142"/>
          <w:tab w:val="decimal" w:pos="4678"/>
          <w:tab w:val="decimal" w:pos="5670"/>
          <w:tab w:val="decimal" w:pos="6946"/>
          <w:tab w:val="decimal" w:pos="10348"/>
        </w:tabs>
        <w:jc w:val="center"/>
        <w:rPr>
          <w:rFonts w:asciiTheme="minorHAnsi" w:hAnsiTheme="minorHAnsi" w:cstheme="minorHAnsi"/>
          <w:b/>
          <w:color w:val="000000"/>
          <w:sz w:val="22"/>
          <w:szCs w:val="22"/>
        </w:rPr>
      </w:pPr>
      <w:r w:rsidRPr="00A06132">
        <w:rPr>
          <w:rFonts w:asciiTheme="minorHAnsi" w:hAnsiTheme="minorHAnsi" w:cstheme="minorHAnsi"/>
          <w:b/>
          <w:color w:val="000000"/>
          <w:sz w:val="22"/>
          <w:szCs w:val="22"/>
        </w:rPr>
        <w:t>Supplementary Information (continued)</w:t>
      </w:r>
    </w:p>
    <w:p w14:paraId="31E71DDD" w14:textId="7C0F80C1" w:rsidR="00A8014B" w:rsidRPr="00A06132" w:rsidRDefault="00A8014B" w:rsidP="003E636B">
      <w:pPr>
        <w:tabs>
          <w:tab w:val="left" w:pos="426"/>
          <w:tab w:val="left" w:pos="851"/>
          <w:tab w:val="left" w:pos="10604"/>
        </w:tabs>
        <w:ind w:right="-28"/>
        <w:jc w:val="center"/>
        <w:rPr>
          <w:rFonts w:asciiTheme="minorHAnsi" w:hAnsiTheme="minorHAnsi" w:cstheme="minorHAnsi"/>
          <w:b/>
          <w:color w:val="000000"/>
          <w:sz w:val="22"/>
          <w:szCs w:val="22"/>
          <w:lang w:val="en-US"/>
        </w:rPr>
      </w:pPr>
      <w:r w:rsidRPr="00A06132">
        <w:rPr>
          <w:rFonts w:asciiTheme="minorHAnsi" w:hAnsiTheme="minorHAnsi" w:cstheme="minorHAnsi"/>
          <w:b/>
          <w:color w:val="000000"/>
          <w:sz w:val="22"/>
          <w:szCs w:val="22"/>
        </w:rPr>
        <w:t>For</w:t>
      </w:r>
      <w:r w:rsidR="00627A08" w:rsidRPr="00A06132">
        <w:rPr>
          <w:rFonts w:asciiTheme="minorHAnsi" w:hAnsiTheme="minorHAnsi" w:cstheme="minorHAnsi"/>
          <w:b/>
          <w:color w:val="000000"/>
          <w:sz w:val="22"/>
          <w:szCs w:val="22"/>
        </w:rPr>
        <w:t xml:space="preserve"> the year ended 31 Decem</w:t>
      </w:r>
      <w:r w:rsidR="00503442" w:rsidRPr="00A06132">
        <w:rPr>
          <w:rFonts w:asciiTheme="minorHAnsi" w:hAnsiTheme="minorHAnsi" w:cstheme="minorHAnsi"/>
          <w:b/>
          <w:color w:val="000000"/>
          <w:sz w:val="22"/>
          <w:szCs w:val="22"/>
        </w:rPr>
        <w:t>ber 202</w:t>
      </w:r>
      <w:r w:rsidR="00460D52" w:rsidRPr="00A06132">
        <w:rPr>
          <w:rFonts w:asciiTheme="minorHAnsi" w:hAnsiTheme="minorHAnsi" w:cstheme="minorHAnsi"/>
          <w:b/>
          <w:color w:val="000000"/>
          <w:sz w:val="22"/>
          <w:szCs w:val="22"/>
        </w:rPr>
        <w:t>3</w:t>
      </w:r>
    </w:p>
    <w:p w14:paraId="0A716A46" w14:textId="77777777" w:rsidR="00A8014B" w:rsidRPr="004258F5" w:rsidRDefault="00A8014B" w:rsidP="006A43D4">
      <w:pPr>
        <w:tabs>
          <w:tab w:val="decimal" w:pos="8460"/>
          <w:tab w:val="decimal" w:pos="10080"/>
        </w:tabs>
        <w:rPr>
          <w:rFonts w:asciiTheme="minorHAnsi" w:hAnsiTheme="minorHAnsi" w:cstheme="minorHAnsi"/>
          <w:b/>
          <w:color w:val="000000"/>
        </w:rPr>
      </w:pPr>
    </w:p>
    <w:p w14:paraId="3C06C1BE" w14:textId="4D370593" w:rsidR="006A43D4" w:rsidRPr="004258F5" w:rsidRDefault="006A43D4" w:rsidP="006A43D4">
      <w:pPr>
        <w:tabs>
          <w:tab w:val="decimal" w:pos="8460"/>
          <w:tab w:val="decimal" w:pos="10080"/>
        </w:tabs>
        <w:rPr>
          <w:rFonts w:asciiTheme="minorHAnsi" w:hAnsiTheme="minorHAnsi" w:cstheme="minorHAnsi"/>
          <w:b/>
          <w:color w:val="000000"/>
        </w:rPr>
      </w:pPr>
      <w:r w:rsidRPr="004258F5">
        <w:rPr>
          <w:rFonts w:asciiTheme="minorHAnsi" w:hAnsiTheme="minorHAnsi" w:cstheme="minorHAnsi"/>
          <w:b/>
          <w:color w:val="000000"/>
        </w:rPr>
        <w:t xml:space="preserve">Note </w:t>
      </w:r>
      <w:r w:rsidR="00197776">
        <w:rPr>
          <w:rFonts w:asciiTheme="minorHAnsi" w:hAnsiTheme="minorHAnsi" w:cstheme="minorHAnsi"/>
          <w:b/>
          <w:color w:val="000000"/>
        </w:rPr>
        <w:t>4</w:t>
      </w:r>
      <w:r w:rsidR="00EC645C">
        <w:rPr>
          <w:rFonts w:asciiTheme="minorHAnsi" w:hAnsiTheme="minorHAnsi" w:cstheme="minorHAnsi"/>
          <w:b/>
          <w:color w:val="000000"/>
        </w:rPr>
        <w:t xml:space="preserve">  </w:t>
      </w:r>
      <w:r w:rsidRPr="004258F5">
        <w:rPr>
          <w:rFonts w:asciiTheme="minorHAnsi" w:hAnsiTheme="minorHAnsi" w:cstheme="minorHAnsi"/>
          <w:b/>
          <w:color w:val="000000"/>
        </w:rPr>
        <w:t xml:space="preserve">   CALLED UP SHARE CAPITAL PRESENTED AS EQUITY</w:t>
      </w:r>
    </w:p>
    <w:p w14:paraId="6A436658" w14:textId="77777777" w:rsidR="006A43D4" w:rsidRPr="004258F5" w:rsidRDefault="006A43D4" w:rsidP="006A43D4">
      <w:pPr>
        <w:tabs>
          <w:tab w:val="decimal" w:pos="8460"/>
          <w:tab w:val="decimal" w:pos="10080"/>
        </w:tabs>
        <w:rPr>
          <w:rFonts w:asciiTheme="minorHAnsi" w:hAnsiTheme="minorHAnsi" w:cstheme="minorHAnsi"/>
          <w:b/>
          <w:color w:val="000000"/>
          <w:highlight w:val="yellow"/>
        </w:rPr>
      </w:pPr>
    </w:p>
    <w:tbl>
      <w:tblPr>
        <w:tblW w:w="0" w:type="auto"/>
        <w:tblInd w:w="426" w:type="dxa"/>
        <w:tblLook w:val="01E0" w:firstRow="1" w:lastRow="1" w:firstColumn="1" w:lastColumn="1" w:noHBand="0" w:noVBand="0"/>
      </w:tblPr>
      <w:tblGrid>
        <w:gridCol w:w="4173"/>
        <w:gridCol w:w="1330"/>
        <w:gridCol w:w="399"/>
        <w:gridCol w:w="1265"/>
        <w:gridCol w:w="350"/>
        <w:gridCol w:w="1083"/>
      </w:tblGrid>
      <w:tr w:rsidR="00AA0DE9" w:rsidRPr="004258F5" w14:paraId="77B6C473" w14:textId="77777777" w:rsidTr="0006365D">
        <w:tc>
          <w:tcPr>
            <w:tcW w:w="4173" w:type="dxa"/>
          </w:tcPr>
          <w:p w14:paraId="36BA3362" w14:textId="77777777" w:rsidR="00AA0DE9" w:rsidRPr="004258F5" w:rsidRDefault="00AA0DE9" w:rsidP="006A43D4">
            <w:pPr>
              <w:rPr>
                <w:rFonts w:asciiTheme="minorHAnsi" w:hAnsiTheme="minorHAnsi" w:cstheme="minorHAnsi"/>
                <w:b/>
                <w:bCs/>
                <w:color w:val="000000"/>
              </w:rPr>
            </w:pPr>
          </w:p>
        </w:tc>
        <w:tc>
          <w:tcPr>
            <w:tcW w:w="1330" w:type="dxa"/>
          </w:tcPr>
          <w:p w14:paraId="20520248" w14:textId="77777777" w:rsidR="00AA0DE9" w:rsidRPr="004258F5" w:rsidRDefault="00AA0DE9" w:rsidP="006A43D4">
            <w:pPr>
              <w:jc w:val="right"/>
              <w:rPr>
                <w:rFonts w:asciiTheme="minorHAnsi" w:hAnsiTheme="minorHAnsi" w:cstheme="minorHAnsi"/>
                <w:b/>
                <w:bCs/>
                <w:color w:val="000000"/>
              </w:rPr>
            </w:pPr>
            <w:r w:rsidRPr="004258F5">
              <w:rPr>
                <w:rFonts w:asciiTheme="minorHAnsi" w:hAnsiTheme="minorHAnsi" w:cstheme="minorHAnsi"/>
                <w:b/>
                <w:bCs/>
                <w:color w:val="000000"/>
              </w:rPr>
              <w:t>Number</w:t>
            </w:r>
          </w:p>
        </w:tc>
        <w:tc>
          <w:tcPr>
            <w:tcW w:w="399" w:type="dxa"/>
          </w:tcPr>
          <w:p w14:paraId="052E492B" w14:textId="77777777" w:rsidR="00AA0DE9" w:rsidRPr="004258F5" w:rsidRDefault="00AA0DE9" w:rsidP="006A43D4">
            <w:pPr>
              <w:jc w:val="right"/>
              <w:rPr>
                <w:rFonts w:asciiTheme="minorHAnsi" w:hAnsiTheme="minorHAnsi" w:cstheme="minorHAnsi"/>
                <w:b/>
                <w:bCs/>
                <w:color w:val="000000"/>
              </w:rPr>
            </w:pPr>
          </w:p>
        </w:tc>
        <w:tc>
          <w:tcPr>
            <w:tcW w:w="1265" w:type="dxa"/>
          </w:tcPr>
          <w:p w14:paraId="5BB9B543" w14:textId="17FA3D7A" w:rsidR="00AA0DE9" w:rsidRPr="004258F5" w:rsidRDefault="00503442">
            <w:pPr>
              <w:jc w:val="right"/>
              <w:rPr>
                <w:rFonts w:asciiTheme="minorHAnsi" w:hAnsiTheme="minorHAnsi" w:cstheme="minorHAnsi"/>
                <w:b/>
                <w:bCs/>
                <w:color w:val="000000"/>
              </w:rPr>
            </w:pPr>
            <w:r w:rsidRPr="004258F5">
              <w:rPr>
                <w:rFonts w:asciiTheme="minorHAnsi" w:hAnsiTheme="minorHAnsi" w:cstheme="minorHAnsi"/>
                <w:b/>
                <w:bCs/>
                <w:color w:val="000000"/>
              </w:rPr>
              <w:t>202</w:t>
            </w:r>
            <w:r w:rsidR="0006365D" w:rsidRPr="004258F5">
              <w:rPr>
                <w:rFonts w:asciiTheme="minorHAnsi" w:hAnsiTheme="minorHAnsi" w:cstheme="minorHAnsi"/>
                <w:b/>
                <w:bCs/>
                <w:color w:val="000000"/>
              </w:rPr>
              <w:t>3</w:t>
            </w:r>
          </w:p>
        </w:tc>
        <w:tc>
          <w:tcPr>
            <w:tcW w:w="350" w:type="dxa"/>
          </w:tcPr>
          <w:p w14:paraId="7E6B9F7B" w14:textId="77777777" w:rsidR="00AA0DE9" w:rsidRPr="004258F5" w:rsidRDefault="00AA0DE9" w:rsidP="006A43D4">
            <w:pPr>
              <w:jc w:val="right"/>
              <w:rPr>
                <w:rFonts w:asciiTheme="minorHAnsi" w:hAnsiTheme="minorHAnsi" w:cstheme="minorHAnsi"/>
                <w:b/>
                <w:bCs/>
                <w:color w:val="000000"/>
              </w:rPr>
            </w:pPr>
          </w:p>
        </w:tc>
        <w:tc>
          <w:tcPr>
            <w:tcW w:w="1083" w:type="dxa"/>
          </w:tcPr>
          <w:p w14:paraId="01D23137" w14:textId="67B5911A" w:rsidR="00AA0DE9" w:rsidRPr="004258F5" w:rsidRDefault="00AA0DE9">
            <w:pPr>
              <w:jc w:val="right"/>
              <w:rPr>
                <w:rFonts w:asciiTheme="minorHAnsi" w:hAnsiTheme="minorHAnsi" w:cstheme="minorHAnsi"/>
                <w:b/>
                <w:color w:val="000000"/>
              </w:rPr>
            </w:pPr>
            <w:r w:rsidRPr="004258F5">
              <w:rPr>
                <w:rFonts w:asciiTheme="minorHAnsi" w:hAnsiTheme="minorHAnsi" w:cstheme="minorHAnsi"/>
                <w:b/>
                <w:bCs/>
                <w:color w:val="000000"/>
              </w:rPr>
              <w:t>20</w:t>
            </w:r>
            <w:r w:rsidR="00B965BF" w:rsidRPr="004258F5">
              <w:rPr>
                <w:rFonts w:asciiTheme="minorHAnsi" w:hAnsiTheme="minorHAnsi" w:cstheme="minorHAnsi"/>
                <w:b/>
                <w:bCs/>
                <w:color w:val="000000"/>
              </w:rPr>
              <w:t>2</w:t>
            </w:r>
            <w:r w:rsidR="0006365D" w:rsidRPr="004258F5">
              <w:rPr>
                <w:rFonts w:asciiTheme="minorHAnsi" w:hAnsiTheme="minorHAnsi" w:cstheme="minorHAnsi"/>
                <w:b/>
                <w:bCs/>
                <w:color w:val="000000"/>
              </w:rPr>
              <w:t>2</w:t>
            </w:r>
          </w:p>
        </w:tc>
      </w:tr>
      <w:tr w:rsidR="00AA0DE9" w:rsidRPr="004258F5" w14:paraId="0668DAEE" w14:textId="77777777" w:rsidTr="0006365D">
        <w:tc>
          <w:tcPr>
            <w:tcW w:w="4173" w:type="dxa"/>
          </w:tcPr>
          <w:p w14:paraId="399B55D5" w14:textId="77777777" w:rsidR="00AA0DE9" w:rsidRPr="004258F5" w:rsidRDefault="00AA0DE9" w:rsidP="006A43D4">
            <w:pPr>
              <w:rPr>
                <w:rFonts w:asciiTheme="minorHAnsi" w:hAnsiTheme="minorHAnsi" w:cstheme="minorHAnsi"/>
                <w:b/>
                <w:color w:val="000000"/>
              </w:rPr>
            </w:pPr>
          </w:p>
        </w:tc>
        <w:tc>
          <w:tcPr>
            <w:tcW w:w="1330" w:type="dxa"/>
          </w:tcPr>
          <w:p w14:paraId="1738A612" w14:textId="77777777" w:rsidR="00AA0DE9" w:rsidRPr="004258F5" w:rsidRDefault="00AA0DE9" w:rsidP="006A43D4">
            <w:pPr>
              <w:jc w:val="right"/>
              <w:rPr>
                <w:rFonts w:asciiTheme="minorHAnsi" w:hAnsiTheme="minorHAnsi" w:cstheme="minorHAnsi"/>
                <w:b/>
                <w:bCs/>
                <w:color w:val="000000"/>
              </w:rPr>
            </w:pPr>
          </w:p>
        </w:tc>
        <w:tc>
          <w:tcPr>
            <w:tcW w:w="399" w:type="dxa"/>
          </w:tcPr>
          <w:p w14:paraId="7347C445" w14:textId="77777777" w:rsidR="00AA0DE9" w:rsidRPr="004258F5" w:rsidRDefault="00AA0DE9" w:rsidP="006A43D4">
            <w:pPr>
              <w:jc w:val="right"/>
              <w:rPr>
                <w:rFonts w:asciiTheme="minorHAnsi" w:hAnsiTheme="minorHAnsi" w:cstheme="minorHAnsi"/>
                <w:b/>
                <w:bCs/>
                <w:color w:val="000000"/>
              </w:rPr>
            </w:pPr>
          </w:p>
        </w:tc>
        <w:tc>
          <w:tcPr>
            <w:tcW w:w="1265" w:type="dxa"/>
          </w:tcPr>
          <w:p w14:paraId="23419310" w14:textId="77777777" w:rsidR="00AA0DE9" w:rsidRPr="004258F5" w:rsidRDefault="00AA0DE9" w:rsidP="006A43D4">
            <w:pPr>
              <w:jc w:val="right"/>
              <w:rPr>
                <w:rFonts w:asciiTheme="minorHAnsi" w:hAnsiTheme="minorHAnsi" w:cstheme="minorHAnsi"/>
                <w:b/>
                <w:bCs/>
                <w:color w:val="000000"/>
              </w:rPr>
            </w:pPr>
            <w:r w:rsidRPr="004258F5">
              <w:rPr>
                <w:rFonts w:asciiTheme="minorHAnsi" w:hAnsiTheme="minorHAnsi" w:cstheme="minorHAnsi"/>
                <w:b/>
                <w:bCs/>
                <w:color w:val="000000"/>
              </w:rPr>
              <w:t>€000s</w:t>
            </w:r>
          </w:p>
        </w:tc>
        <w:tc>
          <w:tcPr>
            <w:tcW w:w="350" w:type="dxa"/>
          </w:tcPr>
          <w:p w14:paraId="25B39A5D" w14:textId="77777777" w:rsidR="00AA0DE9" w:rsidRPr="004258F5" w:rsidRDefault="00AA0DE9" w:rsidP="006A43D4">
            <w:pPr>
              <w:jc w:val="right"/>
              <w:rPr>
                <w:rFonts w:asciiTheme="minorHAnsi" w:hAnsiTheme="minorHAnsi" w:cstheme="minorHAnsi"/>
                <w:b/>
                <w:bCs/>
                <w:color w:val="000000"/>
              </w:rPr>
            </w:pPr>
          </w:p>
        </w:tc>
        <w:tc>
          <w:tcPr>
            <w:tcW w:w="1083" w:type="dxa"/>
          </w:tcPr>
          <w:p w14:paraId="7635BB8C" w14:textId="77777777" w:rsidR="00AA0DE9" w:rsidRPr="004258F5" w:rsidRDefault="00AA0DE9" w:rsidP="006A43D4">
            <w:pPr>
              <w:jc w:val="right"/>
              <w:rPr>
                <w:rFonts w:asciiTheme="minorHAnsi" w:hAnsiTheme="minorHAnsi" w:cstheme="minorHAnsi"/>
                <w:b/>
                <w:color w:val="000000"/>
              </w:rPr>
            </w:pPr>
            <w:r w:rsidRPr="004258F5">
              <w:rPr>
                <w:rFonts w:asciiTheme="minorHAnsi" w:hAnsiTheme="minorHAnsi" w:cstheme="minorHAnsi"/>
                <w:b/>
                <w:bCs/>
                <w:color w:val="000000"/>
              </w:rPr>
              <w:t>€000s</w:t>
            </w:r>
          </w:p>
        </w:tc>
      </w:tr>
      <w:tr w:rsidR="00AA0DE9" w:rsidRPr="004258F5" w14:paraId="7609722F" w14:textId="77777777" w:rsidTr="0006365D">
        <w:tc>
          <w:tcPr>
            <w:tcW w:w="4173" w:type="dxa"/>
          </w:tcPr>
          <w:p w14:paraId="7FA393AE" w14:textId="77777777" w:rsidR="00AA0DE9" w:rsidRPr="004258F5" w:rsidRDefault="00AA0DE9" w:rsidP="006A43D4">
            <w:pPr>
              <w:rPr>
                <w:rFonts w:asciiTheme="minorHAnsi" w:hAnsiTheme="minorHAnsi" w:cstheme="minorHAnsi"/>
                <w:color w:val="000000"/>
              </w:rPr>
            </w:pPr>
            <w:r w:rsidRPr="004258F5">
              <w:rPr>
                <w:rFonts w:asciiTheme="minorHAnsi" w:hAnsiTheme="minorHAnsi" w:cstheme="minorHAnsi"/>
                <w:color w:val="000000"/>
              </w:rPr>
              <w:t>(</w:t>
            </w:r>
            <w:proofErr w:type="spellStart"/>
            <w:r w:rsidRPr="004258F5">
              <w:rPr>
                <w:rFonts w:asciiTheme="minorHAnsi" w:hAnsiTheme="minorHAnsi" w:cstheme="minorHAnsi"/>
                <w:color w:val="000000"/>
              </w:rPr>
              <w:t>i</w:t>
            </w:r>
            <w:proofErr w:type="spellEnd"/>
            <w:r w:rsidRPr="004258F5">
              <w:rPr>
                <w:rFonts w:asciiTheme="minorHAnsi" w:hAnsiTheme="minorHAnsi" w:cstheme="minorHAnsi"/>
                <w:color w:val="000000"/>
              </w:rPr>
              <w:t>)    Ordinary shares of €0.60 each</w:t>
            </w:r>
          </w:p>
        </w:tc>
        <w:tc>
          <w:tcPr>
            <w:tcW w:w="1330" w:type="dxa"/>
          </w:tcPr>
          <w:p w14:paraId="41657565" w14:textId="77777777" w:rsidR="00AA0DE9" w:rsidRPr="004258F5" w:rsidRDefault="00AA0DE9" w:rsidP="006A43D4">
            <w:pPr>
              <w:ind w:right="-108"/>
              <w:jc w:val="right"/>
              <w:rPr>
                <w:rFonts w:asciiTheme="minorHAnsi" w:hAnsiTheme="minorHAnsi" w:cstheme="minorHAnsi"/>
                <w:color w:val="000000"/>
              </w:rPr>
            </w:pPr>
          </w:p>
        </w:tc>
        <w:tc>
          <w:tcPr>
            <w:tcW w:w="399" w:type="dxa"/>
          </w:tcPr>
          <w:p w14:paraId="6C556ED8" w14:textId="77777777" w:rsidR="00AA0DE9" w:rsidRPr="004258F5" w:rsidRDefault="00AA0DE9" w:rsidP="006A43D4">
            <w:pPr>
              <w:ind w:right="-108"/>
              <w:jc w:val="right"/>
              <w:rPr>
                <w:rFonts w:asciiTheme="minorHAnsi" w:hAnsiTheme="minorHAnsi" w:cstheme="minorHAnsi"/>
                <w:color w:val="000000"/>
              </w:rPr>
            </w:pPr>
          </w:p>
        </w:tc>
        <w:tc>
          <w:tcPr>
            <w:tcW w:w="1265" w:type="dxa"/>
          </w:tcPr>
          <w:p w14:paraId="248A356E" w14:textId="77777777" w:rsidR="00AA0DE9" w:rsidRPr="004258F5" w:rsidRDefault="00AA0DE9" w:rsidP="006A43D4">
            <w:pPr>
              <w:ind w:right="-108"/>
              <w:jc w:val="right"/>
              <w:rPr>
                <w:rFonts w:asciiTheme="minorHAnsi" w:hAnsiTheme="minorHAnsi" w:cstheme="minorHAnsi"/>
                <w:color w:val="000000"/>
              </w:rPr>
            </w:pPr>
          </w:p>
        </w:tc>
        <w:tc>
          <w:tcPr>
            <w:tcW w:w="350" w:type="dxa"/>
          </w:tcPr>
          <w:p w14:paraId="6530723C" w14:textId="77777777" w:rsidR="00AA0DE9" w:rsidRPr="004258F5" w:rsidRDefault="00AA0DE9" w:rsidP="006A43D4">
            <w:pPr>
              <w:ind w:right="-108"/>
              <w:jc w:val="right"/>
              <w:rPr>
                <w:rFonts w:asciiTheme="minorHAnsi" w:hAnsiTheme="minorHAnsi" w:cstheme="minorHAnsi"/>
                <w:color w:val="000000"/>
              </w:rPr>
            </w:pPr>
          </w:p>
        </w:tc>
        <w:tc>
          <w:tcPr>
            <w:tcW w:w="1083" w:type="dxa"/>
          </w:tcPr>
          <w:p w14:paraId="0E9B4742" w14:textId="77777777" w:rsidR="00AA0DE9" w:rsidRPr="004258F5" w:rsidRDefault="00AA0DE9" w:rsidP="006A43D4">
            <w:pPr>
              <w:ind w:right="-108"/>
              <w:jc w:val="right"/>
              <w:rPr>
                <w:rFonts w:asciiTheme="minorHAnsi" w:hAnsiTheme="minorHAnsi" w:cstheme="minorHAnsi"/>
                <w:color w:val="000000"/>
              </w:rPr>
            </w:pPr>
          </w:p>
        </w:tc>
      </w:tr>
      <w:tr w:rsidR="00AA0DE9" w:rsidRPr="004258F5" w14:paraId="4EF2E6C6" w14:textId="77777777" w:rsidTr="0006365D">
        <w:tc>
          <w:tcPr>
            <w:tcW w:w="4173" w:type="dxa"/>
          </w:tcPr>
          <w:p w14:paraId="636E72A7" w14:textId="77777777" w:rsidR="00AA0DE9" w:rsidRPr="004258F5" w:rsidRDefault="00AA0DE9" w:rsidP="006A43D4">
            <w:pPr>
              <w:rPr>
                <w:rFonts w:asciiTheme="minorHAnsi" w:hAnsiTheme="minorHAnsi" w:cstheme="minorHAnsi"/>
                <w:color w:val="000000"/>
              </w:rPr>
            </w:pPr>
            <w:r w:rsidRPr="004258F5">
              <w:rPr>
                <w:rFonts w:asciiTheme="minorHAnsi" w:hAnsiTheme="minorHAnsi" w:cstheme="minorHAnsi"/>
                <w:b/>
                <w:color w:val="000000"/>
              </w:rPr>
              <w:t>A</w:t>
            </w:r>
            <w:r w:rsidRPr="004258F5">
              <w:rPr>
                <w:rFonts w:asciiTheme="minorHAnsi" w:hAnsiTheme="minorHAnsi" w:cstheme="minorHAnsi"/>
                <w:b/>
                <w:bCs/>
                <w:color w:val="000000"/>
              </w:rPr>
              <w:t>uthorised:</w:t>
            </w:r>
          </w:p>
        </w:tc>
        <w:tc>
          <w:tcPr>
            <w:tcW w:w="1330" w:type="dxa"/>
          </w:tcPr>
          <w:p w14:paraId="1F315AFE" w14:textId="77777777" w:rsidR="00AA0DE9" w:rsidRPr="004258F5" w:rsidRDefault="00AA0DE9" w:rsidP="006A43D4">
            <w:pPr>
              <w:ind w:right="-108"/>
              <w:jc w:val="right"/>
              <w:rPr>
                <w:rFonts w:asciiTheme="minorHAnsi" w:hAnsiTheme="minorHAnsi" w:cstheme="minorHAnsi"/>
                <w:color w:val="000000"/>
              </w:rPr>
            </w:pPr>
          </w:p>
        </w:tc>
        <w:tc>
          <w:tcPr>
            <w:tcW w:w="399" w:type="dxa"/>
          </w:tcPr>
          <w:p w14:paraId="437C9272" w14:textId="77777777" w:rsidR="00AA0DE9" w:rsidRPr="004258F5" w:rsidRDefault="00AA0DE9" w:rsidP="006A43D4">
            <w:pPr>
              <w:ind w:right="-108"/>
              <w:jc w:val="right"/>
              <w:rPr>
                <w:rFonts w:asciiTheme="minorHAnsi" w:hAnsiTheme="minorHAnsi" w:cstheme="minorHAnsi"/>
                <w:color w:val="000000"/>
              </w:rPr>
            </w:pPr>
          </w:p>
        </w:tc>
        <w:tc>
          <w:tcPr>
            <w:tcW w:w="1265" w:type="dxa"/>
          </w:tcPr>
          <w:p w14:paraId="1D0B06E4" w14:textId="77777777" w:rsidR="00AA0DE9" w:rsidRPr="00542A05" w:rsidRDefault="00AA0DE9" w:rsidP="006A43D4">
            <w:pPr>
              <w:ind w:right="-108"/>
              <w:jc w:val="right"/>
              <w:rPr>
                <w:rFonts w:asciiTheme="minorHAnsi" w:hAnsiTheme="minorHAnsi" w:cstheme="minorHAnsi"/>
                <w:b/>
                <w:bCs/>
                <w:color w:val="000000"/>
              </w:rPr>
            </w:pPr>
          </w:p>
        </w:tc>
        <w:tc>
          <w:tcPr>
            <w:tcW w:w="350" w:type="dxa"/>
          </w:tcPr>
          <w:p w14:paraId="4B142CBF" w14:textId="77777777" w:rsidR="00AA0DE9" w:rsidRPr="004258F5" w:rsidRDefault="00AA0DE9" w:rsidP="006A43D4">
            <w:pPr>
              <w:ind w:right="-108"/>
              <w:jc w:val="right"/>
              <w:rPr>
                <w:rFonts w:asciiTheme="minorHAnsi" w:hAnsiTheme="minorHAnsi" w:cstheme="minorHAnsi"/>
                <w:color w:val="000000"/>
              </w:rPr>
            </w:pPr>
          </w:p>
        </w:tc>
        <w:tc>
          <w:tcPr>
            <w:tcW w:w="1083" w:type="dxa"/>
          </w:tcPr>
          <w:p w14:paraId="60058602" w14:textId="77777777" w:rsidR="00AA0DE9" w:rsidRPr="004258F5" w:rsidRDefault="00AA0DE9" w:rsidP="006A43D4">
            <w:pPr>
              <w:ind w:right="-108"/>
              <w:jc w:val="right"/>
              <w:rPr>
                <w:rFonts w:asciiTheme="minorHAnsi" w:hAnsiTheme="minorHAnsi" w:cstheme="minorHAnsi"/>
                <w:color w:val="000000"/>
              </w:rPr>
            </w:pPr>
          </w:p>
        </w:tc>
      </w:tr>
      <w:tr w:rsidR="00AA0DE9" w:rsidRPr="004258F5" w14:paraId="04D5809E" w14:textId="77777777" w:rsidTr="0006365D">
        <w:tc>
          <w:tcPr>
            <w:tcW w:w="4173" w:type="dxa"/>
          </w:tcPr>
          <w:p w14:paraId="578C10EC" w14:textId="77777777" w:rsidR="00AA0DE9" w:rsidRPr="004258F5" w:rsidRDefault="00AA0DE9" w:rsidP="006A43D4">
            <w:pPr>
              <w:rPr>
                <w:rFonts w:asciiTheme="minorHAnsi" w:hAnsiTheme="minorHAnsi" w:cstheme="minorHAnsi"/>
                <w:color w:val="000000"/>
              </w:rPr>
            </w:pPr>
            <w:r w:rsidRPr="004258F5">
              <w:rPr>
                <w:rFonts w:asciiTheme="minorHAnsi" w:hAnsiTheme="minorHAnsi" w:cstheme="minorHAnsi"/>
                <w:bCs/>
                <w:color w:val="000000"/>
              </w:rPr>
              <w:t>At the beginning and the end of the year</w:t>
            </w:r>
          </w:p>
        </w:tc>
        <w:tc>
          <w:tcPr>
            <w:tcW w:w="1330" w:type="dxa"/>
            <w:tcBorders>
              <w:bottom w:val="single" w:sz="12" w:space="0" w:color="auto"/>
            </w:tcBorders>
          </w:tcPr>
          <w:p w14:paraId="33720327" w14:textId="77777777" w:rsidR="00AA0DE9" w:rsidRPr="004258F5" w:rsidRDefault="00AA0DE9" w:rsidP="006A43D4">
            <w:pPr>
              <w:jc w:val="right"/>
              <w:rPr>
                <w:rFonts w:asciiTheme="minorHAnsi" w:hAnsiTheme="minorHAnsi" w:cstheme="minorHAnsi"/>
              </w:rPr>
            </w:pPr>
            <w:r w:rsidRPr="004258F5">
              <w:rPr>
                <w:rFonts w:asciiTheme="minorHAnsi" w:hAnsiTheme="minorHAnsi" w:cstheme="minorHAnsi"/>
              </w:rPr>
              <w:t>51,326,000</w:t>
            </w:r>
          </w:p>
        </w:tc>
        <w:tc>
          <w:tcPr>
            <w:tcW w:w="399" w:type="dxa"/>
          </w:tcPr>
          <w:p w14:paraId="37EFCBB5" w14:textId="77777777" w:rsidR="00AA0DE9" w:rsidRPr="004258F5" w:rsidRDefault="00AA0DE9" w:rsidP="006A43D4">
            <w:pPr>
              <w:jc w:val="right"/>
              <w:rPr>
                <w:rFonts w:asciiTheme="minorHAnsi" w:hAnsiTheme="minorHAnsi" w:cstheme="minorHAnsi"/>
                <w:b/>
              </w:rPr>
            </w:pPr>
          </w:p>
        </w:tc>
        <w:tc>
          <w:tcPr>
            <w:tcW w:w="1265" w:type="dxa"/>
            <w:tcBorders>
              <w:bottom w:val="single" w:sz="12" w:space="0" w:color="auto"/>
            </w:tcBorders>
          </w:tcPr>
          <w:p w14:paraId="05669EBF" w14:textId="5B2277C2" w:rsidR="00AA0DE9" w:rsidRPr="00542A05" w:rsidRDefault="00954DC7" w:rsidP="006A43D4">
            <w:pPr>
              <w:jc w:val="right"/>
              <w:rPr>
                <w:rFonts w:asciiTheme="minorHAnsi" w:hAnsiTheme="minorHAnsi" w:cstheme="minorHAnsi"/>
                <w:b/>
                <w:bCs/>
              </w:rPr>
            </w:pPr>
            <w:r w:rsidRPr="00542A05">
              <w:rPr>
                <w:rFonts w:asciiTheme="minorHAnsi" w:hAnsiTheme="minorHAnsi" w:cstheme="minorHAnsi"/>
                <w:b/>
                <w:bCs/>
              </w:rPr>
              <w:t>30,796</w:t>
            </w:r>
          </w:p>
        </w:tc>
        <w:tc>
          <w:tcPr>
            <w:tcW w:w="350" w:type="dxa"/>
          </w:tcPr>
          <w:p w14:paraId="4CE4BD82" w14:textId="77777777" w:rsidR="00AA0DE9" w:rsidRPr="004258F5" w:rsidRDefault="00AA0DE9" w:rsidP="006A43D4">
            <w:pPr>
              <w:jc w:val="right"/>
              <w:rPr>
                <w:rFonts w:asciiTheme="minorHAnsi" w:hAnsiTheme="minorHAnsi" w:cstheme="minorHAnsi"/>
              </w:rPr>
            </w:pPr>
          </w:p>
        </w:tc>
        <w:tc>
          <w:tcPr>
            <w:tcW w:w="1083" w:type="dxa"/>
            <w:tcBorders>
              <w:bottom w:val="single" w:sz="12" w:space="0" w:color="auto"/>
            </w:tcBorders>
          </w:tcPr>
          <w:p w14:paraId="7E46FFEF" w14:textId="77777777" w:rsidR="00AA0DE9" w:rsidRPr="004258F5" w:rsidRDefault="00AA0DE9" w:rsidP="006A43D4">
            <w:pPr>
              <w:jc w:val="right"/>
              <w:rPr>
                <w:rFonts w:asciiTheme="minorHAnsi" w:hAnsiTheme="minorHAnsi" w:cstheme="minorHAnsi"/>
              </w:rPr>
            </w:pPr>
            <w:r w:rsidRPr="004258F5">
              <w:rPr>
                <w:rFonts w:asciiTheme="minorHAnsi" w:hAnsiTheme="minorHAnsi" w:cstheme="minorHAnsi"/>
              </w:rPr>
              <w:t>30,796</w:t>
            </w:r>
          </w:p>
        </w:tc>
      </w:tr>
      <w:tr w:rsidR="00AA0DE9" w:rsidRPr="004258F5" w14:paraId="7E21F615" w14:textId="77777777" w:rsidTr="0006365D">
        <w:tc>
          <w:tcPr>
            <w:tcW w:w="4173" w:type="dxa"/>
          </w:tcPr>
          <w:p w14:paraId="0DB3EC91" w14:textId="77777777" w:rsidR="00AA0DE9" w:rsidRPr="004258F5" w:rsidRDefault="00AA0DE9" w:rsidP="006A43D4">
            <w:pPr>
              <w:rPr>
                <w:rFonts w:asciiTheme="minorHAnsi" w:hAnsiTheme="minorHAnsi" w:cstheme="minorHAnsi"/>
                <w:color w:val="000000"/>
              </w:rPr>
            </w:pPr>
          </w:p>
        </w:tc>
        <w:tc>
          <w:tcPr>
            <w:tcW w:w="1330" w:type="dxa"/>
            <w:tcBorders>
              <w:top w:val="single" w:sz="12" w:space="0" w:color="auto"/>
            </w:tcBorders>
          </w:tcPr>
          <w:p w14:paraId="4A872EDF" w14:textId="77777777" w:rsidR="00AA0DE9" w:rsidRPr="004258F5" w:rsidRDefault="00AA0DE9" w:rsidP="006A43D4">
            <w:pPr>
              <w:jc w:val="right"/>
              <w:rPr>
                <w:rFonts w:asciiTheme="minorHAnsi" w:hAnsiTheme="minorHAnsi" w:cstheme="minorHAnsi"/>
              </w:rPr>
            </w:pPr>
          </w:p>
        </w:tc>
        <w:tc>
          <w:tcPr>
            <w:tcW w:w="399" w:type="dxa"/>
          </w:tcPr>
          <w:p w14:paraId="3F1E03B1" w14:textId="77777777" w:rsidR="00AA0DE9" w:rsidRPr="004258F5" w:rsidRDefault="00AA0DE9" w:rsidP="006A43D4">
            <w:pPr>
              <w:jc w:val="right"/>
              <w:rPr>
                <w:rFonts w:asciiTheme="minorHAnsi" w:hAnsiTheme="minorHAnsi" w:cstheme="minorHAnsi"/>
              </w:rPr>
            </w:pPr>
          </w:p>
        </w:tc>
        <w:tc>
          <w:tcPr>
            <w:tcW w:w="1265" w:type="dxa"/>
            <w:tcBorders>
              <w:top w:val="single" w:sz="12" w:space="0" w:color="auto"/>
            </w:tcBorders>
          </w:tcPr>
          <w:p w14:paraId="7D807F9A" w14:textId="77777777" w:rsidR="00AA0DE9" w:rsidRPr="00542A05" w:rsidRDefault="00AA0DE9" w:rsidP="006A43D4">
            <w:pPr>
              <w:jc w:val="right"/>
              <w:rPr>
                <w:rFonts w:asciiTheme="minorHAnsi" w:hAnsiTheme="minorHAnsi" w:cstheme="minorHAnsi"/>
                <w:b/>
                <w:bCs/>
              </w:rPr>
            </w:pPr>
          </w:p>
        </w:tc>
        <w:tc>
          <w:tcPr>
            <w:tcW w:w="350" w:type="dxa"/>
          </w:tcPr>
          <w:p w14:paraId="45AC4323" w14:textId="77777777" w:rsidR="00AA0DE9" w:rsidRPr="004258F5" w:rsidRDefault="00AA0DE9" w:rsidP="006A43D4">
            <w:pPr>
              <w:jc w:val="right"/>
              <w:rPr>
                <w:rFonts w:asciiTheme="minorHAnsi" w:hAnsiTheme="minorHAnsi" w:cstheme="minorHAnsi"/>
              </w:rPr>
            </w:pPr>
          </w:p>
        </w:tc>
        <w:tc>
          <w:tcPr>
            <w:tcW w:w="1083" w:type="dxa"/>
            <w:tcBorders>
              <w:top w:val="single" w:sz="12" w:space="0" w:color="auto"/>
            </w:tcBorders>
          </w:tcPr>
          <w:p w14:paraId="7C9869DB" w14:textId="77777777" w:rsidR="00AA0DE9" w:rsidRPr="004258F5" w:rsidRDefault="00AA0DE9" w:rsidP="006A43D4">
            <w:pPr>
              <w:jc w:val="right"/>
              <w:rPr>
                <w:rFonts w:asciiTheme="minorHAnsi" w:hAnsiTheme="minorHAnsi" w:cstheme="minorHAnsi"/>
              </w:rPr>
            </w:pPr>
          </w:p>
        </w:tc>
      </w:tr>
      <w:tr w:rsidR="00DA3CE9" w:rsidRPr="004258F5" w14:paraId="31548E1B" w14:textId="77777777" w:rsidTr="00957C52">
        <w:tc>
          <w:tcPr>
            <w:tcW w:w="4173" w:type="dxa"/>
          </w:tcPr>
          <w:p w14:paraId="7DC014EF" w14:textId="77777777" w:rsidR="00DA3CE9" w:rsidRPr="004258F5" w:rsidRDefault="00DA3CE9" w:rsidP="00957C52">
            <w:pPr>
              <w:rPr>
                <w:rFonts w:asciiTheme="minorHAnsi" w:hAnsiTheme="minorHAnsi" w:cstheme="minorHAnsi"/>
                <w:b/>
                <w:bCs/>
                <w:color w:val="000000"/>
              </w:rPr>
            </w:pPr>
            <w:r w:rsidRPr="004258F5">
              <w:rPr>
                <w:rFonts w:asciiTheme="minorHAnsi" w:hAnsiTheme="minorHAnsi" w:cstheme="minorHAnsi"/>
                <w:b/>
                <w:bCs/>
                <w:color w:val="000000"/>
              </w:rPr>
              <w:t>Issued and fully paid:</w:t>
            </w:r>
          </w:p>
        </w:tc>
        <w:tc>
          <w:tcPr>
            <w:tcW w:w="1330" w:type="dxa"/>
          </w:tcPr>
          <w:p w14:paraId="4CF0061E" w14:textId="77777777" w:rsidR="00DA3CE9" w:rsidRPr="004258F5" w:rsidRDefault="00DA3CE9" w:rsidP="00957C52">
            <w:pPr>
              <w:jc w:val="right"/>
              <w:rPr>
                <w:rFonts w:asciiTheme="minorHAnsi" w:hAnsiTheme="minorHAnsi" w:cstheme="minorHAnsi"/>
              </w:rPr>
            </w:pPr>
          </w:p>
        </w:tc>
        <w:tc>
          <w:tcPr>
            <w:tcW w:w="399" w:type="dxa"/>
          </w:tcPr>
          <w:p w14:paraId="2F2778F4" w14:textId="77777777" w:rsidR="00DA3CE9" w:rsidRPr="004258F5" w:rsidRDefault="00DA3CE9" w:rsidP="00957C52">
            <w:pPr>
              <w:jc w:val="right"/>
              <w:rPr>
                <w:rFonts w:asciiTheme="minorHAnsi" w:hAnsiTheme="minorHAnsi" w:cstheme="minorHAnsi"/>
              </w:rPr>
            </w:pPr>
          </w:p>
        </w:tc>
        <w:tc>
          <w:tcPr>
            <w:tcW w:w="1265" w:type="dxa"/>
          </w:tcPr>
          <w:p w14:paraId="1857EA21" w14:textId="77777777" w:rsidR="00DA3CE9" w:rsidRPr="00542A05" w:rsidRDefault="00DA3CE9" w:rsidP="00957C52">
            <w:pPr>
              <w:jc w:val="right"/>
              <w:rPr>
                <w:rFonts w:asciiTheme="minorHAnsi" w:hAnsiTheme="minorHAnsi" w:cstheme="minorHAnsi"/>
                <w:b/>
                <w:bCs/>
              </w:rPr>
            </w:pPr>
          </w:p>
        </w:tc>
        <w:tc>
          <w:tcPr>
            <w:tcW w:w="350" w:type="dxa"/>
          </w:tcPr>
          <w:p w14:paraId="7FBDC462" w14:textId="77777777" w:rsidR="00DA3CE9" w:rsidRPr="004258F5" w:rsidRDefault="00DA3CE9" w:rsidP="00957C52">
            <w:pPr>
              <w:jc w:val="right"/>
              <w:rPr>
                <w:rFonts w:asciiTheme="minorHAnsi" w:hAnsiTheme="minorHAnsi" w:cstheme="minorHAnsi"/>
              </w:rPr>
            </w:pPr>
          </w:p>
        </w:tc>
        <w:tc>
          <w:tcPr>
            <w:tcW w:w="1083" w:type="dxa"/>
          </w:tcPr>
          <w:p w14:paraId="2E23DFFC" w14:textId="77777777" w:rsidR="00DA3CE9" w:rsidRPr="004258F5" w:rsidRDefault="00DA3CE9" w:rsidP="00957C52">
            <w:pPr>
              <w:jc w:val="right"/>
              <w:rPr>
                <w:rFonts w:asciiTheme="minorHAnsi" w:hAnsiTheme="minorHAnsi" w:cstheme="minorHAnsi"/>
              </w:rPr>
            </w:pPr>
          </w:p>
        </w:tc>
      </w:tr>
      <w:tr w:rsidR="00DA3CE9" w:rsidRPr="004258F5" w14:paraId="04EF114B" w14:textId="77777777" w:rsidTr="00957C52">
        <w:tc>
          <w:tcPr>
            <w:tcW w:w="4173" w:type="dxa"/>
          </w:tcPr>
          <w:p w14:paraId="13DC6732" w14:textId="35851E28" w:rsidR="00DA3CE9" w:rsidRPr="004258F5" w:rsidRDefault="00DA3CE9" w:rsidP="00957C52">
            <w:pPr>
              <w:rPr>
                <w:rFonts w:asciiTheme="minorHAnsi" w:hAnsiTheme="minorHAnsi" w:cstheme="minorHAnsi"/>
                <w:color w:val="000000"/>
              </w:rPr>
            </w:pPr>
            <w:proofErr w:type="gramStart"/>
            <w:r w:rsidRPr="004258F5">
              <w:rPr>
                <w:rFonts w:asciiTheme="minorHAnsi" w:hAnsiTheme="minorHAnsi" w:cstheme="minorHAnsi"/>
                <w:bCs/>
                <w:color w:val="000000"/>
              </w:rPr>
              <w:t>At</w:t>
            </w:r>
            <w:proofErr w:type="gramEnd"/>
            <w:r w:rsidRPr="004258F5">
              <w:rPr>
                <w:rFonts w:asciiTheme="minorHAnsi" w:hAnsiTheme="minorHAnsi" w:cstheme="minorHAnsi"/>
                <w:bCs/>
                <w:color w:val="000000"/>
              </w:rPr>
              <w:t xml:space="preserve"> </w:t>
            </w:r>
            <w:r>
              <w:rPr>
                <w:rFonts w:asciiTheme="minorHAnsi" w:hAnsiTheme="minorHAnsi" w:cstheme="minorHAnsi"/>
                <w:bCs/>
                <w:color w:val="000000"/>
              </w:rPr>
              <w:t>1 January 2022</w:t>
            </w:r>
          </w:p>
        </w:tc>
        <w:tc>
          <w:tcPr>
            <w:tcW w:w="1330" w:type="dxa"/>
          </w:tcPr>
          <w:p w14:paraId="096FA449" w14:textId="621A0F7E" w:rsidR="00DA3CE9" w:rsidRPr="004258F5" w:rsidRDefault="00DA3CE9" w:rsidP="00957C52">
            <w:pPr>
              <w:jc w:val="right"/>
              <w:rPr>
                <w:rFonts w:asciiTheme="minorHAnsi" w:hAnsiTheme="minorHAnsi" w:cstheme="minorHAnsi"/>
              </w:rPr>
            </w:pPr>
            <w:r w:rsidRPr="004258F5">
              <w:rPr>
                <w:rFonts w:asciiTheme="minorHAnsi" w:hAnsiTheme="minorHAnsi" w:cstheme="minorHAnsi"/>
              </w:rPr>
              <w:t>35,</w:t>
            </w:r>
            <w:r w:rsidR="00204B74">
              <w:rPr>
                <w:rFonts w:asciiTheme="minorHAnsi" w:hAnsiTheme="minorHAnsi" w:cstheme="minorHAnsi"/>
              </w:rPr>
              <w:t>461,206</w:t>
            </w:r>
          </w:p>
        </w:tc>
        <w:tc>
          <w:tcPr>
            <w:tcW w:w="399" w:type="dxa"/>
          </w:tcPr>
          <w:p w14:paraId="1AFE4410" w14:textId="77777777" w:rsidR="00DA3CE9" w:rsidRPr="004258F5" w:rsidRDefault="00DA3CE9" w:rsidP="00957C52">
            <w:pPr>
              <w:jc w:val="right"/>
              <w:rPr>
                <w:rFonts w:asciiTheme="minorHAnsi" w:hAnsiTheme="minorHAnsi" w:cstheme="minorHAnsi"/>
                <w:b/>
              </w:rPr>
            </w:pPr>
          </w:p>
        </w:tc>
        <w:tc>
          <w:tcPr>
            <w:tcW w:w="1265" w:type="dxa"/>
          </w:tcPr>
          <w:p w14:paraId="2785CE7D" w14:textId="59C18919" w:rsidR="00DA3CE9" w:rsidRPr="00542A05" w:rsidRDefault="00DA3CE9" w:rsidP="00957C52">
            <w:pPr>
              <w:jc w:val="right"/>
              <w:rPr>
                <w:rFonts w:asciiTheme="minorHAnsi" w:hAnsiTheme="minorHAnsi" w:cstheme="minorHAnsi"/>
                <w:b/>
                <w:bCs/>
                <w:color w:val="FF0000"/>
              </w:rPr>
            </w:pPr>
            <w:r>
              <w:rPr>
                <w:rFonts w:asciiTheme="minorHAnsi" w:hAnsiTheme="minorHAnsi" w:cstheme="minorHAnsi"/>
                <w:b/>
                <w:bCs/>
                <w:color w:val="FF0000"/>
              </w:rPr>
              <w:t>-</w:t>
            </w:r>
          </w:p>
        </w:tc>
        <w:tc>
          <w:tcPr>
            <w:tcW w:w="350" w:type="dxa"/>
          </w:tcPr>
          <w:p w14:paraId="534F5F7C" w14:textId="77777777" w:rsidR="00DA3CE9" w:rsidRPr="004258F5" w:rsidRDefault="00DA3CE9" w:rsidP="00957C52">
            <w:pPr>
              <w:jc w:val="right"/>
              <w:rPr>
                <w:rFonts w:asciiTheme="minorHAnsi" w:hAnsiTheme="minorHAnsi" w:cstheme="minorHAnsi"/>
              </w:rPr>
            </w:pPr>
          </w:p>
        </w:tc>
        <w:tc>
          <w:tcPr>
            <w:tcW w:w="1083" w:type="dxa"/>
          </w:tcPr>
          <w:p w14:paraId="270EFC3A" w14:textId="77777777" w:rsidR="00DA3CE9" w:rsidRPr="004258F5" w:rsidRDefault="00DA3CE9" w:rsidP="00957C52">
            <w:pPr>
              <w:jc w:val="right"/>
              <w:rPr>
                <w:rFonts w:asciiTheme="minorHAnsi" w:hAnsiTheme="minorHAnsi" w:cstheme="minorHAnsi"/>
              </w:rPr>
            </w:pPr>
            <w:r w:rsidRPr="004258F5">
              <w:rPr>
                <w:rFonts w:asciiTheme="minorHAnsi" w:hAnsiTheme="minorHAnsi" w:cstheme="minorHAnsi"/>
              </w:rPr>
              <w:t>21,277</w:t>
            </w:r>
          </w:p>
        </w:tc>
      </w:tr>
      <w:tr w:rsidR="00DA3CE9" w:rsidRPr="004258F5" w14:paraId="51874C49" w14:textId="77777777" w:rsidTr="00957C52">
        <w:tc>
          <w:tcPr>
            <w:tcW w:w="4173" w:type="dxa"/>
          </w:tcPr>
          <w:p w14:paraId="62772404" w14:textId="77777777" w:rsidR="00DA3CE9" w:rsidRPr="004258F5" w:rsidRDefault="00DA3CE9" w:rsidP="00957C52">
            <w:pPr>
              <w:rPr>
                <w:rFonts w:asciiTheme="minorHAnsi" w:hAnsiTheme="minorHAnsi" w:cstheme="minorHAnsi"/>
                <w:bCs/>
                <w:color w:val="000000"/>
              </w:rPr>
            </w:pPr>
            <w:r w:rsidRPr="004258F5">
              <w:rPr>
                <w:rFonts w:asciiTheme="minorHAnsi" w:hAnsiTheme="minorHAnsi" w:cstheme="minorHAnsi"/>
                <w:bCs/>
                <w:color w:val="000000"/>
              </w:rPr>
              <w:t>Issued during the year</w:t>
            </w:r>
          </w:p>
        </w:tc>
        <w:tc>
          <w:tcPr>
            <w:tcW w:w="1330" w:type="dxa"/>
            <w:tcBorders>
              <w:bottom w:val="single" w:sz="12" w:space="0" w:color="auto"/>
            </w:tcBorders>
          </w:tcPr>
          <w:p w14:paraId="0FAD8905" w14:textId="691CD0D5" w:rsidR="00DA3CE9" w:rsidRPr="004258F5" w:rsidRDefault="00DA3CE9" w:rsidP="00957C52">
            <w:pPr>
              <w:jc w:val="right"/>
              <w:rPr>
                <w:rFonts w:asciiTheme="minorHAnsi" w:hAnsiTheme="minorHAnsi" w:cstheme="minorHAnsi"/>
              </w:rPr>
            </w:pPr>
            <w:r>
              <w:rPr>
                <w:rFonts w:asciiTheme="minorHAnsi" w:hAnsiTheme="minorHAnsi" w:cstheme="minorHAnsi"/>
              </w:rPr>
              <w:t>290,078</w:t>
            </w:r>
          </w:p>
        </w:tc>
        <w:tc>
          <w:tcPr>
            <w:tcW w:w="399" w:type="dxa"/>
          </w:tcPr>
          <w:p w14:paraId="0F6E36F2" w14:textId="77777777" w:rsidR="00DA3CE9" w:rsidRPr="004258F5" w:rsidRDefault="00DA3CE9" w:rsidP="00957C52">
            <w:pPr>
              <w:jc w:val="right"/>
              <w:rPr>
                <w:rFonts w:asciiTheme="minorHAnsi" w:hAnsiTheme="minorHAnsi" w:cstheme="minorHAnsi"/>
                <w:b/>
              </w:rPr>
            </w:pPr>
          </w:p>
        </w:tc>
        <w:tc>
          <w:tcPr>
            <w:tcW w:w="1265" w:type="dxa"/>
            <w:tcBorders>
              <w:bottom w:val="single" w:sz="12" w:space="0" w:color="auto"/>
            </w:tcBorders>
          </w:tcPr>
          <w:p w14:paraId="123EA940" w14:textId="732352B8" w:rsidR="00DA3CE9" w:rsidRPr="00542A05" w:rsidRDefault="00DA3CE9" w:rsidP="00957C52">
            <w:pPr>
              <w:jc w:val="right"/>
              <w:rPr>
                <w:rFonts w:asciiTheme="minorHAnsi" w:hAnsiTheme="minorHAnsi" w:cstheme="minorHAnsi"/>
                <w:b/>
                <w:bCs/>
              </w:rPr>
            </w:pPr>
            <w:r>
              <w:rPr>
                <w:rFonts w:asciiTheme="minorHAnsi" w:hAnsiTheme="minorHAnsi" w:cstheme="minorHAnsi"/>
                <w:b/>
                <w:bCs/>
              </w:rPr>
              <w:t>-</w:t>
            </w:r>
          </w:p>
        </w:tc>
        <w:tc>
          <w:tcPr>
            <w:tcW w:w="350" w:type="dxa"/>
          </w:tcPr>
          <w:p w14:paraId="08EFACBB" w14:textId="77777777" w:rsidR="00DA3CE9" w:rsidRPr="004258F5" w:rsidRDefault="00DA3CE9" w:rsidP="00957C52">
            <w:pPr>
              <w:jc w:val="right"/>
              <w:rPr>
                <w:rFonts w:asciiTheme="minorHAnsi" w:hAnsiTheme="minorHAnsi" w:cstheme="minorHAnsi"/>
              </w:rPr>
            </w:pPr>
          </w:p>
        </w:tc>
        <w:tc>
          <w:tcPr>
            <w:tcW w:w="1083" w:type="dxa"/>
            <w:tcBorders>
              <w:bottom w:val="single" w:sz="12" w:space="0" w:color="auto"/>
            </w:tcBorders>
          </w:tcPr>
          <w:p w14:paraId="6DC2496A" w14:textId="77777777" w:rsidR="00DA3CE9" w:rsidRPr="004258F5" w:rsidRDefault="00DA3CE9" w:rsidP="00957C52">
            <w:pPr>
              <w:jc w:val="right"/>
              <w:rPr>
                <w:rFonts w:asciiTheme="minorHAnsi" w:hAnsiTheme="minorHAnsi" w:cstheme="minorHAnsi"/>
              </w:rPr>
            </w:pPr>
            <w:r w:rsidRPr="004258F5">
              <w:rPr>
                <w:rFonts w:asciiTheme="minorHAnsi" w:hAnsiTheme="minorHAnsi" w:cstheme="minorHAnsi"/>
              </w:rPr>
              <w:t>174</w:t>
            </w:r>
          </w:p>
        </w:tc>
      </w:tr>
      <w:tr w:rsidR="00DA3CE9" w:rsidRPr="004258F5" w14:paraId="5B45336A" w14:textId="77777777" w:rsidTr="00957C52">
        <w:tc>
          <w:tcPr>
            <w:tcW w:w="4173" w:type="dxa"/>
          </w:tcPr>
          <w:p w14:paraId="4E867232" w14:textId="77777777" w:rsidR="00DA3CE9" w:rsidRPr="004258F5" w:rsidRDefault="00DA3CE9" w:rsidP="00957C52">
            <w:pPr>
              <w:rPr>
                <w:rFonts w:asciiTheme="minorHAnsi" w:hAnsiTheme="minorHAnsi" w:cstheme="minorHAnsi"/>
                <w:color w:val="000000"/>
              </w:rPr>
            </w:pPr>
            <w:r w:rsidRPr="004258F5">
              <w:rPr>
                <w:rFonts w:asciiTheme="minorHAnsi" w:hAnsiTheme="minorHAnsi" w:cstheme="minorHAnsi"/>
                <w:color w:val="000000"/>
              </w:rPr>
              <w:t>At the end of the year</w:t>
            </w:r>
          </w:p>
        </w:tc>
        <w:tc>
          <w:tcPr>
            <w:tcW w:w="1330" w:type="dxa"/>
            <w:tcBorders>
              <w:top w:val="single" w:sz="12" w:space="0" w:color="auto"/>
            </w:tcBorders>
          </w:tcPr>
          <w:p w14:paraId="16D7D4AA" w14:textId="1CD14731" w:rsidR="00DA3CE9" w:rsidRPr="004258F5" w:rsidRDefault="00DA3CE9" w:rsidP="00957C52">
            <w:pPr>
              <w:jc w:val="right"/>
              <w:rPr>
                <w:rFonts w:asciiTheme="minorHAnsi" w:hAnsiTheme="minorHAnsi" w:cstheme="minorHAnsi"/>
              </w:rPr>
            </w:pPr>
            <w:r w:rsidRPr="004258F5">
              <w:rPr>
                <w:rFonts w:asciiTheme="minorHAnsi" w:hAnsiTheme="minorHAnsi" w:cstheme="minorHAnsi"/>
              </w:rPr>
              <w:t>35,</w:t>
            </w:r>
            <w:r w:rsidR="00204B74">
              <w:rPr>
                <w:rFonts w:asciiTheme="minorHAnsi" w:hAnsiTheme="minorHAnsi" w:cstheme="minorHAnsi"/>
              </w:rPr>
              <w:t>751,284</w:t>
            </w:r>
          </w:p>
        </w:tc>
        <w:tc>
          <w:tcPr>
            <w:tcW w:w="399" w:type="dxa"/>
          </w:tcPr>
          <w:p w14:paraId="710631D5" w14:textId="77777777" w:rsidR="00DA3CE9" w:rsidRPr="004258F5" w:rsidRDefault="00DA3CE9" w:rsidP="00957C52">
            <w:pPr>
              <w:jc w:val="right"/>
              <w:rPr>
                <w:rFonts w:asciiTheme="minorHAnsi" w:hAnsiTheme="minorHAnsi" w:cstheme="minorHAnsi"/>
              </w:rPr>
            </w:pPr>
          </w:p>
        </w:tc>
        <w:tc>
          <w:tcPr>
            <w:tcW w:w="1265" w:type="dxa"/>
            <w:tcBorders>
              <w:top w:val="single" w:sz="12" w:space="0" w:color="auto"/>
            </w:tcBorders>
          </w:tcPr>
          <w:p w14:paraId="15B29B70" w14:textId="6256410F" w:rsidR="00DA3CE9" w:rsidRPr="00542A05" w:rsidRDefault="00DA3CE9" w:rsidP="00957C52">
            <w:pPr>
              <w:jc w:val="right"/>
              <w:rPr>
                <w:rFonts w:asciiTheme="minorHAnsi" w:hAnsiTheme="minorHAnsi" w:cstheme="minorHAnsi"/>
                <w:b/>
                <w:bCs/>
                <w:color w:val="FF0000"/>
              </w:rPr>
            </w:pPr>
            <w:r>
              <w:rPr>
                <w:rFonts w:asciiTheme="minorHAnsi" w:hAnsiTheme="minorHAnsi" w:cstheme="minorHAnsi"/>
                <w:b/>
                <w:bCs/>
              </w:rPr>
              <w:t>-</w:t>
            </w:r>
          </w:p>
        </w:tc>
        <w:tc>
          <w:tcPr>
            <w:tcW w:w="350" w:type="dxa"/>
          </w:tcPr>
          <w:p w14:paraId="0001D043" w14:textId="77777777" w:rsidR="00DA3CE9" w:rsidRPr="004258F5" w:rsidRDefault="00DA3CE9" w:rsidP="00957C52">
            <w:pPr>
              <w:jc w:val="right"/>
              <w:rPr>
                <w:rFonts w:asciiTheme="minorHAnsi" w:hAnsiTheme="minorHAnsi" w:cstheme="minorHAnsi"/>
              </w:rPr>
            </w:pPr>
          </w:p>
        </w:tc>
        <w:tc>
          <w:tcPr>
            <w:tcW w:w="1083" w:type="dxa"/>
            <w:tcBorders>
              <w:top w:val="single" w:sz="12" w:space="0" w:color="auto"/>
            </w:tcBorders>
          </w:tcPr>
          <w:p w14:paraId="609F5322" w14:textId="77777777" w:rsidR="00DA3CE9" w:rsidRPr="004258F5" w:rsidRDefault="00DA3CE9" w:rsidP="00957C52">
            <w:pPr>
              <w:jc w:val="right"/>
              <w:rPr>
                <w:rFonts w:asciiTheme="minorHAnsi" w:hAnsiTheme="minorHAnsi" w:cstheme="minorHAnsi"/>
              </w:rPr>
            </w:pPr>
            <w:r w:rsidRPr="004258F5">
              <w:rPr>
                <w:rFonts w:asciiTheme="minorHAnsi" w:hAnsiTheme="minorHAnsi" w:cstheme="minorHAnsi"/>
              </w:rPr>
              <w:t>21,451</w:t>
            </w:r>
          </w:p>
        </w:tc>
      </w:tr>
      <w:tr w:rsidR="00DA3CE9" w:rsidRPr="004258F5" w14:paraId="6F6BA663" w14:textId="77777777" w:rsidTr="0006365D">
        <w:tc>
          <w:tcPr>
            <w:tcW w:w="4173" w:type="dxa"/>
          </w:tcPr>
          <w:p w14:paraId="3D85A11C" w14:textId="77777777" w:rsidR="00DA3CE9" w:rsidRPr="004258F5" w:rsidRDefault="00DA3CE9" w:rsidP="00DA3CE9">
            <w:pPr>
              <w:rPr>
                <w:rFonts w:asciiTheme="minorHAnsi" w:hAnsiTheme="minorHAnsi" w:cstheme="minorHAnsi"/>
                <w:b/>
                <w:bCs/>
                <w:color w:val="000000"/>
              </w:rPr>
            </w:pPr>
          </w:p>
        </w:tc>
        <w:tc>
          <w:tcPr>
            <w:tcW w:w="1330" w:type="dxa"/>
          </w:tcPr>
          <w:p w14:paraId="4A828EEE" w14:textId="77777777" w:rsidR="00DA3CE9" w:rsidRPr="004258F5" w:rsidRDefault="00DA3CE9" w:rsidP="00DA3CE9">
            <w:pPr>
              <w:jc w:val="right"/>
              <w:rPr>
                <w:rFonts w:asciiTheme="minorHAnsi" w:hAnsiTheme="minorHAnsi" w:cstheme="minorHAnsi"/>
              </w:rPr>
            </w:pPr>
          </w:p>
        </w:tc>
        <w:tc>
          <w:tcPr>
            <w:tcW w:w="399" w:type="dxa"/>
          </w:tcPr>
          <w:p w14:paraId="0DB21F8C" w14:textId="77777777" w:rsidR="00DA3CE9" w:rsidRPr="004258F5" w:rsidRDefault="00DA3CE9" w:rsidP="00DA3CE9">
            <w:pPr>
              <w:jc w:val="right"/>
              <w:rPr>
                <w:rFonts w:asciiTheme="minorHAnsi" w:hAnsiTheme="minorHAnsi" w:cstheme="minorHAnsi"/>
              </w:rPr>
            </w:pPr>
          </w:p>
        </w:tc>
        <w:tc>
          <w:tcPr>
            <w:tcW w:w="1265" w:type="dxa"/>
          </w:tcPr>
          <w:p w14:paraId="05710498" w14:textId="77777777" w:rsidR="00DA3CE9" w:rsidRPr="00542A05" w:rsidRDefault="00DA3CE9" w:rsidP="00DA3CE9">
            <w:pPr>
              <w:jc w:val="right"/>
              <w:rPr>
                <w:rFonts w:asciiTheme="minorHAnsi" w:hAnsiTheme="minorHAnsi" w:cstheme="minorHAnsi"/>
                <w:b/>
                <w:bCs/>
              </w:rPr>
            </w:pPr>
          </w:p>
        </w:tc>
        <w:tc>
          <w:tcPr>
            <w:tcW w:w="350" w:type="dxa"/>
          </w:tcPr>
          <w:p w14:paraId="5BCA00AD" w14:textId="77777777" w:rsidR="00DA3CE9" w:rsidRPr="004258F5" w:rsidRDefault="00DA3CE9" w:rsidP="00DA3CE9">
            <w:pPr>
              <w:jc w:val="right"/>
              <w:rPr>
                <w:rFonts w:asciiTheme="minorHAnsi" w:hAnsiTheme="minorHAnsi" w:cstheme="minorHAnsi"/>
              </w:rPr>
            </w:pPr>
          </w:p>
        </w:tc>
        <w:tc>
          <w:tcPr>
            <w:tcW w:w="1083" w:type="dxa"/>
          </w:tcPr>
          <w:p w14:paraId="6F88D54C" w14:textId="77777777" w:rsidR="00DA3CE9" w:rsidRPr="004258F5" w:rsidRDefault="00DA3CE9" w:rsidP="00DA3CE9">
            <w:pPr>
              <w:jc w:val="right"/>
              <w:rPr>
                <w:rFonts w:asciiTheme="minorHAnsi" w:hAnsiTheme="minorHAnsi" w:cstheme="minorHAnsi"/>
              </w:rPr>
            </w:pPr>
          </w:p>
        </w:tc>
      </w:tr>
      <w:tr w:rsidR="00DA3CE9" w:rsidRPr="004258F5" w14:paraId="6F552E9F" w14:textId="77777777" w:rsidTr="0006365D">
        <w:tc>
          <w:tcPr>
            <w:tcW w:w="4173" w:type="dxa"/>
          </w:tcPr>
          <w:p w14:paraId="77EA89D3" w14:textId="1622B351" w:rsidR="00DA3CE9" w:rsidRPr="004258F5" w:rsidRDefault="00DA3CE9" w:rsidP="00DA3CE9">
            <w:pPr>
              <w:rPr>
                <w:rFonts w:asciiTheme="minorHAnsi" w:hAnsiTheme="minorHAnsi" w:cstheme="minorHAnsi"/>
                <w:b/>
                <w:bCs/>
                <w:color w:val="000000"/>
              </w:rPr>
            </w:pPr>
            <w:r w:rsidRPr="004258F5">
              <w:rPr>
                <w:rFonts w:asciiTheme="minorHAnsi" w:hAnsiTheme="minorHAnsi" w:cstheme="minorHAnsi"/>
                <w:b/>
                <w:bCs/>
                <w:color w:val="000000"/>
              </w:rPr>
              <w:t>Issued and fully paid:</w:t>
            </w:r>
          </w:p>
        </w:tc>
        <w:tc>
          <w:tcPr>
            <w:tcW w:w="1330" w:type="dxa"/>
          </w:tcPr>
          <w:p w14:paraId="7BB649C7" w14:textId="77777777" w:rsidR="00DA3CE9" w:rsidRPr="004258F5" w:rsidRDefault="00DA3CE9" w:rsidP="00DA3CE9">
            <w:pPr>
              <w:jc w:val="right"/>
              <w:rPr>
                <w:rFonts w:asciiTheme="minorHAnsi" w:hAnsiTheme="minorHAnsi" w:cstheme="minorHAnsi"/>
              </w:rPr>
            </w:pPr>
          </w:p>
        </w:tc>
        <w:tc>
          <w:tcPr>
            <w:tcW w:w="399" w:type="dxa"/>
          </w:tcPr>
          <w:p w14:paraId="1B394750" w14:textId="77777777" w:rsidR="00DA3CE9" w:rsidRPr="004258F5" w:rsidRDefault="00DA3CE9" w:rsidP="00DA3CE9">
            <w:pPr>
              <w:jc w:val="right"/>
              <w:rPr>
                <w:rFonts w:asciiTheme="minorHAnsi" w:hAnsiTheme="minorHAnsi" w:cstheme="minorHAnsi"/>
              </w:rPr>
            </w:pPr>
          </w:p>
        </w:tc>
        <w:tc>
          <w:tcPr>
            <w:tcW w:w="1265" w:type="dxa"/>
          </w:tcPr>
          <w:p w14:paraId="7F7190D0" w14:textId="77777777" w:rsidR="00DA3CE9" w:rsidRPr="00542A05" w:rsidRDefault="00DA3CE9" w:rsidP="00DA3CE9">
            <w:pPr>
              <w:jc w:val="right"/>
              <w:rPr>
                <w:rFonts w:asciiTheme="minorHAnsi" w:hAnsiTheme="minorHAnsi" w:cstheme="minorHAnsi"/>
                <w:b/>
                <w:bCs/>
              </w:rPr>
            </w:pPr>
          </w:p>
        </w:tc>
        <w:tc>
          <w:tcPr>
            <w:tcW w:w="350" w:type="dxa"/>
          </w:tcPr>
          <w:p w14:paraId="42CD8A14" w14:textId="77777777" w:rsidR="00DA3CE9" w:rsidRPr="004258F5" w:rsidRDefault="00DA3CE9" w:rsidP="00DA3CE9">
            <w:pPr>
              <w:jc w:val="right"/>
              <w:rPr>
                <w:rFonts w:asciiTheme="minorHAnsi" w:hAnsiTheme="minorHAnsi" w:cstheme="minorHAnsi"/>
              </w:rPr>
            </w:pPr>
          </w:p>
        </w:tc>
        <w:tc>
          <w:tcPr>
            <w:tcW w:w="1083" w:type="dxa"/>
          </w:tcPr>
          <w:p w14:paraId="6236E752" w14:textId="77777777" w:rsidR="00DA3CE9" w:rsidRPr="004258F5" w:rsidRDefault="00DA3CE9" w:rsidP="00DA3CE9">
            <w:pPr>
              <w:jc w:val="right"/>
              <w:rPr>
                <w:rFonts w:asciiTheme="minorHAnsi" w:hAnsiTheme="minorHAnsi" w:cstheme="minorHAnsi"/>
              </w:rPr>
            </w:pPr>
          </w:p>
        </w:tc>
      </w:tr>
      <w:tr w:rsidR="00AA0DE9" w:rsidRPr="004258F5" w14:paraId="507F8080" w14:textId="77777777" w:rsidTr="0006365D">
        <w:tc>
          <w:tcPr>
            <w:tcW w:w="4173" w:type="dxa"/>
          </w:tcPr>
          <w:p w14:paraId="31EA70F0" w14:textId="07D6BB49" w:rsidR="00AA0DE9" w:rsidRPr="004258F5" w:rsidRDefault="00AA0DE9" w:rsidP="000D0A67">
            <w:pPr>
              <w:rPr>
                <w:rFonts w:asciiTheme="minorHAnsi" w:hAnsiTheme="minorHAnsi" w:cstheme="minorHAnsi"/>
                <w:color w:val="000000"/>
              </w:rPr>
            </w:pPr>
            <w:proofErr w:type="gramStart"/>
            <w:r w:rsidRPr="004258F5">
              <w:rPr>
                <w:rFonts w:asciiTheme="minorHAnsi" w:hAnsiTheme="minorHAnsi" w:cstheme="minorHAnsi"/>
                <w:bCs/>
                <w:color w:val="000000"/>
              </w:rPr>
              <w:t>At</w:t>
            </w:r>
            <w:proofErr w:type="gramEnd"/>
            <w:r w:rsidRPr="004258F5">
              <w:rPr>
                <w:rFonts w:asciiTheme="minorHAnsi" w:hAnsiTheme="minorHAnsi" w:cstheme="minorHAnsi"/>
                <w:bCs/>
                <w:color w:val="000000"/>
              </w:rPr>
              <w:t xml:space="preserve"> </w:t>
            </w:r>
            <w:r w:rsidR="00204B74">
              <w:rPr>
                <w:rFonts w:asciiTheme="minorHAnsi" w:hAnsiTheme="minorHAnsi" w:cstheme="minorHAnsi"/>
                <w:bCs/>
                <w:color w:val="000000"/>
              </w:rPr>
              <w:t>1 January 2023</w:t>
            </w:r>
          </w:p>
        </w:tc>
        <w:tc>
          <w:tcPr>
            <w:tcW w:w="1330" w:type="dxa"/>
          </w:tcPr>
          <w:p w14:paraId="09FB85AD" w14:textId="30BD8AD4" w:rsidR="00AA0DE9" w:rsidRPr="004258F5" w:rsidRDefault="00AA0DE9" w:rsidP="006A43D4">
            <w:pPr>
              <w:jc w:val="right"/>
              <w:rPr>
                <w:rFonts w:asciiTheme="minorHAnsi" w:hAnsiTheme="minorHAnsi" w:cstheme="minorHAnsi"/>
              </w:rPr>
            </w:pPr>
            <w:r w:rsidRPr="004258F5">
              <w:rPr>
                <w:rFonts w:asciiTheme="minorHAnsi" w:hAnsiTheme="minorHAnsi" w:cstheme="minorHAnsi"/>
              </w:rPr>
              <w:t>35,</w:t>
            </w:r>
            <w:r w:rsidR="002641E4" w:rsidRPr="004258F5">
              <w:rPr>
                <w:rFonts w:asciiTheme="minorHAnsi" w:hAnsiTheme="minorHAnsi" w:cstheme="minorHAnsi"/>
              </w:rPr>
              <w:t>751,284</w:t>
            </w:r>
          </w:p>
        </w:tc>
        <w:tc>
          <w:tcPr>
            <w:tcW w:w="399" w:type="dxa"/>
          </w:tcPr>
          <w:p w14:paraId="1143F333" w14:textId="77777777" w:rsidR="00AA0DE9" w:rsidRPr="004258F5" w:rsidRDefault="00AA0DE9" w:rsidP="006A43D4">
            <w:pPr>
              <w:jc w:val="right"/>
              <w:rPr>
                <w:rFonts w:asciiTheme="minorHAnsi" w:hAnsiTheme="minorHAnsi" w:cstheme="minorHAnsi"/>
                <w:b/>
              </w:rPr>
            </w:pPr>
          </w:p>
        </w:tc>
        <w:tc>
          <w:tcPr>
            <w:tcW w:w="1265" w:type="dxa"/>
          </w:tcPr>
          <w:p w14:paraId="76D5AB97" w14:textId="1929CC25" w:rsidR="00AA0DE9" w:rsidRPr="00542A05" w:rsidRDefault="000D0A67" w:rsidP="006A43D4">
            <w:pPr>
              <w:jc w:val="right"/>
              <w:rPr>
                <w:rFonts w:asciiTheme="minorHAnsi" w:hAnsiTheme="minorHAnsi" w:cstheme="minorHAnsi"/>
                <w:b/>
                <w:bCs/>
                <w:color w:val="FF0000"/>
              </w:rPr>
            </w:pPr>
            <w:r w:rsidRPr="00542A05">
              <w:rPr>
                <w:rFonts w:asciiTheme="minorHAnsi" w:hAnsiTheme="minorHAnsi" w:cstheme="minorHAnsi"/>
                <w:b/>
                <w:bCs/>
              </w:rPr>
              <w:t>21,</w:t>
            </w:r>
            <w:r w:rsidR="0006365D" w:rsidRPr="00542A05">
              <w:rPr>
                <w:rFonts w:asciiTheme="minorHAnsi" w:hAnsiTheme="minorHAnsi" w:cstheme="minorHAnsi"/>
                <w:b/>
                <w:bCs/>
              </w:rPr>
              <w:t>451</w:t>
            </w:r>
          </w:p>
        </w:tc>
        <w:tc>
          <w:tcPr>
            <w:tcW w:w="350" w:type="dxa"/>
          </w:tcPr>
          <w:p w14:paraId="7E24A54E" w14:textId="77777777" w:rsidR="00AA0DE9" w:rsidRPr="004258F5" w:rsidRDefault="00AA0DE9" w:rsidP="006A43D4">
            <w:pPr>
              <w:jc w:val="right"/>
              <w:rPr>
                <w:rFonts w:asciiTheme="minorHAnsi" w:hAnsiTheme="minorHAnsi" w:cstheme="minorHAnsi"/>
              </w:rPr>
            </w:pPr>
          </w:p>
        </w:tc>
        <w:tc>
          <w:tcPr>
            <w:tcW w:w="1083" w:type="dxa"/>
          </w:tcPr>
          <w:p w14:paraId="5EE69F70" w14:textId="4C45F8A7" w:rsidR="00AA0DE9" w:rsidRPr="004258F5" w:rsidRDefault="00DA3CE9" w:rsidP="006A43D4">
            <w:pPr>
              <w:jc w:val="right"/>
              <w:rPr>
                <w:rFonts w:asciiTheme="minorHAnsi" w:hAnsiTheme="minorHAnsi" w:cstheme="minorHAnsi"/>
              </w:rPr>
            </w:pPr>
            <w:r>
              <w:rPr>
                <w:rFonts w:asciiTheme="minorHAnsi" w:hAnsiTheme="minorHAnsi" w:cstheme="minorHAnsi"/>
              </w:rPr>
              <w:t>-</w:t>
            </w:r>
          </w:p>
        </w:tc>
      </w:tr>
      <w:tr w:rsidR="0006365D" w:rsidRPr="004258F5" w14:paraId="5B7CFE0C" w14:textId="77777777" w:rsidTr="0006365D">
        <w:tc>
          <w:tcPr>
            <w:tcW w:w="4173" w:type="dxa"/>
          </w:tcPr>
          <w:p w14:paraId="1684C402" w14:textId="4CEE0F5F" w:rsidR="0006365D" w:rsidRPr="004258F5" w:rsidRDefault="0006365D" w:rsidP="0006365D">
            <w:pPr>
              <w:rPr>
                <w:rFonts w:asciiTheme="minorHAnsi" w:hAnsiTheme="minorHAnsi" w:cstheme="minorHAnsi"/>
                <w:bCs/>
                <w:color w:val="000000"/>
              </w:rPr>
            </w:pPr>
            <w:r w:rsidRPr="004258F5">
              <w:rPr>
                <w:rFonts w:asciiTheme="minorHAnsi" w:hAnsiTheme="minorHAnsi" w:cstheme="minorHAnsi"/>
                <w:bCs/>
                <w:color w:val="000000"/>
              </w:rPr>
              <w:t>Issued during the year</w:t>
            </w:r>
          </w:p>
        </w:tc>
        <w:tc>
          <w:tcPr>
            <w:tcW w:w="1330" w:type="dxa"/>
            <w:tcBorders>
              <w:bottom w:val="single" w:sz="12" w:space="0" w:color="auto"/>
            </w:tcBorders>
          </w:tcPr>
          <w:p w14:paraId="7E6042E3" w14:textId="3360EA6C" w:rsidR="0006365D" w:rsidRPr="004258F5" w:rsidRDefault="00DA3CE9" w:rsidP="0006365D">
            <w:pPr>
              <w:jc w:val="right"/>
              <w:rPr>
                <w:rFonts w:asciiTheme="minorHAnsi" w:hAnsiTheme="minorHAnsi" w:cstheme="minorHAnsi"/>
              </w:rPr>
            </w:pPr>
            <w:r>
              <w:rPr>
                <w:rFonts w:asciiTheme="minorHAnsi" w:hAnsiTheme="minorHAnsi" w:cstheme="minorHAnsi"/>
              </w:rPr>
              <w:t>269,688</w:t>
            </w:r>
          </w:p>
        </w:tc>
        <w:tc>
          <w:tcPr>
            <w:tcW w:w="399" w:type="dxa"/>
          </w:tcPr>
          <w:p w14:paraId="4DF2F2B7" w14:textId="77777777" w:rsidR="0006365D" w:rsidRPr="004258F5" w:rsidRDefault="0006365D" w:rsidP="0006365D">
            <w:pPr>
              <w:jc w:val="right"/>
              <w:rPr>
                <w:rFonts w:asciiTheme="minorHAnsi" w:hAnsiTheme="minorHAnsi" w:cstheme="minorHAnsi"/>
                <w:b/>
              </w:rPr>
            </w:pPr>
          </w:p>
        </w:tc>
        <w:tc>
          <w:tcPr>
            <w:tcW w:w="1265" w:type="dxa"/>
            <w:tcBorders>
              <w:bottom w:val="single" w:sz="12" w:space="0" w:color="auto"/>
            </w:tcBorders>
          </w:tcPr>
          <w:p w14:paraId="7C563C74" w14:textId="280DFD37" w:rsidR="0006365D" w:rsidRPr="00542A05" w:rsidRDefault="00005899" w:rsidP="0006365D">
            <w:pPr>
              <w:jc w:val="right"/>
              <w:rPr>
                <w:rFonts w:asciiTheme="minorHAnsi" w:hAnsiTheme="minorHAnsi" w:cstheme="minorHAnsi"/>
                <w:b/>
                <w:bCs/>
              </w:rPr>
            </w:pPr>
            <w:r w:rsidRPr="00542A05">
              <w:rPr>
                <w:rFonts w:asciiTheme="minorHAnsi" w:hAnsiTheme="minorHAnsi" w:cstheme="minorHAnsi"/>
                <w:b/>
                <w:bCs/>
              </w:rPr>
              <w:t>16</w:t>
            </w:r>
            <w:r w:rsidR="00DA3CE9">
              <w:rPr>
                <w:rFonts w:asciiTheme="minorHAnsi" w:hAnsiTheme="minorHAnsi" w:cstheme="minorHAnsi"/>
                <w:b/>
                <w:bCs/>
              </w:rPr>
              <w:t>1</w:t>
            </w:r>
          </w:p>
        </w:tc>
        <w:tc>
          <w:tcPr>
            <w:tcW w:w="350" w:type="dxa"/>
          </w:tcPr>
          <w:p w14:paraId="135A3683" w14:textId="77777777" w:rsidR="0006365D" w:rsidRPr="004258F5" w:rsidRDefault="0006365D" w:rsidP="0006365D">
            <w:pPr>
              <w:jc w:val="right"/>
              <w:rPr>
                <w:rFonts w:asciiTheme="minorHAnsi" w:hAnsiTheme="minorHAnsi" w:cstheme="minorHAnsi"/>
              </w:rPr>
            </w:pPr>
          </w:p>
        </w:tc>
        <w:tc>
          <w:tcPr>
            <w:tcW w:w="1083" w:type="dxa"/>
            <w:tcBorders>
              <w:bottom w:val="single" w:sz="12" w:space="0" w:color="auto"/>
            </w:tcBorders>
          </w:tcPr>
          <w:p w14:paraId="06EA098C" w14:textId="3BB7E180" w:rsidR="0006365D" w:rsidRPr="004258F5" w:rsidRDefault="00DA3CE9" w:rsidP="0006365D">
            <w:pPr>
              <w:jc w:val="right"/>
              <w:rPr>
                <w:rFonts w:asciiTheme="minorHAnsi" w:hAnsiTheme="minorHAnsi" w:cstheme="minorHAnsi"/>
              </w:rPr>
            </w:pPr>
            <w:r>
              <w:rPr>
                <w:rFonts w:asciiTheme="minorHAnsi" w:hAnsiTheme="minorHAnsi" w:cstheme="minorHAnsi"/>
              </w:rPr>
              <w:t>-</w:t>
            </w:r>
          </w:p>
        </w:tc>
      </w:tr>
      <w:tr w:rsidR="0006365D" w:rsidRPr="004258F5" w14:paraId="4F375F3A" w14:textId="77777777" w:rsidTr="0006365D">
        <w:tc>
          <w:tcPr>
            <w:tcW w:w="4173" w:type="dxa"/>
          </w:tcPr>
          <w:p w14:paraId="6615DFF0" w14:textId="0BD3C3B1" w:rsidR="0006365D" w:rsidRPr="004258F5" w:rsidRDefault="0006365D" w:rsidP="0006365D">
            <w:pPr>
              <w:rPr>
                <w:rFonts w:asciiTheme="minorHAnsi" w:hAnsiTheme="minorHAnsi" w:cstheme="minorHAnsi"/>
                <w:color w:val="000000"/>
              </w:rPr>
            </w:pPr>
            <w:r w:rsidRPr="004258F5">
              <w:rPr>
                <w:rFonts w:asciiTheme="minorHAnsi" w:hAnsiTheme="minorHAnsi" w:cstheme="minorHAnsi"/>
                <w:color w:val="000000"/>
              </w:rPr>
              <w:t>At the end of the year</w:t>
            </w:r>
          </w:p>
        </w:tc>
        <w:tc>
          <w:tcPr>
            <w:tcW w:w="1330" w:type="dxa"/>
            <w:tcBorders>
              <w:top w:val="single" w:sz="12" w:space="0" w:color="auto"/>
            </w:tcBorders>
          </w:tcPr>
          <w:p w14:paraId="703CD6CC" w14:textId="399D5576" w:rsidR="0006365D" w:rsidRPr="004258F5" w:rsidRDefault="00DA3CE9" w:rsidP="0006365D">
            <w:pPr>
              <w:jc w:val="right"/>
              <w:rPr>
                <w:rFonts w:asciiTheme="minorHAnsi" w:hAnsiTheme="minorHAnsi" w:cstheme="minorHAnsi"/>
              </w:rPr>
            </w:pPr>
            <w:r>
              <w:rPr>
                <w:rFonts w:asciiTheme="minorHAnsi" w:hAnsiTheme="minorHAnsi" w:cstheme="minorHAnsi"/>
              </w:rPr>
              <w:t>36,020,972</w:t>
            </w:r>
          </w:p>
        </w:tc>
        <w:tc>
          <w:tcPr>
            <w:tcW w:w="399" w:type="dxa"/>
          </w:tcPr>
          <w:p w14:paraId="69093D6D" w14:textId="77777777" w:rsidR="0006365D" w:rsidRPr="004258F5" w:rsidRDefault="0006365D" w:rsidP="0006365D">
            <w:pPr>
              <w:jc w:val="right"/>
              <w:rPr>
                <w:rFonts w:asciiTheme="minorHAnsi" w:hAnsiTheme="minorHAnsi" w:cstheme="minorHAnsi"/>
              </w:rPr>
            </w:pPr>
          </w:p>
        </w:tc>
        <w:tc>
          <w:tcPr>
            <w:tcW w:w="1265" w:type="dxa"/>
            <w:tcBorders>
              <w:top w:val="single" w:sz="12" w:space="0" w:color="auto"/>
            </w:tcBorders>
          </w:tcPr>
          <w:p w14:paraId="22867F67" w14:textId="63E45AF2" w:rsidR="0006365D" w:rsidRPr="00542A05" w:rsidRDefault="0006365D" w:rsidP="0006365D">
            <w:pPr>
              <w:jc w:val="right"/>
              <w:rPr>
                <w:rFonts w:asciiTheme="minorHAnsi" w:hAnsiTheme="minorHAnsi" w:cstheme="minorHAnsi"/>
                <w:b/>
                <w:bCs/>
                <w:color w:val="FF0000"/>
              </w:rPr>
            </w:pPr>
            <w:r w:rsidRPr="00542A05">
              <w:rPr>
                <w:rFonts w:asciiTheme="minorHAnsi" w:hAnsiTheme="minorHAnsi" w:cstheme="minorHAnsi"/>
                <w:b/>
                <w:bCs/>
              </w:rPr>
              <w:t>21,</w:t>
            </w:r>
            <w:r w:rsidR="00005899" w:rsidRPr="00542A05">
              <w:rPr>
                <w:rFonts w:asciiTheme="minorHAnsi" w:hAnsiTheme="minorHAnsi" w:cstheme="minorHAnsi"/>
                <w:b/>
                <w:bCs/>
              </w:rPr>
              <w:t>61</w:t>
            </w:r>
            <w:r w:rsidR="00DA3CE9">
              <w:rPr>
                <w:rFonts w:asciiTheme="minorHAnsi" w:hAnsiTheme="minorHAnsi" w:cstheme="minorHAnsi"/>
                <w:b/>
                <w:bCs/>
              </w:rPr>
              <w:t>2</w:t>
            </w:r>
          </w:p>
        </w:tc>
        <w:tc>
          <w:tcPr>
            <w:tcW w:w="350" w:type="dxa"/>
          </w:tcPr>
          <w:p w14:paraId="1CD24F1D" w14:textId="77777777" w:rsidR="0006365D" w:rsidRPr="004258F5" w:rsidRDefault="0006365D" w:rsidP="0006365D">
            <w:pPr>
              <w:jc w:val="right"/>
              <w:rPr>
                <w:rFonts w:asciiTheme="minorHAnsi" w:hAnsiTheme="minorHAnsi" w:cstheme="minorHAnsi"/>
              </w:rPr>
            </w:pPr>
          </w:p>
        </w:tc>
        <w:tc>
          <w:tcPr>
            <w:tcW w:w="1083" w:type="dxa"/>
            <w:tcBorders>
              <w:top w:val="single" w:sz="12" w:space="0" w:color="auto"/>
            </w:tcBorders>
          </w:tcPr>
          <w:p w14:paraId="4B31C3F5" w14:textId="4A81CFE7" w:rsidR="0006365D" w:rsidRPr="004258F5" w:rsidRDefault="00DA3CE9" w:rsidP="0006365D">
            <w:pPr>
              <w:jc w:val="right"/>
              <w:rPr>
                <w:rFonts w:asciiTheme="minorHAnsi" w:hAnsiTheme="minorHAnsi" w:cstheme="minorHAnsi"/>
              </w:rPr>
            </w:pPr>
            <w:r>
              <w:rPr>
                <w:rFonts w:asciiTheme="minorHAnsi" w:hAnsiTheme="minorHAnsi" w:cstheme="minorHAnsi"/>
              </w:rPr>
              <w:t>-</w:t>
            </w:r>
          </w:p>
        </w:tc>
      </w:tr>
      <w:tr w:rsidR="0006365D" w:rsidRPr="004258F5" w14:paraId="354356CC" w14:textId="77777777" w:rsidTr="0006365D">
        <w:tc>
          <w:tcPr>
            <w:tcW w:w="4173" w:type="dxa"/>
          </w:tcPr>
          <w:p w14:paraId="46718F28" w14:textId="77777777" w:rsidR="0006365D" w:rsidRPr="004258F5" w:rsidRDefault="0006365D" w:rsidP="0006365D">
            <w:pPr>
              <w:jc w:val="right"/>
              <w:rPr>
                <w:rFonts w:asciiTheme="minorHAnsi" w:hAnsiTheme="minorHAnsi" w:cstheme="minorHAnsi"/>
                <w:color w:val="000000"/>
              </w:rPr>
            </w:pPr>
          </w:p>
        </w:tc>
        <w:tc>
          <w:tcPr>
            <w:tcW w:w="1330" w:type="dxa"/>
          </w:tcPr>
          <w:p w14:paraId="0D8DD783" w14:textId="77777777" w:rsidR="0006365D" w:rsidRPr="004258F5" w:rsidRDefault="0006365D" w:rsidP="0006365D">
            <w:pPr>
              <w:jc w:val="right"/>
              <w:rPr>
                <w:rFonts w:asciiTheme="minorHAnsi" w:hAnsiTheme="minorHAnsi" w:cstheme="minorHAnsi"/>
              </w:rPr>
            </w:pPr>
          </w:p>
        </w:tc>
        <w:tc>
          <w:tcPr>
            <w:tcW w:w="399" w:type="dxa"/>
          </w:tcPr>
          <w:p w14:paraId="1591783C" w14:textId="77777777" w:rsidR="0006365D" w:rsidRPr="004258F5" w:rsidRDefault="0006365D" w:rsidP="0006365D">
            <w:pPr>
              <w:jc w:val="right"/>
              <w:rPr>
                <w:rFonts w:asciiTheme="minorHAnsi" w:hAnsiTheme="minorHAnsi" w:cstheme="minorHAnsi"/>
              </w:rPr>
            </w:pPr>
          </w:p>
        </w:tc>
        <w:tc>
          <w:tcPr>
            <w:tcW w:w="1265" w:type="dxa"/>
          </w:tcPr>
          <w:p w14:paraId="08BE5FC1" w14:textId="77777777" w:rsidR="0006365D" w:rsidRPr="00542A05" w:rsidRDefault="0006365D" w:rsidP="0006365D">
            <w:pPr>
              <w:jc w:val="right"/>
              <w:rPr>
                <w:rFonts w:asciiTheme="minorHAnsi" w:hAnsiTheme="minorHAnsi" w:cstheme="minorHAnsi"/>
                <w:b/>
                <w:bCs/>
                <w:color w:val="FF0000"/>
              </w:rPr>
            </w:pPr>
          </w:p>
        </w:tc>
        <w:tc>
          <w:tcPr>
            <w:tcW w:w="350" w:type="dxa"/>
          </w:tcPr>
          <w:p w14:paraId="0A6C2D4F" w14:textId="77777777" w:rsidR="0006365D" w:rsidRPr="004258F5" w:rsidRDefault="0006365D" w:rsidP="0006365D">
            <w:pPr>
              <w:jc w:val="right"/>
              <w:rPr>
                <w:rFonts w:asciiTheme="minorHAnsi" w:hAnsiTheme="minorHAnsi" w:cstheme="minorHAnsi"/>
              </w:rPr>
            </w:pPr>
          </w:p>
        </w:tc>
        <w:tc>
          <w:tcPr>
            <w:tcW w:w="1083" w:type="dxa"/>
          </w:tcPr>
          <w:p w14:paraId="7312DA08" w14:textId="43B498A3" w:rsidR="0006365D" w:rsidRPr="004258F5" w:rsidRDefault="0006365D" w:rsidP="0006365D">
            <w:pPr>
              <w:jc w:val="right"/>
              <w:rPr>
                <w:rFonts w:asciiTheme="minorHAnsi" w:hAnsiTheme="minorHAnsi" w:cstheme="minorHAnsi"/>
              </w:rPr>
            </w:pPr>
          </w:p>
        </w:tc>
      </w:tr>
      <w:tr w:rsidR="00AA0DE9" w:rsidRPr="004258F5" w14:paraId="1B3AC721" w14:textId="77777777" w:rsidTr="0006365D">
        <w:tc>
          <w:tcPr>
            <w:tcW w:w="4173" w:type="dxa"/>
          </w:tcPr>
          <w:p w14:paraId="7365AD8B" w14:textId="77777777" w:rsidR="00AA0DE9" w:rsidRPr="004258F5" w:rsidRDefault="00AA0DE9" w:rsidP="006A43D4">
            <w:pPr>
              <w:ind w:right="142"/>
              <w:rPr>
                <w:rFonts w:asciiTheme="minorHAnsi" w:hAnsiTheme="minorHAnsi" w:cstheme="minorHAnsi"/>
                <w:color w:val="000000"/>
              </w:rPr>
            </w:pPr>
            <w:r w:rsidRPr="004258F5">
              <w:rPr>
                <w:rFonts w:asciiTheme="minorHAnsi" w:hAnsiTheme="minorHAnsi" w:cstheme="minorHAnsi"/>
                <w:color w:val="000000"/>
              </w:rPr>
              <w:t>(ii)</w:t>
            </w:r>
            <w:proofErr w:type="gramStart"/>
            <w:r w:rsidRPr="004258F5">
              <w:rPr>
                <w:rFonts w:asciiTheme="minorHAnsi" w:hAnsiTheme="minorHAnsi" w:cstheme="minorHAnsi"/>
                <w:color w:val="000000"/>
              </w:rPr>
              <w:t xml:space="preserve">   ‘</w:t>
            </w:r>
            <w:proofErr w:type="gramEnd"/>
            <w:r w:rsidRPr="004258F5">
              <w:rPr>
                <w:rFonts w:asciiTheme="minorHAnsi" w:hAnsiTheme="minorHAnsi" w:cstheme="minorHAnsi"/>
                <w:color w:val="000000"/>
              </w:rPr>
              <w:t>A’ Ordinary shares of €0.01 each</w:t>
            </w:r>
          </w:p>
        </w:tc>
        <w:tc>
          <w:tcPr>
            <w:tcW w:w="1330" w:type="dxa"/>
          </w:tcPr>
          <w:p w14:paraId="1EBF9ABE" w14:textId="77777777" w:rsidR="00AA0DE9" w:rsidRPr="004258F5" w:rsidRDefault="00AA0DE9" w:rsidP="006A43D4">
            <w:pPr>
              <w:jc w:val="right"/>
              <w:rPr>
                <w:rFonts w:asciiTheme="minorHAnsi" w:hAnsiTheme="minorHAnsi" w:cstheme="minorHAnsi"/>
              </w:rPr>
            </w:pPr>
          </w:p>
        </w:tc>
        <w:tc>
          <w:tcPr>
            <w:tcW w:w="399" w:type="dxa"/>
          </w:tcPr>
          <w:p w14:paraId="37A03E92" w14:textId="77777777" w:rsidR="00AA0DE9" w:rsidRPr="004258F5" w:rsidRDefault="00AA0DE9" w:rsidP="006A43D4">
            <w:pPr>
              <w:jc w:val="right"/>
              <w:rPr>
                <w:rFonts w:asciiTheme="minorHAnsi" w:hAnsiTheme="minorHAnsi" w:cstheme="minorHAnsi"/>
              </w:rPr>
            </w:pPr>
          </w:p>
        </w:tc>
        <w:tc>
          <w:tcPr>
            <w:tcW w:w="1265" w:type="dxa"/>
          </w:tcPr>
          <w:p w14:paraId="198D2ED3" w14:textId="77777777" w:rsidR="00AA0DE9" w:rsidRPr="00542A05" w:rsidRDefault="00AA0DE9" w:rsidP="006A43D4">
            <w:pPr>
              <w:jc w:val="right"/>
              <w:rPr>
                <w:rFonts w:asciiTheme="minorHAnsi" w:hAnsiTheme="minorHAnsi" w:cstheme="minorHAnsi"/>
                <w:b/>
                <w:bCs/>
              </w:rPr>
            </w:pPr>
          </w:p>
        </w:tc>
        <w:tc>
          <w:tcPr>
            <w:tcW w:w="350" w:type="dxa"/>
          </w:tcPr>
          <w:p w14:paraId="584A0894" w14:textId="77777777" w:rsidR="00AA0DE9" w:rsidRPr="004258F5" w:rsidRDefault="00AA0DE9" w:rsidP="006A43D4">
            <w:pPr>
              <w:jc w:val="right"/>
              <w:rPr>
                <w:rFonts w:asciiTheme="minorHAnsi" w:hAnsiTheme="minorHAnsi" w:cstheme="minorHAnsi"/>
              </w:rPr>
            </w:pPr>
          </w:p>
        </w:tc>
        <w:tc>
          <w:tcPr>
            <w:tcW w:w="1083" w:type="dxa"/>
          </w:tcPr>
          <w:p w14:paraId="2B37EAE3" w14:textId="77777777" w:rsidR="00AA0DE9" w:rsidRPr="004258F5" w:rsidRDefault="00AA0DE9" w:rsidP="006A43D4">
            <w:pPr>
              <w:jc w:val="right"/>
              <w:rPr>
                <w:rFonts w:asciiTheme="minorHAnsi" w:hAnsiTheme="minorHAnsi" w:cstheme="minorHAnsi"/>
              </w:rPr>
            </w:pPr>
          </w:p>
        </w:tc>
      </w:tr>
      <w:tr w:rsidR="00AA0DE9" w:rsidRPr="004258F5" w14:paraId="6169AFA4" w14:textId="77777777" w:rsidTr="0006365D">
        <w:tc>
          <w:tcPr>
            <w:tcW w:w="4173" w:type="dxa"/>
          </w:tcPr>
          <w:p w14:paraId="38F60D76" w14:textId="77777777" w:rsidR="00AA0DE9" w:rsidRPr="004258F5" w:rsidRDefault="00AA0DE9" w:rsidP="006A43D4">
            <w:pPr>
              <w:ind w:right="142"/>
              <w:rPr>
                <w:rFonts w:asciiTheme="minorHAnsi" w:hAnsiTheme="minorHAnsi" w:cstheme="minorHAnsi"/>
                <w:b/>
                <w:color w:val="000000"/>
              </w:rPr>
            </w:pPr>
            <w:r w:rsidRPr="004258F5">
              <w:rPr>
                <w:rFonts w:asciiTheme="minorHAnsi" w:hAnsiTheme="minorHAnsi" w:cstheme="minorHAnsi"/>
                <w:b/>
                <w:color w:val="000000"/>
              </w:rPr>
              <w:t>Authorised:</w:t>
            </w:r>
          </w:p>
        </w:tc>
        <w:tc>
          <w:tcPr>
            <w:tcW w:w="1330" w:type="dxa"/>
          </w:tcPr>
          <w:p w14:paraId="526F44DA" w14:textId="77777777" w:rsidR="00AA0DE9" w:rsidRPr="004258F5" w:rsidRDefault="00AA0DE9" w:rsidP="006A43D4">
            <w:pPr>
              <w:jc w:val="right"/>
              <w:rPr>
                <w:rFonts w:asciiTheme="minorHAnsi" w:hAnsiTheme="minorHAnsi" w:cstheme="minorHAnsi"/>
                <w:u w:val="single"/>
              </w:rPr>
            </w:pPr>
          </w:p>
        </w:tc>
        <w:tc>
          <w:tcPr>
            <w:tcW w:w="399" w:type="dxa"/>
          </w:tcPr>
          <w:p w14:paraId="11B148FF" w14:textId="77777777" w:rsidR="00AA0DE9" w:rsidRPr="004258F5" w:rsidRDefault="00AA0DE9" w:rsidP="006A43D4">
            <w:pPr>
              <w:jc w:val="right"/>
              <w:rPr>
                <w:rFonts w:asciiTheme="minorHAnsi" w:hAnsiTheme="minorHAnsi" w:cstheme="minorHAnsi"/>
                <w:u w:val="single"/>
              </w:rPr>
            </w:pPr>
          </w:p>
        </w:tc>
        <w:tc>
          <w:tcPr>
            <w:tcW w:w="1265" w:type="dxa"/>
          </w:tcPr>
          <w:p w14:paraId="594A2465" w14:textId="77777777" w:rsidR="00AA0DE9" w:rsidRPr="00542A05" w:rsidRDefault="00AA0DE9" w:rsidP="006A43D4">
            <w:pPr>
              <w:jc w:val="right"/>
              <w:rPr>
                <w:rFonts w:asciiTheme="minorHAnsi" w:hAnsiTheme="minorHAnsi" w:cstheme="minorHAnsi"/>
                <w:b/>
                <w:bCs/>
                <w:u w:val="single"/>
              </w:rPr>
            </w:pPr>
          </w:p>
        </w:tc>
        <w:tc>
          <w:tcPr>
            <w:tcW w:w="350" w:type="dxa"/>
          </w:tcPr>
          <w:p w14:paraId="0C6314A8" w14:textId="77777777" w:rsidR="00AA0DE9" w:rsidRPr="004258F5" w:rsidRDefault="00AA0DE9" w:rsidP="006A43D4">
            <w:pPr>
              <w:jc w:val="right"/>
              <w:rPr>
                <w:rFonts w:asciiTheme="minorHAnsi" w:hAnsiTheme="minorHAnsi" w:cstheme="minorHAnsi"/>
                <w:u w:val="single"/>
              </w:rPr>
            </w:pPr>
          </w:p>
        </w:tc>
        <w:tc>
          <w:tcPr>
            <w:tcW w:w="1083" w:type="dxa"/>
          </w:tcPr>
          <w:p w14:paraId="501C1BF7" w14:textId="77777777" w:rsidR="00AA0DE9" w:rsidRPr="004258F5" w:rsidRDefault="00AA0DE9" w:rsidP="006A43D4">
            <w:pPr>
              <w:jc w:val="right"/>
              <w:rPr>
                <w:rFonts w:asciiTheme="minorHAnsi" w:hAnsiTheme="minorHAnsi" w:cstheme="minorHAnsi"/>
                <w:u w:val="single"/>
              </w:rPr>
            </w:pPr>
          </w:p>
        </w:tc>
      </w:tr>
      <w:tr w:rsidR="00954DC7" w:rsidRPr="004258F5" w14:paraId="245F153B" w14:textId="77777777" w:rsidTr="0006365D">
        <w:tc>
          <w:tcPr>
            <w:tcW w:w="4173" w:type="dxa"/>
          </w:tcPr>
          <w:p w14:paraId="2E840969" w14:textId="77777777" w:rsidR="00954DC7" w:rsidRPr="004258F5" w:rsidRDefault="00954DC7" w:rsidP="00954DC7">
            <w:pPr>
              <w:rPr>
                <w:rFonts w:asciiTheme="minorHAnsi" w:hAnsiTheme="minorHAnsi" w:cstheme="minorHAnsi"/>
                <w:color w:val="000000"/>
              </w:rPr>
            </w:pPr>
            <w:r w:rsidRPr="004258F5">
              <w:rPr>
                <w:rFonts w:asciiTheme="minorHAnsi" w:hAnsiTheme="minorHAnsi" w:cstheme="minorHAnsi"/>
                <w:bCs/>
                <w:color w:val="000000"/>
              </w:rPr>
              <w:t>At the beginning and the end of the year</w:t>
            </w:r>
          </w:p>
        </w:tc>
        <w:tc>
          <w:tcPr>
            <w:tcW w:w="1330" w:type="dxa"/>
            <w:tcBorders>
              <w:bottom w:val="single" w:sz="12" w:space="0" w:color="auto"/>
            </w:tcBorders>
          </w:tcPr>
          <w:p w14:paraId="1A69CB07" w14:textId="77777777" w:rsidR="00954DC7" w:rsidRPr="004258F5" w:rsidRDefault="00954DC7" w:rsidP="00954DC7">
            <w:pPr>
              <w:jc w:val="right"/>
              <w:rPr>
                <w:rFonts w:asciiTheme="minorHAnsi" w:hAnsiTheme="minorHAnsi" w:cstheme="minorHAnsi"/>
              </w:rPr>
            </w:pPr>
            <w:r w:rsidRPr="004258F5">
              <w:rPr>
                <w:rFonts w:asciiTheme="minorHAnsi" w:hAnsiTheme="minorHAnsi" w:cstheme="minorHAnsi"/>
              </w:rPr>
              <w:t>120,000,000</w:t>
            </w:r>
          </w:p>
        </w:tc>
        <w:tc>
          <w:tcPr>
            <w:tcW w:w="399" w:type="dxa"/>
          </w:tcPr>
          <w:p w14:paraId="679E82C3" w14:textId="77777777" w:rsidR="00954DC7" w:rsidRPr="004258F5" w:rsidRDefault="00954DC7" w:rsidP="00954DC7">
            <w:pPr>
              <w:jc w:val="right"/>
              <w:rPr>
                <w:rFonts w:asciiTheme="minorHAnsi" w:hAnsiTheme="minorHAnsi" w:cstheme="minorHAnsi"/>
                <w:b/>
              </w:rPr>
            </w:pPr>
          </w:p>
        </w:tc>
        <w:tc>
          <w:tcPr>
            <w:tcW w:w="1265" w:type="dxa"/>
            <w:tcBorders>
              <w:bottom w:val="single" w:sz="12" w:space="0" w:color="auto"/>
            </w:tcBorders>
          </w:tcPr>
          <w:p w14:paraId="470B6E06" w14:textId="58EB14EB" w:rsidR="00954DC7" w:rsidRPr="00542A05" w:rsidRDefault="00954DC7" w:rsidP="00954DC7">
            <w:pPr>
              <w:jc w:val="right"/>
              <w:rPr>
                <w:rFonts w:asciiTheme="minorHAnsi" w:hAnsiTheme="minorHAnsi" w:cstheme="minorHAnsi"/>
                <w:b/>
                <w:bCs/>
              </w:rPr>
            </w:pPr>
            <w:r w:rsidRPr="00542A05">
              <w:rPr>
                <w:rFonts w:asciiTheme="minorHAnsi" w:hAnsiTheme="minorHAnsi" w:cstheme="minorHAnsi"/>
                <w:b/>
                <w:bCs/>
              </w:rPr>
              <w:t>1,200</w:t>
            </w:r>
          </w:p>
        </w:tc>
        <w:tc>
          <w:tcPr>
            <w:tcW w:w="350" w:type="dxa"/>
          </w:tcPr>
          <w:p w14:paraId="1C88A756" w14:textId="77777777" w:rsidR="00954DC7" w:rsidRPr="004258F5" w:rsidRDefault="00954DC7" w:rsidP="00954DC7">
            <w:pPr>
              <w:jc w:val="right"/>
              <w:rPr>
                <w:rFonts w:asciiTheme="minorHAnsi" w:hAnsiTheme="minorHAnsi" w:cstheme="minorHAnsi"/>
              </w:rPr>
            </w:pPr>
          </w:p>
        </w:tc>
        <w:tc>
          <w:tcPr>
            <w:tcW w:w="1083" w:type="dxa"/>
            <w:tcBorders>
              <w:bottom w:val="single" w:sz="12" w:space="0" w:color="auto"/>
            </w:tcBorders>
          </w:tcPr>
          <w:p w14:paraId="418848D6" w14:textId="77777777" w:rsidR="00954DC7" w:rsidRPr="004258F5" w:rsidRDefault="00954DC7" w:rsidP="00954DC7">
            <w:pPr>
              <w:jc w:val="right"/>
              <w:rPr>
                <w:rFonts w:asciiTheme="minorHAnsi" w:hAnsiTheme="minorHAnsi" w:cstheme="minorHAnsi"/>
              </w:rPr>
            </w:pPr>
            <w:r w:rsidRPr="004258F5">
              <w:rPr>
                <w:rFonts w:asciiTheme="minorHAnsi" w:hAnsiTheme="minorHAnsi" w:cstheme="minorHAnsi"/>
              </w:rPr>
              <w:t>1,200</w:t>
            </w:r>
          </w:p>
        </w:tc>
      </w:tr>
      <w:tr w:rsidR="00954DC7" w:rsidRPr="004258F5" w14:paraId="4E41774E" w14:textId="77777777" w:rsidTr="0006365D">
        <w:tc>
          <w:tcPr>
            <w:tcW w:w="4173" w:type="dxa"/>
          </w:tcPr>
          <w:p w14:paraId="6EBE49F4" w14:textId="77777777" w:rsidR="00954DC7" w:rsidRPr="004258F5" w:rsidRDefault="00954DC7" w:rsidP="00954DC7">
            <w:pPr>
              <w:ind w:right="142"/>
              <w:rPr>
                <w:rFonts w:asciiTheme="minorHAnsi" w:hAnsiTheme="minorHAnsi" w:cstheme="minorHAnsi"/>
                <w:color w:val="000000"/>
              </w:rPr>
            </w:pPr>
          </w:p>
        </w:tc>
        <w:tc>
          <w:tcPr>
            <w:tcW w:w="1330" w:type="dxa"/>
            <w:tcBorders>
              <w:top w:val="single" w:sz="12" w:space="0" w:color="auto"/>
            </w:tcBorders>
          </w:tcPr>
          <w:p w14:paraId="15280776" w14:textId="77777777" w:rsidR="00954DC7" w:rsidRPr="004258F5" w:rsidRDefault="00954DC7" w:rsidP="00954DC7">
            <w:pPr>
              <w:ind w:right="-108"/>
              <w:jc w:val="right"/>
              <w:rPr>
                <w:rFonts w:asciiTheme="minorHAnsi" w:hAnsiTheme="minorHAnsi" w:cstheme="minorHAnsi"/>
              </w:rPr>
            </w:pPr>
          </w:p>
        </w:tc>
        <w:tc>
          <w:tcPr>
            <w:tcW w:w="399" w:type="dxa"/>
          </w:tcPr>
          <w:p w14:paraId="3BB2EA0C" w14:textId="77777777" w:rsidR="00954DC7" w:rsidRPr="004258F5" w:rsidRDefault="00954DC7" w:rsidP="00954DC7">
            <w:pPr>
              <w:jc w:val="right"/>
              <w:rPr>
                <w:rFonts w:asciiTheme="minorHAnsi" w:hAnsiTheme="minorHAnsi" w:cstheme="minorHAnsi"/>
              </w:rPr>
            </w:pPr>
          </w:p>
        </w:tc>
        <w:tc>
          <w:tcPr>
            <w:tcW w:w="1265" w:type="dxa"/>
            <w:tcBorders>
              <w:top w:val="single" w:sz="12" w:space="0" w:color="auto"/>
            </w:tcBorders>
          </w:tcPr>
          <w:p w14:paraId="59C9A054" w14:textId="77777777" w:rsidR="00954DC7" w:rsidRPr="00542A05" w:rsidRDefault="00954DC7" w:rsidP="00954DC7">
            <w:pPr>
              <w:jc w:val="right"/>
              <w:rPr>
                <w:rFonts w:asciiTheme="minorHAnsi" w:hAnsiTheme="minorHAnsi" w:cstheme="minorHAnsi"/>
                <w:b/>
                <w:bCs/>
              </w:rPr>
            </w:pPr>
          </w:p>
        </w:tc>
        <w:tc>
          <w:tcPr>
            <w:tcW w:w="350" w:type="dxa"/>
          </w:tcPr>
          <w:p w14:paraId="2718ABC8" w14:textId="77777777" w:rsidR="00954DC7" w:rsidRPr="004258F5" w:rsidRDefault="00954DC7" w:rsidP="00954DC7">
            <w:pPr>
              <w:jc w:val="right"/>
              <w:rPr>
                <w:rFonts w:asciiTheme="minorHAnsi" w:hAnsiTheme="minorHAnsi" w:cstheme="minorHAnsi"/>
              </w:rPr>
            </w:pPr>
          </w:p>
        </w:tc>
        <w:tc>
          <w:tcPr>
            <w:tcW w:w="1083" w:type="dxa"/>
            <w:tcBorders>
              <w:top w:val="single" w:sz="12" w:space="0" w:color="auto"/>
            </w:tcBorders>
          </w:tcPr>
          <w:p w14:paraId="7882D565" w14:textId="77777777" w:rsidR="00954DC7" w:rsidRPr="004258F5" w:rsidRDefault="00954DC7" w:rsidP="00954DC7">
            <w:pPr>
              <w:jc w:val="right"/>
              <w:rPr>
                <w:rFonts w:asciiTheme="minorHAnsi" w:hAnsiTheme="minorHAnsi" w:cstheme="minorHAnsi"/>
              </w:rPr>
            </w:pPr>
          </w:p>
        </w:tc>
      </w:tr>
      <w:tr w:rsidR="00954DC7" w:rsidRPr="004258F5" w14:paraId="5551CF22" w14:textId="77777777" w:rsidTr="0006365D">
        <w:tc>
          <w:tcPr>
            <w:tcW w:w="4173" w:type="dxa"/>
          </w:tcPr>
          <w:p w14:paraId="408ACFAA" w14:textId="77777777" w:rsidR="00954DC7" w:rsidRPr="004258F5" w:rsidRDefault="00954DC7" w:rsidP="00954DC7">
            <w:pPr>
              <w:ind w:right="142"/>
              <w:rPr>
                <w:rFonts w:asciiTheme="minorHAnsi" w:hAnsiTheme="minorHAnsi" w:cstheme="minorHAnsi"/>
                <w:b/>
                <w:color w:val="000000"/>
              </w:rPr>
            </w:pPr>
            <w:r w:rsidRPr="004258F5">
              <w:rPr>
                <w:rFonts w:asciiTheme="minorHAnsi" w:hAnsiTheme="minorHAnsi" w:cstheme="minorHAnsi"/>
                <w:b/>
                <w:color w:val="000000"/>
              </w:rPr>
              <w:t>Issued and fully paid:</w:t>
            </w:r>
          </w:p>
        </w:tc>
        <w:tc>
          <w:tcPr>
            <w:tcW w:w="1330" w:type="dxa"/>
          </w:tcPr>
          <w:p w14:paraId="284D8EEA" w14:textId="77777777" w:rsidR="00954DC7" w:rsidRPr="004258F5" w:rsidRDefault="00954DC7" w:rsidP="00954DC7">
            <w:pPr>
              <w:ind w:right="-108"/>
              <w:jc w:val="right"/>
              <w:rPr>
                <w:rFonts w:asciiTheme="minorHAnsi" w:hAnsiTheme="minorHAnsi" w:cstheme="minorHAnsi"/>
                <w:u w:val="single"/>
              </w:rPr>
            </w:pPr>
          </w:p>
        </w:tc>
        <w:tc>
          <w:tcPr>
            <w:tcW w:w="399" w:type="dxa"/>
          </w:tcPr>
          <w:p w14:paraId="42707EE6" w14:textId="77777777" w:rsidR="00954DC7" w:rsidRPr="004258F5" w:rsidRDefault="00954DC7" w:rsidP="00954DC7">
            <w:pPr>
              <w:jc w:val="right"/>
              <w:rPr>
                <w:rFonts w:asciiTheme="minorHAnsi" w:hAnsiTheme="minorHAnsi" w:cstheme="minorHAnsi"/>
                <w:u w:val="single"/>
              </w:rPr>
            </w:pPr>
          </w:p>
        </w:tc>
        <w:tc>
          <w:tcPr>
            <w:tcW w:w="1265" w:type="dxa"/>
          </w:tcPr>
          <w:p w14:paraId="70C119DD" w14:textId="77777777" w:rsidR="00954DC7" w:rsidRPr="00542A05" w:rsidRDefault="00954DC7" w:rsidP="00954DC7">
            <w:pPr>
              <w:jc w:val="right"/>
              <w:rPr>
                <w:rFonts w:asciiTheme="minorHAnsi" w:hAnsiTheme="minorHAnsi" w:cstheme="minorHAnsi"/>
                <w:b/>
                <w:bCs/>
                <w:u w:val="single"/>
              </w:rPr>
            </w:pPr>
          </w:p>
        </w:tc>
        <w:tc>
          <w:tcPr>
            <w:tcW w:w="350" w:type="dxa"/>
          </w:tcPr>
          <w:p w14:paraId="3B0A2B19" w14:textId="77777777" w:rsidR="00954DC7" w:rsidRPr="004258F5" w:rsidRDefault="00954DC7" w:rsidP="00954DC7">
            <w:pPr>
              <w:jc w:val="right"/>
              <w:rPr>
                <w:rFonts w:asciiTheme="minorHAnsi" w:hAnsiTheme="minorHAnsi" w:cstheme="minorHAnsi"/>
                <w:u w:val="single"/>
              </w:rPr>
            </w:pPr>
          </w:p>
        </w:tc>
        <w:tc>
          <w:tcPr>
            <w:tcW w:w="1083" w:type="dxa"/>
          </w:tcPr>
          <w:p w14:paraId="102422A5" w14:textId="77777777" w:rsidR="00954DC7" w:rsidRPr="004258F5" w:rsidRDefault="00954DC7" w:rsidP="00954DC7">
            <w:pPr>
              <w:jc w:val="right"/>
              <w:rPr>
                <w:rFonts w:asciiTheme="minorHAnsi" w:hAnsiTheme="minorHAnsi" w:cstheme="minorHAnsi"/>
                <w:u w:val="single"/>
              </w:rPr>
            </w:pPr>
          </w:p>
        </w:tc>
      </w:tr>
      <w:tr w:rsidR="00954DC7" w:rsidRPr="004258F5" w14:paraId="254A7178" w14:textId="77777777" w:rsidTr="0006365D">
        <w:tc>
          <w:tcPr>
            <w:tcW w:w="4173" w:type="dxa"/>
          </w:tcPr>
          <w:p w14:paraId="3E843839" w14:textId="77777777" w:rsidR="00954DC7" w:rsidRPr="004258F5" w:rsidRDefault="00954DC7" w:rsidP="00954DC7">
            <w:pPr>
              <w:ind w:right="142"/>
              <w:rPr>
                <w:rFonts w:asciiTheme="minorHAnsi" w:hAnsiTheme="minorHAnsi" w:cstheme="minorHAnsi"/>
                <w:color w:val="000000"/>
              </w:rPr>
            </w:pPr>
            <w:r w:rsidRPr="004258F5">
              <w:rPr>
                <w:rFonts w:asciiTheme="minorHAnsi" w:hAnsiTheme="minorHAnsi" w:cstheme="minorHAnsi"/>
                <w:bCs/>
                <w:color w:val="000000"/>
              </w:rPr>
              <w:t>At the beginning and the end of the year</w:t>
            </w:r>
          </w:p>
        </w:tc>
        <w:tc>
          <w:tcPr>
            <w:tcW w:w="1330" w:type="dxa"/>
            <w:tcBorders>
              <w:bottom w:val="single" w:sz="12" w:space="0" w:color="auto"/>
            </w:tcBorders>
          </w:tcPr>
          <w:p w14:paraId="716DB99F" w14:textId="77777777" w:rsidR="00954DC7" w:rsidRPr="004258F5" w:rsidRDefault="00954DC7" w:rsidP="00954DC7">
            <w:pPr>
              <w:jc w:val="right"/>
              <w:rPr>
                <w:rFonts w:asciiTheme="minorHAnsi" w:hAnsiTheme="minorHAnsi" w:cstheme="minorHAnsi"/>
              </w:rPr>
            </w:pPr>
            <w:r w:rsidRPr="004258F5">
              <w:rPr>
                <w:rFonts w:asciiTheme="minorHAnsi" w:hAnsiTheme="minorHAnsi" w:cstheme="minorHAnsi"/>
              </w:rPr>
              <w:t>13,169,428</w:t>
            </w:r>
          </w:p>
        </w:tc>
        <w:tc>
          <w:tcPr>
            <w:tcW w:w="399" w:type="dxa"/>
          </w:tcPr>
          <w:p w14:paraId="1976FD94" w14:textId="77777777" w:rsidR="00954DC7" w:rsidRPr="004258F5" w:rsidRDefault="00954DC7" w:rsidP="00954DC7">
            <w:pPr>
              <w:ind w:right="24"/>
              <w:jc w:val="right"/>
              <w:rPr>
                <w:rFonts w:asciiTheme="minorHAnsi" w:hAnsiTheme="minorHAnsi" w:cstheme="minorHAnsi"/>
                <w:b/>
              </w:rPr>
            </w:pPr>
          </w:p>
        </w:tc>
        <w:tc>
          <w:tcPr>
            <w:tcW w:w="1265" w:type="dxa"/>
            <w:tcBorders>
              <w:bottom w:val="single" w:sz="12" w:space="0" w:color="auto"/>
            </w:tcBorders>
          </w:tcPr>
          <w:p w14:paraId="04EAD124" w14:textId="10376D3F" w:rsidR="00954DC7" w:rsidRPr="00542A05" w:rsidRDefault="00954DC7" w:rsidP="00954DC7">
            <w:pPr>
              <w:ind w:right="24"/>
              <w:jc w:val="right"/>
              <w:rPr>
                <w:rFonts w:asciiTheme="minorHAnsi" w:hAnsiTheme="minorHAnsi" w:cstheme="minorHAnsi"/>
                <w:b/>
                <w:bCs/>
              </w:rPr>
            </w:pPr>
            <w:r w:rsidRPr="00542A05">
              <w:rPr>
                <w:rFonts w:asciiTheme="minorHAnsi" w:hAnsiTheme="minorHAnsi" w:cstheme="minorHAnsi"/>
                <w:b/>
                <w:bCs/>
              </w:rPr>
              <w:t>132</w:t>
            </w:r>
          </w:p>
        </w:tc>
        <w:tc>
          <w:tcPr>
            <w:tcW w:w="350" w:type="dxa"/>
          </w:tcPr>
          <w:p w14:paraId="3F65F24C" w14:textId="77777777" w:rsidR="00954DC7" w:rsidRPr="004258F5" w:rsidRDefault="00954DC7" w:rsidP="00954DC7">
            <w:pPr>
              <w:ind w:right="24"/>
              <w:jc w:val="right"/>
              <w:rPr>
                <w:rFonts w:asciiTheme="minorHAnsi" w:hAnsiTheme="minorHAnsi" w:cstheme="minorHAnsi"/>
              </w:rPr>
            </w:pPr>
          </w:p>
        </w:tc>
        <w:tc>
          <w:tcPr>
            <w:tcW w:w="1083" w:type="dxa"/>
            <w:tcBorders>
              <w:bottom w:val="single" w:sz="12" w:space="0" w:color="auto"/>
            </w:tcBorders>
          </w:tcPr>
          <w:p w14:paraId="450D2B7F" w14:textId="77777777" w:rsidR="00954DC7" w:rsidRPr="004258F5" w:rsidRDefault="00954DC7" w:rsidP="00954DC7">
            <w:pPr>
              <w:ind w:right="24"/>
              <w:jc w:val="right"/>
              <w:rPr>
                <w:rFonts w:asciiTheme="minorHAnsi" w:hAnsiTheme="minorHAnsi" w:cstheme="minorHAnsi"/>
              </w:rPr>
            </w:pPr>
            <w:r w:rsidRPr="004258F5">
              <w:rPr>
                <w:rFonts w:asciiTheme="minorHAnsi" w:hAnsiTheme="minorHAnsi" w:cstheme="minorHAnsi"/>
              </w:rPr>
              <w:t>132</w:t>
            </w:r>
          </w:p>
        </w:tc>
      </w:tr>
      <w:tr w:rsidR="00954DC7" w:rsidRPr="004258F5" w14:paraId="3C2D14D5" w14:textId="77777777" w:rsidTr="0006365D">
        <w:tc>
          <w:tcPr>
            <w:tcW w:w="4173" w:type="dxa"/>
          </w:tcPr>
          <w:p w14:paraId="33EFC343" w14:textId="77777777" w:rsidR="00954DC7" w:rsidRPr="004258F5" w:rsidRDefault="00954DC7" w:rsidP="00954DC7">
            <w:pPr>
              <w:ind w:right="142"/>
              <w:jc w:val="right"/>
              <w:rPr>
                <w:rFonts w:asciiTheme="minorHAnsi" w:hAnsiTheme="minorHAnsi" w:cstheme="minorHAnsi"/>
                <w:color w:val="000000"/>
              </w:rPr>
            </w:pPr>
          </w:p>
        </w:tc>
        <w:tc>
          <w:tcPr>
            <w:tcW w:w="1330" w:type="dxa"/>
            <w:tcBorders>
              <w:top w:val="single" w:sz="12" w:space="0" w:color="auto"/>
            </w:tcBorders>
          </w:tcPr>
          <w:p w14:paraId="1022C3CD" w14:textId="77777777" w:rsidR="00954DC7" w:rsidRPr="004258F5" w:rsidRDefault="00954DC7" w:rsidP="00954DC7">
            <w:pPr>
              <w:ind w:right="-108"/>
              <w:jc w:val="right"/>
              <w:rPr>
                <w:rFonts w:asciiTheme="minorHAnsi" w:hAnsiTheme="minorHAnsi" w:cstheme="minorHAnsi"/>
                <w:color w:val="000000"/>
              </w:rPr>
            </w:pPr>
          </w:p>
        </w:tc>
        <w:tc>
          <w:tcPr>
            <w:tcW w:w="399" w:type="dxa"/>
          </w:tcPr>
          <w:p w14:paraId="20BE3683" w14:textId="77777777" w:rsidR="00954DC7" w:rsidRPr="004258F5" w:rsidRDefault="00954DC7" w:rsidP="00954DC7">
            <w:pPr>
              <w:jc w:val="right"/>
              <w:rPr>
                <w:rFonts w:asciiTheme="minorHAnsi" w:hAnsiTheme="minorHAnsi" w:cstheme="minorHAnsi"/>
                <w:b/>
              </w:rPr>
            </w:pPr>
          </w:p>
        </w:tc>
        <w:tc>
          <w:tcPr>
            <w:tcW w:w="1265" w:type="dxa"/>
            <w:tcBorders>
              <w:top w:val="single" w:sz="12" w:space="0" w:color="auto"/>
            </w:tcBorders>
          </w:tcPr>
          <w:p w14:paraId="3C3E0B6B" w14:textId="77777777" w:rsidR="00954DC7" w:rsidRPr="00542A05" w:rsidRDefault="00954DC7" w:rsidP="00954DC7">
            <w:pPr>
              <w:jc w:val="right"/>
              <w:rPr>
                <w:rFonts w:asciiTheme="minorHAnsi" w:hAnsiTheme="minorHAnsi" w:cstheme="minorHAnsi"/>
                <w:b/>
                <w:bCs/>
              </w:rPr>
            </w:pPr>
          </w:p>
        </w:tc>
        <w:tc>
          <w:tcPr>
            <w:tcW w:w="350" w:type="dxa"/>
          </w:tcPr>
          <w:p w14:paraId="3348DAD1" w14:textId="77777777" w:rsidR="00954DC7" w:rsidRPr="004258F5" w:rsidRDefault="00954DC7" w:rsidP="00954DC7">
            <w:pPr>
              <w:jc w:val="right"/>
              <w:rPr>
                <w:rFonts w:asciiTheme="minorHAnsi" w:hAnsiTheme="minorHAnsi" w:cstheme="minorHAnsi"/>
              </w:rPr>
            </w:pPr>
          </w:p>
        </w:tc>
        <w:tc>
          <w:tcPr>
            <w:tcW w:w="1083" w:type="dxa"/>
            <w:tcBorders>
              <w:top w:val="single" w:sz="12" w:space="0" w:color="auto"/>
            </w:tcBorders>
          </w:tcPr>
          <w:p w14:paraId="0CFF60B1" w14:textId="77777777" w:rsidR="00954DC7" w:rsidRPr="004258F5" w:rsidRDefault="00954DC7" w:rsidP="00954DC7">
            <w:pPr>
              <w:jc w:val="right"/>
              <w:rPr>
                <w:rFonts w:asciiTheme="minorHAnsi" w:hAnsiTheme="minorHAnsi" w:cstheme="minorHAnsi"/>
              </w:rPr>
            </w:pPr>
          </w:p>
        </w:tc>
      </w:tr>
      <w:tr w:rsidR="00954DC7" w:rsidRPr="004258F5" w14:paraId="0B566892" w14:textId="77777777" w:rsidTr="0006365D">
        <w:tc>
          <w:tcPr>
            <w:tcW w:w="4173" w:type="dxa"/>
          </w:tcPr>
          <w:p w14:paraId="28850181" w14:textId="77777777" w:rsidR="00954DC7" w:rsidRPr="004258F5" w:rsidRDefault="00954DC7" w:rsidP="00954DC7">
            <w:pPr>
              <w:ind w:right="142"/>
              <w:rPr>
                <w:rFonts w:asciiTheme="minorHAnsi" w:hAnsiTheme="minorHAnsi" w:cstheme="minorHAnsi"/>
                <w:b/>
                <w:color w:val="000000"/>
              </w:rPr>
            </w:pPr>
            <w:r w:rsidRPr="004258F5">
              <w:rPr>
                <w:rFonts w:asciiTheme="minorHAnsi" w:hAnsiTheme="minorHAnsi" w:cstheme="minorHAnsi"/>
                <w:b/>
                <w:color w:val="000000"/>
              </w:rPr>
              <w:t>Total – issued and fully paid</w:t>
            </w:r>
          </w:p>
        </w:tc>
        <w:tc>
          <w:tcPr>
            <w:tcW w:w="1330" w:type="dxa"/>
          </w:tcPr>
          <w:p w14:paraId="11976857" w14:textId="77777777" w:rsidR="00954DC7" w:rsidRPr="004258F5" w:rsidRDefault="00954DC7" w:rsidP="00954DC7">
            <w:pPr>
              <w:ind w:right="-108"/>
              <w:jc w:val="right"/>
              <w:rPr>
                <w:rFonts w:asciiTheme="minorHAnsi" w:hAnsiTheme="minorHAnsi" w:cstheme="minorHAnsi"/>
                <w:color w:val="000000"/>
              </w:rPr>
            </w:pPr>
          </w:p>
        </w:tc>
        <w:tc>
          <w:tcPr>
            <w:tcW w:w="399" w:type="dxa"/>
          </w:tcPr>
          <w:p w14:paraId="788A871A" w14:textId="77777777" w:rsidR="00954DC7" w:rsidRPr="004258F5" w:rsidRDefault="00954DC7" w:rsidP="00954DC7">
            <w:pPr>
              <w:jc w:val="right"/>
              <w:rPr>
                <w:rFonts w:asciiTheme="minorHAnsi" w:hAnsiTheme="minorHAnsi" w:cstheme="minorHAnsi"/>
                <w:b/>
              </w:rPr>
            </w:pPr>
          </w:p>
        </w:tc>
        <w:tc>
          <w:tcPr>
            <w:tcW w:w="1265" w:type="dxa"/>
            <w:tcBorders>
              <w:bottom w:val="single" w:sz="12" w:space="0" w:color="auto"/>
            </w:tcBorders>
          </w:tcPr>
          <w:p w14:paraId="756DE4CE" w14:textId="7111B086" w:rsidR="00005899" w:rsidRPr="00542A05" w:rsidRDefault="00005899" w:rsidP="00005899">
            <w:pPr>
              <w:jc w:val="right"/>
              <w:rPr>
                <w:rFonts w:asciiTheme="minorHAnsi" w:hAnsiTheme="minorHAnsi" w:cstheme="minorHAnsi"/>
                <w:b/>
                <w:bCs/>
              </w:rPr>
            </w:pPr>
            <w:r w:rsidRPr="00542A05">
              <w:rPr>
                <w:rFonts w:asciiTheme="minorHAnsi" w:hAnsiTheme="minorHAnsi" w:cstheme="minorHAnsi"/>
                <w:b/>
                <w:bCs/>
              </w:rPr>
              <w:t>21,74</w:t>
            </w:r>
            <w:r w:rsidR="00DA3CE9">
              <w:rPr>
                <w:rFonts w:asciiTheme="minorHAnsi" w:hAnsiTheme="minorHAnsi" w:cstheme="minorHAnsi"/>
                <w:b/>
                <w:bCs/>
              </w:rPr>
              <w:t>4</w:t>
            </w:r>
          </w:p>
        </w:tc>
        <w:tc>
          <w:tcPr>
            <w:tcW w:w="350" w:type="dxa"/>
          </w:tcPr>
          <w:p w14:paraId="13EFB67D" w14:textId="77777777" w:rsidR="00954DC7" w:rsidRPr="004258F5" w:rsidRDefault="00954DC7" w:rsidP="00954DC7">
            <w:pPr>
              <w:jc w:val="right"/>
              <w:rPr>
                <w:rFonts w:asciiTheme="minorHAnsi" w:hAnsiTheme="minorHAnsi" w:cstheme="minorHAnsi"/>
              </w:rPr>
            </w:pPr>
          </w:p>
        </w:tc>
        <w:tc>
          <w:tcPr>
            <w:tcW w:w="1083" w:type="dxa"/>
            <w:tcBorders>
              <w:bottom w:val="single" w:sz="12" w:space="0" w:color="auto"/>
            </w:tcBorders>
          </w:tcPr>
          <w:p w14:paraId="6E38926E" w14:textId="45CDEBDA" w:rsidR="00954DC7" w:rsidRPr="00542A05" w:rsidRDefault="0006365D" w:rsidP="00954DC7">
            <w:pPr>
              <w:jc w:val="right"/>
              <w:rPr>
                <w:rFonts w:asciiTheme="minorHAnsi" w:hAnsiTheme="minorHAnsi" w:cstheme="minorHAnsi"/>
                <w:bCs/>
              </w:rPr>
            </w:pPr>
            <w:r w:rsidRPr="00542A05">
              <w:rPr>
                <w:rFonts w:asciiTheme="minorHAnsi" w:hAnsiTheme="minorHAnsi" w:cstheme="minorHAnsi"/>
                <w:bCs/>
              </w:rPr>
              <w:t>21,583</w:t>
            </w:r>
          </w:p>
        </w:tc>
      </w:tr>
    </w:tbl>
    <w:p w14:paraId="0CF65E04" w14:textId="77777777" w:rsidR="006A43D4" w:rsidRPr="004258F5" w:rsidRDefault="006A43D4" w:rsidP="006A43D4">
      <w:pPr>
        <w:tabs>
          <w:tab w:val="right" w:pos="1548"/>
          <w:tab w:val="decimal" w:pos="2988"/>
        </w:tabs>
        <w:ind w:right="-7"/>
        <w:jc w:val="both"/>
        <w:rPr>
          <w:rFonts w:asciiTheme="minorHAnsi" w:hAnsiTheme="minorHAnsi" w:cstheme="minorHAnsi"/>
          <w:color w:val="000000"/>
          <w:highlight w:val="yellow"/>
        </w:rPr>
      </w:pPr>
    </w:p>
    <w:p w14:paraId="62818309" w14:textId="250C1207" w:rsidR="006A43D4" w:rsidRPr="004258F5" w:rsidRDefault="006A43D4">
      <w:pPr>
        <w:ind w:right="-7"/>
        <w:jc w:val="both"/>
        <w:rPr>
          <w:rFonts w:asciiTheme="minorHAnsi" w:hAnsiTheme="minorHAnsi" w:cstheme="minorHAnsi"/>
        </w:rPr>
      </w:pPr>
      <w:r w:rsidRPr="004258F5">
        <w:rPr>
          <w:rFonts w:asciiTheme="minorHAnsi" w:hAnsiTheme="minorHAnsi" w:cstheme="minorHAnsi"/>
        </w:rPr>
        <w:t xml:space="preserve">The ‘A’ ordinary shares of €0.01 each </w:t>
      </w:r>
      <w:proofErr w:type="gramStart"/>
      <w:r w:rsidRPr="004258F5">
        <w:rPr>
          <w:rFonts w:asciiTheme="minorHAnsi" w:hAnsiTheme="minorHAnsi" w:cstheme="minorHAnsi"/>
        </w:rPr>
        <w:t>are</w:t>
      </w:r>
      <w:proofErr w:type="gramEnd"/>
      <w:r w:rsidRPr="004258F5">
        <w:rPr>
          <w:rFonts w:asciiTheme="minorHAnsi" w:hAnsiTheme="minorHAnsi" w:cstheme="minorHAnsi"/>
        </w:rPr>
        <w:t xml:space="preserve"> non-voting. They are non-transferable except only to the Company.  Other than a right to a return of </w:t>
      </w:r>
      <w:proofErr w:type="gramStart"/>
      <w:r w:rsidRPr="004258F5">
        <w:rPr>
          <w:rFonts w:asciiTheme="minorHAnsi" w:hAnsiTheme="minorHAnsi" w:cstheme="minorHAnsi"/>
        </w:rPr>
        <w:t>paid up</w:t>
      </w:r>
      <w:proofErr w:type="gramEnd"/>
      <w:r w:rsidRPr="004258F5">
        <w:rPr>
          <w:rFonts w:asciiTheme="minorHAnsi" w:hAnsiTheme="minorHAnsi" w:cstheme="minorHAnsi"/>
        </w:rPr>
        <w:t xml:space="preserve"> capital of €0.01 per ‘A’ ordinary share in the event of a winding up, the ‘A’ ordinary shares have no right to participate in the capital or the profits of the Company.</w:t>
      </w:r>
    </w:p>
    <w:p w14:paraId="1D8CEA55" w14:textId="77777777" w:rsidR="00BA035B" w:rsidRPr="004258F5" w:rsidRDefault="00BA035B">
      <w:pPr>
        <w:tabs>
          <w:tab w:val="right" w:pos="9778"/>
        </w:tabs>
        <w:jc w:val="both"/>
        <w:rPr>
          <w:rFonts w:asciiTheme="minorHAnsi" w:hAnsiTheme="minorHAnsi" w:cstheme="minorHAnsi"/>
        </w:rPr>
      </w:pPr>
    </w:p>
    <w:p w14:paraId="42066E3C" w14:textId="5B1C66DD" w:rsidR="006A43D4" w:rsidRPr="004258F5" w:rsidRDefault="006A43D4">
      <w:pPr>
        <w:tabs>
          <w:tab w:val="right" w:pos="9778"/>
        </w:tabs>
        <w:jc w:val="both"/>
        <w:rPr>
          <w:rFonts w:asciiTheme="minorHAnsi" w:hAnsiTheme="minorHAnsi" w:cstheme="minorHAnsi"/>
        </w:rPr>
      </w:pPr>
      <w:r w:rsidRPr="004258F5">
        <w:rPr>
          <w:rFonts w:asciiTheme="minorHAnsi" w:hAnsiTheme="minorHAnsi" w:cstheme="minorHAnsi"/>
        </w:rPr>
        <w:t>The holders of the two classes of non-cumulative preference shares rank ahead of the two classes of ordinary shares in the event of a winding up. Before any dividend can be declared on the ordinary shares of €0.60 each, the dividend on the non-cumulative preference shares must firstly be declared or paid.</w:t>
      </w:r>
    </w:p>
    <w:p w14:paraId="0BBFC5D9" w14:textId="2C69FC5E" w:rsidR="00F7062C" w:rsidRPr="004258F5" w:rsidRDefault="00D233F2">
      <w:pPr>
        <w:tabs>
          <w:tab w:val="right" w:pos="6379"/>
          <w:tab w:val="decimal" w:pos="8080"/>
        </w:tabs>
        <w:ind w:right="-7"/>
        <w:jc w:val="both"/>
        <w:rPr>
          <w:rFonts w:asciiTheme="minorHAnsi" w:hAnsiTheme="minorHAnsi" w:cstheme="minorHAnsi"/>
        </w:rPr>
      </w:pPr>
      <w:r w:rsidRPr="004258F5">
        <w:rPr>
          <w:rFonts w:asciiTheme="minorHAnsi" w:hAnsiTheme="minorHAnsi" w:cstheme="minorHAnsi"/>
          <w:highlight w:val="yellow"/>
        </w:rPr>
        <w:br/>
      </w:r>
      <w:r w:rsidR="00F7062C" w:rsidRPr="004258F5">
        <w:rPr>
          <w:rFonts w:asciiTheme="minorHAnsi" w:hAnsiTheme="minorHAnsi" w:cstheme="minorHAnsi"/>
        </w:rPr>
        <w:t>The number of ordinary shares of €0.60 each held as treasury shares at the beginning (and the maximum n</w:t>
      </w:r>
      <w:r w:rsidR="00F85F43" w:rsidRPr="004258F5">
        <w:rPr>
          <w:rFonts w:asciiTheme="minorHAnsi" w:hAnsiTheme="minorHAnsi" w:cstheme="minorHAnsi"/>
        </w:rPr>
        <w:t xml:space="preserve">umber held during the year) was </w:t>
      </w:r>
      <w:r w:rsidR="00954DC7" w:rsidRPr="004258F5">
        <w:rPr>
          <w:rFonts w:asciiTheme="minorHAnsi" w:hAnsiTheme="minorHAnsi" w:cstheme="minorHAnsi"/>
        </w:rPr>
        <w:t>164,005</w:t>
      </w:r>
      <w:r w:rsidR="00F7062C" w:rsidRPr="004258F5">
        <w:rPr>
          <w:rFonts w:asciiTheme="minorHAnsi" w:hAnsiTheme="minorHAnsi" w:cstheme="minorHAnsi"/>
        </w:rPr>
        <w:t xml:space="preserve"> (</w:t>
      </w:r>
      <w:r w:rsidR="00F85F43" w:rsidRPr="004258F5">
        <w:rPr>
          <w:rFonts w:asciiTheme="minorHAnsi" w:hAnsiTheme="minorHAnsi" w:cstheme="minorHAnsi"/>
        </w:rPr>
        <w:t>20</w:t>
      </w:r>
      <w:r w:rsidR="0030621A" w:rsidRPr="004258F5">
        <w:rPr>
          <w:rFonts w:asciiTheme="minorHAnsi" w:hAnsiTheme="minorHAnsi" w:cstheme="minorHAnsi"/>
        </w:rPr>
        <w:t>2</w:t>
      </w:r>
      <w:r w:rsidR="0006365D" w:rsidRPr="004258F5">
        <w:rPr>
          <w:rFonts w:asciiTheme="minorHAnsi" w:hAnsiTheme="minorHAnsi" w:cstheme="minorHAnsi"/>
        </w:rPr>
        <w:t>2</w:t>
      </w:r>
      <w:r w:rsidR="00F7062C" w:rsidRPr="004258F5">
        <w:rPr>
          <w:rFonts w:asciiTheme="minorHAnsi" w:hAnsiTheme="minorHAnsi" w:cstheme="minorHAnsi"/>
        </w:rPr>
        <w:t xml:space="preserve">: </w:t>
      </w:r>
      <w:r w:rsidR="0006365D" w:rsidRPr="004258F5">
        <w:rPr>
          <w:rFonts w:asciiTheme="minorHAnsi" w:hAnsiTheme="minorHAnsi" w:cstheme="minorHAnsi"/>
        </w:rPr>
        <w:t>164,005</w:t>
      </w:r>
      <w:r w:rsidR="00F7062C" w:rsidRPr="004258F5">
        <w:rPr>
          <w:rFonts w:asciiTheme="minorHAnsi" w:hAnsiTheme="minorHAnsi" w:cstheme="minorHAnsi"/>
        </w:rPr>
        <w:t>).</w:t>
      </w:r>
      <w:r w:rsidR="00F32A38" w:rsidRPr="004258F5">
        <w:rPr>
          <w:rFonts w:asciiTheme="minorHAnsi" w:hAnsiTheme="minorHAnsi" w:cstheme="minorHAnsi"/>
        </w:rPr>
        <w:t xml:space="preserve"> </w:t>
      </w:r>
      <w:r w:rsidR="00C05228" w:rsidRPr="004258F5">
        <w:rPr>
          <w:rFonts w:asciiTheme="minorHAnsi" w:hAnsiTheme="minorHAnsi" w:cstheme="minorHAnsi"/>
        </w:rPr>
        <w:t xml:space="preserve">No </w:t>
      </w:r>
      <w:r w:rsidR="00F32A38" w:rsidRPr="004258F5">
        <w:rPr>
          <w:rFonts w:asciiTheme="minorHAnsi" w:hAnsiTheme="minorHAnsi" w:cstheme="minorHAnsi"/>
        </w:rPr>
        <w:t>ordinary shares were reissued from treasury during the year under the FBD Performance Plan.</w:t>
      </w:r>
      <w:r w:rsidR="00F7062C" w:rsidRPr="004258F5">
        <w:rPr>
          <w:rFonts w:asciiTheme="minorHAnsi" w:hAnsiTheme="minorHAnsi" w:cstheme="minorHAnsi"/>
        </w:rPr>
        <w:t xml:space="preserve"> </w:t>
      </w:r>
      <w:r w:rsidR="00EB71D9" w:rsidRPr="004258F5">
        <w:rPr>
          <w:rFonts w:asciiTheme="minorHAnsi" w:hAnsiTheme="minorHAnsi" w:cstheme="minorHAnsi"/>
        </w:rPr>
        <w:t xml:space="preserve">The number of ordinary shares of €0.60 each held as treasury shares at the end </w:t>
      </w:r>
      <w:r w:rsidR="00566220" w:rsidRPr="004258F5">
        <w:rPr>
          <w:rFonts w:asciiTheme="minorHAnsi" w:hAnsiTheme="minorHAnsi" w:cstheme="minorHAnsi"/>
        </w:rPr>
        <w:t xml:space="preserve">of the year </w:t>
      </w:r>
      <w:r w:rsidR="00EB71D9" w:rsidRPr="004258F5">
        <w:rPr>
          <w:rFonts w:asciiTheme="minorHAnsi" w:hAnsiTheme="minorHAnsi" w:cstheme="minorHAnsi"/>
        </w:rPr>
        <w:t xml:space="preserve">was </w:t>
      </w:r>
      <w:r w:rsidR="00C05228" w:rsidRPr="004258F5">
        <w:rPr>
          <w:rFonts w:asciiTheme="minorHAnsi" w:hAnsiTheme="minorHAnsi" w:cstheme="minorHAnsi"/>
        </w:rPr>
        <w:t>164,005</w:t>
      </w:r>
      <w:r w:rsidR="008D0BBB" w:rsidRPr="004258F5">
        <w:rPr>
          <w:rFonts w:asciiTheme="minorHAnsi" w:hAnsiTheme="minorHAnsi" w:cstheme="minorHAnsi"/>
        </w:rPr>
        <w:t xml:space="preserve"> </w:t>
      </w:r>
      <w:r w:rsidR="00EB71D9" w:rsidRPr="004258F5">
        <w:rPr>
          <w:rFonts w:asciiTheme="minorHAnsi" w:hAnsiTheme="minorHAnsi" w:cstheme="minorHAnsi"/>
        </w:rPr>
        <w:t>(20</w:t>
      </w:r>
      <w:r w:rsidR="002451AF" w:rsidRPr="004258F5">
        <w:rPr>
          <w:rFonts w:asciiTheme="minorHAnsi" w:hAnsiTheme="minorHAnsi" w:cstheme="minorHAnsi"/>
        </w:rPr>
        <w:t>2</w:t>
      </w:r>
      <w:r w:rsidR="0006365D" w:rsidRPr="004258F5">
        <w:rPr>
          <w:rFonts w:asciiTheme="minorHAnsi" w:hAnsiTheme="minorHAnsi" w:cstheme="minorHAnsi"/>
        </w:rPr>
        <w:t>2</w:t>
      </w:r>
      <w:r w:rsidR="00EB71D9" w:rsidRPr="004258F5">
        <w:rPr>
          <w:rFonts w:asciiTheme="minorHAnsi" w:hAnsiTheme="minorHAnsi" w:cstheme="minorHAnsi"/>
        </w:rPr>
        <w:t xml:space="preserve">: </w:t>
      </w:r>
      <w:r w:rsidR="002451AF" w:rsidRPr="004258F5">
        <w:rPr>
          <w:rFonts w:asciiTheme="minorHAnsi" w:hAnsiTheme="minorHAnsi" w:cstheme="minorHAnsi"/>
        </w:rPr>
        <w:t>164</w:t>
      </w:r>
      <w:r w:rsidR="0030621A" w:rsidRPr="004258F5">
        <w:rPr>
          <w:rFonts w:asciiTheme="minorHAnsi" w:hAnsiTheme="minorHAnsi" w:cstheme="minorHAnsi"/>
        </w:rPr>
        <w:t>,</w:t>
      </w:r>
      <w:r w:rsidR="002451AF" w:rsidRPr="004258F5">
        <w:rPr>
          <w:rFonts w:asciiTheme="minorHAnsi" w:hAnsiTheme="minorHAnsi" w:cstheme="minorHAnsi"/>
        </w:rPr>
        <w:t>005</w:t>
      </w:r>
      <w:r w:rsidR="00EB71D9" w:rsidRPr="004258F5">
        <w:rPr>
          <w:rFonts w:asciiTheme="minorHAnsi" w:hAnsiTheme="minorHAnsi" w:cstheme="minorHAnsi"/>
        </w:rPr>
        <w:t xml:space="preserve">). </w:t>
      </w:r>
      <w:r w:rsidR="00F7062C" w:rsidRPr="004258F5">
        <w:rPr>
          <w:rFonts w:asciiTheme="minorHAnsi" w:hAnsiTheme="minorHAnsi" w:cstheme="minorHAnsi"/>
        </w:rPr>
        <w:t xml:space="preserve">This represented </w:t>
      </w:r>
      <w:r w:rsidR="002451AF" w:rsidRPr="004258F5">
        <w:rPr>
          <w:rFonts w:asciiTheme="minorHAnsi" w:hAnsiTheme="minorHAnsi" w:cstheme="minorHAnsi"/>
        </w:rPr>
        <w:t>0.</w:t>
      </w:r>
      <w:r w:rsidR="00C05228" w:rsidRPr="004258F5">
        <w:rPr>
          <w:rFonts w:asciiTheme="minorHAnsi" w:hAnsiTheme="minorHAnsi" w:cstheme="minorHAnsi"/>
        </w:rPr>
        <w:t>5</w:t>
      </w:r>
      <w:r w:rsidR="00F7062C" w:rsidRPr="004258F5">
        <w:rPr>
          <w:rFonts w:asciiTheme="minorHAnsi" w:hAnsiTheme="minorHAnsi" w:cstheme="minorHAnsi"/>
        </w:rPr>
        <w:t>% (20</w:t>
      </w:r>
      <w:r w:rsidR="0030621A" w:rsidRPr="004258F5">
        <w:rPr>
          <w:rFonts w:asciiTheme="minorHAnsi" w:hAnsiTheme="minorHAnsi" w:cstheme="minorHAnsi"/>
        </w:rPr>
        <w:t>2</w:t>
      </w:r>
      <w:r w:rsidR="0006365D" w:rsidRPr="004258F5">
        <w:rPr>
          <w:rFonts w:asciiTheme="minorHAnsi" w:hAnsiTheme="minorHAnsi" w:cstheme="minorHAnsi"/>
        </w:rPr>
        <w:t>2</w:t>
      </w:r>
      <w:r w:rsidR="00503442" w:rsidRPr="004258F5">
        <w:rPr>
          <w:rFonts w:asciiTheme="minorHAnsi" w:hAnsiTheme="minorHAnsi" w:cstheme="minorHAnsi"/>
        </w:rPr>
        <w:t xml:space="preserve">: </w:t>
      </w:r>
      <w:r w:rsidR="002451AF" w:rsidRPr="004258F5">
        <w:rPr>
          <w:rFonts w:asciiTheme="minorHAnsi" w:hAnsiTheme="minorHAnsi" w:cstheme="minorHAnsi"/>
        </w:rPr>
        <w:t>0.5</w:t>
      </w:r>
      <w:r w:rsidR="00F7062C" w:rsidRPr="004258F5">
        <w:rPr>
          <w:rFonts w:asciiTheme="minorHAnsi" w:hAnsiTheme="minorHAnsi" w:cstheme="minorHAnsi"/>
        </w:rPr>
        <w:t xml:space="preserve">%) of the shares of this class in issue and had a nominal value of </w:t>
      </w:r>
      <w:r w:rsidR="000320EC" w:rsidRPr="004258F5">
        <w:rPr>
          <w:rFonts w:asciiTheme="minorHAnsi" w:hAnsiTheme="minorHAnsi" w:cstheme="minorHAnsi"/>
        </w:rPr>
        <w:t>€</w:t>
      </w:r>
      <w:r w:rsidR="00C05228" w:rsidRPr="004258F5">
        <w:rPr>
          <w:rFonts w:asciiTheme="minorHAnsi" w:hAnsiTheme="minorHAnsi" w:cstheme="minorHAnsi"/>
        </w:rPr>
        <w:t xml:space="preserve">98,403 </w:t>
      </w:r>
      <w:r w:rsidR="00F7062C" w:rsidRPr="004258F5">
        <w:rPr>
          <w:rFonts w:asciiTheme="minorHAnsi" w:hAnsiTheme="minorHAnsi" w:cstheme="minorHAnsi"/>
        </w:rPr>
        <w:t>(20</w:t>
      </w:r>
      <w:r w:rsidR="0030621A" w:rsidRPr="004258F5">
        <w:rPr>
          <w:rFonts w:asciiTheme="minorHAnsi" w:hAnsiTheme="minorHAnsi" w:cstheme="minorHAnsi"/>
        </w:rPr>
        <w:t>2</w:t>
      </w:r>
      <w:r w:rsidR="0006365D" w:rsidRPr="004258F5">
        <w:rPr>
          <w:rFonts w:asciiTheme="minorHAnsi" w:hAnsiTheme="minorHAnsi" w:cstheme="minorHAnsi"/>
        </w:rPr>
        <w:t>2</w:t>
      </w:r>
      <w:r w:rsidR="00F7062C" w:rsidRPr="004258F5">
        <w:rPr>
          <w:rFonts w:asciiTheme="minorHAnsi" w:hAnsiTheme="minorHAnsi" w:cstheme="minorHAnsi"/>
        </w:rPr>
        <w:t>: €</w:t>
      </w:r>
      <w:r w:rsidR="002451AF" w:rsidRPr="004258F5">
        <w:rPr>
          <w:rFonts w:asciiTheme="minorHAnsi" w:hAnsiTheme="minorHAnsi" w:cstheme="minorHAnsi"/>
        </w:rPr>
        <w:t>98,403</w:t>
      </w:r>
      <w:r w:rsidR="00F7062C" w:rsidRPr="004258F5">
        <w:rPr>
          <w:rFonts w:asciiTheme="minorHAnsi" w:hAnsiTheme="minorHAnsi" w:cstheme="minorHAnsi"/>
        </w:rPr>
        <w:t xml:space="preserve">). There were no ordinary shares of €0.60 each purchased by the Company during the year.    </w:t>
      </w:r>
    </w:p>
    <w:p w14:paraId="5715C556" w14:textId="77777777" w:rsidR="00AF4A17" w:rsidRPr="004258F5" w:rsidRDefault="00AF4A17" w:rsidP="008F1D8E">
      <w:pPr>
        <w:jc w:val="both"/>
        <w:rPr>
          <w:rFonts w:asciiTheme="minorHAnsi" w:hAnsiTheme="minorHAnsi" w:cstheme="minorHAnsi"/>
          <w:b/>
          <w:color w:val="000000"/>
        </w:rPr>
      </w:pPr>
    </w:p>
    <w:p w14:paraId="79405439" w14:textId="77777777" w:rsidR="00AF4A17" w:rsidRPr="004258F5" w:rsidRDefault="00AF4A17">
      <w:pPr>
        <w:tabs>
          <w:tab w:val="right" w:pos="6379"/>
          <w:tab w:val="decimal" w:pos="8080"/>
        </w:tabs>
        <w:ind w:right="-7"/>
        <w:jc w:val="both"/>
        <w:rPr>
          <w:rFonts w:asciiTheme="minorHAnsi" w:hAnsiTheme="minorHAnsi" w:cstheme="minorHAnsi"/>
          <w:color w:val="000000"/>
        </w:rPr>
      </w:pPr>
      <w:r w:rsidRPr="004258F5">
        <w:rPr>
          <w:rFonts w:asciiTheme="minorHAnsi" w:hAnsiTheme="minorHAnsi" w:cstheme="minorHAnsi"/>
        </w:rPr>
        <w:t>The weighted average number of ordinary shares of €0.60 each in the earnings per share calculation has</w:t>
      </w:r>
      <w:r w:rsidRPr="004258F5">
        <w:rPr>
          <w:rFonts w:asciiTheme="minorHAnsi" w:hAnsiTheme="minorHAnsi" w:cstheme="minorHAnsi"/>
          <w:color w:val="000000"/>
        </w:rPr>
        <w:t xml:space="preserve"> been reduced by the number of such shares held in treasury.</w:t>
      </w:r>
    </w:p>
    <w:p w14:paraId="33EC02B2" w14:textId="77777777" w:rsidR="00AF4A17" w:rsidRPr="004258F5" w:rsidRDefault="00AF4A17" w:rsidP="00AF4A17">
      <w:pPr>
        <w:tabs>
          <w:tab w:val="right" w:pos="6379"/>
          <w:tab w:val="decimal" w:pos="8080"/>
          <w:tab w:val="left" w:pos="10193"/>
        </w:tabs>
        <w:ind w:right="-7"/>
        <w:rPr>
          <w:rFonts w:asciiTheme="minorHAnsi" w:hAnsiTheme="minorHAnsi" w:cstheme="minorHAnsi"/>
          <w:color w:val="000000"/>
        </w:rPr>
      </w:pPr>
    </w:p>
    <w:p w14:paraId="5CC6357C" w14:textId="7B8BDACB" w:rsidR="004258F5" w:rsidRDefault="00AF4A17">
      <w:pPr>
        <w:spacing w:after="200" w:line="276" w:lineRule="auto"/>
        <w:rPr>
          <w:rFonts w:asciiTheme="minorHAnsi" w:hAnsiTheme="minorHAnsi" w:cstheme="minorHAnsi"/>
          <w:b/>
          <w:color w:val="000000"/>
        </w:rPr>
      </w:pPr>
      <w:r w:rsidRPr="004258F5">
        <w:rPr>
          <w:rFonts w:asciiTheme="minorHAnsi" w:hAnsiTheme="minorHAnsi" w:cstheme="minorHAnsi"/>
          <w:color w:val="000000"/>
        </w:rPr>
        <w:t>All issued shares have been fully paid.</w:t>
      </w:r>
      <w:r w:rsidRPr="004258F5">
        <w:rPr>
          <w:rFonts w:asciiTheme="minorHAnsi" w:hAnsiTheme="minorHAnsi" w:cstheme="minorHAnsi"/>
          <w:color w:val="000000"/>
        </w:rPr>
        <w:br/>
      </w:r>
      <w:r w:rsidR="004258F5">
        <w:rPr>
          <w:rFonts w:asciiTheme="minorHAnsi" w:hAnsiTheme="minorHAnsi" w:cstheme="minorHAnsi"/>
          <w:b/>
          <w:color w:val="000000"/>
        </w:rPr>
        <w:br w:type="page"/>
      </w:r>
    </w:p>
    <w:p w14:paraId="4E50AB15" w14:textId="0389E942" w:rsidR="00301B1D" w:rsidRPr="00A06132" w:rsidRDefault="00301B1D" w:rsidP="003E636B">
      <w:pPr>
        <w:jc w:val="center"/>
        <w:rPr>
          <w:rFonts w:asciiTheme="minorHAnsi" w:hAnsiTheme="minorHAnsi" w:cstheme="minorHAnsi"/>
          <w:color w:val="000000"/>
          <w:sz w:val="22"/>
          <w:szCs w:val="22"/>
        </w:rPr>
      </w:pPr>
      <w:r w:rsidRPr="00A06132">
        <w:rPr>
          <w:rFonts w:asciiTheme="minorHAnsi" w:hAnsiTheme="minorHAnsi" w:cstheme="minorHAnsi"/>
          <w:b/>
          <w:color w:val="000000"/>
          <w:sz w:val="22"/>
          <w:szCs w:val="22"/>
        </w:rPr>
        <w:t>FBD Holdings plc</w:t>
      </w:r>
    </w:p>
    <w:p w14:paraId="07C02CA2" w14:textId="77777777" w:rsidR="00301B1D" w:rsidRPr="00A06132" w:rsidRDefault="00301B1D" w:rsidP="003E636B">
      <w:pPr>
        <w:tabs>
          <w:tab w:val="left" w:pos="-142"/>
          <w:tab w:val="decimal" w:pos="4678"/>
          <w:tab w:val="decimal" w:pos="5670"/>
          <w:tab w:val="decimal" w:pos="6946"/>
          <w:tab w:val="decimal" w:pos="10348"/>
        </w:tabs>
        <w:jc w:val="center"/>
        <w:rPr>
          <w:rFonts w:asciiTheme="minorHAnsi" w:hAnsiTheme="minorHAnsi" w:cstheme="minorHAnsi"/>
          <w:b/>
          <w:color w:val="000000"/>
          <w:sz w:val="22"/>
          <w:szCs w:val="22"/>
        </w:rPr>
      </w:pPr>
      <w:r w:rsidRPr="00A06132">
        <w:rPr>
          <w:rFonts w:asciiTheme="minorHAnsi" w:hAnsiTheme="minorHAnsi" w:cstheme="minorHAnsi"/>
          <w:b/>
          <w:color w:val="000000"/>
          <w:sz w:val="22"/>
          <w:szCs w:val="22"/>
        </w:rPr>
        <w:t>Supplementary Information (continued)</w:t>
      </w:r>
    </w:p>
    <w:p w14:paraId="727CFAD2" w14:textId="0C23EFE2" w:rsidR="00301B1D" w:rsidRPr="00A06132" w:rsidRDefault="00301B1D" w:rsidP="003E636B">
      <w:pPr>
        <w:tabs>
          <w:tab w:val="left" w:pos="426"/>
          <w:tab w:val="left" w:pos="851"/>
          <w:tab w:val="left" w:pos="10604"/>
        </w:tabs>
        <w:ind w:right="-28"/>
        <w:jc w:val="center"/>
        <w:rPr>
          <w:rFonts w:asciiTheme="minorHAnsi" w:hAnsiTheme="minorHAnsi" w:cstheme="minorHAnsi"/>
          <w:b/>
          <w:color w:val="000000"/>
          <w:sz w:val="22"/>
          <w:szCs w:val="22"/>
          <w:lang w:val="en-US"/>
        </w:rPr>
      </w:pPr>
      <w:r w:rsidRPr="00A06132">
        <w:rPr>
          <w:rFonts w:asciiTheme="minorHAnsi" w:hAnsiTheme="minorHAnsi" w:cstheme="minorHAnsi"/>
          <w:b/>
          <w:color w:val="000000"/>
          <w:sz w:val="22"/>
          <w:szCs w:val="22"/>
        </w:rPr>
        <w:t>For</w:t>
      </w:r>
      <w:r w:rsidR="00B96B1F" w:rsidRPr="00A06132">
        <w:rPr>
          <w:rFonts w:asciiTheme="minorHAnsi" w:hAnsiTheme="minorHAnsi" w:cstheme="minorHAnsi"/>
          <w:b/>
          <w:color w:val="000000"/>
          <w:sz w:val="22"/>
          <w:szCs w:val="22"/>
        </w:rPr>
        <w:t xml:space="preserve"> the year ended 31 December 202</w:t>
      </w:r>
      <w:r w:rsidR="00460D52" w:rsidRPr="00A06132">
        <w:rPr>
          <w:rFonts w:asciiTheme="minorHAnsi" w:hAnsiTheme="minorHAnsi" w:cstheme="minorHAnsi"/>
          <w:b/>
          <w:color w:val="000000"/>
          <w:sz w:val="22"/>
          <w:szCs w:val="22"/>
        </w:rPr>
        <w:t>3</w:t>
      </w:r>
    </w:p>
    <w:p w14:paraId="3FAF3E6E" w14:textId="77777777" w:rsidR="00301B1D" w:rsidRPr="004258F5" w:rsidRDefault="00301B1D" w:rsidP="006A43D4">
      <w:pPr>
        <w:tabs>
          <w:tab w:val="decimal" w:pos="8460"/>
          <w:tab w:val="decimal" w:pos="10080"/>
        </w:tabs>
        <w:rPr>
          <w:rFonts w:asciiTheme="minorHAnsi" w:hAnsiTheme="minorHAnsi" w:cstheme="minorHAnsi"/>
          <w:b/>
          <w:color w:val="000000"/>
        </w:rPr>
      </w:pPr>
    </w:p>
    <w:p w14:paraId="40FACA6B" w14:textId="68D16567" w:rsidR="006A43D4" w:rsidRPr="004258F5" w:rsidRDefault="006A43D4" w:rsidP="006A43D4">
      <w:pPr>
        <w:tabs>
          <w:tab w:val="decimal" w:pos="8460"/>
          <w:tab w:val="decimal" w:pos="10080"/>
        </w:tabs>
        <w:rPr>
          <w:rFonts w:asciiTheme="minorHAnsi" w:hAnsiTheme="minorHAnsi" w:cstheme="minorHAnsi"/>
          <w:b/>
          <w:color w:val="000000"/>
        </w:rPr>
      </w:pPr>
      <w:r w:rsidRPr="004258F5">
        <w:rPr>
          <w:rFonts w:asciiTheme="minorHAnsi" w:hAnsiTheme="minorHAnsi" w:cstheme="minorHAnsi"/>
          <w:b/>
          <w:color w:val="000000"/>
        </w:rPr>
        <w:t xml:space="preserve">Note </w:t>
      </w:r>
      <w:r w:rsidR="00197776">
        <w:rPr>
          <w:rFonts w:asciiTheme="minorHAnsi" w:hAnsiTheme="minorHAnsi" w:cstheme="minorHAnsi"/>
          <w:b/>
          <w:color w:val="000000"/>
        </w:rPr>
        <w:t>5</w:t>
      </w:r>
      <w:r w:rsidR="00EC645C">
        <w:rPr>
          <w:rFonts w:asciiTheme="minorHAnsi" w:hAnsiTheme="minorHAnsi" w:cstheme="minorHAnsi"/>
          <w:b/>
          <w:color w:val="000000"/>
        </w:rPr>
        <w:t xml:space="preserve"> </w:t>
      </w:r>
      <w:r w:rsidRPr="004258F5">
        <w:rPr>
          <w:rFonts w:asciiTheme="minorHAnsi" w:hAnsiTheme="minorHAnsi" w:cstheme="minorHAnsi"/>
          <w:b/>
          <w:color w:val="000000"/>
        </w:rPr>
        <w:t xml:space="preserve"> </w:t>
      </w:r>
      <w:r w:rsidR="001813C4" w:rsidRPr="004258F5">
        <w:rPr>
          <w:rFonts w:asciiTheme="minorHAnsi" w:hAnsiTheme="minorHAnsi" w:cstheme="minorHAnsi"/>
          <w:b/>
          <w:color w:val="000000"/>
        </w:rPr>
        <w:t xml:space="preserve"> </w:t>
      </w:r>
      <w:r w:rsidR="00EC645C">
        <w:rPr>
          <w:rFonts w:asciiTheme="minorHAnsi" w:hAnsiTheme="minorHAnsi" w:cstheme="minorHAnsi"/>
          <w:b/>
          <w:color w:val="000000"/>
        </w:rPr>
        <w:t xml:space="preserve">  </w:t>
      </w:r>
      <w:r w:rsidRPr="004258F5">
        <w:rPr>
          <w:rFonts w:asciiTheme="minorHAnsi" w:hAnsiTheme="minorHAnsi" w:cstheme="minorHAnsi"/>
          <w:b/>
          <w:color w:val="000000"/>
        </w:rPr>
        <w:t>TRANSACTIONS WITH RELATED PARTIES</w:t>
      </w:r>
    </w:p>
    <w:p w14:paraId="70343725" w14:textId="77777777" w:rsidR="005F5239" w:rsidRPr="004258F5" w:rsidRDefault="005F5239" w:rsidP="00DD6DBC">
      <w:pPr>
        <w:tabs>
          <w:tab w:val="decimal" w:pos="10080"/>
        </w:tabs>
        <w:ind w:right="-188"/>
        <w:rPr>
          <w:rFonts w:asciiTheme="minorHAnsi" w:hAnsiTheme="minorHAnsi" w:cstheme="minorHAnsi"/>
          <w:b/>
          <w:color w:val="000000"/>
        </w:rPr>
      </w:pPr>
    </w:p>
    <w:p w14:paraId="1E348333" w14:textId="6BA321B2" w:rsidR="006A43D4" w:rsidRPr="004258F5" w:rsidRDefault="006A43D4" w:rsidP="008F1D8E">
      <w:pPr>
        <w:tabs>
          <w:tab w:val="right" w:pos="8080"/>
        </w:tabs>
        <w:ind w:right="-188"/>
        <w:jc w:val="both"/>
        <w:rPr>
          <w:rFonts w:asciiTheme="minorHAnsi" w:hAnsiTheme="minorHAnsi" w:cstheme="minorHAnsi"/>
        </w:rPr>
      </w:pPr>
      <w:r w:rsidRPr="004258F5">
        <w:rPr>
          <w:rFonts w:asciiTheme="minorHAnsi" w:hAnsiTheme="minorHAnsi" w:cstheme="minorHAnsi"/>
        </w:rPr>
        <w:t xml:space="preserve">Farmer Business Developments plc </w:t>
      </w:r>
      <w:r w:rsidR="00DD6DBC" w:rsidRPr="004258F5">
        <w:rPr>
          <w:rFonts w:asciiTheme="minorHAnsi" w:hAnsiTheme="minorHAnsi" w:cstheme="minorHAnsi"/>
        </w:rPr>
        <w:t xml:space="preserve">and FBD Trust Company Ltd </w:t>
      </w:r>
      <w:r w:rsidRPr="004258F5">
        <w:rPr>
          <w:rFonts w:asciiTheme="minorHAnsi" w:hAnsiTheme="minorHAnsi" w:cstheme="minorHAnsi"/>
        </w:rPr>
        <w:t>ha</w:t>
      </w:r>
      <w:r w:rsidR="00DD6DBC" w:rsidRPr="004258F5">
        <w:rPr>
          <w:rFonts w:asciiTheme="minorHAnsi" w:hAnsiTheme="minorHAnsi" w:cstheme="minorHAnsi"/>
        </w:rPr>
        <w:t>ve</w:t>
      </w:r>
      <w:r w:rsidRPr="004258F5">
        <w:rPr>
          <w:rFonts w:asciiTheme="minorHAnsi" w:hAnsiTheme="minorHAnsi" w:cstheme="minorHAnsi"/>
        </w:rPr>
        <w:t xml:space="preserve"> a substantial shareholding</w:t>
      </w:r>
      <w:r w:rsidR="00B96B1F" w:rsidRPr="004258F5">
        <w:rPr>
          <w:rFonts w:asciiTheme="minorHAnsi" w:hAnsiTheme="minorHAnsi" w:cstheme="minorHAnsi"/>
        </w:rPr>
        <w:t xml:space="preserve"> in the Group </w:t>
      </w:r>
      <w:proofErr w:type="gramStart"/>
      <w:r w:rsidR="00B96B1F" w:rsidRPr="004258F5">
        <w:rPr>
          <w:rFonts w:asciiTheme="minorHAnsi" w:hAnsiTheme="minorHAnsi" w:cstheme="minorHAnsi"/>
        </w:rPr>
        <w:t>at</w:t>
      </w:r>
      <w:proofErr w:type="gramEnd"/>
      <w:r w:rsidR="00B96B1F" w:rsidRPr="004258F5">
        <w:rPr>
          <w:rFonts w:asciiTheme="minorHAnsi" w:hAnsiTheme="minorHAnsi" w:cstheme="minorHAnsi"/>
        </w:rPr>
        <w:t xml:space="preserve"> 31 December 202</w:t>
      </w:r>
      <w:r w:rsidR="00E17098" w:rsidRPr="004258F5">
        <w:rPr>
          <w:rFonts w:asciiTheme="minorHAnsi" w:hAnsiTheme="minorHAnsi" w:cstheme="minorHAnsi"/>
        </w:rPr>
        <w:t>3</w:t>
      </w:r>
      <w:r w:rsidRPr="004258F5">
        <w:rPr>
          <w:rFonts w:asciiTheme="minorHAnsi" w:hAnsiTheme="minorHAnsi" w:cstheme="minorHAnsi"/>
        </w:rPr>
        <w:t>. Details of their shareholding</w:t>
      </w:r>
      <w:r w:rsidR="00DD6DBC" w:rsidRPr="004258F5">
        <w:rPr>
          <w:rFonts w:asciiTheme="minorHAnsi" w:hAnsiTheme="minorHAnsi" w:cstheme="minorHAnsi"/>
        </w:rPr>
        <w:t>s</w:t>
      </w:r>
      <w:r w:rsidRPr="004258F5">
        <w:rPr>
          <w:rFonts w:asciiTheme="minorHAnsi" w:hAnsiTheme="minorHAnsi" w:cstheme="minorHAnsi"/>
        </w:rPr>
        <w:t xml:space="preserve"> and related party transactions are set out in the Annual Report.</w:t>
      </w:r>
    </w:p>
    <w:p w14:paraId="081C6E22" w14:textId="77777777" w:rsidR="002B3917" w:rsidRPr="004258F5" w:rsidRDefault="002B3917" w:rsidP="002B3917">
      <w:pPr>
        <w:tabs>
          <w:tab w:val="left" w:pos="9615"/>
          <w:tab w:val="left" w:pos="10206"/>
        </w:tabs>
        <w:ind w:right="-188"/>
        <w:jc w:val="both"/>
        <w:rPr>
          <w:rFonts w:asciiTheme="minorHAnsi" w:hAnsiTheme="minorHAnsi" w:cstheme="minorHAnsi"/>
        </w:rPr>
      </w:pPr>
    </w:p>
    <w:p w14:paraId="793C1766" w14:textId="54BA0225" w:rsidR="002B3917" w:rsidRPr="004258F5" w:rsidRDefault="002B3917" w:rsidP="002B3917">
      <w:pPr>
        <w:tabs>
          <w:tab w:val="left" w:pos="9615"/>
          <w:tab w:val="left" w:pos="10206"/>
        </w:tabs>
        <w:ind w:right="-188"/>
        <w:jc w:val="both"/>
        <w:rPr>
          <w:rFonts w:asciiTheme="minorHAnsi" w:hAnsiTheme="minorHAnsi" w:cstheme="minorHAnsi"/>
        </w:rPr>
      </w:pPr>
      <w:r w:rsidRPr="004258F5">
        <w:rPr>
          <w:rFonts w:asciiTheme="minorHAnsi" w:hAnsiTheme="minorHAnsi" w:cstheme="minorHAnsi"/>
        </w:rPr>
        <w:t>Both companies have subordinated debt investment in the Group. Farmer Business Developments</w:t>
      </w:r>
      <w:r w:rsidR="003013D8">
        <w:rPr>
          <w:rFonts w:asciiTheme="minorHAnsi" w:hAnsiTheme="minorHAnsi" w:cstheme="minorHAnsi"/>
        </w:rPr>
        <w:t xml:space="preserve"> plc</w:t>
      </w:r>
      <w:r w:rsidRPr="004258F5">
        <w:rPr>
          <w:rFonts w:asciiTheme="minorHAnsi" w:hAnsiTheme="minorHAnsi" w:cstheme="minorHAnsi"/>
        </w:rPr>
        <w:t xml:space="preserve"> holds a €2</w:t>
      </w:r>
      <w:r w:rsidR="0082773E" w:rsidRPr="004258F5">
        <w:rPr>
          <w:rFonts w:asciiTheme="minorHAnsi" w:hAnsiTheme="minorHAnsi" w:cstheme="minorHAnsi"/>
        </w:rPr>
        <w:t>1</w:t>
      </w:r>
      <w:r w:rsidRPr="004258F5">
        <w:rPr>
          <w:rFonts w:asciiTheme="minorHAnsi" w:hAnsiTheme="minorHAnsi" w:cstheme="minorHAnsi"/>
        </w:rPr>
        <w:t>.0m investment and FBD Trust Ltd holds a €1</w:t>
      </w:r>
      <w:r w:rsidR="0082773E" w:rsidRPr="004258F5">
        <w:rPr>
          <w:rFonts w:asciiTheme="minorHAnsi" w:hAnsiTheme="minorHAnsi" w:cstheme="minorHAnsi"/>
        </w:rPr>
        <w:t>2</w:t>
      </w:r>
      <w:r w:rsidRPr="004258F5">
        <w:rPr>
          <w:rFonts w:asciiTheme="minorHAnsi" w:hAnsiTheme="minorHAnsi" w:cstheme="minorHAnsi"/>
        </w:rPr>
        <w:t xml:space="preserve">.0m investment. </w:t>
      </w:r>
      <w:r w:rsidR="00ED42E3" w:rsidRPr="004258F5">
        <w:rPr>
          <w:rFonts w:asciiTheme="minorHAnsi" w:hAnsiTheme="minorHAnsi" w:cstheme="minorHAnsi"/>
        </w:rPr>
        <w:t>During 202</w:t>
      </w:r>
      <w:r w:rsidR="00E17098" w:rsidRPr="004258F5">
        <w:rPr>
          <w:rFonts w:asciiTheme="minorHAnsi" w:hAnsiTheme="minorHAnsi" w:cstheme="minorHAnsi"/>
        </w:rPr>
        <w:t>3</w:t>
      </w:r>
      <w:r w:rsidR="00ED42E3" w:rsidRPr="004258F5">
        <w:rPr>
          <w:rFonts w:asciiTheme="minorHAnsi" w:hAnsiTheme="minorHAnsi" w:cstheme="minorHAnsi"/>
        </w:rPr>
        <w:t xml:space="preserve"> i</w:t>
      </w:r>
      <w:r w:rsidRPr="004258F5">
        <w:rPr>
          <w:rFonts w:asciiTheme="minorHAnsi" w:hAnsiTheme="minorHAnsi" w:cstheme="minorHAnsi"/>
        </w:rPr>
        <w:t>nterest payments</w:t>
      </w:r>
      <w:r w:rsidR="00ED42E3" w:rsidRPr="004258F5">
        <w:rPr>
          <w:rFonts w:asciiTheme="minorHAnsi" w:hAnsiTheme="minorHAnsi" w:cstheme="minorHAnsi"/>
        </w:rPr>
        <w:t xml:space="preserve"> of €1.1m and €0.6m were</w:t>
      </w:r>
      <w:r w:rsidRPr="004258F5">
        <w:rPr>
          <w:rFonts w:asciiTheme="minorHAnsi" w:hAnsiTheme="minorHAnsi" w:cstheme="minorHAnsi"/>
        </w:rPr>
        <w:t xml:space="preserve"> made to </w:t>
      </w:r>
      <w:r w:rsidR="00ED42E3" w:rsidRPr="004258F5">
        <w:rPr>
          <w:rFonts w:asciiTheme="minorHAnsi" w:hAnsiTheme="minorHAnsi" w:cstheme="minorHAnsi"/>
        </w:rPr>
        <w:t>Farmer Business Developments plc and FBD Trust Company Ltd respectively</w:t>
      </w:r>
      <w:r w:rsidRPr="004258F5">
        <w:rPr>
          <w:rFonts w:asciiTheme="minorHAnsi" w:hAnsiTheme="minorHAnsi" w:cstheme="minorHAnsi"/>
        </w:rPr>
        <w:t>.</w:t>
      </w:r>
      <w:r w:rsidR="00ED42E3" w:rsidRPr="004258F5">
        <w:rPr>
          <w:rFonts w:asciiTheme="minorHAnsi" w:hAnsiTheme="minorHAnsi" w:cstheme="minorHAnsi"/>
        </w:rPr>
        <w:t xml:space="preserve"> Please refer to </w:t>
      </w:r>
      <w:r w:rsidR="00ED42E3" w:rsidRPr="003B160A">
        <w:rPr>
          <w:rFonts w:asciiTheme="minorHAnsi" w:hAnsiTheme="minorHAnsi" w:cstheme="minorHAnsi"/>
        </w:rPr>
        <w:t xml:space="preserve">note </w:t>
      </w:r>
      <w:r w:rsidR="003B160A">
        <w:rPr>
          <w:rFonts w:asciiTheme="minorHAnsi" w:hAnsiTheme="minorHAnsi" w:cstheme="minorHAnsi"/>
        </w:rPr>
        <w:t>2</w:t>
      </w:r>
      <w:r w:rsidR="002240B8" w:rsidRPr="003B160A">
        <w:rPr>
          <w:rFonts w:asciiTheme="minorHAnsi" w:hAnsiTheme="minorHAnsi" w:cstheme="minorHAnsi"/>
        </w:rPr>
        <w:t>7</w:t>
      </w:r>
      <w:r w:rsidR="00ED42E3" w:rsidRPr="004258F5">
        <w:rPr>
          <w:rFonts w:asciiTheme="minorHAnsi" w:hAnsiTheme="minorHAnsi" w:cstheme="minorHAnsi"/>
        </w:rPr>
        <w:t xml:space="preserve"> </w:t>
      </w:r>
      <w:r w:rsidR="002240B8">
        <w:rPr>
          <w:rFonts w:asciiTheme="minorHAnsi" w:hAnsiTheme="minorHAnsi" w:cstheme="minorHAnsi"/>
        </w:rPr>
        <w:t>in the Annual Report</w:t>
      </w:r>
      <w:r w:rsidR="00ED42E3" w:rsidRPr="004258F5">
        <w:rPr>
          <w:rFonts w:asciiTheme="minorHAnsi" w:hAnsiTheme="minorHAnsi" w:cstheme="minorHAnsi"/>
        </w:rPr>
        <w:t>.</w:t>
      </w:r>
      <w:r w:rsidRPr="004258F5">
        <w:rPr>
          <w:rFonts w:asciiTheme="minorHAnsi" w:hAnsiTheme="minorHAnsi" w:cstheme="minorHAnsi"/>
        </w:rPr>
        <w:t xml:space="preserve"> </w:t>
      </w:r>
    </w:p>
    <w:p w14:paraId="115A8B62" w14:textId="77777777" w:rsidR="002B3917" w:rsidRPr="004258F5" w:rsidRDefault="002B3917" w:rsidP="002B3917">
      <w:pPr>
        <w:tabs>
          <w:tab w:val="left" w:pos="9615"/>
          <w:tab w:val="left" w:pos="10206"/>
        </w:tabs>
        <w:ind w:right="-188"/>
        <w:jc w:val="both"/>
        <w:rPr>
          <w:rFonts w:asciiTheme="minorHAnsi" w:hAnsiTheme="minorHAnsi" w:cstheme="minorHAnsi"/>
        </w:rPr>
      </w:pPr>
    </w:p>
    <w:p w14:paraId="59A1F4A9" w14:textId="146CBC66" w:rsidR="002B3917" w:rsidRPr="004258F5" w:rsidRDefault="002B3917" w:rsidP="002B3917">
      <w:pPr>
        <w:tabs>
          <w:tab w:val="left" w:pos="10206"/>
        </w:tabs>
        <w:ind w:right="-166"/>
        <w:jc w:val="both"/>
        <w:rPr>
          <w:rFonts w:asciiTheme="minorHAnsi" w:hAnsiTheme="minorHAnsi" w:cstheme="minorHAnsi"/>
        </w:rPr>
      </w:pPr>
      <w:proofErr w:type="gramStart"/>
      <w:r w:rsidRPr="004258F5">
        <w:rPr>
          <w:rFonts w:asciiTheme="minorHAnsi" w:hAnsiTheme="minorHAnsi" w:cstheme="minorHAnsi"/>
        </w:rPr>
        <w:t>At</w:t>
      </w:r>
      <w:proofErr w:type="gramEnd"/>
      <w:r w:rsidRPr="004258F5">
        <w:rPr>
          <w:rFonts w:asciiTheme="minorHAnsi" w:hAnsiTheme="minorHAnsi" w:cstheme="minorHAnsi"/>
        </w:rPr>
        <w:t xml:space="preserve"> 31 December 202</w:t>
      </w:r>
      <w:r w:rsidR="00E17098" w:rsidRPr="004258F5">
        <w:rPr>
          <w:rFonts w:asciiTheme="minorHAnsi" w:hAnsiTheme="minorHAnsi" w:cstheme="minorHAnsi"/>
        </w:rPr>
        <w:t>3</w:t>
      </w:r>
      <w:r w:rsidRPr="004258F5">
        <w:rPr>
          <w:rFonts w:asciiTheme="minorHAnsi" w:hAnsiTheme="minorHAnsi" w:cstheme="minorHAnsi"/>
        </w:rPr>
        <w:t xml:space="preserve"> the intercompany balance</w:t>
      </w:r>
      <w:r w:rsidR="001B09F0" w:rsidRPr="004258F5">
        <w:rPr>
          <w:rFonts w:asciiTheme="minorHAnsi" w:hAnsiTheme="minorHAnsi" w:cstheme="minorHAnsi"/>
        </w:rPr>
        <w:t xml:space="preserve">s </w:t>
      </w:r>
      <w:r w:rsidR="003B160A">
        <w:rPr>
          <w:rFonts w:asciiTheme="minorHAnsi" w:hAnsiTheme="minorHAnsi" w:cstheme="minorHAnsi"/>
        </w:rPr>
        <w:t xml:space="preserve">(FBD Holdings plc) </w:t>
      </w:r>
      <w:r w:rsidR="001B09F0" w:rsidRPr="004258F5">
        <w:rPr>
          <w:rFonts w:asciiTheme="minorHAnsi" w:hAnsiTheme="minorHAnsi" w:cstheme="minorHAnsi"/>
        </w:rPr>
        <w:t xml:space="preserve">with </w:t>
      </w:r>
      <w:r w:rsidR="0042540E" w:rsidRPr="004258F5">
        <w:rPr>
          <w:rFonts w:asciiTheme="minorHAnsi" w:hAnsiTheme="minorHAnsi" w:cstheme="minorHAnsi"/>
        </w:rPr>
        <w:t xml:space="preserve">other </w:t>
      </w:r>
      <w:r w:rsidR="001B09F0" w:rsidRPr="004258F5">
        <w:rPr>
          <w:rFonts w:asciiTheme="minorHAnsi" w:hAnsiTheme="minorHAnsi" w:cstheme="minorHAnsi"/>
        </w:rPr>
        <w:t xml:space="preserve">subsidiaries </w:t>
      </w:r>
      <w:r w:rsidRPr="004258F5">
        <w:rPr>
          <w:rFonts w:asciiTheme="minorHAnsi" w:hAnsiTheme="minorHAnsi" w:cstheme="minorHAnsi"/>
        </w:rPr>
        <w:t xml:space="preserve">was </w:t>
      </w:r>
      <w:r w:rsidR="00204B74">
        <w:rPr>
          <w:rFonts w:asciiTheme="minorHAnsi" w:hAnsiTheme="minorHAnsi" w:cstheme="minorHAnsi"/>
        </w:rPr>
        <w:t xml:space="preserve">a receivable of </w:t>
      </w:r>
      <w:r w:rsidR="004D79B2" w:rsidRPr="004258F5">
        <w:rPr>
          <w:rFonts w:asciiTheme="minorHAnsi" w:hAnsiTheme="minorHAnsi" w:cstheme="minorHAnsi"/>
        </w:rPr>
        <w:t>€</w:t>
      </w:r>
      <w:r w:rsidR="007C5D9E" w:rsidRPr="004258F5">
        <w:rPr>
          <w:rFonts w:asciiTheme="minorHAnsi" w:hAnsiTheme="minorHAnsi" w:cstheme="minorHAnsi"/>
        </w:rPr>
        <w:t>4</w:t>
      </w:r>
      <w:r w:rsidR="000D0A67" w:rsidRPr="004258F5">
        <w:rPr>
          <w:rFonts w:asciiTheme="minorHAnsi" w:hAnsiTheme="minorHAnsi" w:cstheme="minorHAnsi"/>
        </w:rPr>
        <w:t>,</w:t>
      </w:r>
      <w:r w:rsidR="007C5D9E" w:rsidRPr="004258F5">
        <w:rPr>
          <w:rFonts w:asciiTheme="minorHAnsi" w:hAnsiTheme="minorHAnsi" w:cstheme="minorHAnsi"/>
        </w:rPr>
        <w:t>350</w:t>
      </w:r>
      <w:r w:rsidR="004D79B2" w:rsidRPr="004258F5">
        <w:rPr>
          <w:rFonts w:asciiTheme="minorHAnsi" w:hAnsiTheme="minorHAnsi" w:cstheme="minorHAnsi"/>
        </w:rPr>
        <w:t>,000</w:t>
      </w:r>
      <w:r w:rsidR="008173A2" w:rsidRPr="004258F5">
        <w:rPr>
          <w:rFonts w:asciiTheme="minorHAnsi" w:hAnsiTheme="minorHAnsi" w:cstheme="minorHAnsi"/>
        </w:rPr>
        <w:t xml:space="preserve"> </w:t>
      </w:r>
      <w:r w:rsidRPr="004258F5">
        <w:rPr>
          <w:rFonts w:asciiTheme="minorHAnsi" w:hAnsiTheme="minorHAnsi" w:cstheme="minorHAnsi"/>
        </w:rPr>
        <w:t>(20</w:t>
      </w:r>
      <w:r w:rsidR="00A41064" w:rsidRPr="004258F5">
        <w:rPr>
          <w:rFonts w:asciiTheme="minorHAnsi" w:hAnsiTheme="minorHAnsi" w:cstheme="minorHAnsi"/>
        </w:rPr>
        <w:t>2</w:t>
      </w:r>
      <w:r w:rsidR="00E17098" w:rsidRPr="004258F5">
        <w:rPr>
          <w:rFonts w:asciiTheme="minorHAnsi" w:hAnsiTheme="minorHAnsi" w:cstheme="minorHAnsi"/>
        </w:rPr>
        <w:t>2</w:t>
      </w:r>
      <w:r w:rsidRPr="004258F5">
        <w:rPr>
          <w:rFonts w:asciiTheme="minorHAnsi" w:hAnsiTheme="minorHAnsi" w:cstheme="minorHAnsi"/>
        </w:rPr>
        <w:t xml:space="preserve">: </w:t>
      </w:r>
      <w:r w:rsidR="00204B74">
        <w:rPr>
          <w:rFonts w:asciiTheme="minorHAnsi" w:hAnsiTheme="minorHAnsi" w:cstheme="minorHAnsi"/>
        </w:rPr>
        <w:t xml:space="preserve">receivable of </w:t>
      </w:r>
      <w:r w:rsidRPr="004258F5">
        <w:rPr>
          <w:rFonts w:asciiTheme="minorHAnsi" w:hAnsiTheme="minorHAnsi" w:cstheme="minorHAnsi"/>
        </w:rPr>
        <w:t>€</w:t>
      </w:r>
      <w:r w:rsidR="00E17098" w:rsidRPr="004258F5">
        <w:rPr>
          <w:rFonts w:asciiTheme="minorHAnsi" w:hAnsiTheme="minorHAnsi" w:cstheme="minorHAnsi"/>
        </w:rPr>
        <w:t>5</w:t>
      </w:r>
      <w:r w:rsidR="00D64BD1" w:rsidRPr="004258F5">
        <w:rPr>
          <w:rFonts w:asciiTheme="minorHAnsi" w:hAnsiTheme="minorHAnsi" w:cstheme="minorHAnsi"/>
        </w:rPr>
        <w:t>,</w:t>
      </w:r>
      <w:r w:rsidR="00E17098" w:rsidRPr="004258F5">
        <w:rPr>
          <w:rFonts w:asciiTheme="minorHAnsi" w:hAnsiTheme="minorHAnsi" w:cstheme="minorHAnsi"/>
        </w:rPr>
        <w:t>867</w:t>
      </w:r>
      <w:r w:rsidR="00A41064" w:rsidRPr="004258F5">
        <w:rPr>
          <w:rFonts w:asciiTheme="minorHAnsi" w:hAnsiTheme="minorHAnsi" w:cstheme="minorHAnsi"/>
        </w:rPr>
        <w:t>,000</w:t>
      </w:r>
      <w:r w:rsidRPr="004258F5">
        <w:rPr>
          <w:rFonts w:asciiTheme="minorHAnsi" w:hAnsiTheme="minorHAnsi" w:cstheme="minorHAnsi"/>
        </w:rPr>
        <w:t xml:space="preserve">). </w:t>
      </w:r>
    </w:p>
    <w:p w14:paraId="3533CADE" w14:textId="77777777" w:rsidR="002B3917" w:rsidRPr="004258F5" w:rsidRDefault="002B3917" w:rsidP="002B3917">
      <w:pPr>
        <w:tabs>
          <w:tab w:val="left" w:pos="10206"/>
        </w:tabs>
        <w:ind w:right="-166"/>
        <w:jc w:val="both"/>
        <w:rPr>
          <w:rFonts w:asciiTheme="minorHAnsi" w:hAnsiTheme="minorHAnsi" w:cstheme="minorHAnsi"/>
          <w:highlight w:val="yellow"/>
        </w:rPr>
      </w:pPr>
    </w:p>
    <w:p w14:paraId="31DB08DA" w14:textId="77777777" w:rsidR="006A43D4" w:rsidRPr="004258F5" w:rsidRDefault="006A43D4" w:rsidP="006A43D4">
      <w:pPr>
        <w:tabs>
          <w:tab w:val="left" w:pos="10206"/>
        </w:tabs>
        <w:ind w:right="-166"/>
        <w:jc w:val="both"/>
        <w:rPr>
          <w:rFonts w:asciiTheme="minorHAnsi" w:hAnsiTheme="minorHAnsi" w:cstheme="minorHAnsi"/>
          <w:bCs/>
        </w:rPr>
      </w:pPr>
      <w:r w:rsidRPr="004258F5">
        <w:rPr>
          <w:rFonts w:asciiTheme="minorHAnsi" w:hAnsiTheme="minorHAnsi" w:cstheme="minorHAnsi"/>
        </w:rPr>
        <w:t xml:space="preserve">For the purposes of the disclosure requirements of IAS 24, the term </w:t>
      </w:r>
      <w:r w:rsidRPr="004258F5">
        <w:rPr>
          <w:rFonts w:asciiTheme="minorHAnsi" w:hAnsiTheme="minorHAnsi" w:cstheme="minorHAnsi"/>
          <w:i/>
        </w:rPr>
        <w:t>“key management personnel”</w:t>
      </w:r>
      <w:r w:rsidRPr="004258F5">
        <w:rPr>
          <w:rFonts w:asciiTheme="minorHAnsi" w:hAnsiTheme="minorHAnsi" w:cstheme="minorHAnsi"/>
        </w:rPr>
        <w:t xml:space="preserve"> (</w:t>
      </w:r>
      <w:proofErr w:type="gramStart"/>
      <w:r w:rsidRPr="004258F5">
        <w:rPr>
          <w:rFonts w:asciiTheme="minorHAnsi" w:hAnsiTheme="minorHAnsi" w:cstheme="minorHAnsi"/>
        </w:rPr>
        <w:t>i.e.</w:t>
      </w:r>
      <w:proofErr w:type="gramEnd"/>
      <w:r w:rsidRPr="004258F5">
        <w:rPr>
          <w:rFonts w:asciiTheme="minorHAnsi" w:hAnsiTheme="minorHAnsi" w:cstheme="minorHAnsi"/>
        </w:rPr>
        <w:t xml:space="preserve"> those persons having authority and responsibility for planning, directing and controlling the activities of the </w:t>
      </w:r>
      <w:r w:rsidR="00DD6DBC" w:rsidRPr="004258F5">
        <w:rPr>
          <w:rFonts w:asciiTheme="minorHAnsi" w:hAnsiTheme="minorHAnsi" w:cstheme="minorHAnsi"/>
        </w:rPr>
        <w:t>Group</w:t>
      </w:r>
      <w:r w:rsidRPr="004258F5">
        <w:rPr>
          <w:rFonts w:asciiTheme="minorHAnsi" w:hAnsiTheme="minorHAnsi" w:cstheme="minorHAnsi"/>
        </w:rPr>
        <w:t>) comprises the Board of Directors and Company Secretary of FBD Holdings plc and the Group’s primary subsidiary, FBD Insurance plc and the members of the Executive Management Team.</w:t>
      </w:r>
    </w:p>
    <w:p w14:paraId="3AEF616C" w14:textId="77777777" w:rsidR="005F5239" w:rsidRPr="004258F5" w:rsidRDefault="005F5239" w:rsidP="006A43D4">
      <w:pPr>
        <w:tabs>
          <w:tab w:val="left" w:pos="10206"/>
        </w:tabs>
        <w:ind w:right="-166"/>
        <w:jc w:val="both"/>
        <w:rPr>
          <w:rFonts w:asciiTheme="minorHAnsi" w:hAnsiTheme="minorHAnsi" w:cstheme="minorHAnsi"/>
          <w:bCs/>
        </w:rPr>
      </w:pPr>
    </w:p>
    <w:p w14:paraId="0C7937FE" w14:textId="77777777" w:rsidR="006A43D4" w:rsidRPr="004258F5" w:rsidRDefault="006A43D4" w:rsidP="006A43D4">
      <w:pPr>
        <w:tabs>
          <w:tab w:val="left" w:pos="10206"/>
        </w:tabs>
        <w:ind w:right="-166"/>
        <w:jc w:val="both"/>
        <w:rPr>
          <w:rFonts w:asciiTheme="minorHAnsi" w:hAnsiTheme="minorHAnsi" w:cstheme="minorHAnsi"/>
          <w:bCs/>
        </w:rPr>
      </w:pPr>
      <w:r w:rsidRPr="004258F5">
        <w:rPr>
          <w:rFonts w:asciiTheme="minorHAnsi" w:hAnsiTheme="minorHAnsi" w:cstheme="minorHAnsi"/>
          <w:bCs/>
        </w:rPr>
        <w:t>The remuneration of key management personnel (“KMP”) during the year was as follows:</w:t>
      </w:r>
    </w:p>
    <w:tbl>
      <w:tblPr>
        <w:tblW w:w="9157" w:type="dxa"/>
        <w:tblInd w:w="108" w:type="dxa"/>
        <w:tblLook w:val="04A0" w:firstRow="1" w:lastRow="0" w:firstColumn="1" w:lastColumn="0" w:noHBand="0" w:noVBand="1"/>
      </w:tblPr>
      <w:tblGrid>
        <w:gridCol w:w="6096"/>
        <w:gridCol w:w="1275"/>
        <w:gridCol w:w="575"/>
        <w:gridCol w:w="1211"/>
      </w:tblGrid>
      <w:tr w:rsidR="00E17098" w:rsidRPr="00B41283" w14:paraId="41E8A62F" w14:textId="77777777" w:rsidTr="00E17098">
        <w:trPr>
          <w:trHeight w:val="260"/>
        </w:trPr>
        <w:tc>
          <w:tcPr>
            <w:tcW w:w="6096" w:type="dxa"/>
            <w:shd w:val="clear" w:color="auto" w:fill="auto"/>
          </w:tcPr>
          <w:p w14:paraId="2165B0E4" w14:textId="77777777" w:rsidR="00E17098" w:rsidRPr="007D3F79" w:rsidRDefault="00E17098" w:rsidP="00E17098">
            <w:pPr>
              <w:tabs>
                <w:tab w:val="left" w:pos="10206"/>
              </w:tabs>
              <w:ind w:right="284"/>
              <w:jc w:val="both"/>
              <w:rPr>
                <w:rFonts w:asciiTheme="minorHAnsi" w:hAnsiTheme="minorHAnsi" w:cstheme="minorHAnsi"/>
                <w:bCs/>
              </w:rPr>
            </w:pPr>
          </w:p>
        </w:tc>
        <w:tc>
          <w:tcPr>
            <w:tcW w:w="1275" w:type="dxa"/>
            <w:shd w:val="clear" w:color="auto" w:fill="auto"/>
          </w:tcPr>
          <w:p w14:paraId="553FD559" w14:textId="7504C328" w:rsidR="00E17098" w:rsidRPr="007D3F79" w:rsidRDefault="00E17098" w:rsidP="00E17098">
            <w:pPr>
              <w:jc w:val="right"/>
              <w:rPr>
                <w:rFonts w:asciiTheme="minorHAnsi" w:hAnsiTheme="minorHAnsi" w:cstheme="minorHAnsi"/>
                <w:b/>
              </w:rPr>
            </w:pPr>
            <w:r w:rsidRPr="007D3F79">
              <w:rPr>
                <w:rFonts w:asciiTheme="minorHAnsi" w:hAnsiTheme="minorHAnsi" w:cstheme="minorHAnsi"/>
                <w:b/>
              </w:rPr>
              <w:t>2023</w:t>
            </w:r>
          </w:p>
        </w:tc>
        <w:tc>
          <w:tcPr>
            <w:tcW w:w="575" w:type="dxa"/>
            <w:shd w:val="clear" w:color="auto" w:fill="auto"/>
          </w:tcPr>
          <w:p w14:paraId="0CE88BDB" w14:textId="77777777" w:rsidR="00E17098" w:rsidRPr="007D3F79" w:rsidRDefault="00E17098" w:rsidP="00E17098">
            <w:pPr>
              <w:tabs>
                <w:tab w:val="left" w:pos="10206"/>
              </w:tabs>
              <w:ind w:right="284"/>
              <w:jc w:val="right"/>
              <w:rPr>
                <w:rFonts w:asciiTheme="minorHAnsi" w:hAnsiTheme="minorHAnsi" w:cstheme="minorHAnsi"/>
                <w:bCs/>
              </w:rPr>
            </w:pPr>
          </w:p>
        </w:tc>
        <w:tc>
          <w:tcPr>
            <w:tcW w:w="1211" w:type="dxa"/>
          </w:tcPr>
          <w:p w14:paraId="4C1E930E" w14:textId="4E37712E" w:rsidR="00E17098" w:rsidRPr="00B41283" w:rsidRDefault="00E17098" w:rsidP="00E17098">
            <w:pPr>
              <w:jc w:val="right"/>
              <w:rPr>
                <w:rFonts w:asciiTheme="minorHAnsi" w:hAnsiTheme="minorHAnsi" w:cstheme="minorHAnsi"/>
                <w:bCs/>
              </w:rPr>
            </w:pPr>
            <w:r w:rsidRPr="00B41283">
              <w:rPr>
                <w:rFonts w:asciiTheme="minorHAnsi" w:hAnsiTheme="minorHAnsi" w:cstheme="minorHAnsi"/>
                <w:bCs/>
              </w:rPr>
              <w:t>2022</w:t>
            </w:r>
          </w:p>
        </w:tc>
      </w:tr>
      <w:tr w:rsidR="00E17098" w:rsidRPr="00B41283" w14:paraId="7E77B479" w14:textId="77777777" w:rsidTr="00E17098">
        <w:trPr>
          <w:trHeight w:val="277"/>
        </w:trPr>
        <w:tc>
          <w:tcPr>
            <w:tcW w:w="6096" w:type="dxa"/>
            <w:shd w:val="clear" w:color="auto" w:fill="auto"/>
          </w:tcPr>
          <w:p w14:paraId="153C3311" w14:textId="77777777" w:rsidR="00E17098" w:rsidRPr="007D3F79" w:rsidRDefault="00E17098" w:rsidP="00E17098">
            <w:pPr>
              <w:tabs>
                <w:tab w:val="left" w:pos="10206"/>
              </w:tabs>
              <w:ind w:right="284"/>
              <w:jc w:val="both"/>
              <w:rPr>
                <w:rFonts w:asciiTheme="minorHAnsi" w:hAnsiTheme="minorHAnsi" w:cstheme="minorHAnsi"/>
                <w:bCs/>
              </w:rPr>
            </w:pPr>
          </w:p>
        </w:tc>
        <w:tc>
          <w:tcPr>
            <w:tcW w:w="1275" w:type="dxa"/>
            <w:shd w:val="clear" w:color="auto" w:fill="auto"/>
          </w:tcPr>
          <w:p w14:paraId="417FCC6C" w14:textId="77777777" w:rsidR="00E17098" w:rsidRPr="007D3F79" w:rsidRDefault="00E17098" w:rsidP="00E17098">
            <w:pPr>
              <w:jc w:val="right"/>
              <w:rPr>
                <w:rFonts w:asciiTheme="minorHAnsi" w:hAnsiTheme="minorHAnsi" w:cstheme="minorHAnsi"/>
                <w:b/>
              </w:rPr>
            </w:pPr>
            <w:r w:rsidRPr="007D3F79">
              <w:rPr>
                <w:rFonts w:asciiTheme="minorHAnsi" w:hAnsiTheme="minorHAnsi" w:cstheme="minorHAnsi"/>
                <w:b/>
              </w:rPr>
              <w:t>€000s</w:t>
            </w:r>
          </w:p>
        </w:tc>
        <w:tc>
          <w:tcPr>
            <w:tcW w:w="575" w:type="dxa"/>
            <w:shd w:val="clear" w:color="auto" w:fill="auto"/>
          </w:tcPr>
          <w:p w14:paraId="5ED21C61" w14:textId="77777777" w:rsidR="00E17098" w:rsidRPr="007D3F79" w:rsidRDefault="00E17098" w:rsidP="00E17098">
            <w:pPr>
              <w:tabs>
                <w:tab w:val="left" w:pos="10206"/>
              </w:tabs>
              <w:ind w:right="284"/>
              <w:jc w:val="right"/>
              <w:rPr>
                <w:rFonts w:asciiTheme="minorHAnsi" w:hAnsiTheme="minorHAnsi" w:cstheme="minorHAnsi"/>
                <w:bCs/>
              </w:rPr>
            </w:pPr>
          </w:p>
        </w:tc>
        <w:tc>
          <w:tcPr>
            <w:tcW w:w="1211" w:type="dxa"/>
          </w:tcPr>
          <w:p w14:paraId="2D3A91F1" w14:textId="3FFDC555" w:rsidR="00E17098" w:rsidRPr="00B41283" w:rsidRDefault="00E17098" w:rsidP="00E17098">
            <w:pPr>
              <w:jc w:val="right"/>
              <w:rPr>
                <w:rFonts w:asciiTheme="minorHAnsi" w:hAnsiTheme="minorHAnsi" w:cstheme="minorHAnsi"/>
                <w:bCs/>
              </w:rPr>
            </w:pPr>
            <w:r w:rsidRPr="00B41283">
              <w:rPr>
                <w:rFonts w:asciiTheme="minorHAnsi" w:hAnsiTheme="minorHAnsi" w:cstheme="minorHAnsi"/>
                <w:bCs/>
              </w:rPr>
              <w:t>€000s</w:t>
            </w:r>
          </w:p>
        </w:tc>
      </w:tr>
      <w:tr w:rsidR="00E17098" w:rsidRPr="00B41283" w14:paraId="0C03B9E3" w14:textId="77777777" w:rsidTr="00E17098">
        <w:trPr>
          <w:trHeight w:val="260"/>
        </w:trPr>
        <w:tc>
          <w:tcPr>
            <w:tcW w:w="6096" w:type="dxa"/>
            <w:shd w:val="clear" w:color="auto" w:fill="auto"/>
          </w:tcPr>
          <w:p w14:paraId="51537573" w14:textId="77777777" w:rsidR="00E17098" w:rsidRPr="007D3F79" w:rsidRDefault="00E17098" w:rsidP="00E17098">
            <w:pPr>
              <w:tabs>
                <w:tab w:val="left" w:pos="10206"/>
              </w:tabs>
              <w:ind w:right="284"/>
              <w:jc w:val="both"/>
              <w:rPr>
                <w:rFonts w:asciiTheme="minorHAnsi" w:hAnsiTheme="minorHAnsi" w:cstheme="minorHAnsi"/>
                <w:bCs/>
              </w:rPr>
            </w:pPr>
            <w:r w:rsidRPr="007D3F79">
              <w:rPr>
                <w:rFonts w:asciiTheme="minorHAnsi" w:hAnsiTheme="minorHAnsi" w:cstheme="minorHAnsi"/>
                <w:bCs/>
              </w:rPr>
              <w:t>Short term employee benefits</w:t>
            </w:r>
            <w:r w:rsidRPr="007D3F79">
              <w:rPr>
                <w:rFonts w:asciiTheme="minorHAnsi" w:hAnsiTheme="minorHAnsi" w:cstheme="minorHAnsi"/>
                <w:bCs/>
                <w:i/>
                <w:vertAlign w:val="superscript"/>
              </w:rPr>
              <w:t>1</w:t>
            </w:r>
          </w:p>
        </w:tc>
        <w:tc>
          <w:tcPr>
            <w:tcW w:w="1275" w:type="dxa"/>
            <w:shd w:val="clear" w:color="auto" w:fill="auto"/>
          </w:tcPr>
          <w:p w14:paraId="09CDA169" w14:textId="10FA2FA8" w:rsidR="00E17098" w:rsidRPr="007D3F79" w:rsidRDefault="00B41283" w:rsidP="00E17098">
            <w:pPr>
              <w:jc w:val="right"/>
              <w:rPr>
                <w:rFonts w:asciiTheme="minorHAnsi" w:hAnsiTheme="minorHAnsi" w:cstheme="minorHAnsi"/>
                <w:b/>
              </w:rPr>
            </w:pPr>
            <w:r w:rsidRPr="007D3F79">
              <w:rPr>
                <w:rFonts w:asciiTheme="minorHAnsi" w:hAnsiTheme="minorHAnsi" w:cstheme="minorHAnsi"/>
                <w:b/>
              </w:rPr>
              <w:t>5,077</w:t>
            </w:r>
          </w:p>
        </w:tc>
        <w:tc>
          <w:tcPr>
            <w:tcW w:w="575" w:type="dxa"/>
            <w:shd w:val="clear" w:color="auto" w:fill="auto"/>
          </w:tcPr>
          <w:p w14:paraId="30B5EA73" w14:textId="77777777" w:rsidR="00E17098" w:rsidRPr="007D3F79" w:rsidRDefault="00E17098" w:rsidP="00E17098">
            <w:pPr>
              <w:tabs>
                <w:tab w:val="left" w:pos="10206"/>
              </w:tabs>
              <w:ind w:right="284"/>
              <w:jc w:val="right"/>
              <w:rPr>
                <w:rFonts w:asciiTheme="minorHAnsi" w:hAnsiTheme="minorHAnsi" w:cstheme="minorHAnsi"/>
                <w:bCs/>
              </w:rPr>
            </w:pPr>
          </w:p>
        </w:tc>
        <w:tc>
          <w:tcPr>
            <w:tcW w:w="1211" w:type="dxa"/>
          </w:tcPr>
          <w:p w14:paraId="2BEF4C29" w14:textId="05881CA2" w:rsidR="00E17098" w:rsidRPr="00B41283" w:rsidRDefault="00E17098" w:rsidP="00E17098">
            <w:pPr>
              <w:jc w:val="right"/>
              <w:rPr>
                <w:rFonts w:asciiTheme="minorHAnsi" w:hAnsiTheme="minorHAnsi" w:cstheme="minorHAnsi"/>
                <w:bCs/>
              </w:rPr>
            </w:pPr>
            <w:r w:rsidRPr="00B41283">
              <w:rPr>
                <w:rFonts w:asciiTheme="minorHAnsi" w:hAnsiTheme="minorHAnsi" w:cstheme="minorHAnsi"/>
                <w:bCs/>
              </w:rPr>
              <w:t>4,730</w:t>
            </w:r>
          </w:p>
        </w:tc>
      </w:tr>
      <w:tr w:rsidR="00E17098" w:rsidRPr="00B41283" w14:paraId="429B10AE" w14:textId="77777777" w:rsidTr="007C5D9E">
        <w:trPr>
          <w:trHeight w:val="260"/>
        </w:trPr>
        <w:tc>
          <w:tcPr>
            <w:tcW w:w="6096" w:type="dxa"/>
            <w:shd w:val="clear" w:color="auto" w:fill="auto"/>
          </w:tcPr>
          <w:p w14:paraId="05FEFCD4" w14:textId="77777777" w:rsidR="00E17098" w:rsidRPr="007D3F79" w:rsidRDefault="00E17098" w:rsidP="00E17098">
            <w:pPr>
              <w:tabs>
                <w:tab w:val="left" w:pos="10206"/>
              </w:tabs>
              <w:ind w:right="284"/>
              <w:jc w:val="both"/>
              <w:rPr>
                <w:rFonts w:asciiTheme="minorHAnsi" w:hAnsiTheme="minorHAnsi" w:cstheme="minorHAnsi"/>
                <w:bCs/>
              </w:rPr>
            </w:pPr>
            <w:r w:rsidRPr="007D3F79">
              <w:rPr>
                <w:rFonts w:asciiTheme="minorHAnsi" w:hAnsiTheme="minorHAnsi" w:cstheme="minorHAnsi"/>
                <w:bCs/>
              </w:rPr>
              <w:t>Post-employment benefits</w:t>
            </w:r>
          </w:p>
        </w:tc>
        <w:tc>
          <w:tcPr>
            <w:tcW w:w="1275" w:type="dxa"/>
            <w:shd w:val="clear" w:color="auto" w:fill="auto"/>
          </w:tcPr>
          <w:p w14:paraId="22360FCF" w14:textId="74F8ED1E" w:rsidR="00E17098" w:rsidRPr="007D3F79" w:rsidRDefault="00B41283" w:rsidP="00E17098">
            <w:pPr>
              <w:jc w:val="right"/>
              <w:rPr>
                <w:rFonts w:asciiTheme="minorHAnsi" w:hAnsiTheme="minorHAnsi" w:cstheme="minorHAnsi"/>
                <w:b/>
              </w:rPr>
            </w:pPr>
            <w:r w:rsidRPr="007D3F79">
              <w:rPr>
                <w:rFonts w:asciiTheme="minorHAnsi" w:hAnsiTheme="minorHAnsi" w:cstheme="minorHAnsi"/>
                <w:b/>
              </w:rPr>
              <w:t>306</w:t>
            </w:r>
          </w:p>
        </w:tc>
        <w:tc>
          <w:tcPr>
            <w:tcW w:w="575" w:type="dxa"/>
            <w:shd w:val="clear" w:color="auto" w:fill="auto"/>
          </w:tcPr>
          <w:p w14:paraId="0F0933EC" w14:textId="77777777" w:rsidR="00E17098" w:rsidRPr="007D3F79" w:rsidRDefault="00E17098" w:rsidP="00E17098">
            <w:pPr>
              <w:tabs>
                <w:tab w:val="left" w:pos="10206"/>
              </w:tabs>
              <w:ind w:right="284"/>
              <w:jc w:val="right"/>
              <w:rPr>
                <w:rFonts w:asciiTheme="minorHAnsi" w:hAnsiTheme="minorHAnsi" w:cstheme="minorHAnsi"/>
                <w:bCs/>
              </w:rPr>
            </w:pPr>
          </w:p>
        </w:tc>
        <w:tc>
          <w:tcPr>
            <w:tcW w:w="1211" w:type="dxa"/>
          </w:tcPr>
          <w:p w14:paraId="20CD6F74" w14:textId="51BF22A8" w:rsidR="00E17098" w:rsidRPr="00B41283" w:rsidRDefault="00E17098" w:rsidP="00E17098">
            <w:pPr>
              <w:jc w:val="right"/>
              <w:rPr>
                <w:rFonts w:asciiTheme="minorHAnsi" w:hAnsiTheme="minorHAnsi" w:cstheme="minorHAnsi"/>
                <w:bCs/>
              </w:rPr>
            </w:pPr>
            <w:r w:rsidRPr="00B41283">
              <w:rPr>
                <w:rFonts w:asciiTheme="minorHAnsi" w:hAnsiTheme="minorHAnsi" w:cstheme="minorHAnsi"/>
                <w:bCs/>
              </w:rPr>
              <w:t>275</w:t>
            </w:r>
          </w:p>
        </w:tc>
      </w:tr>
      <w:tr w:rsidR="00E17098" w:rsidRPr="00B41283" w14:paraId="3D0B2A61" w14:textId="77777777" w:rsidTr="007C5D9E">
        <w:trPr>
          <w:trHeight w:val="101"/>
        </w:trPr>
        <w:tc>
          <w:tcPr>
            <w:tcW w:w="6096" w:type="dxa"/>
            <w:shd w:val="clear" w:color="auto" w:fill="auto"/>
          </w:tcPr>
          <w:p w14:paraId="51DBB45C" w14:textId="6C509BB4" w:rsidR="00E17098" w:rsidRPr="007D3F79" w:rsidRDefault="00E17098" w:rsidP="00E17098">
            <w:pPr>
              <w:tabs>
                <w:tab w:val="left" w:pos="10206"/>
              </w:tabs>
              <w:ind w:right="284"/>
              <w:jc w:val="both"/>
              <w:rPr>
                <w:rFonts w:asciiTheme="minorHAnsi" w:hAnsiTheme="minorHAnsi" w:cstheme="minorHAnsi"/>
                <w:bCs/>
              </w:rPr>
            </w:pPr>
            <w:r w:rsidRPr="007D3F79">
              <w:rPr>
                <w:rFonts w:asciiTheme="minorHAnsi" w:hAnsiTheme="minorHAnsi" w:cstheme="minorHAnsi"/>
                <w:bCs/>
              </w:rPr>
              <w:t>Share</w:t>
            </w:r>
            <w:r w:rsidR="00330553">
              <w:rPr>
                <w:rFonts w:asciiTheme="minorHAnsi" w:hAnsiTheme="minorHAnsi" w:cstheme="minorHAnsi"/>
                <w:bCs/>
              </w:rPr>
              <w:t>-</w:t>
            </w:r>
            <w:r w:rsidRPr="007D3F79">
              <w:rPr>
                <w:rFonts w:asciiTheme="minorHAnsi" w:hAnsiTheme="minorHAnsi" w:cstheme="minorHAnsi"/>
                <w:bCs/>
              </w:rPr>
              <w:t>based payments</w:t>
            </w:r>
          </w:p>
        </w:tc>
        <w:tc>
          <w:tcPr>
            <w:tcW w:w="1275" w:type="dxa"/>
            <w:tcBorders>
              <w:bottom w:val="single" w:sz="2" w:space="0" w:color="auto"/>
            </w:tcBorders>
            <w:shd w:val="clear" w:color="auto" w:fill="auto"/>
          </w:tcPr>
          <w:p w14:paraId="74A2FC65" w14:textId="167C6D1C" w:rsidR="00E17098" w:rsidRPr="007D3F79" w:rsidRDefault="00B41283" w:rsidP="00E17098">
            <w:pPr>
              <w:jc w:val="right"/>
              <w:rPr>
                <w:rFonts w:asciiTheme="minorHAnsi" w:hAnsiTheme="minorHAnsi" w:cstheme="minorHAnsi"/>
                <w:b/>
              </w:rPr>
            </w:pPr>
            <w:r w:rsidRPr="007D3F79">
              <w:rPr>
                <w:rFonts w:asciiTheme="minorHAnsi" w:hAnsiTheme="minorHAnsi" w:cstheme="minorHAnsi"/>
                <w:b/>
              </w:rPr>
              <w:t>1,436</w:t>
            </w:r>
          </w:p>
        </w:tc>
        <w:tc>
          <w:tcPr>
            <w:tcW w:w="575" w:type="dxa"/>
            <w:shd w:val="clear" w:color="auto" w:fill="auto"/>
          </w:tcPr>
          <w:p w14:paraId="2BB999C4" w14:textId="77777777" w:rsidR="00E17098" w:rsidRPr="007D3F79" w:rsidRDefault="00E17098" w:rsidP="00E17098">
            <w:pPr>
              <w:tabs>
                <w:tab w:val="left" w:pos="10206"/>
              </w:tabs>
              <w:ind w:right="284"/>
              <w:jc w:val="right"/>
              <w:rPr>
                <w:rFonts w:asciiTheme="minorHAnsi" w:hAnsiTheme="minorHAnsi" w:cstheme="minorHAnsi"/>
                <w:bCs/>
              </w:rPr>
            </w:pPr>
          </w:p>
        </w:tc>
        <w:tc>
          <w:tcPr>
            <w:tcW w:w="1211" w:type="dxa"/>
            <w:tcBorders>
              <w:bottom w:val="single" w:sz="4" w:space="0" w:color="auto"/>
            </w:tcBorders>
          </w:tcPr>
          <w:p w14:paraId="2CA56216" w14:textId="2CA15C87" w:rsidR="00E17098" w:rsidRPr="00B41283" w:rsidRDefault="00E17098" w:rsidP="00E17098">
            <w:pPr>
              <w:jc w:val="right"/>
              <w:rPr>
                <w:rFonts w:asciiTheme="minorHAnsi" w:hAnsiTheme="minorHAnsi" w:cstheme="minorHAnsi"/>
                <w:bCs/>
              </w:rPr>
            </w:pPr>
            <w:r w:rsidRPr="00B41283">
              <w:rPr>
                <w:rFonts w:asciiTheme="minorHAnsi" w:hAnsiTheme="minorHAnsi" w:cstheme="minorHAnsi"/>
                <w:bCs/>
              </w:rPr>
              <w:t>1,386</w:t>
            </w:r>
          </w:p>
        </w:tc>
      </w:tr>
      <w:tr w:rsidR="00E17098" w:rsidRPr="00B41283" w14:paraId="050148F7" w14:textId="77777777" w:rsidTr="007C5D9E">
        <w:trPr>
          <w:trHeight w:val="260"/>
        </w:trPr>
        <w:tc>
          <w:tcPr>
            <w:tcW w:w="6096" w:type="dxa"/>
            <w:shd w:val="clear" w:color="auto" w:fill="auto"/>
          </w:tcPr>
          <w:p w14:paraId="70659EC8" w14:textId="77777777" w:rsidR="00E17098" w:rsidRPr="007D3F79" w:rsidRDefault="00E17098" w:rsidP="00E17098">
            <w:pPr>
              <w:tabs>
                <w:tab w:val="left" w:pos="10206"/>
              </w:tabs>
              <w:ind w:right="284"/>
              <w:jc w:val="both"/>
              <w:rPr>
                <w:rFonts w:asciiTheme="minorHAnsi" w:hAnsiTheme="minorHAnsi" w:cstheme="minorHAnsi"/>
                <w:bCs/>
              </w:rPr>
            </w:pPr>
          </w:p>
        </w:tc>
        <w:tc>
          <w:tcPr>
            <w:tcW w:w="1275" w:type="dxa"/>
            <w:tcBorders>
              <w:top w:val="single" w:sz="2" w:space="0" w:color="auto"/>
            </w:tcBorders>
            <w:shd w:val="clear" w:color="auto" w:fill="auto"/>
          </w:tcPr>
          <w:p w14:paraId="05894CCE" w14:textId="77777777" w:rsidR="00E17098" w:rsidRPr="007D3F79" w:rsidRDefault="00E17098" w:rsidP="00E17098">
            <w:pPr>
              <w:jc w:val="right"/>
              <w:rPr>
                <w:rFonts w:asciiTheme="minorHAnsi" w:hAnsiTheme="minorHAnsi" w:cstheme="minorHAnsi"/>
                <w:b/>
              </w:rPr>
            </w:pPr>
          </w:p>
        </w:tc>
        <w:tc>
          <w:tcPr>
            <w:tcW w:w="575" w:type="dxa"/>
            <w:shd w:val="clear" w:color="auto" w:fill="auto"/>
          </w:tcPr>
          <w:p w14:paraId="7F542EE8" w14:textId="77777777" w:rsidR="00E17098" w:rsidRPr="007D3F79" w:rsidRDefault="00E17098" w:rsidP="00E17098">
            <w:pPr>
              <w:tabs>
                <w:tab w:val="left" w:pos="10206"/>
              </w:tabs>
              <w:ind w:right="284"/>
              <w:jc w:val="right"/>
              <w:rPr>
                <w:rFonts w:asciiTheme="minorHAnsi" w:hAnsiTheme="minorHAnsi" w:cstheme="minorHAnsi"/>
                <w:bCs/>
              </w:rPr>
            </w:pPr>
          </w:p>
        </w:tc>
        <w:tc>
          <w:tcPr>
            <w:tcW w:w="1211" w:type="dxa"/>
            <w:tcBorders>
              <w:top w:val="single" w:sz="4" w:space="0" w:color="auto"/>
            </w:tcBorders>
          </w:tcPr>
          <w:p w14:paraId="168350AE" w14:textId="77777777" w:rsidR="00E17098" w:rsidRPr="00B41283" w:rsidRDefault="00E17098" w:rsidP="00E17098">
            <w:pPr>
              <w:jc w:val="right"/>
              <w:rPr>
                <w:rFonts w:asciiTheme="minorHAnsi" w:hAnsiTheme="minorHAnsi" w:cstheme="minorHAnsi"/>
                <w:bCs/>
              </w:rPr>
            </w:pPr>
          </w:p>
        </w:tc>
      </w:tr>
      <w:tr w:rsidR="00E17098" w:rsidRPr="00B41283" w14:paraId="276C972B" w14:textId="77777777" w:rsidTr="007C5D9E">
        <w:trPr>
          <w:trHeight w:val="260"/>
        </w:trPr>
        <w:tc>
          <w:tcPr>
            <w:tcW w:w="6096" w:type="dxa"/>
            <w:shd w:val="clear" w:color="auto" w:fill="auto"/>
          </w:tcPr>
          <w:p w14:paraId="1D58E487" w14:textId="77777777" w:rsidR="00E17098" w:rsidRPr="007D3F79" w:rsidRDefault="00E17098" w:rsidP="00E17098">
            <w:pPr>
              <w:tabs>
                <w:tab w:val="left" w:pos="10206"/>
              </w:tabs>
              <w:ind w:right="284"/>
              <w:jc w:val="both"/>
              <w:rPr>
                <w:rFonts w:asciiTheme="minorHAnsi" w:hAnsiTheme="minorHAnsi" w:cstheme="minorHAnsi"/>
                <w:b/>
                <w:bCs/>
              </w:rPr>
            </w:pPr>
            <w:r w:rsidRPr="007D3F79">
              <w:rPr>
                <w:rFonts w:asciiTheme="minorHAnsi" w:hAnsiTheme="minorHAnsi" w:cstheme="minorHAnsi"/>
                <w:b/>
                <w:bCs/>
              </w:rPr>
              <w:t>Charge to the Consolidated Income Statement</w:t>
            </w:r>
          </w:p>
        </w:tc>
        <w:tc>
          <w:tcPr>
            <w:tcW w:w="1275" w:type="dxa"/>
            <w:tcBorders>
              <w:bottom w:val="single" w:sz="12" w:space="0" w:color="auto"/>
            </w:tcBorders>
            <w:shd w:val="clear" w:color="auto" w:fill="auto"/>
          </w:tcPr>
          <w:p w14:paraId="7643DCBE" w14:textId="299AA540" w:rsidR="00E17098" w:rsidRPr="007D3F79" w:rsidRDefault="00B41283" w:rsidP="00E17098">
            <w:pPr>
              <w:jc w:val="right"/>
              <w:rPr>
                <w:rFonts w:asciiTheme="minorHAnsi" w:hAnsiTheme="minorHAnsi" w:cstheme="minorHAnsi"/>
                <w:b/>
              </w:rPr>
            </w:pPr>
            <w:r w:rsidRPr="007D3F79">
              <w:rPr>
                <w:rFonts w:asciiTheme="minorHAnsi" w:hAnsiTheme="minorHAnsi" w:cstheme="minorHAnsi"/>
                <w:b/>
              </w:rPr>
              <w:t>6,819</w:t>
            </w:r>
          </w:p>
        </w:tc>
        <w:tc>
          <w:tcPr>
            <w:tcW w:w="575" w:type="dxa"/>
            <w:shd w:val="clear" w:color="auto" w:fill="auto"/>
          </w:tcPr>
          <w:p w14:paraId="24784CBA" w14:textId="77777777" w:rsidR="00E17098" w:rsidRPr="007D3F79" w:rsidRDefault="00E17098" w:rsidP="00E17098">
            <w:pPr>
              <w:tabs>
                <w:tab w:val="left" w:pos="10206"/>
              </w:tabs>
              <w:ind w:right="284"/>
              <w:jc w:val="right"/>
              <w:rPr>
                <w:rFonts w:asciiTheme="minorHAnsi" w:hAnsiTheme="minorHAnsi" w:cstheme="minorHAnsi"/>
                <w:bCs/>
              </w:rPr>
            </w:pPr>
          </w:p>
        </w:tc>
        <w:tc>
          <w:tcPr>
            <w:tcW w:w="1211" w:type="dxa"/>
            <w:tcBorders>
              <w:bottom w:val="single" w:sz="12" w:space="0" w:color="auto"/>
            </w:tcBorders>
          </w:tcPr>
          <w:p w14:paraId="0AF89686" w14:textId="4567642F" w:rsidR="00E17098" w:rsidRPr="00B41283" w:rsidRDefault="00E17098" w:rsidP="00E17098">
            <w:pPr>
              <w:jc w:val="right"/>
              <w:rPr>
                <w:rFonts w:asciiTheme="minorHAnsi" w:hAnsiTheme="minorHAnsi" w:cstheme="minorHAnsi"/>
                <w:bCs/>
              </w:rPr>
            </w:pPr>
            <w:r w:rsidRPr="00B41283">
              <w:rPr>
                <w:rFonts w:asciiTheme="minorHAnsi" w:hAnsiTheme="minorHAnsi" w:cstheme="minorHAnsi"/>
                <w:bCs/>
              </w:rPr>
              <w:t>6,391</w:t>
            </w:r>
          </w:p>
        </w:tc>
      </w:tr>
    </w:tbl>
    <w:p w14:paraId="0BF0136F" w14:textId="77777777" w:rsidR="006A43D4" w:rsidRPr="007D3F79" w:rsidRDefault="006A43D4" w:rsidP="006A43D4">
      <w:pPr>
        <w:tabs>
          <w:tab w:val="left" w:pos="10206"/>
        </w:tabs>
        <w:ind w:right="284"/>
        <w:jc w:val="both"/>
        <w:rPr>
          <w:rFonts w:asciiTheme="minorHAnsi" w:hAnsiTheme="minorHAnsi" w:cstheme="minorHAnsi"/>
          <w:bCs/>
        </w:rPr>
      </w:pPr>
    </w:p>
    <w:p w14:paraId="14262F64" w14:textId="79EF8FBF" w:rsidR="006A43D4" w:rsidRPr="004258F5" w:rsidRDefault="006A43D4">
      <w:pPr>
        <w:tabs>
          <w:tab w:val="left" w:pos="10206"/>
        </w:tabs>
        <w:ind w:right="284"/>
        <w:jc w:val="both"/>
        <w:rPr>
          <w:rFonts w:asciiTheme="minorHAnsi" w:hAnsiTheme="minorHAnsi" w:cstheme="minorHAnsi"/>
          <w:bCs/>
        </w:rPr>
      </w:pPr>
      <w:r w:rsidRPr="004258F5">
        <w:rPr>
          <w:rFonts w:asciiTheme="minorHAnsi" w:hAnsiTheme="minorHAnsi" w:cstheme="minorHAnsi"/>
          <w:bCs/>
          <w:vertAlign w:val="superscript"/>
        </w:rPr>
        <w:t>1</w:t>
      </w:r>
      <w:r w:rsidRPr="004258F5">
        <w:rPr>
          <w:rFonts w:asciiTheme="minorHAnsi" w:hAnsiTheme="minorHAnsi" w:cstheme="minorHAnsi"/>
          <w:bCs/>
        </w:rPr>
        <w:t xml:space="preserve">Short term benefits include fees to </w:t>
      </w:r>
      <w:r w:rsidR="00675369" w:rsidRPr="004258F5">
        <w:rPr>
          <w:rFonts w:asciiTheme="minorHAnsi" w:hAnsiTheme="minorHAnsi" w:cstheme="minorHAnsi"/>
          <w:bCs/>
        </w:rPr>
        <w:t>N</w:t>
      </w:r>
      <w:r w:rsidRPr="004258F5">
        <w:rPr>
          <w:rFonts w:asciiTheme="minorHAnsi" w:hAnsiTheme="minorHAnsi" w:cstheme="minorHAnsi"/>
          <w:bCs/>
        </w:rPr>
        <w:t>on-</w:t>
      </w:r>
      <w:r w:rsidR="00675369" w:rsidRPr="004258F5">
        <w:rPr>
          <w:rFonts w:asciiTheme="minorHAnsi" w:hAnsiTheme="minorHAnsi" w:cstheme="minorHAnsi"/>
          <w:bCs/>
        </w:rPr>
        <w:t>E</w:t>
      </w:r>
      <w:r w:rsidRPr="004258F5">
        <w:rPr>
          <w:rFonts w:asciiTheme="minorHAnsi" w:hAnsiTheme="minorHAnsi" w:cstheme="minorHAnsi"/>
          <w:bCs/>
        </w:rPr>
        <w:t xml:space="preserve">xecutive Directors, </w:t>
      </w:r>
      <w:proofErr w:type="gramStart"/>
      <w:r w:rsidRPr="004258F5">
        <w:rPr>
          <w:rFonts w:asciiTheme="minorHAnsi" w:hAnsiTheme="minorHAnsi" w:cstheme="minorHAnsi"/>
          <w:bCs/>
        </w:rPr>
        <w:t>salaries</w:t>
      </w:r>
      <w:proofErr w:type="gramEnd"/>
      <w:r w:rsidRPr="004258F5">
        <w:rPr>
          <w:rFonts w:asciiTheme="minorHAnsi" w:hAnsiTheme="minorHAnsi" w:cstheme="minorHAnsi"/>
          <w:bCs/>
        </w:rPr>
        <w:t xml:space="preserve"> and other short-term benefits to all </w:t>
      </w:r>
      <w:r w:rsidR="00675369" w:rsidRPr="004258F5">
        <w:rPr>
          <w:rFonts w:asciiTheme="minorHAnsi" w:hAnsiTheme="minorHAnsi" w:cstheme="minorHAnsi"/>
          <w:bCs/>
        </w:rPr>
        <w:t>k</w:t>
      </w:r>
      <w:r w:rsidR="00CE5FCA" w:rsidRPr="004258F5">
        <w:rPr>
          <w:rFonts w:asciiTheme="minorHAnsi" w:hAnsiTheme="minorHAnsi" w:cstheme="minorHAnsi"/>
          <w:bCs/>
        </w:rPr>
        <w:t xml:space="preserve">ey </w:t>
      </w:r>
      <w:r w:rsidR="00675369" w:rsidRPr="004258F5">
        <w:rPr>
          <w:rFonts w:asciiTheme="minorHAnsi" w:hAnsiTheme="minorHAnsi" w:cstheme="minorHAnsi"/>
          <w:bCs/>
        </w:rPr>
        <w:t>m</w:t>
      </w:r>
      <w:r w:rsidR="00CE5FCA" w:rsidRPr="004258F5">
        <w:rPr>
          <w:rFonts w:asciiTheme="minorHAnsi" w:hAnsiTheme="minorHAnsi" w:cstheme="minorHAnsi"/>
          <w:bCs/>
        </w:rPr>
        <w:t xml:space="preserve">anagement </w:t>
      </w:r>
      <w:r w:rsidR="00675369" w:rsidRPr="004258F5">
        <w:rPr>
          <w:rFonts w:asciiTheme="minorHAnsi" w:hAnsiTheme="minorHAnsi" w:cstheme="minorHAnsi"/>
          <w:bCs/>
        </w:rPr>
        <w:t>p</w:t>
      </w:r>
      <w:r w:rsidR="00CE5FCA" w:rsidRPr="004258F5">
        <w:rPr>
          <w:rFonts w:asciiTheme="minorHAnsi" w:hAnsiTheme="minorHAnsi" w:cstheme="minorHAnsi"/>
          <w:bCs/>
        </w:rPr>
        <w:t>ersonnel.</w:t>
      </w:r>
    </w:p>
    <w:p w14:paraId="17F4CD4C" w14:textId="77777777" w:rsidR="006A43D4" w:rsidRPr="004258F5" w:rsidRDefault="006A43D4">
      <w:pPr>
        <w:tabs>
          <w:tab w:val="left" w:pos="10206"/>
        </w:tabs>
        <w:ind w:right="284"/>
        <w:jc w:val="both"/>
        <w:rPr>
          <w:rFonts w:asciiTheme="minorHAnsi" w:hAnsiTheme="minorHAnsi" w:cstheme="minorHAnsi"/>
          <w:bCs/>
          <w:highlight w:val="yellow"/>
        </w:rPr>
      </w:pPr>
    </w:p>
    <w:p w14:paraId="25749867" w14:textId="7B686728" w:rsidR="00156E46" w:rsidRPr="004258F5" w:rsidRDefault="006A43D4">
      <w:pPr>
        <w:tabs>
          <w:tab w:val="left" w:pos="10206"/>
        </w:tabs>
        <w:ind w:right="284"/>
        <w:jc w:val="both"/>
        <w:rPr>
          <w:rFonts w:asciiTheme="minorHAnsi" w:hAnsiTheme="minorHAnsi" w:cstheme="minorHAnsi"/>
        </w:rPr>
      </w:pPr>
      <w:r w:rsidRPr="004258F5">
        <w:rPr>
          <w:rFonts w:asciiTheme="minorHAnsi" w:hAnsiTheme="minorHAnsi" w:cstheme="minorHAnsi"/>
        </w:rPr>
        <w:t>Full d</w:t>
      </w:r>
      <w:r w:rsidR="00B96B1F" w:rsidRPr="004258F5">
        <w:rPr>
          <w:rFonts w:asciiTheme="minorHAnsi" w:hAnsiTheme="minorHAnsi" w:cstheme="minorHAnsi"/>
        </w:rPr>
        <w:t>isclosure in relation to the 202</w:t>
      </w:r>
      <w:r w:rsidR="00E17098" w:rsidRPr="004258F5">
        <w:rPr>
          <w:rFonts w:asciiTheme="minorHAnsi" w:hAnsiTheme="minorHAnsi" w:cstheme="minorHAnsi"/>
        </w:rPr>
        <w:t>3</w:t>
      </w:r>
      <w:r w:rsidRPr="004258F5">
        <w:rPr>
          <w:rFonts w:asciiTheme="minorHAnsi" w:hAnsiTheme="minorHAnsi" w:cstheme="minorHAnsi"/>
        </w:rPr>
        <w:t xml:space="preserve"> and 20</w:t>
      </w:r>
      <w:r w:rsidR="00692BB0" w:rsidRPr="004258F5">
        <w:rPr>
          <w:rFonts w:asciiTheme="minorHAnsi" w:hAnsiTheme="minorHAnsi" w:cstheme="minorHAnsi"/>
        </w:rPr>
        <w:t>2</w:t>
      </w:r>
      <w:r w:rsidR="00E17098" w:rsidRPr="004258F5">
        <w:rPr>
          <w:rFonts w:asciiTheme="minorHAnsi" w:hAnsiTheme="minorHAnsi" w:cstheme="minorHAnsi"/>
        </w:rPr>
        <w:t>2</w:t>
      </w:r>
      <w:r w:rsidRPr="004258F5">
        <w:rPr>
          <w:rFonts w:asciiTheme="minorHAnsi" w:hAnsiTheme="minorHAnsi" w:cstheme="minorHAnsi"/>
        </w:rPr>
        <w:t xml:space="preserve"> compensation entitlements and share </w:t>
      </w:r>
      <w:r w:rsidR="00566220" w:rsidRPr="004258F5">
        <w:rPr>
          <w:rFonts w:asciiTheme="minorHAnsi" w:hAnsiTheme="minorHAnsi" w:cstheme="minorHAnsi"/>
        </w:rPr>
        <w:t xml:space="preserve">awards </w:t>
      </w:r>
      <w:r w:rsidRPr="004258F5">
        <w:rPr>
          <w:rFonts w:asciiTheme="minorHAnsi" w:hAnsiTheme="minorHAnsi" w:cstheme="minorHAnsi"/>
        </w:rPr>
        <w:t>of the Board of Directors is provided in the Annual Report.</w:t>
      </w:r>
      <w:r w:rsidR="00156E46" w:rsidRPr="004258F5">
        <w:rPr>
          <w:rFonts w:asciiTheme="minorHAnsi" w:hAnsiTheme="minorHAnsi" w:cstheme="minorHAnsi"/>
        </w:rPr>
        <w:t xml:space="preserve"> </w:t>
      </w:r>
    </w:p>
    <w:p w14:paraId="05077F50" w14:textId="61DBEC9F" w:rsidR="00156E46" w:rsidRPr="004258F5" w:rsidRDefault="00156E46">
      <w:pPr>
        <w:tabs>
          <w:tab w:val="left" w:pos="10206"/>
        </w:tabs>
        <w:ind w:right="284"/>
        <w:jc w:val="both"/>
        <w:rPr>
          <w:rFonts w:asciiTheme="minorHAnsi" w:hAnsiTheme="minorHAnsi" w:cstheme="minorHAnsi"/>
        </w:rPr>
      </w:pPr>
    </w:p>
    <w:p w14:paraId="4D117D88" w14:textId="4EADFC31" w:rsidR="009D5A13" w:rsidRPr="004258F5" w:rsidRDefault="00692BB0">
      <w:pPr>
        <w:tabs>
          <w:tab w:val="left" w:pos="10206"/>
        </w:tabs>
        <w:ind w:right="284"/>
        <w:jc w:val="both"/>
        <w:rPr>
          <w:rFonts w:asciiTheme="minorHAnsi" w:hAnsiTheme="minorHAnsi" w:cstheme="minorHAnsi"/>
        </w:rPr>
      </w:pPr>
      <w:proofErr w:type="gramStart"/>
      <w:r w:rsidRPr="004258F5">
        <w:rPr>
          <w:rFonts w:asciiTheme="minorHAnsi" w:hAnsiTheme="minorHAnsi" w:cstheme="minorHAnsi"/>
        </w:rPr>
        <w:t>At</w:t>
      </w:r>
      <w:proofErr w:type="gramEnd"/>
      <w:r w:rsidRPr="004258F5">
        <w:rPr>
          <w:rFonts w:asciiTheme="minorHAnsi" w:hAnsiTheme="minorHAnsi" w:cstheme="minorHAnsi"/>
        </w:rPr>
        <w:t xml:space="preserve"> 31 December 202</w:t>
      </w:r>
      <w:r w:rsidR="00E17098" w:rsidRPr="004258F5">
        <w:rPr>
          <w:rFonts w:asciiTheme="minorHAnsi" w:hAnsiTheme="minorHAnsi" w:cstheme="minorHAnsi"/>
        </w:rPr>
        <w:t>3</w:t>
      </w:r>
      <w:r w:rsidR="009D5A13" w:rsidRPr="004258F5">
        <w:rPr>
          <w:rFonts w:asciiTheme="minorHAnsi" w:hAnsiTheme="minorHAnsi" w:cstheme="minorHAnsi"/>
        </w:rPr>
        <w:t xml:space="preserve"> KMP had loans to the </w:t>
      </w:r>
      <w:r w:rsidR="009D5A13" w:rsidRPr="003013D8">
        <w:rPr>
          <w:rFonts w:asciiTheme="minorHAnsi" w:hAnsiTheme="minorHAnsi" w:cstheme="minorHAnsi"/>
        </w:rPr>
        <w:t>value of €</w:t>
      </w:r>
      <w:r w:rsidR="007243C2" w:rsidRPr="002972F1">
        <w:rPr>
          <w:rFonts w:asciiTheme="minorHAnsi" w:hAnsiTheme="minorHAnsi" w:cstheme="minorHAnsi"/>
        </w:rPr>
        <w:t>1</w:t>
      </w:r>
      <w:r w:rsidR="003013D8" w:rsidRPr="002972F1">
        <w:rPr>
          <w:rFonts w:asciiTheme="minorHAnsi" w:hAnsiTheme="minorHAnsi" w:cstheme="minorHAnsi"/>
        </w:rPr>
        <w:t>6,53</w:t>
      </w:r>
      <w:r w:rsidR="007243C2" w:rsidRPr="002972F1">
        <w:rPr>
          <w:rFonts w:asciiTheme="minorHAnsi" w:hAnsiTheme="minorHAnsi" w:cstheme="minorHAnsi"/>
        </w:rPr>
        <w:t>5</w:t>
      </w:r>
      <w:r w:rsidR="009D5A13" w:rsidRPr="003013D8">
        <w:rPr>
          <w:rFonts w:asciiTheme="minorHAnsi" w:hAnsiTheme="minorHAnsi" w:cstheme="minorHAnsi"/>
        </w:rPr>
        <w:t xml:space="preserve"> w</w:t>
      </w:r>
      <w:r w:rsidRPr="003013D8">
        <w:rPr>
          <w:rFonts w:asciiTheme="minorHAnsi" w:hAnsiTheme="minorHAnsi" w:cstheme="minorHAnsi"/>
        </w:rPr>
        <w:t>ith</w:t>
      </w:r>
      <w:r w:rsidRPr="004258F5">
        <w:rPr>
          <w:rFonts w:asciiTheme="minorHAnsi" w:hAnsiTheme="minorHAnsi" w:cstheme="minorHAnsi"/>
        </w:rPr>
        <w:t xml:space="preserve"> the Group (December 202</w:t>
      </w:r>
      <w:r w:rsidR="00E17098" w:rsidRPr="004258F5">
        <w:rPr>
          <w:rFonts w:asciiTheme="minorHAnsi" w:hAnsiTheme="minorHAnsi" w:cstheme="minorHAnsi"/>
        </w:rPr>
        <w:t>2</w:t>
      </w:r>
      <w:r w:rsidRPr="004258F5">
        <w:rPr>
          <w:rFonts w:asciiTheme="minorHAnsi" w:hAnsiTheme="minorHAnsi" w:cstheme="minorHAnsi"/>
        </w:rPr>
        <w:t>: €1</w:t>
      </w:r>
      <w:r w:rsidR="00E17098" w:rsidRPr="004258F5">
        <w:rPr>
          <w:rFonts w:asciiTheme="minorHAnsi" w:hAnsiTheme="minorHAnsi" w:cstheme="minorHAnsi"/>
        </w:rPr>
        <w:t>9</w:t>
      </w:r>
      <w:r w:rsidR="009D5A13" w:rsidRPr="004258F5">
        <w:rPr>
          <w:rFonts w:asciiTheme="minorHAnsi" w:hAnsiTheme="minorHAnsi" w:cstheme="minorHAnsi"/>
        </w:rPr>
        <w:t>,0</w:t>
      </w:r>
      <w:r w:rsidR="00E17098" w:rsidRPr="004258F5">
        <w:rPr>
          <w:rFonts w:asciiTheme="minorHAnsi" w:hAnsiTheme="minorHAnsi" w:cstheme="minorHAnsi"/>
        </w:rPr>
        <w:t>85</w:t>
      </w:r>
      <w:r w:rsidR="009D5A13" w:rsidRPr="004258F5">
        <w:rPr>
          <w:rFonts w:asciiTheme="minorHAnsi" w:hAnsiTheme="minorHAnsi" w:cstheme="minorHAnsi"/>
        </w:rPr>
        <w:t xml:space="preserve">). KMP loans with the Group did not exceed these values at any stage during the year. </w:t>
      </w:r>
    </w:p>
    <w:p w14:paraId="2EBCC86B" w14:textId="77777777" w:rsidR="009D5A13" w:rsidRPr="004258F5" w:rsidRDefault="009D5A13">
      <w:pPr>
        <w:tabs>
          <w:tab w:val="left" w:pos="10206"/>
        </w:tabs>
        <w:ind w:right="284"/>
        <w:jc w:val="both"/>
        <w:rPr>
          <w:rFonts w:asciiTheme="minorHAnsi" w:hAnsiTheme="minorHAnsi" w:cstheme="minorHAnsi"/>
        </w:rPr>
      </w:pPr>
    </w:p>
    <w:p w14:paraId="0BABD604" w14:textId="59334306" w:rsidR="00553998" w:rsidRPr="004258F5" w:rsidRDefault="006A43D4">
      <w:pPr>
        <w:tabs>
          <w:tab w:val="left" w:pos="10206"/>
        </w:tabs>
        <w:ind w:right="284"/>
        <w:jc w:val="both"/>
        <w:rPr>
          <w:rFonts w:asciiTheme="minorHAnsi" w:hAnsiTheme="minorHAnsi" w:cstheme="minorHAnsi"/>
        </w:rPr>
      </w:pPr>
      <w:bookmarkStart w:id="19" w:name="_Hlk157593810"/>
      <w:r w:rsidRPr="004258F5">
        <w:rPr>
          <w:rFonts w:asciiTheme="minorHAnsi" w:hAnsiTheme="minorHAnsi" w:cstheme="minorHAnsi"/>
        </w:rPr>
        <w:t xml:space="preserve">In common with all shareholders, Directors received payments/distributions related to their holdings of shares in the Company during the year, amounting in total to </w:t>
      </w:r>
      <w:r w:rsidR="003A2846" w:rsidRPr="004258F5">
        <w:rPr>
          <w:rFonts w:asciiTheme="minorHAnsi" w:hAnsiTheme="minorHAnsi" w:cstheme="minorHAnsi"/>
        </w:rPr>
        <w:t>€</w:t>
      </w:r>
      <w:r w:rsidR="000A516F">
        <w:rPr>
          <w:rFonts w:asciiTheme="minorHAnsi" w:hAnsiTheme="minorHAnsi" w:cstheme="minorHAnsi"/>
        </w:rPr>
        <w:t xml:space="preserve">146,000 </w:t>
      </w:r>
      <w:r w:rsidRPr="004258F5">
        <w:rPr>
          <w:rFonts w:asciiTheme="minorHAnsi" w:hAnsiTheme="minorHAnsi" w:cstheme="minorHAnsi"/>
        </w:rPr>
        <w:t>(20</w:t>
      </w:r>
      <w:r w:rsidR="00692BB0" w:rsidRPr="004258F5">
        <w:rPr>
          <w:rFonts w:asciiTheme="minorHAnsi" w:hAnsiTheme="minorHAnsi" w:cstheme="minorHAnsi"/>
        </w:rPr>
        <w:t>2</w:t>
      </w:r>
      <w:r w:rsidR="009C558D" w:rsidRPr="004258F5">
        <w:rPr>
          <w:rFonts w:asciiTheme="minorHAnsi" w:hAnsiTheme="minorHAnsi" w:cstheme="minorHAnsi"/>
        </w:rPr>
        <w:t>2</w:t>
      </w:r>
      <w:r w:rsidRPr="004258F5">
        <w:rPr>
          <w:rFonts w:asciiTheme="minorHAnsi" w:hAnsiTheme="minorHAnsi" w:cstheme="minorHAnsi"/>
        </w:rPr>
        <w:t>: €</w:t>
      </w:r>
      <w:r w:rsidR="000A516F">
        <w:rPr>
          <w:rFonts w:asciiTheme="minorHAnsi" w:hAnsiTheme="minorHAnsi" w:cstheme="minorHAnsi"/>
        </w:rPr>
        <w:t>50,000</w:t>
      </w:r>
      <w:r w:rsidRPr="004258F5">
        <w:rPr>
          <w:rFonts w:asciiTheme="minorHAnsi" w:hAnsiTheme="minorHAnsi" w:cstheme="minorHAnsi"/>
        </w:rPr>
        <w:t>).</w:t>
      </w:r>
    </w:p>
    <w:bookmarkEnd w:id="19"/>
    <w:p w14:paraId="5A3E0289" w14:textId="77777777" w:rsidR="00553998" w:rsidRPr="004258F5" w:rsidRDefault="00553998" w:rsidP="00B2228B">
      <w:pPr>
        <w:tabs>
          <w:tab w:val="left" w:pos="426"/>
          <w:tab w:val="left" w:pos="851"/>
          <w:tab w:val="left" w:pos="10604"/>
        </w:tabs>
        <w:ind w:right="-28"/>
        <w:jc w:val="both"/>
        <w:rPr>
          <w:rFonts w:asciiTheme="minorHAnsi" w:hAnsiTheme="minorHAnsi" w:cstheme="minorHAnsi"/>
        </w:rPr>
      </w:pPr>
    </w:p>
    <w:p w14:paraId="175C9B32" w14:textId="77777777" w:rsidR="008C4AA0" w:rsidRDefault="008C4AA0" w:rsidP="00301B1D">
      <w:pPr>
        <w:ind w:left="-142"/>
        <w:rPr>
          <w:rFonts w:asciiTheme="minorHAnsi" w:hAnsiTheme="minorHAnsi" w:cstheme="minorHAnsi"/>
          <w:b/>
          <w:color w:val="000000"/>
        </w:rPr>
      </w:pPr>
    </w:p>
    <w:p w14:paraId="350E5B1F" w14:textId="77777777" w:rsidR="00197776" w:rsidRDefault="00197776" w:rsidP="00301B1D">
      <w:pPr>
        <w:ind w:left="-142"/>
        <w:rPr>
          <w:rFonts w:asciiTheme="minorHAnsi" w:hAnsiTheme="minorHAnsi" w:cstheme="minorHAnsi"/>
          <w:b/>
          <w:color w:val="000000"/>
        </w:rPr>
      </w:pPr>
    </w:p>
    <w:p w14:paraId="70E8D905" w14:textId="77777777" w:rsidR="00197776" w:rsidRDefault="00197776" w:rsidP="00301B1D">
      <w:pPr>
        <w:ind w:left="-142"/>
        <w:rPr>
          <w:rFonts w:asciiTheme="minorHAnsi" w:hAnsiTheme="minorHAnsi" w:cstheme="minorHAnsi"/>
          <w:b/>
          <w:color w:val="000000"/>
        </w:rPr>
      </w:pPr>
    </w:p>
    <w:p w14:paraId="59E7A7F0" w14:textId="77777777" w:rsidR="00197776" w:rsidRDefault="00197776" w:rsidP="00301B1D">
      <w:pPr>
        <w:ind w:left="-142"/>
        <w:rPr>
          <w:rFonts w:asciiTheme="minorHAnsi" w:hAnsiTheme="minorHAnsi" w:cstheme="minorHAnsi"/>
          <w:b/>
          <w:color w:val="000000"/>
        </w:rPr>
      </w:pPr>
    </w:p>
    <w:p w14:paraId="20A23784" w14:textId="77777777" w:rsidR="00197776" w:rsidRDefault="00197776" w:rsidP="00301B1D">
      <w:pPr>
        <w:ind w:left="-142"/>
        <w:rPr>
          <w:rFonts w:asciiTheme="minorHAnsi" w:hAnsiTheme="minorHAnsi" w:cstheme="minorHAnsi"/>
          <w:b/>
          <w:color w:val="000000"/>
        </w:rPr>
      </w:pPr>
    </w:p>
    <w:p w14:paraId="6142137E" w14:textId="77777777" w:rsidR="00197776" w:rsidRDefault="00197776" w:rsidP="00301B1D">
      <w:pPr>
        <w:ind w:left="-142"/>
        <w:rPr>
          <w:rFonts w:asciiTheme="minorHAnsi" w:hAnsiTheme="minorHAnsi" w:cstheme="minorHAnsi"/>
          <w:b/>
          <w:color w:val="000000"/>
        </w:rPr>
      </w:pPr>
    </w:p>
    <w:p w14:paraId="5F538F1B" w14:textId="77777777" w:rsidR="00197776" w:rsidRDefault="00197776" w:rsidP="00301B1D">
      <w:pPr>
        <w:ind w:left="-142"/>
        <w:rPr>
          <w:rFonts w:asciiTheme="minorHAnsi" w:hAnsiTheme="minorHAnsi" w:cstheme="minorHAnsi"/>
          <w:b/>
          <w:color w:val="000000"/>
        </w:rPr>
      </w:pPr>
    </w:p>
    <w:p w14:paraId="10F5954F" w14:textId="77777777" w:rsidR="00197776" w:rsidRDefault="00197776" w:rsidP="00301B1D">
      <w:pPr>
        <w:ind w:left="-142"/>
        <w:rPr>
          <w:rFonts w:asciiTheme="minorHAnsi" w:hAnsiTheme="minorHAnsi" w:cstheme="minorHAnsi"/>
          <w:b/>
          <w:color w:val="000000"/>
        </w:rPr>
      </w:pPr>
    </w:p>
    <w:p w14:paraId="07F8488B" w14:textId="77777777" w:rsidR="00197776" w:rsidRDefault="00197776" w:rsidP="00301B1D">
      <w:pPr>
        <w:ind w:left="-142"/>
        <w:rPr>
          <w:rFonts w:asciiTheme="minorHAnsi" w:hAnsiTheme="minorHAnsi" w:cstheme="minorHAnsi"/>
          <w:b/>
          <w:color w:val="000000"/>
        </w:rPr>
      </w:pPr>
    </w:p>
    <w:p w14:paraId="62DEA690" w14:textId="77777777" w:rsidR="00197776" w:rsidRDefault="00197776" w:rsidP="00301B1D">
      <w:pPr>
        <w:ind w:left="-142"/>
        <w:rPr>
          <w:rFonts w:asciiTheme="minorHAnsi" w:hAnsiTheme="minorHAnsi" w:cstheme="minorHAnsi"/>
          <w:b/>
          <w:color w:val="000000"/>
        </w:rPr>
      </w:pPr>
    </w:p>
    <w:p w14:paraId="72AE86F9" w14:textId="77777777" w:rsidR="00197776" w:rsidRDefault="00197776" w:rsidP="00301B1D">
      <w:pPr>
        <w:ind w:left="-142"/>
        <w:rPr>
          <w:rFonts w:asciiTheme="minorHAnsi" w:hAnsiTheme="minorHAnsi" w:cstheme="minorHAnsi"/>
          <w:b/>
          <w:color w:val="000000"/>
        </w:rPr>
      </w:pPr>
    </w:p>
    <w:p w14:paraId="220C42F7" w14:textId="77777777" w:rsidR="00197776" w:rsidRDefault="00197776" w:rsidP="00301B1D">
      <w:pPr>
        <w:ind w:left="-142"/>
        <w:rPr>
          <w:rFonts w:asciiTheme="minorHAnsi" w:hAnsiTheme="minorHAnsi" w:cstheme="minorHAnsi"/>
          <w:b/>
          <w:color w:val="000000"/>
        </w:rPr>
      </w:pPr>
    </w:p>
    <w:p w14:paraId="2EEC0923" w14:textId="77777777" w:rsidR="00197776" w:rsidRDefault="00197776" w:rsidP="00301B1D">
      <w:pPr>
        <w:ind w:left="-142"/>
        <w:rPr>
          <w:rFonts w:asciiTheme="minorHAnsi" w:hAnsiTheme="minorHAnsi" w:cstheme="minorHAnsi"/>
          <w:b/>
          <w:color w:val="000000"/>
        </w:rPr>
      </w:pPr>
    </w:p>
    <w:p w14:paraId="02766BC2" w14:textId="77777777" w:rsidR="00197776" w:rsidRPr="001D5AED" w:rsidRDefault="00197776" w:rsidP="00197776">
      <w:pPr>
        <w:ind w:left="-142"/>
        <w:jc w:val="center"/>
        <w:rPr>
          <w:rFonts w:asciiTheme="minorHAnsi" w:hAnsiTheme="minorHAnsi" w:cstheme="minorHAnsi"/>
          <w:color w:val="000000"/>
          <w:sz w:val="22"/>
          <w:szCs w:val="22"/>
        </w:rPr>
      </w:pPr>
      <w:r w:rsidRPr="001D5AED">
        <w:rPr>
          <w:rFonts w:asciiTheme="minorHAnsi" w:hAnsiTheme="minorHAnsi" w:cstheme="minorHAnsi"/>
          <w:b/>
          <w:color w:val="000000"/>
          <w:sz w:val="22"/>
          <w:szCs w:val="22"/>
        </w:rPr>
        <w:t>FBD Holdings plc</w:t>
      </w:r>
    </w:p>
    <w:p w14:paraId="1410A960" w14:textId="77777777" w:rsidR="00197776" w:rsidRPr="001D5AED" w:rsidRDefault="00197776" w:rsidP="00197776">
      <w:pPr>
        <w:tabs>
          <w:tab w:val="left" w:pos="-142"/>
          <w:tab w:val="decimal" w:pos="4678"/>
          <w:tab w:val="decimal" w:pos="5670"/>
          <w:tab w:val="decimal" w:pos="6946"/>
          <w:tab w:val="decimal" w:pos="10348"/>
        </w:tabs>
        <w:ind w:left="-142"/>
        <w:jc w:val="center"/>
        <w:rPr>
          <w:rFonts w:asciiTheme="minorHAnsi" w:hAnsiTheme="minorHAnsi" w:cstheme="minorHAnsi"/>
          <w:b/>
          <w:color w:val="000000"/>
          <w:sz w:val="22"/>
          <w:szCs w:val="22"/>
        </w:rPr>
      </w:pPr>
      <w:r w:rsidRPr="001D5AED">
        <w:rPr>
          <w:rFonts w:asciiTheme="minorHAnsi" w:hAnsiTheme="minorHAnsi" w:cstheme="minorHAnsi"/>
          <w:b/>
          <w:color w:val="000000"/>
          <w:sz w:val="22"/>
          <w:szCs w:val="22"/>
        </w:rPr>
        <w:t>Supplementary Information (continued)</w:t>
      </w:r>
    </w:p>
    <w:p w14:paraId="5E3E8EAF" w14:textId="77777777" w:rsidR="00197776" w:rsidRPr="001D5AED" w:rsidRDefault="00197776" w:rsidP="00197776">
      <w:pPr>
        <w:tabs>
          <w:tab w:val="left" w:pos="426"/>
          <w:tab w:val="left" w:pos="851"/>
          <w:tab w:val="left" w:pos="10604"/>
        </w:tabs>
        <w:ind w:left="-142" w:right="-28"/>
        <w:jc w:val="center"/>
        <w:rPr>
          <w:rFonts w:asciiTheme="minorHAnsi" w:hAnsiTheme="minorHAnsi" w:cstheme="minorHAnsi"/>
          <w:b/>
          <w:color w:val="000000"/>
          <w:sz w:val="22"/>
          <w:szCs w:val="22"/>
          <w:lang w:val="en-US"/>
        </w:rPr>
      </w:pPr>
      <w:r w:rsidRPr="001D5AED">
        <w:rPr>
          <w:rFonts w:asciiTheme="minorHAnsi" w:hAnsiTheme="minorHAnsi" w:cstheme="minorHAnsi"/>
          <w:b/>
          <w:color w:val="000000"/>
          <w:sz w:val="22"/>
          <w:szCs w:val="22"/>
        </w:rPr>
        <w:t>For the year ended 31 December 202</w:t>
      </w:r>
      <w:r>
        <w:rPr>
          <w:rFonts w:asciiTheme="minorHAnsi" w:hAnsiTheme="minorHAnsi" w:cstheme="minorHAnsi"/>
          <w:b/>
          <w:color w:val="000000"/>
          <w:sz w:val="22"/>
          <w:szCs w:val="22"/>
        </w:rPr>
        <w:t>3</w:t>
      </w:r>
    </w:p>
    <w:p w14:paraId="71BB3466" w14:textId="77777777" w:rsidR="00197776" w:rsidRPr="004258F5" w:rsidRDefault="00197776" w:rsidP="00301B1D">
      <w:pPr>
        <w:ind w:left="-142"/>
        <w:rPr>
          <w:rFonts w:asciiTheme="minorHAnsi" w:hAnsiTheme="minorHAnsi" w:cstheme="minorHAnsi"/>
          <w:b/>
          <w:color w:val="000000"/>
        </w:rPr>
      </w:pPr>
    </w:p>
    <w:p w14:paraId="6125A1BB" w14:textId="6232847F" w:rsidR="00197776" w:rsidRPr="00B41D28" w:rsidRDefault="00197776" w:rsidP="00197776">
      <w:pPr>
        <w:rPr>
          <w:rFonts w:asciiTheme="minorHAnsi" w:hAnsiTheme="minorHAnsi" w:cstheme="minorHAnsi"/>
          <w:caps/>
          <w:color w:val="000000"/>
        </w:rPr>
      </w:pPr>
      <w:r w:rsidRPr="00B41D28">
        <w:rPr>
          <w:rFonts w:asciiTheme="minorHAnsi" w:hAnsiTheme="minorHAnsi" w:cstheme="minorHAnsi"/>
          <w:b/>
          <w:color w:val="000000"/>
        </w:rPr>
        <w:t xml:space="preserve">Note </w:t>
      </w:r>
      <w:r>
        <w:rPr>
          <w:rFonts w:asciiTheme="minorHAnsi" w:hAnsiTheme="minorHAnsi" w:cstheme="minorHAnsi"/>
          <w:b/>
          <w:color w:val="000000"/>
        </w:rPr>
        <w:t>6</w:t>
      </w:r>
      <w:r w:rsidRPr="00B41D28">
        <w:rPr>
          <w:rFonts w:asciiTheme="minorHAnsi" w:hAnsiTheme="minorHAnsi" w:cstheme="minorHAnsi"/>
          <w:b/>
          <w:color w:val="000000"/>
        </w:rPr>
        <w:t xml:space="preserve">   </w:t>
      </w:r>
      <w:r w:rsidR="00EC645C">
        <w:rPr>
          <w:rFonts w:asciiTheme="minorHAnsi" w:hAnsiTheme="minorHAnsi" w:cstheme="minorHAnsi"/>
          <w:b/>
          <w:color w:val="000000"/>
        </w:rPr>
        <w:t xml:space="preserve">  </w:t>
      </w:r>
      <w:r w:rsidRPr="00B41D28">
        <w:rPr>
          <w:rFonts w:asciiTheme="minorHAnsi" w:hAnsiTheme="minorHAnsi" w:cstheme="minorHAnsi"/>
          <w:b/>
          <w:caps/>
          <w:color w:val="000000"/>
        </w:rPr>
        <w:t>Underwriting RESULT</w:t>
      </w:r>
    </w:p>
    <w:tbl>
      <w:tblPr>
        <w:tblW w:w="9066" w:type="dxa"/>
        <w:tblInd w:w="108" w:type="dxa"/>
        <w:tblLayout w:type="fixed"/>
        <w:tblLook w:val="0000" w:firstRow="0" w:lastRow="0" w:firstColumn="0" w:lastColumn="0" w:noHBand="0" w:noVBand="0"/>
      </w:tblPr>
      <w:tblGrid>
        <w:gridCol w:w="5670"/>
        <w:gridCol w:w="1418"/>
        <w:gridCol w:w="554"/>
        <w:gridCol w:w="1424"/>
      </w:tblGrid>
      <w:tr w:rsidR="00197776" w:rsidRPr="00B41D28" w14:paraId="17A5B30E" w14:textId="77777777" w:rsidTr="00591A74">
        <w:trPr>
          <w:trHeight w:val="274"/>
        </w:trPr>
        <w:tc>
          <w:tcPr>
            <w:tcW w:w="5670" w:type="dxa"/>
          </w:tcPr>
          <w:p w14:paraId="7BBA66E2" w14:textId="77777777" w:rsidR="00197776" w:rsidRPr="00B41D28" w:rsidRDefault="00197776" w:rsidP="00591A74">
            <w:pPr>
              <w:keepNext/>
              <w:jc w:val="both"/>
              <w:outlineLvl w:val="1"/>
              <w:rPr>
                <w:rFonts w:asciiTheme="minorHAnsi" w:hAnsiTheme="minorHAnsi" w:cstheme="minorHAnsi"/>
                <w:color w:val="000000"/>
              </w:rPr>
            </w:pPr>
          </w:p>
        </w:tc>
        <w:tc>
          <w:tcPr>
            <w:tcW w:w="1418" w:type="dxa"/>
          </w:tcPr>
          <w:p w14:paraId="3909F825" w14:textId="77777777" w:rsidR="00197776" w:rsidRPr="00B41D28" w:rsidRDefault="00197776" w:rsidP="00591A74">
            <w:pPr>
              <w:jc w:val="right"/>
              <w:rPr>
                <w:rFonts w:asciiTheme="minorHAnsi" w:hAnsiTheme="minorHAnsi" w:cstheme="minorHAnsi"/>
                <w:b/>
                <w:color w:val="000000"/>
              </w:rPr>
            </w:pPr>
          </w:p>
        </w:tc>
        <w:tc>
          <w:tcPr>
            <w:tcW w:w="554" w:type="dxa"/>
          </w:tcPr>
          <w:p w14:paraId="4E8169A6" w14:textId="77777777" w:rsidR="00197776" w:rsidRPr="00B41D28" w:rsidRDefault="00197776" w:rsidP="00591A74">
            <w:pPr>
              <w:ind w:right="-64"/>
              <w:jc w:val="right"/>
              <w:rPr>
                <w:rFonts w:asciiTheme="minorHAnsi" w:hAnsiTheme="minorHAnsi" w:cstheme="minorHAnsi"/>
              </w:rPr>
            </w:pPr>
          </w:p>
        </w:tc>
        <w:tc>
          <w:tcPr>
            <w:tcW w:w="1424" w:type="dxa"/>
          </w:tcPr>
          <w:p w14:paraId="55BEE6B6" w14:textId="77777777" w:rsidR="00197776" w:rsidRPr="00B41D28" w:rsidRDefault="00197776" w:rsidP="00591A74">
            <w:pPr>
              <w:ind w:right="-108"/>
              <w:jc w:val="right"/>
              <w:rPr>
                <w:rFonts w:asciiTheme="minorHAnsi" w:hAnsiTheme="minorHAnsi" w:cstheme="minorHAnsi"/>
                <w:b/>
                <w:color w:val="000000"/>
              </w:rPr>
            </w:pPr>
          </w:p>
        </w:tc>
      </w:tr>
      <w:tr w:rsidR="00197776" w:rsidRPr="00B41D28" w14:paraId="6626FF8B" w14:textId="77777777" w:rsidTr="00591A74">
        <w:trPr>
          <w:trHeight w:val="257"/>
        </w:trPr>
        <w:tc>
          <w:tcPr>
            <w:tcW w:w="5670" w:type="dxa"/>
          </w:tcPr>
          <w:p w14:paraId="4AD2D8E2" w14:textId="77777777" w:rsidR="00197776" w:rsidRPr="00B41D28" w:rsidRDefault="00197776" w:rsidP="00591A74">
            <w:pPr>
              <w:keepNext/>
              <w:jc w:val="both"/>
              <w:outlineLvl w:val="1"/>
              <w:rPr>
                <w:rFonts w:asciiTheme="minorHAnsi" w:hAnsiTheme="minorHAnsi" w:cstheme="minorHAnsi"/>
                <w:color w:val="000000"/>
              </w:rPr>
            </w:pPr>
          </w:p>
        </w:tc>
        <w:tc>
          <w:tcPr>
            <w:tcW w:w="1418" w:type="dxa"/>
          </w:tcPr>
          <w:p w14:paraId="15D723CE" w14:textId="77777777" w:rsidR="00197776" w:rsidRPr="00B41D28" w:rsidRDefault="00197776" w:rsidP="00591A74">
            <w:pPr>
              <w:jc w:val="right"/>
              <w:rPr>
                <w:rFonts w:asciiTheme="minorHAnsi" w:hAnsiTheme="minorHAnsi" w:cstheme="minorHAnsi"/>
                <w:b/>
                <w:color w:val="000000"/>
              </w:rPr>
            </w:pPr>
            <w:r w:rsidRPr="00B41D28">
              <w:rPr>
                <w:rFonts w:asciiTheme="minorHAnsi" w:hAnsiTheme="minorHAnsi" w:cstheme="minorHAnsi"/>
                <w:b/>
                <w:color w:val="000000"/>
              </w:rPr>
              <w:t>2023</w:t>
            </w:r>
          </w:p>
        </w:tc>
        <w:tc>
          <w:tcPr>
            <w:tcW w:w="554" w:type="dxa"/>
          </w:tcPr>
          <w:p w14:paraId="7985572C" w14:textId="77777777" w:rsidR="00197776" w:rsidRPr="00B41D28" w:rsidRDefault="00197776" w:rsidP="00591A74">
            <w:pPr>
              <w:ind w:right="-64"/>
              <w:jc w:val="right"/>
              <w:rPr>
                <w:rFonts w:asciiTheme="minorHAnsi" w:hAnsiTheme="minorHAnsi" w:cstheme="minorHAnsi"/>
              </w:rPr>
            </w:pPr>
          </w:p>
        </w:tc>
        <w:tc>
          <w:tcPr>
            <w:tcW w:w="1424" w:type="dxa"/>
          </w:tcPr>
          <w:p w14:paraId="0B6E1BD0" w14:textId="77777777" w:rsidR="00197776" w:rsidRPr="00B41D28" w:rsidRDefault="00197776" w:rsidP="00591A74">
            <w:pPr>
              <w:jc w:val="right"/>
              <w:rPr>
                <w:rFonts w:asciiTheme="minorHAnsi" w:hAnsiTheme="minorHAnsi" w:cstheme="minorHAnsi"/>
                <w:b/>
                <w:color w:val="000000"/>
              </w:rPr>
            </w:pPr>
            <w:r w:rsidRPr="00B41D28">
              <w:rPr>
                <w:rFonts w:asciiTheme="minorHAnsi" w:hAnsiTheme="minorHAnsi" w:cstheme="minorHAnsi"/>
                <w:b/>
                <w:color w:val="000000"/>
              </w:rPr>
              <w:t>2022</w:t>
            </w:r>
          </w:p>
          <w:p w14:paraId="1A2DB289" w14:textId="77777777" w:rsidR="00197776" w:rsidRPr="00B41D28" w:rsidRDefault="00197776" w:rsidP="00591A74">
            <w:pPr>
              <w:jc w:val="right"/>
              <w:rPr>
                <w:rFonts w:asciiTheme="minorHAnsi" w:hAnsiTheme="minorHAnsi" w:cstheme="minorHAnsi"/>
                <w:b/>
                <w:color w:val="000000"/>
              </w:rPr>
            </w:pPr>
            <w:r w:rsidRPr="00B41D28">
              <w:rPr>
                <w:rFonts w:asciiTheme="minorHAnsi" w:hAnsiTheme="minorHAnsi" w:cstheme="minorHAnsi"/>
                <w:b/>
                <w:color w:val="000000"/>
              </w:rPr>
              <w:t>(restated)</w:t>
            </w:r>
          </w:p>
        </w:tc>
      </w:tr>
      <w:tr w:rsidR="00197776" w:rsidRPr="00B41D28" w14:paraId="1577FCB5" w14:textId="77777777" w:rsidTr="00591A74">
        <w:trPr>
          <w:trHeight w:val="274"/>
        </w:trPr>
        <w:tc>
          <w:tcPr>
            <w:tcW w:w="5670" w:type="dxa"/>
          </w:tcPr>
          <w:p w14:paraId="0126662B" w14:textId="77777777" w:rsidR="00197776" w:rsidRPr="00B41D28" w:rsidRDefault="00197776" w:rsidP="00591A74">
            <w:pPr>
              <w:keepNext/>
              <w:jc w:val="both"/>
              <w:outlineLvl w:val="1"/>
              <w:rPr>
                <w:rFonts w:asciiTheme="minorHAnsi" w:hAnsiTheme="minorHAnsi" w:cstheme="minorHAnsi"/>
                <w:color w:val="000000"/>
              </w:rPr>
            </w:pPr>
          </w:p>
        </w:tc>
        <w:tc>
          <w:tcPr>
            <w:tcW w:w="1418" w:type="dxa"/>
          </w:tcPr>
          <w:p w14:paraId="392A3DF6" w14:textId="77777777" w:rsidR="00197776" w:rsidRPr="00B41D28" w:rsidRDefault="00197776" w:rsidP="00591A74">
            <w:pPr>
              <w:ind w:right="-64"/>
              <w:jc w:val="right"/>
              <w:rPr>
                <w:rFonts w:asciiTheme="minorHAnsi" w:hAnsiTheme="minorHAnsi" w:cstheme="minorHAnsi"/>
                <w:b/>
                <w:color w:val="000000"/>
              </w:rPr>
            </w:pPr>
            <w:r w:rsidRPr="00B41D28">
              <w:rPr>
                <w:rFonts w:asciiTheme="minorHAnsi" w:hAnsiTheme="minorHAnsi" w:cstheme="minorHAnsi"/>
                <w:b/>
                <w:color w:val="000000"/>
              </w:rPr>
              <w:t>€000s</w:t>
            </w:r>
          </w:p>
        </w:tc>
        <w:tc>
          <w:tcPr>
            <w:tcW w:w="554" w:type="dxa"/>
          </w:tcPr>
          <w:p w14:paraId="2497E501" w14:textId="77777777" w:rsidR="00197776" w:rsidRPr="00B41D28" w:rsidRDefault="00197776" w:rsidP="00591A74">
            <w:pPr>
              <w:ind w:right="-64"/>
              <w:jc w:val="right"/>
              <w:rPr>
                <w:rFonts w:asciiTheme="minorHAnsi" w:hAnsiTheme="minorHAnsi" w:cstheme="minorHAnsi"/>
              </w:rPr>
            </w:pPr>
          </w:p>
        </w:tc>
        <w:tc>
          <w:tcPr>
            <w:tcW w:w="1424" w:type="dxa"/>
          </w:tcPr>
          <w:p w14:paraId="7239261C" w14:textId="77777777" w:rsidR="00197776" w:rsidRPr="00B41D28" w:rsidRDefault="00197776" w:rsidP="00591A74">
            <w:pPr>
              <w:ind w:right="-64"/>
              <w:jc w:val="right"/>
              <w:rPr>
                <w:rFonts w:asciiTheme="minorHAnsi" w:hAnsiTheme="minorHAnsi" w:cstheme="minorHAnsi"/>
                <w:b/>
                <w:color w:val="000000"/>
              </w:rPr>
            </w:pPr>
            <w:r w:rsidRPr="00B41D28">
              <w:rPr>
                <w:rFonts w:asciiTheme="minorHAnsi" w:hAnsiTheme="minorHAnsi" w:cstheme="minorHAnsi"/>
                <w:b/>
                <w:color w:val="000000"/>
              </w:rPr>
              <w:t>€000s</w:t>
            </w:r>
          </w:p>
        </w:tc>
      </w:tr>
      <w:tr w:rsidR="00197776" w:rsidRPr="00B41D28" w14:paraId="30A9AE34" w14:textId="77777777" w:rsidTr="00591A74">
        <w:trPr>
          <w:trHeight w:val="63"/>
        </w:trPr>
        <w:tc>
          <w:tcPr>
            <w:tcW w:w="5670" w:type="dxa"/>
          </w:tcPr>
          <w:p w14:paraId="37265B09" w14:textId="77777777" w:rsidR="00197776" w:rsidRPr="00B41D28" w:rsidRDefault="00197776" w:rsidP="00591A74">
            <w:pPr>
              <w:keepNext/>
              <w:jc w:val="both"/>
              <w:outlineLvl w:val="1"/>
              <w:rPr>
                <w:rFonts w:asciiTheme="minorHAnsi" w:hAnsiTheme="minorHAnsi" w:cstheme="minorHAnsi"/>
                <w:color w:val="000000"/>
              </w:rPr>
            </w:pPr>
          </w:p>
        </w:tc>
        <w:tc>
          <w:tcPr>
            <w:tcW w:w="1418" w:type="dxa"/>
          </w:tcPr>
          <w:p w14:paraId="557F3359" w14:textId="77777777" w:rsidR="00197776" w:rsidRPr="00B41D28" w:rsidRDefault="00197776" w:rsidP="00591A74">
            <w:pPr>
              <w:ind w:right="-64"/>
              <w:jc w:val="right"/>
              <w:rPr>
                <w:rFonts w:asciiTheme="minorHAnsi" w:hAnsiTheme="minorHAnsi" w:cstheme="minorHAnsi"/>
                <w:b/>
                <w:color w:val="000000"/>
              </w:rPr>
            </w:pPr>
          </w:p>
        </w:tc>
        <w:tc>
          <w:tcPr>
            <w:tcW w:w="554" w:type="dxa"/>
          </w:tcPr>
          <w:p w14:paraId="0BE1B753" w14:textId="77777777" w:rsidR="00197776" w:rsidRPr="00B41D28" w:rsidRDefault="00197776" w:rsidP="00591A74">
            <w:pPr>
              <w:rPr>
                <w:rFonts w:asciiTheme="minorHAnsi" w:hAnsiTheme="minorHAnsi" w:cstheme="minorHAnsi"/>
                <w:b/>
                <w:color w:val="000000"/>
              </w:rPr>
            </w:pPr>
          </w:p>
        </w:tc>
        <w:tc>
          <w:tcPr>
            <w:tcW w:w="1424" w:type="dxa"/>
          </w:tcPr>
          <w:p w14:paraId="6D42A465" w14:textId="77777777" w:rsidR="00197776" w:rsidRPr="00B41D28" w:rsidRDefault="00197776" w:rsidP="00591A74">
            <w:pPr>
              <w:ind w:right="-64"/>
              <w:jc w:val="right"/>
              <w:rPr>
                <w:rFonts w:asciiTheme="minorHAnsi" w:hAnsiTheme="minorHAnsi" w:cstheme="minorHAnsi"/>
                <w:b/>
                <w:color w:val="000000"/>
              </w:rPr>
            </w:pPr>
          </w:p>
        </w:tc>
      </w:tr>
      <w:tr w:rsidR="00197776" w:rsidRPr="00B41D28" w14:paraId="1647CD04" w14:textId="77777777" w:rsidTr="00591A74">
        <w:trPr>
          <w:trHeight w:val="274"/>
        </w:trPr>
        <w:tc>
          <w:tcPr>
            <w:tcW w:w="5670" w:type="dxa"/>
          </w:tcPr>
          <w:p w14:paraId="788CCFF0" w14:textId="77777777" w:rsidR="00197776" w:rsidRPr="00B41D28" w:rsidRDefault="00197776" w:rsidP="00591A74">
            <w:pPr>
              <w:keepNext/>
              <w:jc w:val="both"/>
              <w:outlineLvl w:val="1"/>
              <w:rPr>
                <w:rFonts w:asciiTheme="minorHAnsi" w:hAnsiTheme="minorHAnsi" w:cstheme="minorHAnsi"/>
                <w:color w:val="000000"/>
              </w:rPr>
            </w:pPr>
            <w:r w:rsidRPr="00B41D28">
              <w:rPr>
                <w:rFonts w:asciiTheme="minorHAnsi" w:hAnsiTheme="minorHAnsi" w:cstheme="minorHAnsi"/>
                <w:color w:val="000000"/>
              </w:rPr>
              <w:t>Insurance revenue</w:t>
            </w:r>
          </w:p>
        </w:tc>
        <w:tc>
          <w:tcPr>
            <w:tcW w:w="1418" w:type="dxa"/>
            <w:tcBorders>
              <w:bottom w:val="single" w:sz="12" w:space="0" w:color="auto"/>
            </w:tcBorders>
          </w:tcPr>
          <w:p w14:paraId="4D121C3A" w14:textId="77777777" w:rsidR="00197776" w:rsidRPr="00B41D28" w:rsidRDefault="00197776" w:rsidP="00591A74">
            <w:pPr>
              <w:ind w:right="-64"/>
              <w:jc w:val="right"/>
              <w:rPr>
                <w:rFonts w:asciiTheme="minorHAnsi" w:hAnsiTheme="minorHAnsi" w:cstheme="minorHAnsi"/>
                <w:b/>
                <w:color w:val="000000"/>
              </w:rPr>
            </w:pPr>
            <w:r w:rsidRPr="00B41D28">
              <w:rPr>
                <w:rFonts w:asciiTheme="minorHAnsi" w:hAnsiTheme="minorHAnsi" w:cstheme="minorHAnsi"/>
                <w:b/>
                <w:color w:val="000000"/>
              </w:rPr>
              <w:t>401,026</w:t>
            </w:r>
          </w:p>
        </w:tc>
        <w:tc>
          <w:tcPr>
            <w:tcW w:w="554" w:type="dxa"/>
          </w:tcPr>
          <w:p w14:paraId="4AD1C898" w14:textId="77777777" w:rsidR="00197776" w:rsidRPr="00B41D28" w:rsidRDefault="00197776" w:rsidP="00591A74">
            <w:pPr>
              <w:rPr>
                <w:rFonts w:asciiTheme="minorHAnsi" w:hAnsiTheme="minorHAnsi" w:cstheme="minorHAnsi"/>
                <w:b/>
                <w:color w:val="000000"/>
              </w:rPr>
            </w:pPr>
          </w:p>
        </w:tc>
        <w:tc>
          <w:tcPr>
            <w:tcW w:w="1424" w:type="dxa"/>
            <w:tcBorders>
              <w:bottom w:val="single" w:sz="12" w:space="0" w:color="auto"/>
            </w:tcBorders>
          </w:tcPr>
          <w:p w14:paraId="6D093BCB" w14:textId="7F83BF13" w:rsidR="00197776" w:rsidRPr="00B41D28" w:rsidRDefault="00197776" w:rsidP="00591A74">
            <w:pPr>
              <w:ind w:right="-64"/>
              <w:jc w:val="right"/>
              <w:rPr>
                <w:rFonts w:asciiTheme="minorHAnsi" w:hAnsiTheme="minorHAnsi" w:cstheme="minorHAnsi"/>
                <w:color w:val="000000"/>
              </w:rPr>
            </w:pPr>
            <w:r w:rsidRPr="00B41D28">
              <w:rPr>
                <w:rFonts w:asciiTheme="minorHAnsi" w:hAnsiTheme="minorHAnsi" w:cstheme="minorHAnsi"/>
                <w:color w:val="000000"/>
              </w:rPr>
              <w:t>3</w:t>
            </w:r>
            <w:r w:rsidR="009F65E5">
              <w:rPr>
                <w:rFonts w:asciiTheme="minorHAnsi" w:hAnsiTheme="minorHAnsi" w:cstheme="minorHAnsi"/>
                <w:color w:val="000000"/>
              </w:rPr>
              <w:t>7</w:t>
            </w:r>
            <w:r w:rsidRPr="00B41D28">
              <w:rPr>
                <w:rFonts w:asciiTheme="minorHAnsi" w:hAnsiTheme="minorHAnsi" w:cstheme="minorHAnsi"/>
                <w:color w:val="000000"/>
              </w:rPr>
              <w:t>9,697</w:t>
            </w:r>
          </w:p>
        </w:tc>
      </w:tr>
      <w:tr w:rsidR="00197776" w:rsidRPr="00B41D28" w14:paraId="332A56BE" w14:textId="77777777" w:rsidTr="00591A74">
        <w:trPr>
          <w:trHeight w:val="257"/>
        </w:trPr>
        <w:tc>
          <w:tcPr>
            <w:tcW w:w="5670" w:type="dxa"/>
          </w:tcPr>
          <w:p w14:paraId="5B90C614" w14:textId="77777777" w:rsidR="00197776" w:rsidRPr="00B41D28" w:rsidRDefault="00197776" w:rsidP="00591A74">
            <w:pPr>
              <w:keepNext/>
              <w:jc w:val="both"/>
              <w:outlineLvl w:val="1"/>
              <w:rPr>
                <w:rFonts w:asciiTheme="minorHAnsi" w:hAnsiTheme="minorHAnsi" w:cstheme="minorHAnsi"/>
                <w:color w:val="000000"/>
                <w:highlight w:val="yellow"/>
              </w:rPr>
            </w:pPr>
          </w:p>
        </w:tc>
        <w:tc>
          <w:tcPr>
            <w:tcW w:w="1418" w:type="dxa"/>
            <w:tcBorders>
              <w:top w:val="single" w:sz="12" w:space="0" w:color="auto"/>
            </w:tcBorders>
          </w:tcPr>
          <w:p w14:paraId="5C0BCCDF" w14:textId="77777777" w:rsidR="00197776" w:rsidRPr="00B41D28" w:rsidRDefault="00197776" w:rsidP="00591A74">
            <w:pPr>
              <w:ind w:right="-64"/>
              <w:jc w:val="right"/>
              <w:rPr>
                <w:rFonts w:asciiTheme="minorHAnsi" w:hAnsiTheme="minorHAnsi" w:cstheme="minorHAnsi"/>
                <w:b/>
                <w:color w:val="000000"/>
                <w:highlight w:val="yellow"/>
              </w:rPr>
            </w:pPr>
          </w:p>
        </w:tc>
        <w:tc>
          <w:tcPr>
            <w:tcW w:w="554" w:type="dxa"/>
          </w:tcPr>
          <w:p w14:paraId="4BBF7E86" w14:textId="77777777" w:rsidR="00197776" w:rsidRPr="00B41D28" w:rsidRDefault="00197776" w:rsidP="00591A74">
            <w:pPr>
              <w:rPr>
                <w:rFonts w:asciiTheme="minorHAnsi" w:hAnsiTheme="minorHAnsi" w:cstheme="minorHAnsi"/>
                <w:b/>
                <w:color w:val="000000"/>
                <w:highlight w:val="yellow"/>
              </w:rPr>
            </w:pPr>
          </w:p>
        </w:tc>
        <w:tc>
          <w:tcPr>
            <w:tcW w:w="1424" w:type="dxa"/>
            <w:tcBorders>
              <w:top w:val="single" w:sz="12" w:space="0" w:color="auto"/>
            </w:tcBorders>
          </w:tcPr>
          <w:p w14:paraId="0C65A9A8" w14:textId="77777777" w:rsidR="00197776" w:rsidRPr="00B41D28" w:rsidRDefault="00197776" w:rsidP="00591A74">
            <w:pPr>
              <w:ind w:right="-64"/>
              <w:jc w:val="right"/>
              <w:rPr>
                <w:rFonts w:asciiTheme="minorHAnsi" w:hAnsiTheme="minorHAnsi" w:cstheme="minorHAnsi"/>
                <w:color w:val="000000"/>
                <w:highlight w:val="yellow"/>
              </w:rPr>
            </w:pPr>
          </w:p>
        </w:tc>
      </w:tr>
      <w:tr w:rsidR="00197776" w:rsidRPr="00B41D28" w14:paraId="010C4CBB" w14:textId="77777777" w:rsidTr="00591A74">
        <w:trPr>
          <w:trHeight w:val="257"/>
        </w:trPr>
        <w:tc>
          <w:tcPr>
            <w:tcW w:w="5670" w:type="dxa"/>
          </w:tcPr>
          <w:p w14:paraId="7A4E8026" w14:textId="77777777" w:rsidR="00197776" w:rsidRPr="00B41D28" w:rsidRDefault="00197776" w:rsidP="00591A74">
            <w:pPr>
              <w:keepNext/>
              <w:jc w:val="both"/>
              <w:outlineLvl w:val="1"/>
              <w:rPr>
                <w:rFonts w:asciiTheme="minorHAnsi" w:hAnsiTheme="minorHAnsi" w:cstheme="minorHAnsi"/>
                <w:color w:val="000000"/>
              </w:rPr>
            </w:pPr>
            <w:r w:rsidRPr="00B41D28">
              <w:rPr>
                <w:rFonts w:asciiTheme="minorHAnsi" w:hAnsiTheme="minorHAnsi" w:cstheme="minorHAnsi"/>
                <w:color w:val="000000"/>
              </w:rPr>
              <w:t xml:space="preserve">Gross incurred claims </w:t>
            </w:r>
          </w:p>
        </w:tc>
        <w:tc>
          <w:tcPr>
            <w:tcW w:w="1418" w:type="dxa"/>
          </w:tcPr>
          <w:p w14:paraId="30973CCC" w14:textId="77777777" w:rsidR="00197776" w:rsidRPr="00B41D28" w:rsidRDefault="00197776" w:rsidP="00591A74">
            <w:pPr>
              <w:ind w:right="-64"/>
              <w:jc w:val="right"/>
              <w:rPr>
                <w:rFonts w:asciiTheme="minorHAnsi" w:hAnsiTheme="minorHAnsi" w:cstheme="minorHAnsi"/>
                <w:b/>
                <w:color w:val="000000"/>
              </w:rPr>
            </w:pPr>
            <w:r w:rsidRPr="00B41D28">
              <w:rPr>
                <w:rFonts w:asciiTheme="minorHAnsi" w:hAnsiTheme="minorHAnsi" w:cstheme="minorHAnsi"/>
                <w:b/>
                <w:color w:val="000000"/>
              </w:rPr>
              <w:t>(238,133)</w:t>
            </w:r>
          </w:p>
        </w:tc>
        <w:tc>
          <w:tcPr>
            <w:tcW w:w="554" w:type="dxa"/>
          </w:tcPr>
          <w:p w14:paraId="350435DA" w14:textId="77777777" w:rsidR="00197776" w:rsidRPr="00B41D28" w:rsidRDefault="00197776" w:rsidP="00591A74">
            <w:pPr>
              <w:rPr>
                <w:rFonts w:asciiTheme="minorHAnsi" w:hAnsiTheme="minorHAnsi" w:cstheme="minorHAnsi"/>
                <w:b/>
                <w:color w:val="000000"/>
              </w:rPr>
            </w:pPr>
          </w:p>
        </w:tc>
        <w:tc>
          <w:tcPr>
            <w:tcW w:w="1424" w:type="dxa"/>
          </w:tcPr>
          <w:p w14:paraId="7D92BA91" w14:textId="77777777" w:rsidR="00197776" w:rsidRPr="00B41D28" w:rsidRDefault="00197776" w:rsidP="00591A74">
            <w:pPr>
              <w:ind w:right="-64"/>
              <w:jc w:val="right"/>
              <w:rPr>
                <w:rFonts w:asciiTheme="minorHAnsi" w:hAnsiTheme="minorHAnsi" w:cstheme="minorHAnsi"/>
                <w:color w:val="000000"/>
              </w:rPr>
            </w:pPr>
            <w:r w:rsidRPr="00B41D28">
              <w:rPr>
                <w:rFonts w:asciiTheme="minorHAnsi" w:hAnsiTheme="minorHAnsi" w:cstheme="minorHAnsi"/>
                <w:color w:val="000000"/>
              </w:rPr>
              <w:t>(223,807)</w:t>
            </w:r>
          </w:p>
        </w:tc>
      </w:tr>
      <w:tr w:rsidR="00197776" w:rsidRPr="00B41D28" w14:paraId="1E0BF823" w14:textId="77777777" w:rsidTr="00591A74">
        <w:trPr>
          <w:trHeight w:val="257"/>
        </w:trPr>
        <w:tc>
          <w:tcPr>
            <w:tcW w:w="5670" w:type="dxa"/>
          </w:tcPr>
          <w:p w14:paraId="4FE865BE" w14:textId="77777777" w:rsidR="00197776" w:rsidRPr="00B41D28" w:rsidRDefault="00197776" w:rsidP="00591A74">
            <w:pPr>
              <w:keepNext/>
              <w:jc w:val="both"/>
              <w:outlineLvl w:val="1"/>
              <w:rPr>
                <w:rFonts w:asciiTheme="minorHAnsi" w:hAnsiTheme="minorHAnsi" w:cstheme="minorHAnsi"/>
                <w:color w:val="000000"/>
              </w:rPr>
            </w:pPr>
            <w:r w:rsidRPr="00B41D28">
              <w:rPr>
                <w:rFonts w:asciiTheme="minorHAnsi" w:hAnsiTheme="minorHAnsi" w:cstheme="minorHAnsi"/>
                <w:color w:val="000000"/>
              </w:rPr>
              <w:t>Changes that relate to past service</w:t>
            </w:r>
          </w:p>
        </w:tc>
        <w:tc>
          <w:tcPr>
            <w:tcW w:w="1418" w:type="dxa"/>
          </w:tcPr>
          <w:p w14:paraId="219412A0" w14:textId="77777777" w:rsidR="00197776" w:rsidRPr="00B41D28" w:rsidRDefault="00197776" w:rsidP="00591A74">
            <w:pPr>
              <w:ind w:right="-64"/>
              <w:jc w:val="right"/>
              <w:rPr>
                <w:rFonts w:asciiTheme="minorHAnsi" w:hAnsiTheme="minorHAnsi" w:cstheme="minorHAnsi"/>
                <w:b/>
                <w:color w:val="000000"/>
              </w:rPr>
            </w:pPr>
            <w:r w:rsidRPr="00B41D28">
              <w:rPr>
                <w:rFonts w:asciiTheme="minorHAnsi" w:hAnsiTheme="minorHAnsi" w:cstheme="minorHAnsi"/>
                <w:b/>
                <w:color w:val="000000"/>
              </w:rPr>
              <w:t>103,990</w:t>
            </w:r>
          </w:p>
        </w:tc>
        <w:tc>
          <w:tcPr>
            <w:tcW w:w="554" w:type="dxa"/>
          </w:tcPr>
          <w:p w14:paraId="489B58F2" w14:textId="77777777" w:rsidR="00197776" w:rsidRPr="00B41D28" w:rsidRDefault="00197776" w:rsidP="00591A74">
            <w:pPr>
              <w:rPr>
                <w:rFonts w:asciiTheme="minorHAnsi" w:hAnsiTheme="minorHAnsi" w:cstheme="minorHAnsi"/>
                <w:b/>
                <w:color w:val="000000"/>
              </w:rPr>
            </w:pPr>
          </w:p>
        </w:tc>
        <w:tc>
          <w:tcPr>
            <w:tcW w:w="1424" w:type="dxa"/>
          </w:tcPr>
          <w:p w14:paraId="0AB00712" w14:textId="77777777" w:rsidR="00197776" w:rsidRPr="00B41D28" w:rsidRDefault="00197776" w:rsidP="00591A74">
            <w:pPr>
              <w:ind w:right="-64"/>
              <w:jc w:val="right"/>
              <w:rPr>
                <w:rFonts w:asciiTheme="minorHAnsi" w:hAnsiTheme="minorHAnsi" w:cstheme="minorHAnsi"/>
                <w:color w:val="000000"/>
              </w:rPr>
            </w:pPr>
            <w:r w:rsidRPr="00B41D28">
              <w:rPr>
                <w:rFonts w:asciiTheme="minorHAnsi" w:hAnsiTheme="minorHAnsi" w:cstheme="minorHAnsi"/>
                <w:color w:val="000000"/>
              </w:rPr>
              <w:t>92,564</w:t>
            </w:r>
          </w:p>
        </w:tc>
      </w:tr>
      <w:tr w:rsidR="00197776" w:rsidRPr="00B41D28" w14:paraId="2613D9D2" w14:textId="77777777" w:rsidTr="00591A74">
        <w:trPr>
          <w:trHeight w:val="257"/>
        </w:trPr>
        <w:tc>
          <w:tcPr>
            <w:tcW w:w="5670" w:type="dxa"/>
          </w:tcPr>
          <w:p w14:paraId="4C3B0BD7" w14:textId="77777777" w:rsidR="00197776" w:rsidRPr="00B41D28" w:rsidRDefault="00197776" w:rsidP="00591A74">
            <w:pPr>
              <w:keepNext/>
              <w:jc w:val="both"/>
              <w:outlineLvl w:val="1"/>
              <w:rPr>
                <w:rFonts w:asciiTheme="minorHAnsi" w:hAnsiTheme="minorHAnsi" w:cstheme="minorHAnsi"/>
                <w:color w:val="000000"/>
              </w:rPr>
            </w:pPr>
            <w:r w:rsidRPr="00B41D28">
              <w:rPr>
                <w:rFonts w:asciiTheme="minorHAnsi" w:hAnsiTheme="minorHAnsi" w:cstheme="minorHAnsi"/>
                <w:color w:val="000000"/>
              </w:rPr>
              <w:t>Insurance acquisition expenses</w:t>
            </w:r>
          </w:p>
        </w:tc>
        <w:tc>
          <w:tcPr>
            <w:tcW w:w="1418" w:type="dxa"/>
            <w:tcBorders>
              <w:bottom w:val="single" w:sz="2" w:space="0" w:color="auto"/>
            </w:tcBorders>
          </w:tcPr>
          <w:p w14:paraId="104208A1" w14:textId="77777777" w:rsidR="00197776" w:rsidRPr="00B41D28" w:rsidRDefault="00197776" w:rsidP="00591A74">
            <w:pPr>
              <w:ind w:right="-64"/>
              <w:jc w:val="right"/>
              <w:rPr>
                <w:rFonts w:asciiTheme="minorHAnsi" w:hAnsiTheme="minorHAnsi" w:cstheme="minorHAnsi"/>
                <w:b/>
                <w:color w:val="000000"/>
              </w:rPr>
            </w:pPr>
            <w:r w:rsidRPr="00B41D28">
              <w:rPr>
                <w:rFonts w:asciiTheme="minorHAnsi" w:hAnsiTheme="minorHAnsi" w:cstheme="minorHAnsi"/>
                <w:b/>
                <w:color w:val="000000"/>
              </w:rPr>
              <w:t>(75,909)</w:t>
            </w:r>
          </w:p>
        </w:tc>
        <w:tc>
          <w:tcPr>
            <w:tcW w:w="554" w:type="dxa"/>
          </w:tcPr>
          <w:p w14:paraId="5051D3F1" w14:textId="77777777" w:rsidR="00197776" w:rsidRPr="00B41D28" w:rsidRDefault="00197776" w:rsidP="00591A74">
            <w:pPr>
              <w:rPr>
                <w:rFonts w:asciiTheme="minorHAnsi" w:hAnsiTheme="minorHAnsi" w:cstheme="minorHAnsi"/>
                <w:b/>
                <w:color w:val="000000"/>
              </w:rPr>
            </w:pPr>
          </w:p>
        </w:tc>
        <w:tc>
          <w:tcPr>
            <w:tcW w:w="1424" w:type="dxa"/>
            <w:tcBorders>
              <w:bottom w:val="single" w:sz="2" w:space="0" w:color="auto"/>
            </w:tcBorders>
          </w:tcPr>
          <w:p w14:paraId="6E3C9B04" w14:textId="77777777" w:rsidR="00197776" w:rsidRPr="00B41D28" w:rsidRDefault="00197776" w:rsidP="00591A74">
            <w:pPr>
              <w:ind w:right="-64"/>
              <w:jc w:val="right"/>
              <w:rPr>
                <w:rFonts w:asciiTheme="minorHAnsi" w:hAnsiTheme="minorHAnsi" w:cstheme="minorHAnsi"/>
                <w:color w:val="000000"/>
              </w:rPr>
            </w:pPr>
            <w:r w:rsidRPr="00B41D28">
              <w:rPr>
                <w:rFonts w:asciiTheme="minorHAnsi" w:hAnsiTheme="minorHAnsi" w:cstheme="minorHAnsi"/>
                <w:color w:val="000000"/>
              </w:rPr>
              <w:t>(70,595)</w:t>
            </w:r>
          </w:p>
        </w:tc>
      </w:tr>
      <w:tr w:rsidR="00197776" w:rsidRPr="00B41D28" w14:paraId="0E5EDBEF" w14:textId="77777777" w:rsidTr="00591A74">
        <w:trPr>
          <w:trHeight w:val="257"/>
        </w:trPr>
        <w:tc>
          <w:tcPr>
            <w:tcW w:w="5670" w:type="dxa"/>
          </w:tcPr>
          <w:p w14:paraId="62982062" w14:textId="77777777" w:rsidR="00197776" w:rsidRPr="00F30DFC" w:rsidRDefault="00197776" w:rsidP="00591A74">
            <w:pPr>
              <w:keepNext/>
              <w:jc w:val="both"/>
              <w:outlineLvl w:val="1"/>
              <w:rPr>
                <w:rFonts w:asciiTheme="minorHAnsi" w:hAnsiTheme="minorHAnsi" w:cstheme="minorHAnsi"/>
                <w:i/>
                <w:iCs/>
                <w:color w:val="000000"/>
              </w:rPr>
            </w:pPr>
            <w:r w:rsidRPr="00F30DFC">
              <w:rPr>
                <w:rFonts w:asciiTheme="minorHAnsi" w:hAnsiTheme="minorHAnsi" w:cstheme="minorHAnsi"/>
                <w:i/>
                <w:iCs/>
                <w:color w:val="000000"/>
              </w:rPr>
              <w:t>Insurance service expenses</w:t>
            </w:r>
          </w:p>
        </w:tc>
        <w:tc>
          <w:tcPr>
            <w:tcW w:w="1418" w:type="dxa"/>
            <w:tcBorders>
              <w:top w:val="single" w:sz="2" w:space="0" w:color="auto"/>
            </w:tcBorders>
          </w:tcPr>
          <w:p w14:paraId="011F3A4E" w14:textId="77777777" w:rsidR="00197776" w:rsidRPr="00B41D28" w:rsidRDefault="00197776" w:rsidP="00591A74">
            <w:pPr>
              <w:ind w:right="-64"/>
              <w:jc w:val="right"/>
              <w:rPr>
                <w:rFonts w:asciiTheme="minorHAnsi" w:hAnsiTheme="minorHAnsi" w:cstheme="minorHAnsi"/>
                <w:b/>
                <w:color w:val="000000"/>
              </w:rPr>
            </w:pPr>
            <w:r>
              <w:rPr>
                <w:rFonts w:asciiTheme="minorHAnsi" w:hAnsiTheme="minorHAnsi" w:cstheme="minorHAnsi"/>
                <w:b/>
                <w:color w:val="000000"/>
              </w:rPr>
              <w:t>(210,052)</w:t>
            </w:r>
          </w:p>
        </w:tc>
        <w:tc>
          <w:tcPr>
            <w:tcW w:w="554" w:type="dxa"/>
          </w:tcPr>
          <w:p w14:paraId="260C68A0" w14:textId="77777777" w:rsidR="00197776" w:rsidRPr="00B41D28" w:rsidRDefault="00197776" w:rsidP="00591A74">
            <w:pPr>
              <w:rPr>
                <w:rFonts w:asciiTheme="minorHAnsi" w:hAnsiTheme="minorHAnsi" w:cstheme="minorHAnsi"/>
                <w:b/>
                <w:color w:val="000000"/>
              </w:rPr>
            </w:pPr>
          </w:p>
        </w:tc>
        <w:tc>
          <w:tcPr>
            <w:tcW w:w="1424" w:type="dxa"/>
            <w:tcBorders>
              <w:top w:val="single" w:sz="2" w:space="0" w:color="auto"/>
            </w:tcBorders>
          </w:tcPr>
          <w:p w14:paraId="451694FF" w14:textId="77777777" w:rsidR="00197776" w:rsidRPr="00B41D28" w:rsidRDefault="00197776" w:rsidP="00591A74">
            <w:pPr>
              <w:ind w:right="-64"/>
              <w:jc w:val="right"/>
              <w:rPr>
                <w:rFonts w:asciiTheme="minorHAnsi" w:hAnsiTheme="minorHAnsi" w:cstheme="minorHAnsi"/>
                <w:color w:val="000000"/>
              </w:rPr>
            </w:pPr>
            <w:r>
              <w:rPr>
                <w:rFonts w:asciiTheme="minorHAnsi" w:hAnsiTheme="minorHAnsi" w:cstheme="minorHAnsi"/>
                <w:color w:val="000000"/>
              </w:rPr>
              <w:t>(201,838)</w:t>
            </w:r>
          </w:p>
        </w:tc>
      </w:tr>
      <w:tr w:rsidR="00197776" w:rsidRPr="00B41D28" w14:paraId="5B2BAED3" w14:textId="77777777" w:rsidTr="00591A74">
        <w:trPr>
          <w:trHeight w:val="257"/>
        </w:trPr>
        <w:tc>
          <w:tcPr>
            <w:tcW w:w="5670" w:type="dxa"/>
          </w:tcPr>
          <w:p w14:paraId="68282129" w14:textId="77777777" w:rsidR="00197776" w:rsidRDefault="00197776" w:rsidP="00591A74">
            <w:pPr>
              <w:keepNext/>
              <w:jc w:val="both"/>
              <w:outlineLvl w:val="1"/>
              <w:rPr>
                <w:rFonts w:asciiTheme="minorHAnsi" w:hAnsiTheme="minorHAnsi" w:cstheme="minorHAnsi"/>
                <w:color w:val="000000"/>
              </w:rPr>
            </w:pPr>
          </w:p>
        </w:tc>
        <w:tc>
          <w:tcPr>
            <w:tcW w:w="1418" w:type="dxa"/>
          </w:tcPr>
          <w:p w14:paraId="668D0AB8" w14:textId="77777777" w:rsidR="00197776" w:rsidRDefault="00197776" w:rsidP="00591A74">
            <w:pPr>
              <w:ind w:right="-64"/>
              <w:jc w:val="right"/>
              <w:rPr>
                <w:rFonts w:asciiTheme="minorHAnsi" w:hAnsiTheme="minorHAnsi" w:cstheme="minorHAnsi"/>
                <w:b/>
                <w:color w:val="000000"/>
              </w:rPr>
            </w:pPr>
          </w:p>
        </w:tc>
        <w:tc>
          <w:tcPr>
            <w:tcW w:w="554" w:type="dxa"/>
          </w:tcPr>
          <w:p w14:paraId="4BE1131A" w14:textId="77777777" w:rsidR="00197776" w:rsidRPr="00B41D28" w:rsidRDefault="00197776" w:rsidP="00591A74">
            <w:pPr>
              <w:rPr>
                <w:rFonts w:asciiTheme="minorHAnsi" w:hAnsiTheme="minorHAnsi" w:cstheme="minorHAnsi"/>
                <w:b/>
                <w:color w:val="000000"/>
              </w:rPr>
            </w:pPr>
          </w:p>
        </w:tc>
        <w:tc>
          <w:tcPr>
            <w:tcW w:w="1424" w:type="dxa"/>
          </w:tcPr>
          <w:p w14:paraId="14A6B99E" w14:textId="77777777" w:rsidR="00197776" w:rsidRDefault="00197776" w:rsidP="00591A74">
            <w:pPr>
              <w:ind w:right="-64"/>
              <w:jc w:val="right"/>
              <w:rPr>
                <w:rFonts w:asciiTheme="minorHAnsi" w:hAnsiTheme="minorHAnsi" w:cstheme="minorHAnsi"/>
                <w:color w:val="000000"/>
              </w:rPr>
            </w:pPr>
          </w:p>
        </w:tc>
      </w:tr>
      <w:tr w:rsidR="00197776" w:rsidRPr="00B41D28" w14:paraId="320B3D3A" w14:textId="77777777" w:rsidTr="00591A74">
        <w:trPr>
          <w:trHeight w:val="257"/>
        </w:trPr>
        <w:tc>
          <w:tcPr>
            <w:tcW w:w="5670" w:type="dxa"/>
          </w:tcPr>
          <w:p w14:paraId="35DEB8FB" w14:textId="77777777" w:rsidR="00197776" w:rsidRPr="00B41D28" w:rsidRDefault="00197776" w:rsidP="00591A74">
            <w:pPr>
              <w:keepNext/>
              <w:jc w:val="both"/>
              <w:outlineLvl w:val="1"/>
              <w:rPr>
                <w:rFonts w:asciiTheme="minorHAnsi" w:hAnsiTheme="minorHAnsi" w:cstheme="minorHAnsi"/>
                <w:color w:val="000000"/>
              </w:rPr>
            </w:pPr>
            <w:r>
              <w:rPr>
                <w:rFonts w:asciiTheme="minorHAnsi" w:hAnsiTheme="minorHAnsi" w:cstheme="minorHAnsi"/>
                <w:color w:val="000000"/>
              </w:rPr>
              <w:t>Net expense from reinsurance contacts</w:t>
            </w:r>
          </w:p>
        </w:tc>
        <w:tc>
          <w:tcPr>
            <w:tcW w:w="1418" w:type="dxa"/>
          </w:tcPr>
          <w:p w14:paraId="3C6B5757" w14:textId="77777777" w:rsidR="00197776" w:rsidRPr="00B41D28" w:rsidRDefault="00197776" w:rsidP="00591A74">
            <w:pPr>
              <w:ind w:right="-64"/>
              <w:jc w:val="right"/>
              <w:rPr>
                <w:rFonts w:asciiTheme="minorHAnsi" w:hAnsiTheme="minorHAnsi" w:cstheme="minorHAnsi"/>
                <w:b/>
                <w:color w:val="000000"/>
              </w:rPr>
            </w:pPr>
            <w:r>
              <w:rPr>
                <w:rFonts w:asciiTheme="minorHAnsi" w:hAnsiTheme="minorHAnsi" w:cstheme="minorHAnsi"/>
                <w:b/>
                <w:color w:val="000000"/>
              </w:rPr>
              <w:t>(64,666)</w:t>
            </w:r>
          </w:p>
        </w:tc>
        <w:tc>
          <w:tcPr>
            <w:tcW w:w="554" w:type="dxa"/>
          </w:tcPr>
          <w:p w14:paraId="7D027C7E" w14:textId="77777777" w:rsidR="00197776" w:rsidRPr="00B41D28" w:rsidRDefault="00197776" w:rsidP="00591A74">
            <w:pPr>
              <w:rPr>
                <w:rFonts w:asciiTheme="minorHAnsi" w:hAnsiTheme="minorHAnsi" w:cstheme="minorHAnsi"/>
                <w:b/>
                <w:color w:val="000000"/>
              </w:rPr>
            </w:pPr>
          </w:p>
        </w:tc>
        <w:tc>
          <w:tcPr>
            <w:tcW w:w="1424" w:type="dxa"/>
          </w:tcPr>
          <w:p w14:paraId="636EF072" w14:textId="77777777" w:rsidR="00197776" w:rsidRPr="00B41D28" w:rsidRDefault="00197776" w:rsidP="00591A74">
            <w:pPr>
              <w:ind w:right="-64"/>
              <w:jc w:val="right"/>
              <w:rPr>
                <w:rFonts w:asciiTheme="minorHAnsi" w:hAnsiTheme="minorHAnsi" w:cstheme="minorHAnsi"/>
                <w:color w:val="000000"/>
              </w:rPr>
            </w:pPr>
            <w:r>
              <w:rPr>
                <w:rFonts w:asciiTheme="minorHAnsi" w:hAnsiTheme="minorHAnsi" w:cstheme="minorHAnsi"/>
                <w:color w:val="000000"/>
              </w:rPr>
              <w:t>(46,755)</w:t>
            </w:r>
          </w:p>
        </w:tc>
      </w:tr>
      <w:tr w:rsidR="00197776" w:rsidRPr="00B41D28" w14:paraId="29D894A6" w14:textId="77777777" w:rsidTr="00591A74">
        <w:trPr>
          <w:trHeight w:val="257"/>
        </w:trPr>
        <w:tc>
          <w:tcPr>
            <w:tcW w:w="5670" w:type="dxa"/>
          </w:tcPr>
          <w:p w14:paraId="74389E8D" w14:textId="77777777" w:rsidR="00197776" w:rsidRPr="00B41D28" w:rsidRDefault="00197776" w:rsidP="00591A74">
            <w:pPr>
              <w:keepNext/>
              <w:jc w:val="both"/>
              <w:outlineLvl w:val="1"/>
              <w:rPr>
                <w:rFonts w:asciiTheme="minorHAnsi" w:hAnsiTheme="minorHAnsi" w:cstheme="minorHAnsi"/>
                <w:color w:val="000000"/>
              </w:rPr>
            </w:pPr>
            <w:r w:rsidRPr="00B41D28">
              <w:rPr>
                <w:rFonts w:asciiTheme="minorHAnsi" w:hAnsiTheme="minorHAnsi" w:cstheme="minorHAnsi"/>
                <w:color w:val="000000"/>
              </w:rPr>
              <w:t>Non-attributable expenses</w:t>
            </w:r>
          </w:p>
        </w:tc>
        <w:tc>
          <w:tcPr>
            <w:tcW w:w="1418" w:type="dxa"/>
          </w:tcPr>
          <w:p w14:paraId="3B27882D" w14:textId="77777777" w:rsidR="00197776" w:rsidRPr="00B41D28" w:rsidRDefault="00197776" w:rsidP="00591A74">
            <w:pPr>
              <w:ind w:right="-64"/>
              <w:jc w:val="right"/>
              <w:rPr>
                <w:rFonts w:asciiTheme="minorHAnsi" w:hAnsiTheme="minorHAnsi" w:cstheme="minorHAnsi"/>
                <w:b/>
                <w:color w:val="000000"/>
              </w:rPr>
            </w:pPr>
            <w:r w:rsidRPr="00B41D28">
              <w:rPr>
                <w:rFonts w:asciiTheme="minorHAnsi" w:hAnsiTheme="minorHAnsi" w:cstheme="minorHAnsi"/>
                <w:b/>
                <w:color w:val="000000"/>
              </w:rPr>
              <w:t>(34,018)</w:t>
            </w:r>
          </w:p>
        </w:tc>
        <w:tc>
          <w:tcPr>
            <w:tcW w:w="554" w:type="dxa"/>
          </w:tcPr>
          <w:p w14:paraId="769FF10C" w14:textId="77777777" w:rsidR="00197776" w:rsidRPr="00B41D28" w:rsidRDefault="00197776" w:rsidP="00591A74">
            <w:pPr>
              <w:rPr>
                <w:rFonts w:asciiTheme="minorHAnsi" w:hAnsiTheme="minorHAnsi" w:cstheme="minorHAnsi"/>
                <w:b/>
                <w:color w:val="000000"/>
              </w:rPr>
            </w:pPr>
          </w:p>
        </w:tc>
        <w:tc>
          <w:tcPr>
            <w:tcW w:w="1424" w:type="dxa"/>
          </w:tcPr>
          <w:p w14:paraId="70EF5D3B" w14:textId="77777777" w:rsidR="00197776" w:rsidRPr="00B41D28" w:rsidRDefault="00197776" w:rsidP="00591A74">
            <w:pPr>
              <w:ind w:right="-64"/>
              <w:jc w:val="right"/>
              <w:rPr>
                <w:rFonts w:asciiTheme="minorHAnsi" w:hAnsiTheme="minorHAnsi" w:cstheme="minorHAnsi"/>
                <w:color w:val="000000"/>
              </w:rPr>
            </w:pPr>
            <w:r w:rsidRPr="00B41D28">
              <w:rPr>
                <w:rFonts w:asciiTheme="minorHAnsi" w:hAnsiTheme="minorHAnsi" w:cstheme="minorHAnsi"/>
                <w:color w:val="000000"/>
              </w:rPr>
              <w:t>(33,048)</w:t>
            </w:r>
          </w:p>
        </w:tc>
      </w:tr>
      <w:tr w:rsidR="00197776" w:rsidRPr="00B41D28" w14:paraId="65EE3A06" w14:textId="77777777" w:rsidTr="00591A74">
        <w:trPr>
          <w:trHeight w:val="257"/>
        </w:trPr>
        <w:tc>
          <w:tcPr>
            <w:tcW w:w="5670" w:type="dxa"/>
          </w:tcPr>
          <w:p w14:paraId="74CB73A7" w14:textId="77777777" w:rsidR="00197776" w:rsidRPr="00B41D28" w:rsidRDefault="00197776" w:rsidP="00591A74">
            <w:pPr>
              <w:keepNext/>
              <w:jc w:val="both"/>
              <w:outlineLvl w:val="1"/>
              <w:rPr>
                <w:rFonts w:asciiTheme="minorHAnsi" w:hAnsiTheme="minorHAnsi" w:cstheme="minorHAnsi"/>
                <w:color w:val="000000"/>
              </w:rPr>
            </w:pPr>
            <w:r w:rsidRPr="00B41D28">
              <w:rPr>
                <w:rFonts w:asciiTheme="minorHAnsi" w:hAnsiTheme="minorHAnsi" w:cstheme="minorHAnsi"/>
                <w:color w:val="000000"/>
              </w:rPr>
              <w:t>Other provisions</w:t>
            </w:r>
          </w:p>
        </w:tc>
        <w:tc>
          <w:tcPr>
            <w:tcW w:w="1418" w:type="dxa"/>
          </w:tcPr>
          <w:p w14:paraId="3C20B538" w14:textId="77777777" w:rsidR="00197776" w:rsidRPr="00B41D28" w:rsidRDefault="00197776" w:rsidP="00591A74">
            <w:pPr>
              <w:ind w:right="-64"/>
              <w:jc w:val="right"/>
              <w:rPr>
                <w:rFonts w:asciiTheme="minorHAnsi" w:hAnsiTheme="minorHAnsi" w:cstheme="minorHAnsi"/>
                <w:b/>
                <w:color w:val="000000"/>
              </w:rPr>
            </w:pPr>
            <w:r w:rsidRPr="00B41D28">
              <w:rPr>
                <w:rFonts w:asciiTheme="minorHAnsi" w:hAnsiTheme="minorHAnsi" w:cstheme="minorHAnsi"/>
                <w:b/>
                <w:color w:val="000000"/>
              </w:rPr>
              <w:t>(</w:t>
            </w:r>
            <w:proofErr w:type="gramStart"/>
            <w:r w:rsidRPr="00B41D28">
              <w:rPr>
                <w:rFonts w:asciiTheme="minorHAnsi" w:hAnsiTheme="minorHAnsi" w:cstheme="minorHAnsi"/>
                <w:b/>
                <w:color w:val="000000"/>
              </w:rPr>
              <w:t>1</w:t>
            </w:r>
            <w:r>
              <w:rPr>
                <w:rFonts w:asciiTheme="minorHAnsi" w:hAnsiTheme="minorHAnsi" w:cstheme="minorHAnsi"/>
                <w:b/>
                <w:color w:val="000000"/>
              </w:rPr>
              <w:t>5</w:t>
            </w:r>
            <w:r w:rsidRPr="00B41D28">
              <w:rPr>
                <w:rFonts w:asciiTheme="minorHAnsi" w:hAnsiTheme="minorHAnsi" w:cstheme="minorHAnsi"/>
                <w:b/>
                <w:color w:val="000000"/>
              </w:rPr>
              <w:t>,</w:t>
            </w:r>
            <w:r>
              <w:rPr>
                <w:rFonts w:asciiTheme="minorHAnsi" w:hAnsiTheme="minorHAnsi" w:cstheme="minorHAnsi"/>
                <w:b/>
                <w:color w:val="000000"/>
              </w:rPr>
              <w:t>8</w:t>
            </w:r>
            <w:r w:rsidRPr="00B41D28">
              <w:rPr>
                <w:rFonts w:asciiTheme="minorHAnsi" w:hAnsiTheme="minorHAnsi" w:cstheme="minorHAnsi"/>
                <w:b/>
                <w:color w:val="000000"/>
              </w:rPr>
              <w:t>31)</w:t>
            </w:r>
            <w:r>
              <w:rPr>
                <w:rFonts w:asciiTheme="minorHAnsi" w:hAnsiTheme="minorHAnsi" w:cstheme="minorHAnsi"/>
                <w:b/>
                <w:color w:val="000000"/>
              </w:rPr>
              <w:t>*</w:t>
            </w:r>
            <w:proofErr w:type="gramEnd"/>
          </w:p>
        </w:tc>
        <w:tc>
          <w:tcPr>
            <w:tcW w:w="554" w:type="dxa"/>
          </w:tcPr>
          <w:p w14:paraId="4DD50062" w14:textId="77777777" w:rsidR="00197776" w:rsidRPr="00B41D28" w:rsidRDefault="00197776" w:rsidP="00591A74">
            <w:pPr>
              <w:rPr>
                <w:rFonts w:asciiTheme="minorHAnsi" w:hAnsiTheme="minorHAnsi" w:cstheme="minorHAnsi"/>
                <w:b/>
                <w:color w:val="000000"/>
              </w:rPr>
            </w:pPr>
          </w:p>
        </w:tc>
        <w:tc>
          <w:tcPr>
            <w:tcW w:w="1424" w:type="dxa"/>
          </w:tcPr>
          <w:p w14:paraId="7F7C7DAC" w14:textId="77777777" w:rsidR="00197776" w:rsidRPr="00B41D28" w:rsidRDefault="00197776" w:rsidP="00591A74">
            <w:pPr>
              <w:ind w:right="-64"/>
              <w:jc w:val="right"/>
              <w:rPr>
                <w:rFonts w:asciiTheme="minorHAnsi" w:hAnsiTheme="minorHAnsi" w:cstheme="minorHAnsi"/>
                <w:color w:val="000000"/>
              </w:rPr>
            </w:pPr>
            <w:r w:rsidRPr="00B41D28">
              <w:rPr>
                <w:rFonts w:asciiTheme="minorHAnsi" w:hAnsiTheme="minorHAnsi" w:cstheme="minorHAnsi"/>
                <w:color w:val="000000"/>
              </w:rPr>
              <w:t>(8,403)</w:t>
            </w:r>
          </w:p>
        </w:tc>
      </w:tr>
      <w:tr w:rsidR="00197776" w:rsidRPr="00B41D28" w14:paraId="4D444366" w14:textId="77777777" w:rsidTr="00591A74">
        <w:trPr>
          <w:trHeight w:val="257"/>
        </w:trPr>
        <w:tc>
          <w:tcPr>
            <w:tcW w:w="5670" w:type="dxa"/>
          </w:tcPr>
          <w:p w14:paraId="7F34F2D5" w14:textId="77777777" w:rsidR="00197776" w:rsidRPr="00B41D28" w:rsidRDefault="00197776" w:rsidP="00591A74">
            <w:pPr>
              <w:keepNext/>
              <w:jc w:val="both"/>
              <w:outlineLvl w:val="1"/>
              <w:rPr>
                <w:rFonts w:asciiTheme="minorHAnsi" w:hAnsiTheme="minorHAnsi" w:cstheme="minorHAnsi"/>
                <w:color w:val="000000"/>
                <w:highlight w:val="yellow"/>
              </w:rPr>
            </w:pPr>
          </w:p>
        </w:tc>
        <w:tc>
          <w:tcPr>
            <w:tcW w:w="1418" w:type="dxa"/>
            <w:tcBorders>
              <w:top w:val="single" w:sz="4" w:space="0" w:color="auto"/>
            </w:tcBorders>
          </w:tcPr>
          <w:p w14:paraId="2D54E2D8" w14:textId="77777777" w:rsidR="00197776" w:rsidRPr="00B41D28" w:rsidRDefault="00197776" w:rsidP="00591A74">
            <w:pPr>
              <w:ind w:right="-64"/>
              <w:jc w:val="right"/>
              <w:rPr>
                <w:rFonts w:asciiTheme="minorHAnsi" w:hAnsiTheme="minorHAnsi" w:cstheme="minorHAnsi"/>
                <w:b/>
                <w:color w:val="000000"/>
                <w:highlight w:val="yellow"/>
              </w:rPr>
            </w:pPr>
          </w:p>
        </w:tc>
        <w:tc>
          <w:tcPr>
            <w:tcW w:w="554" w:type="dxa"/>
          </w:tcPr>
          <w:p w14:paraId="2C8F4FE9" w14:textId="77777777" w:rsidR="00197776" w:rsidRPr="00B41D28" w:rsidRDefault="00197776" w:rsidP="00591A74">
            <w:pPr>
              <w:rPr>
                <w:rFonts w:asciiTheme="minorHAnsi" w:hAnsiTheme="minorHAnsi" w:cstheme="minorHAnsi"/>
                <w:b/>
                <w:color w:val="000000"/>
                <w:highlight w:val="yellow"/>
              </w:rPr>
            </w:pPr>
          </w:p>
        </w:tc>
        <w:tc>
          <w:tcPr>
            <w:tcW w:w="1424" w:type="dxa"/>
            <w:tcBorders>
              <w:top w:val="single" w:sz="4" w:space="0" w:color="auto"/>
            </w:tcBorders>
          </w:tcPr>
          <w:p w14:paraId="10F97683" w14:textId="77777777" w:rsidR="00197776" w:rsidRPr="00B41D28" w:rsidRDefault="00197776" w:rsidP="00591A74">
            <w:pPr>
              <w:ind w:right="-64"/>
              <w:jc w:val="right"/>
              <w:rPr>
                <w:rFonts w:asciiTheme="minorHAnsi" w:hAnsiTheme="minorHAnsi" w:cstheme="minorHAnsi"/>
                <w:color w:val="000000"/>
                <w:highlight w:val="yellow"/>
              </w:rPr>
            </w:pPr>
          </w:p>
        </w:tc>
      </w:tr>
      <w:tr w:rsidR="00197776" w:rsidRPr="00B41D28" w14:paraId="28A2B159" w14:textId="77777777" w:rsidTr="00591A74">
        <w:trPr>
          <w:trHeight w:val="274"/>
        </w:trPr>
        <w:tc>
          <w:tcPr>
            <w:tcW w:w="5670" w:type="dxa"/>
          </w:tcPr>
          <w:p w14:paraId="4EDA88A7" w14:textId="77777777" w:rsidR="00197776" w:rsidRPr="00B41D28" w:rsidRDefault="00197776" w:rsidP="00591A74">
            <w:pPr>
              <w:keepNext/>
              <w:jc w:val="both"/>
              <w:outlineLvl w:val="1"/>
              <w:rPr>
                <w:rFonts w:asciiTheme="minorHAnsi" w:hAnsiTheme="minorHAnsi" w:cstheme="minorHAnsi"/>
                <w:color w:val="000000"/>
              </w:rPr>
            </w:pPr>
            <w:r w:rsidRPr="00B41D28">
              <w:rPr>
                <w:rFonts w:asciiTheme="minorHAnsi" w:hAnsiTheme="minorHAnsi" w:cstheme="minorHAnsi"/>
                <w:color w:val="000000"/>
              </w:rPr>
              <w:t xml:space="preserve">Underwriting </w:t>
            </w:r>
            <w:r>
              <w:rPr>
                <w:rFonts w:asciiTheme="minorHAnsi" w:hAnsiTheme="minorHAnsi" w:cstheme="minorHAnsi"/>
                <w:color w:val="000000"/>
              </w:rPr>
              <w:t>result</w:t>
            </w:r>
          </w:p>
        </w:tc>
        <w:tc>
          <w:tcPr>
            <w:tcW w:w="1418" w:type="dxa"/>
            <w:tcBorders>
              <w:bottom w:val="single" w:sz="12" w:space="0" w:color="auto"/>
            </w:tcBorders>
          </w:tcPr>
          <w:p w14:paraId="30B95E63" w14:textId="77777777" w:rsidR="00197776" w:rsidRPr="00B41D28" w:rsidRDefault="00197776" w:rsidP="00591A74">
            <w:pPr>
              <w:ind w:right="-64"/>
              <w:jc w:val="right"/>
              <w:rPr>
                <w:rFonts w:asciiTheme="minorHAnsi" w:hAnsiTheme="minorHAnsi" w:cstheme="minorHAnsi"/>
                <w:b/>
                <w:color w:val="000000"/>
              </w:rPr>
            </w:pPr>
            <w:r w:rsidRPr="00B41D28">
              <w:rPr>
                <w:rFonts w:asciiTheme="minorHAnsi" w:hAnsiTheme="minorHAnsi" w:cstheme="minorHAnsi"/>
                <w:b/>
                <w:color w:val="000000"/>
              </w:rPr>
              <w:t>7</w:t>
            </w:r>
            <w:r>
              <w:rPr>
                <w:rFonts w:asciiTheme="minorHAnsi" w:hAnsiTheme="minorHAnsi" w:cstheme="minorHAnsi"/>
                <w:b/>
                <w:color w:val="000000"/>
              </w:rPr>
              <w:t>6</w:t>
            </w:r>
            <w:r w:rsidRPr="00B41D28">
              <w:rPr>
                <w:rFonts w:asciiTheme="minorHAnsi" w:hAnsiTheme="minorHAnsi" w:cstheme="minorHAnsi"/>
                <w:b/>
                <w:color w:val="000000"/>
              </w:rPr>
              <w:t>,</w:t>
            </w:r>
            <w:r>
              <w:rPr>
                <w:rFonts w:asciiTheme="minorHAnsi" w:hAnsiTheme="minorHAnsi" w:cstheme="minorHAnsi"/>
                <w:b/>
                <w:color w:val="000000"/>
              </w:rPr>
              <w:t>4</w:t>
            </w:r>
            <w:r w:rsidRPr="00B41D28">
              <w:rPr>
                <w:rFonts w:asciiTheme="minorHAnsi" w:hAnsiTheme="minorHAnsi" w:cstheme="minorHAnsi"/>
                <w:b/>
                <w:color w:val="000000"/>
              </w:rPr>
              <w:t>59</w:t>
            </w:r>
          </w:p>
        </w:tc>
        <w:tc>
          <w:tcPr>
            <w:tcW w:w="554" w:type="dxa"/>
          </w:tcPr>
          <w:p w14:paraId="5266CF22" w14:textId="77777777" w:rsidR="00197776" w:rsidRPr="00B41D28" w:rsidRDefault="00197776" w:rsidP="00591A74">
            <w:pPr>
              <w:rPr>
                <w:rFonts w:asciiTheme="minorHAnsi" w:hAnsiTheme="minorHAnsi" w:cstheme="minorHAnsi"/>
                <w:b/>
                <w:color w:val="000000"/>
              </w:rPr>
            </w:pPr>
          </w:p>
        </w:tc>
        <w:tc>
          <w:tcPr>
            <w:tcW w:w="1424" w:type="dxa"/>
            <w:tcBorders>
              <w:bottom w:val="single" w:sz="12" w:space="0" w:color="auto"/>
            </w:tcBorders>
          </w:tcPr>
          <w:p w14:paraId="4D253D04" w14:textId="77777777" w:rsidR="00197776" w:rsidRPr="00B41D28" w:rsidRDefault="00197776" w:rsidP="00591A74">
            <w:pPr>
              <w:ind w:right="-64"/>
              <w:jc w:val="right"/>
              <w:rPr>
                <w:rFonts w:asciiTheme="minorHAnsi" w:hAnsiTheme="minorHAnsi" w:cstheme="minorHAnsi"/>
                <w:color w:val="000000"/>
              </w:rPr>
            </w:pPr>
            <w:r w:rsidRPr="00B41D28">
              <w:rPr>
                <w:rFonts w:asciiTheme="minorHAnsi" w:hAnsiTheme="minorHAnsi" w:cstheme="minorHAnsi"/>
                <w:color w:val="000000"/>
              </w:rPr>
              <w:t>89,653</w:t>
            </w:r>
          </w:p>
        </w:tc>
      </w:tr>
      <w:tr w:rsidR="00197776" w:rsidRPr="00B41D28" w14:paraId="24E72B26" w14:textId="77777777" w:rsidTr="00591A74">
        <w:trPr>
          <w:trHeight w:val="257"/>
        </w:trPr>
        <w:tc>
          <w:tcPr>
            <w:tcW w:w="5670" w:type="dxa"/>
          </w:tcPr>
          <w:p w14:paraId="047A7695" w14:textId="77777777" w:rsidR="00197776" w:rsidRPr="00B41D28" w:rsidRDefault="00197776" w:rsidP="00591A74">
            <w:pPr>
              <w:keepNext/>
              <w:jc w:val="both"/>
              <w:outlineLvl w:val="1"/>
              <w:rPr>
                <w:rFonts w:asciiTheme="minorHAnsi" w:hAnsiTheme="minorHAnsi" w:cstheme="minorHAnsi"/>
                <w:color w:val="000000"/>
                <w:highlight w:val="yellow"/>
              </w:rPr>
            </w:pPr>
          </w:p>
        </w:tc>
        <w:tc>
          <w:tcPr>
            <w:tcW w:w="1418" w:type="dxa"/>
            <w:tcBorders>
              <w:top w:val="single" w:sz="12" w:space="0" w:color="auto"/>
            </w:tcBorders>
          </w:tcPr>
          <w:p w14:paraId="6923DE09" w14:textId="77777777" w:rsidR="00197776" w:rsidRPr="00B41D28" w:rsidRDefault="00197776" w:rsidP="00591A74">
            <w:pPr>
              <w:ind w:right="-64"/>
              <w:jc w:val="right"/>
              <w:rPr>
                <w:rFonts w:asciiTheme="minorHAnsi" w:hAnsiTheme="minorHAnsi" w:cstheme="minorHAnsi"/>
                <w:b/>
                <w:color w:val="000000"/>
                <w:highlight w:val="yellow"/>
              </w:rPr>
            </w:pPr>
          </w:p>
        </w:tc>
        <w:tc>
          <w:tcPr>
            <w:tcW w:w="554" w:type="dxa"/>
          </w:tcPr>
          <w:p w14:paraId="2009EA0B" w14:textId="77777777" w:rsidR="00197776" w:rsidRPr="00B41D28" w:rsidRDefault="00197776" w:rsidP="00591A74">
            <w:pPr>
              <w:rPr>
                <w:rFonts w:asciiTheme="minorHAnsi" w:hAnsiTheme="minorHAnsi" w:cstheme="minorHAnsi"/>
                <w:b/>
                <w:color w:val="000000"/>
                <w:highlight w:val="yellow"/>
              </w:rPr>
            </w:pPr>
          </w:p>
        </w:tc>
        <w:tc>
          <w:tcPr>
            <w:tcW w:w="1424" w:type="dxa"/>
            <w:tcBorders>
              <w:top w:val="single" w:sz="12" w:space="0" w:color="auto"/>
            </w:tcBorders>
          </w:tcPr>
          <w:p w14:paraId="37647B9E" w14:textId="77777777" w:rsidR="00197776" w:rsidRPr="00B41D28" w:rsidRDefault="00197776" w:rsidP="00591A74">
            <w:pPr>
              <w:ind w:right="-64"/>
              <w:jc w:val="right"/>
              <w:rPr>
                <w:rFonts w:asciiTheme="minorHAnsi" w:hAnsiTheme="minorHAnsi" w:cstheme="minorHAnsi"/>
                <w:color w:val="000000"/>
                <w:highlight w:val="yellow"/>
              </w:rPr>
            </w:pPr>
          </w:p>
        </w:tc>
      </w:tr>
    </w:tbl>
    <w:p w14:paraId="6A36F3F3" w14:textId="53773632" w:rsidR="00197776" w:rsidRPr="00B41D28" w:rsidRDefault="00197776" w:rsidP="0079657D">
      <w:pPr>
        <w:rPr>
          <w:rFonts w:asciiTheme="minorHAnsi" w:hAnsiTheme="minorHAnsi" w:cstheme="minorHAnsi"/>
          <w:b/>
          <w:color w:val="000000"/>
        </w:rPr>
      </w:pPr>
      <w:r w:rsidRPr="00D42C20">
        <w:rPr>
          <w:rFonts w:asciiTheme="minorHAnsi" w:hAnsiTheme="minorHAnsi" w:cstheme="minorHAnsi"/>
        </w:rPr>
        <w:t xml:space="preserve">*Excludes the ESG initiative contribution of €2,500,000 for The Padraig Walshe Centre </w:t>
      </w:r>
      <w:r w:rsidRPr="00A5626B">
        <w:rPr>
          <w:rFonts w:asciiTheme="minorHAnsi" w:hAnsiTheme="minorHAnsi" w:cstheme="minorHAnsi"/>
          <w:lang w:val="en-IE"/>
        </w:rPr>
        <w:t>for Sustainable Animal and Grassland Research</w:t>
      </w:r>
      <w:r w:rsidRPr="00D42C20">
        <w:rPr>
          <w:rFonts w:asciiTheme="minorHAnsi" w:hAnsiTheme="minorHAnsi" w:cstheme="minorHAnsi"/>
        </w:rPr>
        <w:t>.</w:t>
      </w:r>
    </w:p>
    <w:p w14:paraId="56BA8356" w14:textId="77777777" w:rsidR="008C4AA0" w:rsidRPr="004258F5" w:rsidRDefault="008C4AA0" w:rsidP="00301B1D">
      <w:pPr>
        <w:ind w:left="-142"/>
        <w:rPr>
          <w:rFonts w:asciiTheme="minorHAnsi" w:hAnsiTheme="minorHAnsi" w:cstheme="minorHAnsi"/>
          <w:b/>
          <w:color w:val="000000"/>
        </w:rPr>
      </w:pPr>
    </w:p>
    <w:p w14:paraId="2E6F2695" w14:textId="77777777" w:rsidR="003C3E9A" w:rsidRPr="001D5AED" w:rsidRDefault="003C3E9A" w:rsidP="00301B1D">
      <w:pPr>
        <w:ind w:left="-142"/>
        <w:rPr>
          <w:rFonts w:asciiTheme="minorHAnsi" w:hAnsiTheme="minorHAnsi" w:cstheme="minorHAnsi"/>
          <w:b/>
          <w:color w:val="000000"/>
          <w:sz w:val="22"/>
          <w:szCs w:val="22"/>
        </w:rPr>
      </w:pPr>
    </w:p>
    <w:p w14:paraId="73ECBC4E" w14:textId="5FF67E6C" w:rsidR="000C033B" w:rsidRPr="004258F5" w:rsidRDefault="000C033B" w:rsidP="000C033B">
      <w:pPr>
        <w:tabs>
          <w:tab w:val="decimal" w:pos="8460"/>
          <w:tab w:val="decimal" w:pos="10080"/>
          <w:tab w:val="left" w:pos="10293"/>
          <w:tab w:val="left" w:pos="10400"/>
        </w:tabs>
        <w:ind w:right="-7"/>
        <w:rPr>
          <w:rFonts w:asciiTheme="minorHAnsi" w:hAnsiTheme="minorHAnsi" w:cstheme="minorHAnsi"/>
          <w:b/>
          <w:color w:val="000000"/>
        </w:rPr>
      </w:pPr>
      <w:r w:rsidRPr="004258F5">
        <w:rPr>
          <w:rFonts w:asciiTheme="minorHAnsi" w:hAnsiTheme="minorHAnsi" w:cstheme="minorHAnsi"/>
          <w:b/>
          <w:color w:val="000000"/>
        </w:rPr>
        <w:t xml:space="preserve">Note </w:t>
      </w:r>
      <w:r w:rsidR="004258F5">
        <w:rPr>
          <w:rFonts w:asciiTheme="minorHAnsi" w:hAnsiTheme="minorHAnsi" w:cstheme="minorHAnsi"/>
          <w:b/>
          <w:color w:val="000000"/>
        </w:rPr>
        <w:t>7</w:t>
      </w:r>
      <w:r w:rsidR="00EC645C">
        <w:rPr>
          <w:rFonts w:asciiTheme="minorHAnsi" w:hAnsiTheme="minorHAnsi" w:cstheme="minorHAnsi"/>
          <w:b/>
          <w:color w:val="000000"/>
        </w:rPr>
        <w:t xml:space="preserve">  </w:t>
      </w:r>
      <w:r w:rsidRPr="004258F5">
        <w:rPr>
          <w:rFonts w:asciiTheme="minorHAnsi" w:hAnsiTheme="minorHAnsi" w:cstheme="minorHAnsi"/>
          <w:b/>
          <w:color w:val="000000"/>
        </w:rPr>
        <w:t xml:space="preserve">   </w:t>
      </w:r>
      <w:r w:rsidRPr="004258F5">
        <w:rPr>
          <w:rFonts w:asciiTheme="minorHAnsi" w:hAnsiTheme="minorHAnsi" w:cstheme="minorHAnsi"/>
          <w:b/>
          <w:caps/>
          <w:color w:val="000000"/>
        </w:rPr>
        <w:t>Subsequent Events</w:t>
      </w:r>
    </w:p>
    <w:p w14:paraId="5C010095" w14:textId="77777777" w:rsidR="000C033B" w:rsidRPr="004258F5" w:rsidRDefault="000C033B" w:rsidP="000C033B">
      <w:pPr>
        <w:tabs>
          <w:tab w:val="right" w:pos="9778"/>
          <w:tab w:val="left" w:pos="10293"/>
          <w:tab w:val="left" w:pos="10400"/>
        </w:tabs>
        <w:ind w:right="-7"/>
        <w:rPr>
          <w:rFonts w:asciiTheme="minorHAnsi" w:hAnsiTheme="minorHAnsi" w:cstheme="minorHAnsi"/>
        </w:rPr>
      </w:pPr>
    </w:p>
    <w:p w14:paraId="2D8044E6" w14:textId="2CCA20E0" w:rsidR="000C033B" w:rsidRPr="004258F5" w:rsidRDefault="000C033B" w:rsidP="000C033B">
      <w:pPr>
        <w:ind w:right="244"/>
        <w:jc w:val="both"/>
        <w:rPr>
          <w:rFonts w:asciiTheme="minorHAnsi" w:hAnsiTheme="minorHAnsi" w:cstheme="minorHAnsi"/>
          <w:color w:val="000000"/>
        </w:rPr>
      </w:pPr>
      <w:r w:rsidRPr="004258F5">
        <w:rPr>
          <w:rFonts w:asciiTheme="minorHAnsi" w:hAnsiTheme="minorHAnsi" w:cstheme="minorHAnsi"/>
          <w:color w:val="000000"/>
        </w:rPr>
        <w:t xml:space="preserve">There have been no subsequent events which would have a material impact on the </w:t>
      </w:r>
      <w:r w:rsidR="00CA183F">
        <w:rPr>
          <w:rFonts w:asciiTheme="minorHAnsi" w:hAnsiTheme="minorHAnsi" w:cstheme="minorHAnsi"/>
          <w:color w:val="000000"/>
        </w:rPr>
        <w:t>f</w:t>
      </w:r>
      <w:r w:rsidRPr="004258F5">
        <w:rPr>
          <w:rFonts w:asciiTheme="minorHAnsi" w:hAnsiTheme="minorHAnsi" w:cstheme="minorHAnsi"/>
          <w:color w:val="000000"/>
        </w:rPr>
        <w:t xml:space="preserve">inancial </w:t>
      </w:r>
      <w:r w:rsidR="00CA183F">
        <w:rPr>
          <w:rFonts w:asciiTheme="minorHAnsi" w:hAnsiTheme="minorHAnsi" w:cstheme="minorHAnsi"/>
          <w:color w:val="000000"/>
        </w:rPr>
        <w:t>s</w:t>
      </w:r>
      <w:r w:rsidRPr="004258F5">
        <w:rPr>
          <w:rFonts w:asciiTheme="minorHAnsi" w:hAnsiTheme="minorHAnsi" w:cstheme="minorHAnsi"/>
          <w:color w:val="000000"/>
        </w:rPr>
        <w:t xml:space="preserve">tatements. </w:t>
      </w:r>
    </w:p>
    <w:p w14:paraId="2CDFED32" w14:textId="77777777" w:rsidR="000C033B" w:rsidRPr="004258F5" w:rsidRDefault="000C033B" w:rsidP="000C033B">
      <w:pPr>
        <w:tabs>
          <w:tab w:val="right" w:pos="9778"/>
          <w:tab w:val="left" w:pos="10293"/>
          <w:tab w:val="left" w:pos="10400"/>
        </w:tabs>
        <w:ind w:right="-7"/>
        <w:rPr>
          <w:rFonts w:asciiTheme="minorHAnsi" w:hAnsiTheme="minorHAnsi" w:cstheme="minorHAnsi"/>
          <w:b/>
          <w:color w:val="000000"/>
        </w:rPr>
      </w:pPr>
    </w:p>
    <w:p w14:paraId="24FF64DC" w14:textId="77777777" w:rsidR="00197776" w:rsidRDefault="00197776" w:rsidP="000C033B">
      <w:pPr>
        <w:tabs>
          <w:tab w:val="right" w:pos="9778"/>
          <w:tab w:val="left" w:pos="10293"/>
          <w:tab w:val="left" w:pos="10400"/>
        </w:tabs>
        <w:ind w:right="-7"/>
        <w:rPr>
          <w:rFonts w:asciiTheme="minorHAnsi" w:hAnsiTheme="minorHAnsi" w:cstheme="minorHAnsi"/>
          <w:b/>
          <w:color w:val="000000"/>
        </w:rPr>
      </w:pPr>
    </w:p>
    <w:p w14:paraId="259B4F23" w14:textId="2E44108E" w:rsidR="000C033B" w:rsidRPr="004258F5" w:rsidRDefault="000C033B" w:rsidP="000C033B">
      <w:pPr>
        <w:tabs>
          <w:tab w:val="right" w:pos="9778"/>
          <w:tab w:val="left" w:pos="10293"/>
          <w:tab w:val="left" w:pos="10400"/>
        </w:tabs>
        <w:ind w:right="-7"/>
        <w:rPr>
          <w:rFonts w:asciiTheme="minorHAnsi" w:hAnsiTheme="minorHAnsi" w:cstheme="minorHAnsi"/>
          <w:b/>
          <w:color w:val="000000"/>
        </w:rPr>
      </w:pPr>
      <w:r w:rsidRPr="004258F5">
        <w:rPr>
          <w:rFonts w:asciiTheme="minorHAnsi" w:hAnsiTheme="minorHAnsi" w:cstheme="minorHAnsi"/>
          <w:b/>
          <w:color w:val="000000"/>
        </w:rPr>
        <w:t xml:space="preserve">Note </w:t>
      </w:r>
      <w:r w:rsidR="004258F5">
        <w:rPr>
          <w:rFonts w:asciiTheme="minorHAnsi" w:hAnsiTheme="minorHAnsi" w:cstheme="minorHAnsi"/>
          <w:b/>
          <w:color w:val="000000"/>
        </w:rPr>
        <w:t>8</w:t>
      </w:r>
      <w:r w:rsidR="00EC645C">
        <w:rPr>
          <w:rFonts w:asciiTheme="minorHAnsi" w:hAnsiTheme="minorHAnsi" w:cstheme="minorHAnsi"/>
          <w:b/>
          <w:color w:val="000000"/>
        </w:rPr>
        <w:t xml:space="preserve">  </w:t>
      </w:r>
      <w:r w:rsidRPr="004258F5">
        <w:rPr>
          <w:rFonts w:asciiTheme="minorHAnsi" w:hAnsiTheme="minorHAnsi" w:cstheme="minorHAnsi"/>
          <w:b/>
          <w:color w:val="000000"/>
        </w:rPr>
        <w:t xml:space="preserve">   </w:t>
      </w:r>
      <w:r w:rsidRPr="004258F5">
        <w:rPr>
          <w:rFonts w:asciiTheme="minorHAnsi" w:hAnsiTheme="minorHAnsi" w:cstheme="minorHAnsi"/>
          <w:b/>
          <w:caps/>
          <w:color w:val="000000"/>
        </w:rPr>
        <w:t>General Information and Accounting Policies</w:t>
      </w:r>
    </w:p>
    <w:p w14:paraId="5237BF7D" w14:textId="77777777" w:rsidR="000C033B" w:rsidRPr="004258F5" w:rsidRDefault="000C033B" w:rsidP="000C033B">
      <w:pPr>
        <w:tabs>
          <w:tab w:val="right" w:pos="9778"/>
          <w:tab w:val="left" w:pos="10293"/>
          <w:tab w:val="left" w:pos="10400"/>
        </w:tabs>
        <w:ind w:right="-7"/>
        <w:jc w:val="both"/>
        <w:rPr>
          <w:rFonts w:asciiTheme="minorHAnsi" w:hAnsiTheme="minorHAnsi" w:cstheme="minorHAnsi"/>
          <w:color w:val="000000"/>
        </w:rPr>
      </w:pPr>
    </w:p>
    <w:p w14:paraId="3FBA0D14" w14:textId="1CB2B72C" w:rsidR="000C033B" w:rsidRPr="004258F5" w:rsidRDefault="000C033B" w:rsidP="000C033B">
      <w:pPr>
        <w:tabs>
          <w:tab w:val="right" w:pos="9778"/>
          <w:tab w:val="left" w:pos="10293"/>
          <w:tab w:val="left" w:pos="10400"/>
        </w:tabs>
        <w:ind w:right="-7"/>
        <w:jc w:val="both"/>
        <w:rPr>
          <w:rFonts w:asciiTheme="minorHAnsi" w:hAnsiTheme="minorHAnsi" w:cstheme="minorHAnsi"/>
          <w:color w:val="000000"/>
        </w:rPr>
      </w:pPr>
      <w:r w:rsidRPr="004258F5">
        <w:rPr>
          <w:rFonts w:asciiTheme="minorHAnsi" w:hAnsiTheme="minorHAnsi" w:cstheme="minorHAnsi"/>
          <w:color w:val="000000"/>
        </w:rPr>
        <w:t xml:space="preserve">The financial information set out in this document does not constitute full statutory </w:t>
      </w:r>
      <w:r w:rsidR="00CA183F">
        <w:rPr>
          <w:rFonts w:asciiTheme="minorHAnsi" w:hAnsiTheme="minorHAnsi" w:cstheme="minorHAnsi"/>
          <w:color w:val="000000"/>
        </w:rPr>
        <w:t>f</w:t>
      </w:r>
      <w:r w:rsidRPr="004258F5">
        <w:rPr>
          <w:rFonts w:asciiTheme="minorHAnsi" w:hAnsiTheme="minorHAnsi" w:cstheme="minorHAnsi"/>
          <w:color w:val="000000"/>
        </w:rPr>
        <w:t xml:space="preserve">inancial </w:t>
      </w:r>
      <w:r w:rsidR="00CA183F">
        <w:rPr>
          <w:rFonts w:asciiTheme="minorHAnsi" w:hAnsiTheme="minorHAnsi" w:cstheme="minorHAnsi"/>
          <w:color w:val="000000"/>
        </w:rPr>
        <w:t>s</w:t>
      </w:r>
      <w:r w:rsidRPr="004258F5">
        <w:rPr>
          <w:rFonts w:asciiTheme="minorHAnsi" w:hAnsiTheme="minorHAnsi" w:cstheme="minorHAnsi"/>
          <w:color w:val="000000"/>
        </w:rPr>
        <w:t>tatements for the years ended 31 December 202</w:t>
      </w:r>
      <w:r w:rsidR="009C558D" w:rsidRPr="004258F5">
        <w:rPr>
          <w:rFonts w:asciiTheme="minorHAnsi" w:hAnsiTheme="minorHAnsi" w:cstheme="minorHAnsi"/>
          <w:color w:val="000000"/>
        </w:rPr>
        <w:t>3</w:t>
      </w:r>
      <w:r w:rsidRPr="004258F5">
        <w:rPr>
          <w:rFonts w:asciiTheme="minorHAnsi" w:hAnsiTheme="minorHAnsi" w:cstheme="minorHAnsi"/>
          <w:color w:val="000000"/>
        </w:rPr>
        <w:t xml:space="preserve"> or 202</w:t>
      </w:r>
      <w:r w:rsidR="009C558D" w:rsidRPr="004258F5">
        <w:rPr>
          <w:rFonts w:asciiTheme="minorHAnsi" w:hAnsiTheme="minorHAnsi" w:cstheme="minorHAnsi"/>
          <w:color w:val="000000"/>
        </w:rPr>
        <w:t>2</w:t>
      </w:r>
      <w:r w:rsidRPr="004258F5">
        <w:rPr>
          <w:rFonts w:asciiTheme="minorHAnsi" w:hAnsiTheme="minorHAnsi" w:cstheme="minorHAnsi"/>
          <w:color w:val="000000"/>
        </w:rPr>
        <w:t xml:space="preserve"> but is derived from same. The Group </w:t>
      </w:r>
      <w:r w:rsidR="00CA183F">
        <w:rPr>
          <w:rFonts w:asciiTheme="minorHAnsi" w:hAnsiTheme="minorHAnsi" w:cstheme="minorHAnsi"/>
          <w:color w:val="000000"/>
        </w:rPr>
        <w:t>f</w:t>
      </w:r>
      <w:r w:rsidRPr="004258F5">
        <w:rPr>
          <w:rFonts w:asciiTheme="minorHAnsi" w:hAnsiTheme="minorHAnsi" w:cstheme="minorHAnsi"/>
          <w:color w:val="000000"/>
        </w:rPr>
        <w:t xml:space="preserve">inancial </w:t>
      </w:r>
      <w:r w:rsidR="00CA183F">
        <w:rPr>
          <w:rFonts w:asciiTheme="minorHAnsi" w:hAnsiTheme="minorHAnsi" w:cstheme="minorHAnsi"/>
          <w:color w:val="000000"/>
        </w:rPr>
        <w:t>s</w:t>
      </w:r>
      <w:r w:rsidRPr="004258F5">
        <w:rPr>
          <w:rFonts w:asciiTheme="minorHAnsi" w:hAnsiTheme="minorHAnsi" w:cstheme="minorHAnsi"/>
          <w:color w:val="000000"/>
        </w:rPr>
        <w:t>tatements have been prepared in accordance with International Financial Reporting Standards (IFRSs) as adopted by the European Union, applicable Irish law and the listing Rules of Euronext Dublin, the Financial Conduct Authority and comply with Article 4 of the EU IAS Regulation.</w:t>
      </w:r>
    </w:p>
    <w:p w14:paraId="5F949CF8" w14:textId="77777777" w:rsidR="000C033B" w:rsidRPr="004258F5" w:rsidRDefault="000C033B" w:rsidP="000C033B">
      <w:pPr>
        <w:tabs>
          <w:tab w:val="right" w:pos="9778"/>
          <w:tab w:val="left" w:pos="10293"/>
          <w:tab w:val="left" w:pos="10400"/>
        </w:tabs>
        <w:ind w:right="-7"/>
        <w:jc w:val="both"/>
        <w:rPr>
          <w:rFonts w:asciiTheme="minorHAnsi" w:hAnsiTheme="minorHAnsi" w:cstheme="minorHAnsi"/>
          <w:color w:val="000000"/>
        </w:rPr>
      </w:pPr>
    </w:p>
    <w:p w14:paraId="6356B4BA" w14:textId="5283F975" w:rsidR="000C033B" w:rsidRPr="004258F5" w:rsidRDefault="000C033B" w:rsidP="000C033B">
      <w:pPr>
        <w:tabs>
          <w:tab w:val="right" w:pos="9778"/>
          <w:tab w:val="left" w:pos="10293"/>
          <w:tab w:val="left" w:pos="10400"/>
        </w:tabs>
        <w:ind w:right="-7"/>
        <w:jc w:val="both"/>
        <w:rPr>
          <w:rFonts w:asciiTheme="minorHAnsi" w:hAnsiTheme="minorHAnsi" w:cstheme="minorHAnsi"/>
          <w:color w:val="000000"/>
        </w:rPr>
      </w:pPr>
      <w:r w:rsidRPr="004258F5">
        <w:rPr>
          <w:rFonts w:asciiTheme="minorHAnsi" w:hAnsiTheme="minorHAnsi" w:cstheme="minorHAnsi"/>
          <w:color w:val="000000"/>
        </w:rPr>
        <w:t>The 202</w:t>
      </w:r>
      <w:r w:rsidR="009C558D" w:rsidRPr="004258F5">
        <w:rPr>
          <w:rFonts w:asciiTheme="minorHAnsi" w:hAnsiTheme="minorHAnsi" w:cstheme="minorHAnsi"/>
          <w:color w:val="000000"/>
        </w:rPr>
        <w:t>3</w:t>
      </w:r>
      <w:r w:rsidRPr="004258F5">
        <w:rPr>
          <w:rFonts w:asciiTheme="minorHAnsi" w:hAnsiTheme="minorHAnsi" w:cstheme="minorHAnsi"/>
          <w:color w:val="000000"/>
        </w:rPr>
        <w:t xml:space="preserve"> and 202</w:t>
      </w:r>
      <w:r w:rsidR="009C558D" w:rsidRPr="004258F5">
        <w:rPr>
          <w:rFonts w:asciiTheme="minorHAnsi" w:hAnsiTheme="minorHAnsi" w:cstheme="minorHAnsi"/>
          <w:color w:val="000000"/>
        </w:rPr>
        <w:t>2</w:t>
      </w:r>
      <w:r w:rsidRPr="004258F5">
        <w:rPr>
          <w:rFonts w:asciiTheme="minorHAnsi" w:hAnsiTheme="minorHAnsi" w:cstheme="minorHAnsi"/>
          <w:color w:val="000000"/>
        </w:rPr>
        <w:t xml:space="preserve"> </w:t>
      </w:r>
      <w:r w:rsidR="00CA183F">
        <w:rPr>
          <w:rFonts w:asciiTheme="minorHAnsi" w:hAnsiTheme="minorHAnsi" w:cstheme="minorHAnsi"/>
          <w:color w:val="000000"/>
        </w:rPr>
        <w:t>f</w:t>
      </w:r>
      <w:r w:rsidRPr="004258F5">
        <w:rPr>
          <w:rFonts w:asciiTheme="minorHAnsi" w:hAnsiTheme="minorHAnsi" w:cstheme="minorHAnsi"/>
          <w:color w:val="000000"/>
        </w:rPr>
        <w:t xml:space="preserve">inancial </w:t>
      </w:r>
      <w:r w:rsidR="00CA183F">
        <w:rPr>
          <w:rFonts w:asciiTheme="minorHAnsi" w:hAnsiTheme="minorHAnsi" w:cstheme="minorHAnsi"/>
          <w:color w:val="000000"/>
        </w:rPr>
        <w:t>s</w:t>
      </w:r>
      <w:r w:rsidRPr="004258F5">
        <w:rPr>
          <w:rFonts w:asciiTheme="minorHAnsi" w:hAnsiTheme="minorHAnsi" w:cstheme="minorHAnsi"/>
          <w:color w:val="000000"/>
        </w:rPr>
        <w:t xml:space="preserve">tatements have been audited and received unqualified audit reports.  </w:t>
      </w:r>
    </w:p>
    <w:p w14:paraId="10602D39" w14:textId="77777777" w:rsidR="000C033B" w:rsidRPr="004258F5" w:rsidRDefault="000C033B" w:rsidP="000C033B">
      <w:pPr>
        <w:tabs>
          <w:tab w:val="right" w:pos="9778"/>
          <w:tab w:val="left" w:pos="10293"/>
          <w:tab w:val="left" w:pos="10400"/>
        </w:tabs>
        <w:ind w:right="-7"/>
        <w:jc w:val="both"/>
        <w:rPr>
          <w:rFonts w:asciiTheme="minorHAnsi" w:hAnsiTheme="minorHAnsi" w:cstheme="minorHAnsi"/>
          <w:color w:val="000000"/>
        </w:rPr>
      </w:pPr>
    </w:p>
    <w:p w14:paraId="54B39B87" w14:textId="79E35CF4" w:rsidR="000C033B" w:rsidRPr="004258F5" w:rsidRDefault="000C033B" w:rsidP="000C033B">
      <w:pPr>
        <w:tabs>
          <w:tab w:val="right" w:pos="9778"/>
          <w:tab w:val="left" w:pos="10293"/>
          <w:tab w:val="left" w:pos="10400"/>
        </w:tabs>
        <w:ind w:right="-7"/>
        <w:jc w:val="both"/>
        <w:rPr>
          <w:rFonts w:asciiTheme="minorHAnsi" w:hAnsiTheme="minorHAnsi" w:cstheme="minorHAnsi"/>
          <w:color w:val="000000"/>
        </w:rPr>
      </w:pPr>
      <w:r w:rsidRPr="004258F5">
        <w:rPr>
          <w:rFonts w:asciiTheme="minorHAnsi" w:hAnsiTheme="minorHAnsi" w:cstheme="minorHAnsi"/>
          <w:color w:val="000000"/>
        </w:rPr>
        <w:t>The 202</w:t>
      </w:r>
      <w:r w:rsidR="009C558D" w:rsidRPr="004258F5">
        <w:rPr>
          <w:rFonts w:asciiTheme="minorHAnsi" w:hAnsiTheme="minorHAnsi" w:cstheme="minorHAnsi"/>
          <w:color w:val="000000"/>
        </w:rPr>
        <w:t>3</w:t>
      </w:r>
      <w:r w:rsidRPr="004258F5">
        <w:rPr>
          <w:rFonts w:asciiTheme="minorHAnsi" w:hAnsiTheme="minorHAnsi" w:cstheme="minorHAnsi"/>
          <w:color w:val="000000"/>
        </w:rPr>
        <w:t xml:space="preserve"> </w:t>
      </w:r>
      <w:r w:rsidR="00CA183F">
        <w:rPr>
          <w:rFonts w:asciiTheme="minorHAnsi" w:hAnsiTheme="minorHAnsi" w:cstheme="minorHAnsi"/>
          <w:color w:val="000000"/>
        </w:rPr>
        <w:t>f</w:t>
      </w:r>
      <w:r w:rsidRPr="004258F5">
        <w:rPr>
          <w:rFonts w:asciiTheme="minorHAnsi" w:hAnsiTheme="minorHAnsi" w:cstheme="minorHAnsi"/>
          <w:color w:val="000000"/>
        </w:rPr>
        <w:t xml:space="preserve">inancial </w:t>
      </w:r>
      <w:r w:rsidR="00CA183F">
        <w:rPr>
          <w:rFonts w:asciiTheme="minorHAnsi" w:hAnsiTheme="minorHAnsi" w:cstheme="minorHAnsi"/>
          <w:color w:val="000000"/>
        </w:rPr>
        <w:t>s</w:t>
      </w:r>
      <w:r w:rsidRPr="004258F5">
        <w:rPr>
          <w:rFonts w:asciiTheme="minorHAnsi" w:hAnsiTheme="minorHAnsi" w:cstheme="minorHAnsi"/>
          <w:color w:val="000000"/>
        </w:rPr>
        <w:t xml:space="preserve">tatements were approved by the Board of Directors on </w:t>
      </w:r>
      <w:r w:rsidR="009C558D" w:rsidRPr="004258F5">
        <w:rPr>
          <w:rFonts w:asciiTheme="minorHAnsi" w:hAnsiTheme="minorHAnsi" w:cstheme="minorHAnsi"/>
          <w:color w:val="000000"/>
        </w:rPr>
        <w:t>7</w:t>
      </w:r>
      <w:r w:rsidRPr="004258F5">
        <w:rPr>
          <w:rFonts w:asciiTheme="minorHAnsi" w:hAnsiTheme="minorHAnsi" w:cstheme="minorHAnsi"/>
          <w:color w:val="000000"/>
        </w:rPr>
        <w:t xml:space="preserve"> March 202</w:t>
      </w:r>
      <w:r w:rsidR="009C558D" w:rsidRPr="004258F5">
        <w:rPr>
          <w:rFonts w:asciiTheme="minorHAnsi" w:hAnsiTheme="minorHAnsi" w:cstheme="minorHAnsi"/>
          <w:color w:val="000000"/>
        </w:rPr>
        <w:t>4</w:t>
      </w:r>
      <w:r w:rsidRPr="004258F5">
        <w:rPr>
          <w:rFonts w:asciiTheme="minorHAnsi" w:hAnsiTheme="minorHAnsi" w:cstheme="minorHAnsi"/>
          <w:color w:val="000000"/>
        </w:rPr>
        <w:t>.</w:t>
      </w:r>
    </w:p>
    <w:p w14:paraId="09627040" w14:textId="77777777" w:rsidR="000C033B" w:rsidRPr="004258F5" w:rsidRDefault="000C033B" w:rsidP="000C033B">
      <w:pPr>
        <w:tabs>
          <w:tab w:val="right" w:pos="9778"/>
          <w:tab w:val="left" w:pos="10293"/>
          <w:tab w:val="left" w:pos="10400"/>
        </w:tabs>
        <w:ind w:right="-7"/>
        <w:jc w:val="both"/>
        <w:rPr>
          <w:rFonts w:asciiTheme="minorHAnsi" w:hAnsiTheme="minorHAnsi" w:cstheme="minorHAnsi"/>
          <w:color w:val="000000"/>
        </w:rPr>
      </w:pPr>
    </w:p>
    <w:p w14:paraId="2078F170" w14:textId="0817F226" w:rsidR="000C033B" w:rsidRPr="004258F5" w:rsidRDefault="000C033B" w:rsidP="000C033B">
      <w:pPr>
        <w:tabs>
          <w:tab w:val="right" w:pos="9778"/>
          <w:tab w:val="left" w:pos="10293"/>
          <w:tab w:val="left" w:pos="10400"/>
        </w:tabs>
        <w:ind w:right="-7"/>
        <w:jc w:val="both"/>
        <w:rPr>
          <w:rFonts w:asciiTheme="minorHAnsi" w:hAnsiTheme="minorHAnsi" w:cstheme="minorHAnsi"/>
          <w:color w:val="000000"/>
        </w:rPr>
      </w:pPr>
      <w:r w:rsidRPr="004258F5">
        <w:rPr>
          <w:rFonts w:asciiTheme="minorHAnsi" w:hAnsiTheme="minorHAnsi" w:cstheme="minorHAnsi"/>
          <w:color w:val="000000"/>
        </w:rPr>
        <w:t xml:space="preserve">The Consolidated </w:t>
      </w:r>
      <w:r w:rsidR="00CA183F">
        <w:rPr>
          <w:rFonts w:asciiTheme="minorHAnsi" w:hAnsiTheme="minorHAnsi" w:cstheme="minorHAnsi"/>
          <w:color w:val="000000"/>
        </w:rPr>
        <w:t>f</w:t>
      </w:r>
      <w:r w:rsidRPr="004258F5">
        <w:rPr>
          <w:rFonts w:asciiTheme="minorHAnsi" w:hAnsiTheme="minorHAnsi" w:cstheme="minorHAnsi"/>
          <w:color w:val="000000"/>
        </w:rPr>
        <w:t xml:space="preserve">inancial </w:t>
      </w:r>
      <w:r w:rsidR="00CA183F">
        <w:rPr>
          <w:rFonts w:asciiTheme="minorHAnsi" w:hAnsiTheme="minorHAnsi" w:cstheme="minorHAnsi"/>
          <w:color w:val="000000"/>
        </w:rPr>
        <w:t>s</w:t>
      </w:r>
      <w:r w:rsidRPr="004258F5">
        <w:rPr>
          <w:rFonts w:asciiTheme="minorHAnsi" w:hAnsiTheme="minorHAnsi" w:cstheme="minorHAnsi"/>
          <w:color w:val="000000"/>
        </w:rPr>
        <w:t>tatements are prepared under the historical cost convention as modified by the revaluation of property, investments held for trading, available for sale investments and investment property which are measured at fair value.</w:t>
      </w:r>
    </w:p>
    <w:p w14:paraId="2FBF2493" w14:textId="77777777" w:rsidR="000C033B" w:rsidRPr="004258F5" w:rsidRDefault="000C033B" w:rsidP="00EC6A6E">
      <w:pPr>
        <w:tabs>
          <w:tab w:val="left" w:pos="426"/>
          <w:tab w:val="left" w:pos="851"/>
          <w:tab w:val="left" w:pos="10604"/>
        </w:tabs>
        <w:ind w:left="-142" w:right="-28"/>
        <w:rPr>
          <w:rFonts w:asciiTheme="minorHAnsi" w:hAnsiTheme="minorHAnsi" w:cstheme="minorHAnsi"/>
          <w:b/>
          <w:color w:val="000000"/>
        </w:rPr>
      </w:pPr>
    </w:p>
    <w:p w14:paraId="29B8BA1E" w14:textId="77777777" w:rsidR="00C33A8F" w:rsidRPr="001D5AED" w:rsidRDefault="00C33A8F">
      <w:pPr>
        <w:spacing w:after="200" w:line="276" w:lineRule="auto"/>
        <w:rPr>
          <w:rFonts w:asciiTheme="minorHAnsi" w:hAnsiTheme="minorHAnsi" w:cstheme="minorHAnsi"/>
          <w:b/>
          <w:color w:val="000000"/>
          <w:sz w:val="22"/>
          <w:szCs w:val="22"/>
        </w:rPr>
      </w:pPr>
      <w:r w:rsidRPr="001D5AED">
        <w:rPr>
          <w:rFonts w:asciiTheme="minorHAnsi" w:hAnsiTheme="minorHAnsi" w:cstheme="minorHAnsi"/>
          <w:b/>
          <w:color w:val="000000"/>
          <w:sz w:val="22"/>
          <w:szCs w:val="22"/>
        </w:rPr>
        <w:br w:type="page"/>
      </w:r>
    </w:p>
    <w:p w14:paraId="75E9EA47" w14:textId="77777777" w:rsidR="00C33A8F" w:rsidRPr="001D5AED" w:rsidRDefault="00C33A8F" w:rsidP="0067083E">
      <w:pPr>
        <w:ind w:left="-142"/>
        <w:jc w:val="center"/>
        <w:rPr>
          <w:rFonts w:asciiTheme="minorHAnsi" w:hAnsiTheme="minorHAnsi" w:cstheme="minorHAnsi"/>
          <w:color w:val="000000"/>
          <w:sz w:val="22"/>
          <w:szCs w:val="22"/>
        </w:rPr>
      </w:pPr>
      <w:r w:rsidRPr="001D5AED">
        <w:rPr>
          <w:rFonts w:asciiTheme="minorHAnsi" w:hAnsiTheme="minorHAnsi" w:cstheme="minorHAnsi"/>
          <w:b/>
          <w:color w:val="000000"/>
          <w:sz w:val="22"/>
          <w:szCs w:val="22"/>
        </w:rPr>
        <w:t>FBD Holdings plc</w:t>
      </w:r>
    </w:p>
    <w:p w14:paraId="29CD8B79" w14:textId="77777777" w:rsidR="00C33A8F" w:rsidRPr="001D5AED" w:rsidRDefault="00C33A8F" w:rsidP="0067083E">
      <w:pPr>
        <w:tabs>
          <w:tab w:val="left" w:pos="-142"/>
          <w:tab w:val="decimal" w:pos="4678"/>
          <w:tab w:val="decimal" w:pos="5670"/>
          <w:tab w:val="decimal" w:pos="6946"/>
          <w:tab w:val="decimal" w:pos="10348"/>
        </w:tabs>
        <w:ind w:left="-142"/>
        <w:jc w:val="center"/>
        <w:rPr>
          <w:rFonts w:asciiTheme="minorHAnsi" w:hAnsiTheme="minorHAnsi" w:cstheme="minorHAnsi"/>
          <w:b/>
          <w:color w:val="000000"/>
          <w:sz w:val="22"/>
          <w:szCs w:val="22"/>
        </w:rPr>
      </w:pPr>
      <w:r w:rsidRPr="001D5AED">
        <w:rPr>
          <w:rFonts w:asciiTheme="minorHAnsi" w:hAnsiTheme="minorHAnsi" w:cstheme="minorHAnsi"/>
          <w:b/>
          <w:color w:val="000000"/>
          <w:sz w:val="22"/>
          <w:szCs w:val="22"/>
        </w:rPr>
        <w:t>Supplementary Information (continued)</w:t>
      </w:r>
    </w:p>
    <w:p w14:paraId="4D6C672A" w14:textId="10347CA2" w:rsidR="00C33A8F" w:rsidRPr="001D5AED" w:rsidRDefault="00C33A8F" w:rsidP="0067083E">
      <w:pPr>
        <w:tabs>
          <w:tab w:val="left" w:pos="426"/>
          <w:tab w:val="left" w:pos="851"/>
          <w:tab w:val="left" w:pos="10604"/>
        </w:tabs>
        <w:ind w:left="-142" w:right="-28"/>
        <w:jc w:val="center"/>
        <w:rPr>
          <w:rFonts w:asciiTheme="minorHAnsi" w:hAnsiTheme="minorHAnsi" w:cstheme="minorHAnsi"/>
          <w:b/>
          <w:color w:val="000000"/>
          <w:sz w:val="22"/>
          <w:szCs w:val="22"/>
          <w:lang w:val="en-US"/>
        </w:rPr>
      </w:pPr>
      <w:r w:rsidRPr="001D5AED">
        <w:rPr>
          <w:rFonts w:asciiTheme="minorHAnsi" w:hAnsiTheme="minorHAnsi" w:cstheme="minorHAnsi"/>
          <w:b/>
          <w:color w:val="000000"/>
          <w:sz w:val="22"/>
          <w:szCs w:val="22"/>
        </w:rPr>
        <w:t>For the year ended 31 December 202</w:t>
      </w:r>
      <w:r w:rsidR="00460D52">
        <w:rPr>
          <w:rFonts w:asciiTheme="minorHAnsi" w:hAnsiTheme="minorHAnsi" w:cstheme="minorHAnsi"/>
          <w:b/>
          <w:color w:val="000000"/>
          <w:sz w:val="22"/>
          <w:szCs w:val="22"/>
        </w:rPr>
        <w:t>3</w:t>
      </w:r>
    </w:p>
    <w:p w14:paraId="52BE97AA" w14:textId="77777777" w:rsidR="00C33A8F" w:rsidRPr="001D5AED" w:rsidRDefault="00C33A8F" w:rsidP="00C33A8F">
      <w:pPr>
        <w:ind w:left="-142"/>
        <w:rPr>
          <w:rFonts w:asciiTheme="minorHAnsi" w:hAnsiTheme="minorHAnsi" w:cstheme="minorHAnsi"/>
          <w:b/>
          <w:color w:val="000000"/>
          <w:sz w:val="22"/>
          <w:szCs w:val="22"/>
        </w:rPr>
      </w:pPr>
    </w:p>
    <w:p w14:paraId="2923A818" w14:textId="1A94D997" w:rsidR="006D1B29" w:rsidRPr="00DD7247" w:rsidRDefault="006D1B29" w:rsidP="003E636B">
      <w:pPr>
        <w:tabs>
          <w:tab w:val="left" w:pos="426"/>
          <w:tab w:val="left" w:pos="851"/>
          <w:tab w:val="left" w:pos="10604"/>
        </w:tabs>
        <w:ind w:left="-142" w:right="-28"/>
        <w:jc w:val="center"/>
        <w:rPr>
          <w:rFonts w:asciiTheme="minorHAnsi" w:hAnsiTheme="minorHAnsi" w:cstheme="minorHAnsi"/>
          <w:b/>
          <w:color w:val="000000"/>
          <w:sz w:val="22"/>
          <w:szCs w:val="22"/>
        </w:rPr>
      </w:pPr>
      <w:r w:rsidRPr="00DD7247">
        <w:rPr>
          <w:rFonts w:asciiTheme="minorHAnsi" w:hAnsiTheme="minorHAnsi" w:cstheme="minorHAnsi"/>
          <w:b/>
          <w:color w:val="000000"/>
          <w:sz w:val="22"/>
          <w:szCs w:val="22"/>
        </w:rPr>
        <w:t>A</w:t>
      </w:r>
      <w:r w:rsidR="00363613" w:rsidRPr="00DD7247">
        <w:rPr>
          <w:rFonts w:asciiTheme="minorHAnsi" w:hAnsiTheme="minorHAnsi" w:cstheme="minorHAnsi"/>
          <w:b/>
          <w:color w:val="000000"/>
          <w:sz w:val="22"/>
          <w:szCs w:val="22"/>
        </w:rPr>
        <w:t>LTERNATIVE PERFORMANCE MEASURES</w:t>
      </w:r>
      <w:r w:rsidR="00FE2551" w:rsidRPr="00DD7247">
        <w:rPr>
          <w:rFonts w:asciiTheme="minorHAnsi" w:hAnsiTheme="minorHAnsi" w:cstheme="minorHAnsi"/>
          <w:b/>
          <w:color w:val="000000"/>
          <w:sz w:val="22"/>
          <w:szCs w:val="22"/>
        </w:rPr>
        <w:t xml:space="preserve"> </w:t>
      </w:r>
      <w:r w:rsidRPr="00DD7247">
        <w:rPr>
          <w:rFonts w:asciiTheme="minorHAnsi" w:hAnsiTheme="minorHAnsi" w:cstheme="minorHAnsi"/>
          <w:b/>
          <w:color w:val="000000"/>
          <w:sz w:val="22"/>
          <w:szCs w:val="22"/>
        </w:rPr>
        <w:t>(APM’s)</w:t>
      </w:r>
      <w:r w:rsidR="00FE2551" w:rsidRPr="00DD7247">
        <w:rPr>
          <w:rFonts w:asciiTheme="minorHAnsi" w:hAnsiTheme="minorHAnsi" w:cstheme="minorHAnsi"/>
          <w:b/>
          <w:color w:val="000000"/>
          <w:sz w:val="22"/>
          <w:szCs w:val="22"/>
        </w:rPr>
        <w:t xml:space="preserve"> </w:t>
      </w:r>
      <w:r w:rsidR="00DD7247" w:rsidRPr="00DD7247">
        <w:rPr>
          <w:rFonts w:asciiTheme="minorHAnsi" w:hAnsiTheme="minorHAnsi" w:cstheme="minorHAnsi"/>
          <w:b/>
          <w:color w:val="000000"/>
          <w:sz w:val="22"/>
          <w:szCs w:val="22"/>
        </w:rPr>
        <w:t>(unaudited)</w:t>
      </w:r>
    </w:p>
    <w:p w14:paraId="57F45C49" w14:textId="77777777" w:rsidR="008C4AA0" w:rsidRPr="00593F9F" w:rsidRDefault="008C4AA0" w:rsidP="002B1DF6">
      <w:pPr>
        <w:ind w:left="-142" w:right="142"/>
        <w:jc w:val="both"/>
        <w:rPr>
          <w:rFonts w:asciiTheme="minorHAnsi" w:hAnsiTheme="minorHAnsi" w:cstheme="minorHAnsi"/>
          <w:color w:val="000000"/>
          <w:sz w:val="22"/>
          <w:szCs w:val="22"/>
          <w:highlight w:val="yellow"/>
        </w:rPr>
      </w:pPr>
    </w:p>
    <w:p w14:paraId="18FA510E" w14:textId="4AC16FF7" w:rsidR="00DD7247" w:rsidRPr="00987D69" w:rsidRDefault="00DD7247" w:rsidP="00B87E67">
      <w:pPr>
        <w:ind w:right="142"/>
        <w:jc w:val="both"/>
        <w:rPr>
          <w:rFonts w:ascii="Calibri" w:hAnsi="Calibri" w:cs="Calibri"/>
          <w:color w:val="000000"/>
          <w:sz w:val="18"/>
          <w:szCs w:val="18"/>
        </w:rPr>
      </w:pPr>
      <w:r w:rsidRPr="00987D69">
        <w:rPr>
          <w:rFonts w:ascii="Calibri" w:hAnsi="Calibri" w:cs="Calibri"/>
          <w:color w:val="000000"/>
          <w:sz w:val="18"/>
          <w:szCs w:val="18"/>
        </w:rPr>
        <w:t xml:space="preserve">The Group uses the following alternative performance measures: Loss ratio, expense ratio, combined operating ratio, </w:t>
      </w:r>
      <w:r w:rsidR="00434C41" w:rsidRPr="00E32F3C">
        <w:rPr>
          <w:rFonts w:ascii="Calibri" w:hAnsi="Calibri" w:cs="Calibri"/>
          <w:color w:val="000000"/>
          <w:sz w:val="18"/>
          <w:szCs w:val="18"/>
        </w:rPr>
        <w:t xml:space="preserve">undiscounted combined operating ratio, </w:t>
      </w:r>
      <w:r w:rsidR="003B160A" w:rsidRPr="00E32F3C">
        <w:rPr>
          <w:rFonts w:ascii="Calibri" w:hAnsi="Calibri" w:cs="Calibri"/>
          <w:color w:val="000000"/>
          <w:sz w:val="18"/>
          <w:szCs w:val="18"/>
        </w:rPr>
        <w:t xml:space="preserve">actual </w:t>
      </w:r>
      <w:r w:rsidRPr="00E32F3C">
        <w:rPr>
          <w:rFonts w:ascii="Calibri" w:hAnsi="Calibri" w:cs="Calibri"/>
          <w:color w:val="000000"/>
          <w:sz w:val="18"/>
          <w:szCs w:val="18"/>
        </w:rPr>
        <w:t>investment return, net asset value per share, return on equity</w:t>
      </w:r>
      <w:r w:rsidR="00E066A2" w:rsidRPr="00E32F3C">
        <w:rPr>
          <w:rFonts w:ascii="Calibri" w:hAnsi="Calibri" w:cs="Calibri"/>
          <w:color w:val="000000"/>
          <w:sz w:val="18"/>
          <w:szCs w:val="18"/>
        </w:rPr>
        <w:t>,</w:t>
      </w:r>
      <w:r w:rsidR="00E066A2">
        <w:rPr>
          <w:rFonts w:ascii="Calibri" w:hAnsi="Calibri" w:cs="Calibri"/>
          <w:color w:val="000000"/>
          <w:sz w:val="18"/>
          <w:szCs w:val="18"/>
        </w:rPr>
        <w:t xml:space="preserve"> underwriting </w:t>
      </w:r>
      <w:proofErr w:type="gramStart"/>
      <w:r w:rsidR="00E066A2">
        <w:rPr>
          <w:rFonts w:ascii="Calibri" w:hAnsi="Calibri" w:cs="Calibri"/>
          <w:color w:val="000000"/>
          <w:sz w:val="18"/>
          <w:szCs w:val="18"/>
        </w:rPr>
        <w:t>result</w:t>
      </w:r>
      <w:proofErr w:type="gramEnd"/>
      <w:r w:rsidRPr="00987D69">
        <w:rPr>
          <w:rFonts w:ascii="Calibri" w:hAnsi="Calibri" w:cs="Calibri"/>
          <w:color w:val="000000"/>
          <w:sz w:val="18"/>
          <w:szCs w:val="18"/>
        </w:rPr>
        <w:t xml:space="preserve"> and gross written premium. </w:t>
      </w:r>
    </w:p>
    <w:p w14:paraId="560454D6" w14:textId="77777777" w:rsidR="00DD7247" w:rsidRPr="00987D69" w:rsidRDefault="00DD7247" w:rsidP="00B87E67">
      <w:pPr>
        <w:ind w:left="284" w:right="142"/>
        <w:jc w:val="both"/>
        <w:rPr>
          <w:rFonts w:ascii="Calibri" w:hAnsi="Calibri" w:cs="Calibri"/>
          <w:color w:val="000000"/>
          <w:sz w:val="18"/>
          <w:szCs w:val="18"/>
        </w:rPr>
      </w:pPr>
    </w:p>
    <w:p w14:paraId="6DC42981" w14:textId="77777777" w:rsidR="005C4080" w:rsidRPr="00865940" w:rsidRDefault="005C4080" w:rsidP="005C4080">
      <w:pPr>
        <w:rPr>
          <w:rFonts w:ascii="Calibri" w:hAnsi="Calibri" w:cs="Calibri"/>
          <w:b/>
          <w:bCs/>
          <w:color w:val="000000"/>
          <w:sz w:val="18"/>
          <w:szCs w:val="18"/>
        </w:rPr>
      </w:pPr>
      <w:r w:rsidRPr="00865940">
        <w:rPr>
          <w:rFonts w:ascii="Calibri" w:hAnsi="Calibri" w:cs="Calibri"/>
          <w:b/>
          <w:bCs/>
          <w:color w:val="000000"/>
          <w:sz w:val="18"/>
          <w:szCs w:val="18"/>
        </w:rPr>
        <w:t>Changes to APMs</w:t>
      </w:r>
    </w:p>
    <w:p w14:paraId="1979332D" w14:textId="77777777" w:rsidR="005C4080" w:rsidRPr="00865940" w:rsidRDefault="005C4080" w:rsidP="005C4080">
      <w:pPr>
        <w:rPr>
          <w:rFonts w:ascii="Calibri" w:hAnsi="Calibri" w:cs="Calibri"/>
          <w:color w:val="000000"/>
          <w:sz w:val="18"/>
          <w:szCs w:val="18"/>
        </w:rPr>
      </w:pPr>
      <w:r w:rsidRPr="00865940">
        <w:rPr>
          <w:rFonts w:ascii="Calibri" w:hAnsi="Calibri" w:cs="Calibri"/>
          <w:color w:val="000000"/>
          <w:sz w:val="18"/>
          <w:szCs w:val="18"/>
        </w:rPr>
        <w:t>The Group has adopted IFRS 17 ‘Insurance Contracts’ and IFRS 9 ‘Financial Instruments’ from 1 January 2023. The adoption of IFRS 17 has brought significant changes to the measurement and presentation for insurance and reinsurance contracts. Consequently, we have introduced new APMs in 2023 that provide useful information under the standard:</w:t>
      </w:r>
    </w:p>
    <w:p w14:paraId="59ACFBD2" w14:textId="77777777" w:rsidR="005C4080" w:rsidRPr="00865940" w:rsidRDefault="005C4080" w:rsidP="005C4080">
      <w:pPr>
        <w:pStyle w:val="ListParagraph"/>
        <w:numPr>
          <w:ilvl w:val="0"/>
          <w:numId w:val="35"/>
        </w:numPr>
        <w:spacing w:before="0" w:after="160" w:line="252" w:lineRule="auto"/>
        <w:rPr>
          <w:rFonts w:ascii="Calibri" w:eastAsia="Times New Roman" w:hAnsi="Calibri" w:cs="Calibri"/>
          <w:color w:val="000000"/>
          <w:sz w:val="18"/>
          <w:szCs w:val="18"/>
        </w:rPr>
      </w:pPr>
      <w:r w:rsidRPr="00865940">
        <w:rPr>
          <w:rFonts w:ascii="Calibri" w:eastAsia="Times New Roman" w:hAnsi="Calibri" w:cs="Calibri"/>
          <w:color w:val="000000"/>
          <w:sz w:val="18"/>
          <w:szCs w:val="18"/>
        </w:rPr>
        <w:t>Undiscounted loss ratio</w:t>
      </w:r>
    </w:p>
    <w:p w14:paraId="5C458326" w14:textId="77777777" w:rsidR="005C4080" w:rsidRPr="00865940" w:rsidRDefault="005C4080" w:rsidP="005C4080">
      <w:pPr>
        <w:pStyle w:val="ListParagraph"/>
        <w:numPr>
          <w:ilvl w:val="0"/>
          <w:numId w:val="35"/>
        </w:numPr>
        <w:spacing w:before="0" w:after="160" w:line="252" w:lineRule="auto"/>
        <w:rPr>
          <w:rFonts w:ascii="Calibri" w:eastAsia="Times New Roman" w:hAnsi="Calibri" w:cs="Calibri"/>
          <w:color w:val="000000"/>
          <w:sz w:val="18"/>
          <w:szCs w:val="18"/>
        </w:rPr>
      </w:pPr>
      <w:r w:rsidRPr="00865940">
        <w:rPr>
          <w:rFonts w:ascii="Calibri" w:eastAsia="Times New Roman" w:hAnsi="Calibri" w:cs="Calibri"/>
          <w:color w:val="000000"/>
          <w:sz w:val="18"/>
          <w:szCs w:val="18"/>
        </w:rPr>
        <w:t>Undiscounted combined operating ratio</w:t>
      </w:r>
    </w:p>
    <w:p w14:paraId="71C53D2A" w14:textId="77777777" w:rsidR="005C4080" w:rsidRPr="00865940" w:rsidRDefault="005C4080" w:rsidP="005C4080">
      <w:pPr>
        <w:pStyle w:val="ListParagraph"/>
        <w:numPr>
          <w:ilvl w:val="0"/>
          <w:numId w:val="35"/>
        </w:numPr>
        <w:spacing w:before="0" w:after="160" w:line="252" w:lineRule="auto"/>
        <w:rPr>
          <w:rFonts w:ascii="Calibri" w:eastAsia="Times New Roman" w:hAnsi="Calibri" w:cs="Calibri"/>
          <w:color w:val="000000"/>
          <w:sz w:val="18"/>
          <w:szCs w:val="18"/>
        </w:rPr>
      </w:pPr>
      <w:r w:rsidRPr="00865940">
        <w:rPr>
          <w:rFonts w:ascii="Calibri" w:eastAsia="Times New Roman" w:hAnsi="Calibri" w:cs="Calibri"/>
          <w:color w:val="000000"/>
          <w:sz w:val="18"/>
          <w:szCs w:val="18"/>
        </w:rPr>
        <w:t xml:space="preserve">Gross written premium </w:t>
      </w:r>
    </w:p>
    <w:p w14:paraId="36C877D5" w14:textId="77777777" w:rsidR="005C4080" w:rsidRPr="00865940" w:rsidRDefault="005C4080" w:rsidP="005C4080">
      <w:pPr>
        <w:autoSpaceDE w:val="0"/>
        <w:autoSpaceDN w:val="0"/>
        <w:rPr>
          <w:rFonts w:ascii="Calibri" w:hAnsi="Calibri" w:cs="Calibri"/>
          <w:color w:val="000000"/>
          <w:sz w:val="18"/>
          <w:szCs w:val="18"/>
        </w:rPr>
      </w:pPr>
      <w:r w:rsidRPr="00865940">
        <w:rPr>
          <w:rFonts w:ascii="Calibri" w:hAnsi="Calibri" w:cs="Calibri"/>
          <w:color w:val="000000"/>
          <w:sz w:val="18"/>
          <w:szCs w:val="18"/>
        </w:rPr>
        <w:t xml:space="preserve">In addition, we have made certain changes to existing APMs to ensure that they remain relevant and useful for stakeholders. The Group adjusted loss ratio, expense ratio, combined operating ratio and underwriting result APM’s reflect the implementation of IFRS 17. </w:t>
      </w:r>
    </w:p>
    <w:p w14:paraId="55257294" w14:textId="77777777" w:rsidR="005C4080" w:rsidRDefault="005C4080" w:rsidP="004C6E1E">
      <w:pPr>
        <w:spacing w:line="276" w:lineRule="auto"/>
        <w:jc w:val="both"/>
        <w:rPr>
          <w:rFonts w:ascii="Calibri" w:hAnsi="Calibri" w:cs="Calibri"/>
          <w:color w:val="000000"/>
          <w:sz w:val="18"/>
          <w:szCs w:val="18"/>
        </w:rPr>
      </w:pPr>
    </w:p>
    <w:p w14:paraId="7F376BE8" w14:textId="4C398162" w:rsidR="00DD7247" w:rsidRDefault="00DD7247" w:rsidP="004C6E1E">
      <w:pPr>
        <w:spacing w:line="276" w:lineRule="auto"/>
        <w:jc w:val="both"/>
        <w:rPr>
          <w:rFonts w:ascii="Calibri" w:hAnsi="Calibri" w:cs="Calibri"/>
          <w:color w:val="000000"/>
          <w:sz w:val="18"/>
          <w:szCs w:val="18"/>
        </w:rPr>
      </w:pPr>
      <w:r w:rsidRPr="00987D69">
        <w:rPr>
          <w:rFonts w:ascii="Calibri" w:hAnsi="Calibri" w:cs="Calibri"/>
          <w:color w:val="000000"/>
          <w:sz w:val="18"/>
          <w:szCs w:val="18"/>
        </w:rPr>
        <w:t>Loss ratio (LR), expense ratio (ER) and combined operating ratio (COR)</w:t>
      </w:r>
      <w:r w:rsidR="00E066A2">
        <w:rPr>
          <w:rFonts w:ascii="Calibri" w:hAnsi="Calibri" w:cs="Calibri"/>
          <w:color w:val="000000"/>
          <w:sz w:val="18"/>
          <w:szCs w:val="18"/>
        </w:rPr>
        <w:t xml:space="preserve"> and underwriting result</w:t>
      </w:r>
      <w:r w:rsidRPr="00987D69">
        <w:rPr>
          <w:rFonts w:ascii="Calibri" w:hAnsi="Calibri" w:cs="Calibri"/>
          <w:color w:val="000000"/>
          <w:sz w:val="18"/>
          <w:szCs w:val="18"/>
        </w:rPr>
        <w:t xml:space="preserve"> are widely used as a performance measure by </w:t>
      </w:r>
      <w:r w:rsidR="005361DB" w:rsidRPr="00987D69">
        <w:rPr>
          <w:rFonts w:ascii="Calibri" w:hAnsi="Calibri" w:cs="Calibri"/>
          <w:color w:val="000000"/>
          <w:sz w:val="18"/>
          <w:szCs w:val="18"/>
        </w:rPr>
        <w:t>insurers and</w:t>
      </w:r>
      <w:r w:rsidRPr="00987D69">
        <w:rPr>
          <w:rFonts w:ascii="Calibri" w:hAnsi="Calibri" w:cs="Calibri"/>
          <w:color w:val="000000"/>
          <w:sz w:val="18"/>
          <w:szCs w:val="18"/>
        </w:rPr>
        <w:t xml:space="preserve"> give users of the financial statements an understanding of the underwriting performance of the entity. Investment return is used widely as a performance measure to give users of financial statements an understanding of the performance of an </w:t>
      </w:r>
      <w:r w:rsidR="005361DB" w:rsidRPr="00987D69">
        <w:rPr>
          <w:rFonts w:ascii="Calibri" w:hAnsi="Calibri" w:cs="Calibri"/>
          <w:color w:val="000000"/>
          <w:sz w:val="18"/>
          <w:szCs w:val="18"/>
        </w:rPr>
        <w:t>entity’s</w:t>
      </w:r>
      <w:r w:rsidRPr="00987D69">
        <w:rPr>
          <w:rFonts w:ascii="Calibri" w:hAnsi="Calibri" w:cs="Calibri"/>
          <w:color w:val="000000"/>
          <w:sz w:val="18"/>
          <w:szCs w:val="18"/>
        </w:rPr>
        <w:t xml:space="preserve"> investment portfolio. Net asset value per share (NAV) is a widely used performance measure which provides the users of the financial statements the book value per share. Return on equity (ROE) is also a widely used profitability ratio that measures an entity’s ability to generate profits from its shareholder investments. Gross written premium </w:t>
      </w:r>
      <w:r>
        <w:rPr>
          <w:rFonts w:ascii="Calibri" w:hAnsi="Calibri" w:cs="Calibri"/>
          <w:color w:val="000000"/>
          <w:sz w:val="18"/>
          <w:szCs w:val="18"/>
        </w:rPr>
        <w:t xml:space="preserve">is a component of insurance revenue </w:t>
      </w:r>
      <w:r w:rsidRPr="00987D69">
        <w:rPr>
          <w:rFonts w:ascii="Calibri" w:hAnsi="Calibri" w:cs="Calibri"/>
          <w:color w:val="000000"/>
          <w:sz w:val="18"/>
          <w:szCs w:val="18"/>
        </w:rPr>
        <w:t xml:space="preserve">and is widely used across the general insurance industry.  </w:t>
      </w:r>
    </w:p>
    <w:p w14:paraId="6D830382" w14:textId="77777777" w:rsidR="00B45B25" w:rsidRDefault="00B45B25" w:rsidP="004C6E1E">
      <w:pPr>
        <w:spacing w:line="276" w:lineRule="auto"/>
        <w:jc w:val="both"/>
        <w:rPr>
          <w:rFonts w:ascii="Calibri" w:hAnsi="Calibri" w:cs="Calibri"/>
          <w:color w:val="000000"/>
          <w:sz w:val="18"/>
          <w:szCs w:val="18"/>
        </w:rPr>
      </w:pPr>
    </w:p>
    <w:p w14:paraId="336CE54C" w14:textId="77777777" w:rsidR="00DD7247" w:rsidRDefault="00DD7247" w:rsidP="00DD7247">
      <w:pPr>
        <w:ind w:right="142"/>
        <w:jc w:val="both"/>
        <w:rPr>
          <w:rFonts w:ascii="Calibri" w:hAnsi="Calibri" w:cs="Calibri"/>
          <w:color w:val="000000"/>
          <w:sz w:val="18"/>
          <w:szCs w:val="18"/>
        </w:rPr>
      </w:pPr>
      <w:r w:rsidRPr="00987D69">
        <w:rPr>
          <w:rFonts w:ascii="Calibri" w:hAnsi="Calibri" w:cs="Calibri"/>
          <w:color w:val="000000"/>
          <w:sz w:val="18"/>
          <w:szCs w:val="18"/>
        </w:rPr>
        <w:t>The calculation of the APMs is based on the following data:</w:t>
      </w:r>
      <w:r w:rsidRPr="00987D69">
        <w:rPr>
          <w:rFonts w:ascii="Calibri" w:hAnsi="Calibri" w:cs="Calibri"/>
          <w:color w:val="000000"/>
          <w:sz w:val="18"/>
          <w:szCs w:val="18"/>
        </w:rPr>
        <w:tab/>
      </w:r>
    </w:p>
    <w:p w14:paraId="2C0CF6C2" w14:textId="77777777" w:rsidR="00DD7247" w:rsidRDefault="00DD7247" w:rsidP="00DD7247">
      <w:pPr>
        <w:ind w:right="142"/>
        <w:jc w:val="both"/>
        <w:rPr>
          <w:rFonts w:ascii="Calibri" w:hAnsi="Calibri" w:cs="Calibri"/>
          <w:color w:val="000000"/>
          <w:sz w:val="18"/>
          <w:szCs w:val="18"/>
        </w:rPr>
      </w:pPr>
    </w:p>
    <w:tbl>
      <w:tblPr>
        <w:tblStyle w:val="TableGrid"/>
        <w:tblW w:w="8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851"/>
        <w:gridCol w:w="1276"/>
        <w:gridCol w:w="1275"/>
      </w:tblGrid>
      <w:tr w:rsidR="003E636B" w:rsidRPr="008901A5" w14:paraId="6C18967A" w14:textId="77777777" w:rsidTr="009A2B5A">
        <w:trPr>
          <w:trHeight w:val="229"/>
        </w:trPr>
        <w:tc>
          <w:tcPr>
            <w:tcW w:w="4678" w:type="dxa"/>
          </w:tcPr>
          <w:p w14:paraId="397B2337" w14:textId="77777777" w:rsidR="003E636B" w:rsidRPr="00987D69" w:rsidRDefault="003E636B" w:rsidP="00DD7247">
            <w:pPr>
              <w:ind w:right="142"/>
              <w:jc w:val="both"/>
              <w:rPr>
                <w:rFonts w:ascii="Calibri" w:hAnsi="Calibri" w:cs="Calibri"/>
                <w:color w:val="000000"/>
                <w:sz w:val="18"/>
                <w:szCs w:val="18"/>
              </w:rPr>
            </w:pPr>
          </w:p>
        </w:tc>
        <w:tc>
          <w:tcPr>
            <w:tcW w:w="851" w:type="dxa"/>
          </w:tcPr>
          <w:p w14:paraId="4402D9FC" w14:textId="50D20D1D" w:rsidR="003E636B" w:rsidRPr="00987D69" w:rsidRDefault="003E636B" w:rsidP="00DD7247">
            <w:pPr>
              <w:ind w:right="142"/>
              <w:jc w:val="right"/>
              <w:rPr>
                <w:rFonts w:ascii="Calibri" w:hAnsi="Calibri" w:cs="Calibri"/>
                <w:b/>
                <w:color w:val="000000"/>
                <w:sz w:val="18"/>
                <w:szCs w:val="18"/>
              </w:rPr>
            </w:pPr>
          </w:p>
        </w:tc>
        <w:tc>
          <w:tcPr>
            <w:tcW w:w="1276" w:type="dxa"/>
          </w:tcPr>
          <w:p w14:paraId="3C716CB1" w14:textId="3C0E02E9" w:rsidR="003E636B" w:rsidRPr="00987D69" w:rsidRDefault="003E636B" w:rsidP="00DD7247">
            <w:pPr>
              <w:ind w:right="142"/>
              <w:jc w:val="right"/>
              <w:rPr>
                <w:rFonts w:ascii="Calibri" w:hAnsi="Calibri" w:cs="Calibri"/>
                <w:b/>
                <w:color w:val="000000"/>
                <w:sz w:val="18"/>
                <w:szCs w:val="18"/>
              </w:rPr>
            </w:pPr>
            <w:r w:rsidRPr="00987D69">
              <w:rPr>
                <w:rFonts w:ascii="Calibri" w:hAnsi="Calibri" w:cs="Calibri"/>
                <w:color w:val="000000"/>
                <w:sz w:val="18"/>
                <w:szCs w:val="18"/>
              </w:rPr>
              <w:t>Year ended 31/12/2</w:t>
            </w:r>
            <w:r>
              <w:rPr>
                <w:rFonts w:ascii="Calibri" w:hAnsi="Calibri" w:cs="Calibri"/>
                <w:color w:val="000000"/>
                <w:sz w:val="18"/>
                <w:szCs w:val="18"/>
              </w:rPr>
              <w:t>3</w:t>
            </w:r>
            <w:r w:rsidRPr="00987D69">
              <w:rPr>
                <w:rFonts w:ascii="Calibri" w:hAnsi="Calibri" w:cs="Calibri"/>
                <w:color w:val="000000"/>
                <w:sz w:val="18"/>
                <w:szCs w:val="18"/>
              </w:rPr>
              <w:t xml:space="preserve"> </w:t>
            </w:r>
          </w:p>
        </w:tc>
        <w:tc>
          <w:tcPr>
            <w:tcW w:w="1275" w:type="dxa"/>
          </w:tcPr>
          <w:p w14:paraId="07CC2D84" w14:textId="6EACB0C5" w:rsidR="003E636B" w:rsidRPr="00987D69" w:rsidRDefault="003E636B" w:rsidP="00DD7247">
            <w:pPr>
              <w:ind w:right="142"/>
              <w:jc w:val="right"/>
              <w:rPr>
                <w:rFonts w:ascii="Calibri" w:hAnsi="Calibri" w:cs="Calibri"/>
                <w:color w:val="000000"/>
                <w:sz w:val="18"/>
                <w:szCs w:val="18"/>
              </w:rPr>
            </w:pPr>
            <w:r w:rsidRPr="00987D69">
              <w:rPr>
                <w:rFonts w:ascii="Calibri" w:hAnsi="Calibri" w:cs="Calibri"/>
                <w:color w:val="000000"/>
                <w:sz w:val="18"/>
                <w:szCs w:val="18"/>
              </w:rPr>
              <w:t>Year ended 31/12/22 (restated)</w:t>
            </w:r>
          </w:p>
        </w:tc>
      </w:tr>
      <w:tr w:rsidR="003E636B" w:rsidRPr="008901A5" w14:paraId="708A70B6" w14:textId="77777777" w:rsidTr="009A2B5A">
        <w:trPr>
          <w:trHeight w:val="221"/>
        </w:trPr>
        <w:tc>
          <w:tcPr>
            <w:tcW w:w="4678" w:type="dxa"/>
          </w:tcPr>
          <w:p w14:paraId="0651B1C5" w14:textId="77777777" w:rsidR="003E636B" w:rsidRPr="00987D69" w:rsidRDefault="003E636B" w:rsidP="00DD7247">
            <w:pPr>
              <w:ind w:right="142"/>
              <w:jc w:val="both"/>
              <w:rPr>
                <w:rFonts w:ascii="Calibri" w:hAnsi="Calibri" w:cs="Calibri"/>
                <w:color w:val="000000"/>
                <w:sz w:val="18"/>
                <w:szCs w:val="18"/>
              </w:rPr>
            </w:pPr>
          </w:p>
        </w:tc>
        <w:tc>
          <w:tcPr>
            <w:tcW w:w="851" w:type="dxa"/>
          </w:tcPr>
          <w:p w14:paraId="071D9854" w14:textId="77777777" w:rsidR="003E636B" w:rsidRPr="00987D69" w:rsidRDefault="003E636B" w:rsidP="00DD7247">
            <w:pPr>
              <w:ind w:right="142"/>
              <w:jc w:val="right"/>
              <w:rPr>
                <w:rFonts w:ascii="Calibri" w:hAnsi="Calibri" w:cs="Calibri"/>
                <w:b/>
                <w:sz w:val="18"/>
                <w:szCs w:val="18"/>
              </w:rPr>
            </w:pPr>
          </w:p>
        </w:tc>
        <w:tc>
          <w:tcPr>
            <w:tcW w:w="1276" w:type="dxa"/>
          </w:tcPr>
          <w:p w14:paraId="1569861E" w14:textId="77777777" w:rsidR="003E636B" w:rsidRPr="00987D69" w:rsidRDefault="003E636B" w:rsidP="00DD7247">
            <w:pPr>
              <w:ind w:right="142"/>
              <w:jc w:val="right"/>
              <w:rPr>
                <w:rFonts w:ascii="Calibri" w:hAnsi="Calibri" w:cs="Calibri"/>
                <w:color w:val="000000"/>
                <w:sz w:val="18"/>
                <w:szCs w:val="18"/>
              </w:rPr>
            </w:pPr>
            <w:r w:rsidRPr="00987D69">
              <w:rPr>
                <w:rFonts w:ascii="Calibri" w:hAnsi="Calibri" w:cs="Calibri"/>
                <w:b/>
                <w:sz w:val="18"/>
                <w:szCs w:val="18"/>
              </w:rPr>
              <w:t>€000s</w:t>
            </w:r>
          </w:p>
        </w:tc>
        <w:tc>
          <w:tcPr>
            <w:tcW w:w="1275" w:type="dxa"/>
          </w:tcPr>
          <w:p w14:paraId="370AB944" w14:textId="72066B20" w:rsidR="003E636B" w:rsidRPr="00987D69" w:rsidRDefault="003E636B" w:rsidP="00DD7247">
            <w:pPr>
              <w:ind w:right="142"/>
              <w:jc w:val="right"/>
              <w:rPr>
                <w:rFonts w:ascii="Calibri" w:hAnsi="Calibri" w:cs="Calibri"/>
                <w:sz w:val="18"/>
                <w:szCs w:val="18"/>
              </w:rPr>
            </w:pPr>
            <w:r w:rsidRPr="00987D69">
              <w:rPr>
                <w:rFonts w:ascii="Calibri" w:hAnsi="Calibri" w:cs="Calibri"/>
                <w:sz w:val="18"/>
                <w:szCs w:val="18"/>
              </w:rPr>
              <w:t>€000s</w:t>
            </w:r>
          </w:p>
        </w:tc>
      </w:tr>
      <w:tr w:rsidR="003E636B" w:rsidRPr="008901A5" w14:paraId="2BB63A96" w14:textId="77777777" w:rsidTr="009A2B5A">
        <w:trPr>
          <w:trHeight w:val="229"/>
        </w:trPr>
        <w:tc>
          <w:tcPr>
            <w:tcW w:w="4678" w:type="dxa"/>
          </w:tcPr>
          <w:p w14:paraId="0A12E65D" w14:textId="77777777" w:rsidR="003E636B" w:rsidRPr="00987D69" w:rsidRDefault="003E636B" w:rsidP="00DD7247">
            <w:pPr>
              <w:ind w:right="142"/>
              <w:rPr>
                <w:rFonts w:ascii="Calibri" w:hAnsi="Calibri" w:cs="Calibri"/>
                <w:b/>
                <w:color w:val="000000"/>
                <w:sz w:val="18"/>
                <w:szCs w:val="18"/>
              </w:rPr>
            </w:pPr>
            <w:r w:rsidRPr="00987D69">
              <w:rPr>
                <w:rFonts w:ascii="Calibri" w:hAnsi="Calibri" w:cs="Calibri"/>
                <w:b/>
                <w:color w:val="000000"/>
                <w:sz w:val="18"/>
                <w:szCs w:val="18"/>
              </w:rPr>
              <w:t>Loss ratio</w:t>
            </w:r>
          </w:p>
        </w:tc>
        <w:tc>
          <w:tcPr>
            <w:tcW w:w="851" w:type="dxa"/>
          </w:tcPr>
          <w:p w14:paraId="121C3529" w14:textId="77777777" w:rsidR="003E636B" w:rsidRPr="00987D69" w:rsidRDefault="003E636B" w:rsidP="00DD7247">
            <w:pPr>
              <w:ind w:right="142"/>
              <w:jc w:val="both"/>
              <w:rPr>
                <w:rFonts w:ascii="Calibri" w:hAnsi="Calibri" w:cs="Calibri"/>
                <w:color w:val="000000"/>
                <w:sz w:val="18"/>
                <w:szCs w:val="18"/>
              </w:rPr>
            </w:pPr>
          </w:p>
        </w:tc>
        <w:tc>
          <w:tcPr>
            <w:tcW w:w="1276" w:type="dxa"/>
          </w:tcPr>
          <w:p w14:paraId="5F302249" w14:textId="77777777" w:rsidR="003E636B" w:rsidRPr="00987D69" w:rsidRDefault="003E636B" w:rsidP="00DD7247">
            <w:pPr>
              <w:ind w:right="142"/>
              <w:jc w:val="both"/>
              <w:rPr>
                <w:rFonts w:ascii="Calibri" w:hAnsi="Calibri" w:cs="Calibri"/>
                <w:color w:val="000000"/>
                <w:sz w:val="18"/>
                <w:szCs w:val="18"/>
              </w:rPr>
            </w:pPr>
          </w:p>
        </w:tc>
        <w:tc>
          <w:tcPr>
            <w:tcW w:w="1275" w:type="dxa"/>
          </w:tcPr>
          <w:p w14:paraId="031CD5CA" w14:textId="77777777" w:rsidR="003E636B" w:rsidRPr="00987D69" w:rsidRDefault="003E636B" w:rsidP="00DD7247">
            <w:pPr>
              <w:ind w:right="142"/>
              <w:jc w:val="both"/>
              <w:rPr>
                <w:rFonts w:ascii="Calibri" w:hAnsi="Calibri" w:cs="Calibri"/>
                <w:color w:val="000000"/>
                <w:sz w:val="18"/>
                <w:szCs w:val="18"/>
              </w:rPr>
            </w:pPr>
          </w:p>
        </w:tc>
      </w:tr>
      <w:tr w:rsidR="003E636B" w:rsidRPr="00E8476E" w14:paraId="282C2CA3" w14:textId="77777777" w:rsidTr="009A2B5A">
        <w:trPr>
          <w:trHeight w:val="221"/>
        </w:trPr>
        <w:tc>
          <w:tcPr>
            <w:tcW w:w="4678" w:type="dxa"/>
          </w:tcPr>
          <w:p w14:paraId="08F25B2C" w14:textId="77777777" w:rsidR="003E636B" w:rsidRPr="00E8476E" w:rsidRDefault="003E636B" w:rsidP="00DD7247">
            <w:pPr>
              <w:ind w:right="142"/>
              <w:rPr>
                <w:rFonts w:ascii="Calibri" w:hAnsi="Calibri" w:cs="Calibri"/>
                <w:sz w:val="18"/>
                <w:szCs w:val="18"/>
              </w:rPr>
            </w:pPr>
            <w:r w:rsidRPr="00E8476E">
              <w:rPr>
                <w:rFonts w:ascii="Calibri" w:hAnsi="Calibri" w:cs="Calibri"/>
                <w:sz w:val="18"/>
                <w:szCs w:val="18"/>
              </w:rPr>
              <w:t xml:space="preserve">Incurred claims and other expenses </w:t>
            </w:r>
          </w:p>
        </w:tc>
        <w:tc>
          <w:tcPr>
            <w:tcW w:w="851" w:type="dxa"/>
          </w:tcPr>
          <w:p w14:paraId="54A04FD2" w14:textId="254DF9EA" w:rsidR="003E636B" w:rsidRPr="00E8476E" w:rsidRDefault="003E636B" w:rsidP="00DD7247">
            <w:pPr>
              <w:ind w:right="142"/>
              <w:jc w:val="right"/>
              <w:rPr>
                <w:rFonts w:ascii="Calibri" w:hAnsi="Calibri" w:cs="Calibri"/>
                <w:bCs/>
                <w:sz w:val="18"/>
                <w:szCs w:val="18"/>
                <w:lang w:val="en-US"/>
              </w:rPr>
            </w:pPr>
          </w:p>
        </w:tc>
        <w:tc>
          <w:tcPr>
            <w:tcW w:w="1276" w:type="dxa"/>
          </w:tcPr>
          <w:p w14:paraId="252304E8" w14:textId="194A4F40" w:rsidR="003E636B" w:rsidRPr="005B12AE" w:rsidRDefault="00891547" w:rsidP="00DD7247">
            <w:pPr>
              <w:ind w:right="142"/>
              <w:jc w:val="right"/>
              <w:rPr>
                <w:rFonts w:ascii="Calibri" w:hAnsi="Calibri" w:cs="Calibri"/>
                <w:sz w:val="18"/>
                <w:szCs w:val="18"/>
                <w:highlight w:val="yellow"/>
              </w:rPr>
            </w:pPr>
            <w:r w:rsidRPr="005B12AE">
              <w:rPr>
                <w:rFonts w:ascii="Calibri" w:hAnsi="Calibri" w:cs="Calibri"/>
                <w:sz w:val="18"/>
                <w:szCs w:val="18"/>
              </w:rPr>
              <w:t>238,133</w:t>
            </w:r>
          </w:p>
        </w:tc>
        <w:tc>
          <w:tcPr>
            <w:tcW w:w="1275" w:type="dxa"/>
          </w:tcPr>
          <w:p w14:paraId="00C5FB5E" w14:textId="7B48AAAD" w:rsidR="003E636B" w:rsidRPr="00E8476E" w:rsidRDefault="003E636B" w:rsidP="00DD7247">
            <w:pPr>
              <w:ind w:right="142"/>
              <w:jc w:val="right"/>
              <w:rPr>
                <w:rFonts w:ascii="Calibri" w:hAnsi="Calibri" w:cs="Calibri"/>
                <w:sz w:val="18"/>
                <w:szCs w:val="18"/>
              </w:rPr>
            </w:pPr>
            <w:r w:rsidRPr="00E8476E">
              <w:rPr>
                <w:rFonts w:ascii="Calibri" w:hAnsi="Calibri" w:cs="Calibri"/>
                <w:sz w:val="18"/>
                <w:szCs w:val="18"/>
              </w:rPr>
              <w:t>223,807</w:t>
            </w:r>
          </w:p>
        </w:tc>
      </w:tr>
      <w:tr w:rsidR="003E636B" w:rsidRPr="00E8476E" w14:paraId="704D58A0" w14:textId="77777777" w:rsidTr="009A2B5A">
        <w:trPr>
          <w:trHeight w:val="221"/>
        </w:trPr>
        <w:tc>
          <w:tcPr>
            <w:tcW w:w="4678" w:type="dxa"/>
          </w:tcPr>
          <w:p w14:paraId="41B93F88" w14:textId="77777777" w:rsidR="003E636B" w:rsidRPr="00E8476E" w:rsidRDefault="003E636B" w:rsidP="00DD7247">
            <w:pPr>
              <w:ind w:right="142"/>
              <w:rPr>
                <w:rFonts w:ascii="Calibri" w:hAnsi="Calibri" w:cs="Calibri"/>
                <w:sz w:val="18"/>
                <w:szCs w:val="18"/>
              </w:rPr>
            </w:pPr>
            <w:r w:rsidRPr="00E8476E">
              <w:rPr>
                <w:rFonts w:ascii="Calibri" w:hAnsi="Calibri" w:cs="Calibri"/>
                <w:sz w:val="18"/>
                <w:szCs w:val="18"/>
              </w:rPr>
              <w:t>Changes that relate to past service – changes in FCF relating to the LIC</w:t>
            </w:r>
          </w:p>
        </w:tc>
        <w:tc>
          <w:tcPr>
            <w:tcW w:w="851" w:type="dxa"/>
          </w:tcPr>
          <w:p w14:paraId="45501801" w14:textId="3B793A75" w:rsidR="003E636B" w:rsidRPr="00E8476E" w:rsidRDefault="003E636B" w:rsidP="00DD7247">
            <w:pPr>
              <w:ind w:right="142"/>
              <w:jc w:val="right"/>
              <w:rPr>
                <w:rFonts w:ascii="Calibri" w:hAnsi="Calibri" w:cs="Calibri"/>
                <w:bCs/>
                <w:sz w:val="18"/>
                <w:szCs w:val="18"/>
                <w:lang w:val="en-US"/>
              </w:rPr>
            </w:pPr>
          </w:p>
        </w:tc>
        <w:tc>
          <w:tcPr>
            <w:tcW w:w="1276" w:type="dxa"/>
          </w:tcPr>
          <w:p w14:paraId="040F3CCA" w14:textId="77777777" w:rsidR="003E636B" w:rsidRPr="005B12AE" w:rsidRDefault="003E636B" w:rsidP="00DD7247">
            <w:pPr>
              <w:ind w:right="142"/>
              <w:jc w:val="right"/>
              <w:rPr>
                <w:rFonts w:ascii="Calibri" w:hAnsi="Calibri" w:cs="Calibri"/>
                <w:bCs/>
                <w:sz w:val="18"/>
                <w:szCs w:val="18"/>
                <w:highlight w:val="yellow"/>
                <w:lang w:val="en-US"/>
              </w:rPr>
            </w:pPr>
          </w:p>
          <w:p w14:paraId="53CCE486" w14:textId="72316706" w:rsidR="003E636B" w:rsidRPr="005B12AE" w:rsidRDefault="00891547" w:rsidP="00DD7247">
            <w:pPr>
              <w:ind w:right="142"/>
              <w:jc w:val="right"/>
              <w:rPr>
                <w:rFonts w:ascii="Calibri" w:hAnsi="Calibri" w:cs="Calibri"/>
                <w:bCs/>
                <w:sz w:val="18"/>
                <w:szCs w:val="18"/>
                <w:highlight w:val="yellow"/>
                <w:lang w:val="en-US"/>
              </w:rPr>
            </w:pPr>
            <w:r>
              <w:rPr>
                <w:rFonts w:ascii="Calibri" w:hAnsi="Calibri" w:cs="Calibri"/>
                <w:bCs/>
                <w:sz w:val="18"/>
                <w:szCs w:val="18"/>
                <w:lang w:val="en-US"/>
              </w:rPr>
              <w:t>(</w:t>
            </w:r>
            <w:r w:rsidRPr="005B12AE">
              <w:rPr>
                <w:rFonts w:ascii="Calibri" w:hAnsi="Calibri" w:cs="Calibri"/>
                <w:bCs/>
                <w:sz w:val="18"/>
                <w:szCs w:val="18"/>
                <w:lang w:val="en-US"/>
              </w:rPr>
              <w:t>103,990</w:t>
            </w:r>
            <w:r>
              <w:rPr>
                <w:rFonts w:ascii="Calibri" w:hAnsi="Calibri" w:cs="Calibri"/>
                <w:bCs/>
                <w:sz w:val="18"/>
                <w:szCs w:val="18"/>
                <w:lang w:val="en-US"/>
              </w:rPr>
              <w:t>)</w:t>
            </w:r>
          </w:p>
        </w:tc>
        <w:tc>
          <w:tcPr>
            <w:tcW w:w="1275" w:type="dxa"/>
          </w:tcPr>
          <w:p w14:paraId="2DC89906" w14:textId="77777777" w:rsidR="003E636B" w:rsidRPr="00E8476E" w:rsidRDefault="003E636B" w:rsidP="00DD7247">
            <w:pPr>
              <w:ind w:right="142"/>
              <w:jc w:val="right"/>
              <w:rPr>
                <w:rFonts w:ascii="Calibri" w:hAnsi="Calibri" w:cs="Calibri"/>
                <w:sz w:val="18"/>
                <w:szCs w:val="18"/>
              </w:rPr>
            </w:pPr>
          </w:p>
          <w:p w14:paraId="77E6CE47" w14:textId="03A33D7F" w:rsidR="003E636B" w:rsidRPr="00E8476E" w:rsidRDefault="003E636B" w:rsidP="00DD7247">
            <w:pPr>
              <w:ind w:right="142"/>
              <w:jc w:val="right"/>
              <w:rPr>
                <w:rFonts w:ascii="Calibri" w:hAnsi="Calibri" w:cs="Calibri"/>
                <w:sz w:val="18"/>
                <w:szCs w:val="18"/>
              </w:rPr>
            </w:pPr>
            <w:r w:rsidRPr="00E8476E">
              <w:rPr>
                <w:rFonts w:ascii="Calibri" w:hAnsi="Calibri" w:cs="Calibri"/>
                <w:sz w:val="18"/>
                <w:szCs w:val="18"/>
              </w:rPr>
              <w:t>(92,564)</w:t>
            </w:r>
          </w:p>
        </w:tc>
      </w:tr>
      <w:tr w:rsidR="003E636B" w:rsidRPr="00E8476E" w14:paraId="5ED54967" w14:textId="77777777" w:rsidTr="009A2B5A">
        <w:trPr>
          <w:trHeight w:val="221"/>
        </w:trPr>
        <w:tc>
          <w:tcPr>
            <w:tcW w:w="4678" w:type="dxa"/>
          </w:tcPr>
          <w:p w14:paraId="624DD7E0" w14:textId="77777777" w:rsidR="003E636B" w:rsidRPr="00E8476E" w:rsidRDefault="003E636B" w:rsidP="00DD7247">
            <w:pPr>
              <w:ind w:right="142"/>
              <w:rPr>
                <w:rFonts w:ascii="Calibri" w:hAnsi="Calibri" w:cs="Calibri"/>
                <w:sz w:val="18"/>
                <w:szCs w:val="18"/>
              </w:rPr>
            </w:pPr>
            <w:r w:rsidRPr="00E8476E">
              <w:rPr>
                <w:rFonts w:ascii="Calibri" w:hAnsi="Calibri" w:cs="Calibri"/>
                <w:sz w:val="18"/>
                <w:szCs w:val="18"/>
              </w:rPr>
              <w:t>Net expense from reinsurance contracts held</w:t>
            </w:r>
          </w:p>
        </w:tc>
        <w:tc>
          <w:tcPr>
            <w:tcW w:w="851" w:type="dxa"/>
          </w:tcPr>
          <w:p w14:paraId="5F5F9FFD" w14:textId="77777777" w:rsidR="003E636B" w:rsidRPr="00E8476E" w:rsidRDefault="003E636B" w:rsidP="00DD7247">
            <w:pPr>
              <w:ind w:right="142"/>
              <w:jc w:val="right"/>
              <w:rPr>
                <w:rFonts w:ascii="Calibri" w:hAnsi="Calibri" w:cs="Calibri"/>
                <w:bCs/>
                <w:sz w:val="18"/>
                <w:szCs w:val="18"/>
                <w:lang w:val="en-US"/>
              </w:rPr>
            </w:pPr>
          </w:p>
        </w:tc>
        <w:tc>
          <w:tcPr>
            <w:tcW w:w="1276" w:type="dxa"/>
          </w:tcPr>
          <w:p w14:paraId="72899129" w14:textId="5F6BF745" w:rsidR="003E636B" w:rsidRPr="00E8476E" w:rsidRDefault="003E636B" w:rsidP="00DD7247">
            <w:pPr>
              <w:ind w:right="142"/>
              <w:jc w:val="right"/>
              <w:rPr>
                <w:rFonts w:ascii="Calibri" w:hAnsi="Calibri" w:cs="Calibri"/>
                <w:sz w:val="18"/>
                <w:szCs w:val="18"/>
              </w:rPr>
            </w:pPr>
            <w:r>
              <w:rPr>
                <w:rFonts w:ascii="Calibri" w:hAnsi="Calibri" w:cs="Calibri"/>
                <w:sz w:val="18"/>
                <w:szCs w:val="18"/>
              </w:rPr>
              <w:t>64,666</w:t>
            </w:r>
          </w:p>
        </w:tc>
        <w:tc>
          <w:tcPr>
            <w:tcW w:w="1275" w:type="dxa"/>
          </w:tcPr>
          <w:p w14:paraId="301E0AD6" w14:textId="287ADB19" w:rsidR="003E636B" w:rsidRPr="00E8476E" w:rsidRDefault="003E636B" w:rsidP="00DD7247">
            <w:pPr>
              <w:ind w:right="142"/>
              <w:jc w:val="right"/>
              <w:rPr>
                <w:rFonts w:ascii="Calibri" w:hAnsi="Calibri" w:cs="Calibri"/>
                <w:sz w:val="18"/>
                <w:szCs w:val="18"/>
              </w:rPr>
            </w:pPr>
            <w:r w:rsidRPr="00E8476E">
              <w:rPr>
                <w:rFonts w:ascii="Calibri" w:hAnsi="Calibri" w:cs="Calibri"/>
                <w:sz w:val="18"/>
                <w:szCs w:val="18"/>
              </w:rPr>
              <w:t>46,755</w:t>
            </w:r>
          </w:p>
        </w:tc>
      </w:tr>
      <w:tr w:rsidR="003E636B" w:rsidRPr="00E8476E" w14:paraId="20EED36F" w14:textId="77777777" w:rsidTr="009A2B5A">
        <w:trPr>
          <w:trHeight w:val="229"/>
        </w:trPr>
        <w:tc>
          <w:tcPr>
            <w:tcW w:w="4678" w:type="dxa"/>
          </w:tcPr>
          <w:p w14:paraId="376DEBA1" w14:textId="7019679F" w:rsidR="003E636B" w:rsidRPr="00E8476E" w:rsidRDefault="003E636B" w:rsidP="00DD7247">
            <w:pPr>
              <w:ind w:right="142"/>
              <w:rPr>
                <w:rFonts w:ascii="Calibri" w:hAnsi="Calibri" w:cs="Calibri"/>
                <w:sz w:val="18"/>
                <w:szCs w:val="18"/>
              </w:rPr>
            </w:pPr>
            <w:r w:rsidRPr="00E8476E">
              <w:rPr>
                <w:rFonts w:ascii="Calibri" w:hAnsi="Calibri" w:cs="Calibri"/>
                <w:sz w:val="18"/>
                <w:szCs w:val="18"/>
              </w:rPr>
              <w:t xml:space="preserve">Movement in other </w:t>
            </w:r>
            <w:r>
              <w:rPr>
                <w:rFonts w:ascii="Calibri" w:hAnsi="Calibri" w:cs="Calibri"/>
                <w:sz w:val="18"/>
                <w:szCs w:val="18"/>
              </w:rPr>
              <w:t>provisions</w:t>
            </w:r>
            <w:r w:rsidR="00301499" w:rsidRPr="009A2B5A">
              <w:rPr>
                <w:rFonts w:ascii="Calibri" w:hAnsi="Calibri" w:cs="Calibri"/>
                <w:sz w:val="18"/>
                <w:szCs w:val="18"/>
                <w:vertAlign w:val="superscript"/>
              </w:rPr>
              <w:t>1</w:t>
            </w:r>
          </w:p>
        </w:tc>
        <w:tc>
          <w:tcPr>
            <w:tcW w:w="851" w:type="dxa"/>
          </w:tcPr>
          <w:p w14:paraId="0EF558F5" w14:textId="77777777" w:rsidR="003E636B" w:rsidRPr="00E8476E" w:rsidRDefault="003E636B" w:rsidP="00DD7247">
            <w:pPr>
              <w:ind w:right="142"/>
              <w:jc w:val="right"/>
              <w:rPr>
                <w:rFonts w:ascii="Calibri" w:hAnsi="Calibri" w:cs="Calibri"/>
                <w:bCs/>
                <w:sz w:val="18"/>
                <w:szCs w:val="18"/>
                <w:lang w:val="en-US"/>
              </w:rPr>
            </w:pPr>
          </w:p>
        </w:tc>
        <w:tc>
          <w:tcPr>
            <w:tcW w:w="1276" w:type="dxa"/>
            <w:tcBorders>
              <w:bottom w:val="single" w:sz="2" w:space="0" w:color="auto"/>
            </w:tcBorders>
          </w:tcPr>
          <w:p w14:paraId="75625DD5" w14:textId="0F6D2C00" w:rsidR="003E636B" w:rsidRPr="00E8476E" w:rsidRDefault="003E636B" w:rsidP="00DD7247">
            <w:pPr>
              <w:ind w:right="142"/>
              <w:jc w:val="right"/>
              <w:rPr>
                <w:rFonts w:ascii="Calibri" w:hAnsi="Calibri" w:cs="Calibri"/>
                <w:sz w:val="18"/>
                <w:szCs w:val="18"/>
              </w:rPr>
            </w:pPr>
            <w:r>
              <w:rPr>
                <w:rFonts w:ascii="Calibri" w:hAnsi="Calibri" w:cs="Calibri"/>
                <w:sz w:val="18"/>
                <w:szCs w:val="18"/>
              </w:rPr>
              <w:t>1</w:t>
            </w:r>
            <w:r w:rsidR="00297824">
              <w:rPr>
                <w:rFonts w:ascii="Calibri" w:hAnsi="Calibri" w:cs="Calibri"/>
                <w:sz w:val="18"/>
                <w:szCs w:val="18"/>
              </w:rPr>
              <w:t>5</w:t>
            </w:r>
            <w:r>
              <w:rPr>
                <w:rFonts w:ascii="Calibri" w:hAnsi="Calibri" w:cs="Calibri"/>
                <w:sz w:val="18"/>
                <w:szCs w:val="18"/>
              </w:rPr>
              <w:t>,</w:t>
            </w:r>
            <w:r w:rsidR="00297824">
              <w:rPr>
                <w:rFonts w:ascii="Calibri" w:hAnsi="Calibri" w:cs="Calibri"/>
                <w:sz w:val="18"/>
                <w:szCs w:val="18"/>
              </w:rPr>
              <w:t>8</w:t>
            </w:r>
            <w:r>
              <w:rPr>
                <w:rFonts w:ascii="Calibri" w:hAnsi="Calibri" w:cs="Calibri"/>
                <w:sz w:val="18"/>
                <w:szCs w:val="18"/>
              </w:rPr>
              <w:t>31</w:t>
            </w:r>
          </w:p>
        </w:tc>
        <w:tc>
          <w:tcPr>
            <w:tcW w:w="1275" w:type="dxa"/>
            <w:tcBorders>
              <w:bottom w:val="single" w:sz="2" w:space="0" w:color="auto"/>
            </w:tcBorders>
          </w:tcPr>
          <w:p w14:paraId="0C888A42" w14:textId="0C341D23" w:rsidR="003E636B" w:rsidRPr="00E8476E" w:rsidRDefault="003E636B" w:rsidP="00DD7247">
            <w:pPr>
              <w:ind w:right="142"/>
              <w:jc w:val="right"/>
              <w:rPr>
                <w:rFonts w:ascii="Calibri" w:hAnsi="Calibri" w:cs="Calibri"/>
                <w:sz w:val="18"/>
                <w:szCs w:val="18"/>
              </w:rPr>
            </w:pPr>
            <w:r w:rsidRPr="00E8476E">
              <w:rPr>
                <w:rFonts w:ascii="Calibri" w:hAnsi="Calibri" w:cs="Calibri"/>
                <w:sz w:val="18"/>
                <w:szCs w:val="18"/>
              </w:rPr>
              <w:t>8,403</w:t>
            </w:r>
          </w:p>
        </w:tc>
      </w:tr>
      <w:tr w:rsidR="003E636B" w:rsidRPr="00E8476E" w14:paraId="0DDDA9DA" w14:textId="77777777" w:rsidTr="009A2B5A">
        <w:trPr>
          <w:trHeight w:val="229"/>
        </w:trPr>
        <w:tc>
          <w:tcPr>
            <w:tcW w:w="4678" w:type="dxa"/>
          </w:tcPr>
          <w:p w14:paraId="0532093E" w14:textId="77777777" w:rsidR="003E636B" w:rsidRPr="00E8476E" w:rsidRDefault="003E636B" w:rsidP="00DD7247">
            <w:pPr>
              <w:ind w:right="142"/>
              <w:rPr>
                <w:rFonts w:ascii="Calibri" w:hAnsi="Calibri" w:cs="Calibri"/>
                <w:b/>
                <w:sz w:val="18"/>
                <w:szCs w:val="18"/>
              </w:rPr>
            </w:pPr>
            <w:r w:rsidRPr="00E8476E">
              <w:rPr>
                <w:rFonts w:ascii="Calibri" w:hAnsi="Calibri" w:cs="Calibri"/>
                <w:b/>
                <w:sz w:val="18"/>
                <w:szCs w:val="18"/>
              </w:rPr>
              <w:t>Total claims incurred</w:t>
            </w:r>
            <w:r>
              <w:rPr>
                <w:rFonts w:ascii="Calibri" w:hAnsi="Calibri" w:cs="Calibri"/>
                <w:b/>
                <w:sz w:val="18"/>
                <w:szCs w:val="18"/>
              </w:rPr>
              <w:t xml:space="preserve"> and movement in other provisions</w:t>
            </w:r>
          </w:p>
        </w:tc>
        <w:tc>
          <w:tcPr>
            <w:tcW w:w="851" w:type="dxa"/>
          </w:tcPr>
          <w:p w14:paraId="6B9940AD" w14:textId="77777777" w:rsidR="003E636B" w:rsidRPr="00E8476E" w:rsidRDefault="003E636B" w:rsidP="00DD7247">
            <w:pPr>
              <w:ind w:right="142"/>
              <w:jc w:val="right"/>
              <w:rPr>
                <w:rFonts w:ascii="Calibri" w:hAnsi="Calibri" w:cs="Calibri"/>
                <w:b/>
                <w:bCs/>
                <w:sz w:val="18"/>
                <w:szCs w:val="18"/>
                <w:lang w:val="en-US"/>
              </w:rPr>
            </w:pPr>
          </w:p>
        </w:tc>
        <w:tc>
          <w:tcPr>
            <w:tcW w:w="1276" w:type="dxa"/>
            <w:tcBorders>
              <w:top w:val="single" w:sz="2" w:space="0" w:color="auto"/>
            </w:tcBorders>
          </w:tcPr>
          <w:p w14:paraId="77CD8FF5" w14:textId="77777777" w:rsidR="003E636B" w:rsidRDefault="003E636B" w:rsidP="00DD7247">
            <w:pPr>
              <w:ind w:right="142"/>
              <w:jc w:val="right"/>
              <w:rPr>
                <w:rFonts w:ascii="Calibri" w:hAnsi="Calibri" w:cs="Calibri"/>
                <w:b/>
                <w:sz w:val="18"/>
                <w:szCs w:val="18"/>
              </w:rPr>
            </w:pPr>
          </w:p>
          <w:p w14:paraId="1A1A5557" w14:textId="09891617" w:rsidR="003E636B" w:rsidRPr="00E8476E" w:rsidRDefault="00891547" w:rsidP="00DD7247">
            <w:pPr>
              <w:ind w:right="142"/>
              <w:jc w:val="right"/>
              <w:rPr>
                <w:rFonts w:ascii="Calibri" w:hAnsi="Calibri" w:cs="Calibri"/>
                <w:b/>
                <w:sz w:val="18"/>
                <w:szCs w:val="18"/>
              </w:rPr>
            </w:pPr>
            <w:r>
              <w:rPr>
                <w:rFonts w:ascii="Calibri" w:hAnsi="Calibri" w:cs="Calibri"/>
                <w:b/>
                <w:sz w:val="18"/>
                <w:szCs w:val="18"/>
              </w:rPr>
              <w:t>21</w:t>
            </w:r>
            <w:r w:rsidR="00297824">
              <w:rPr>
                <w:rFonts w:ascii="Calibri" w:hAnsi="Calibri" w:cs="Calibri"/>
                <w:b/>
                <w:sz w:val="18"/>
                <w:szCs w:val="18"/>
              </w:rPr>
              <w:t>4,6</w:t>
            </w:r>
            <w:r w:rsidR="00E32F3C">
              <w:rPr>
                <w:rFonts w:ascii="Calibri" w:hAnsi="Calibri" w:cs="Calibri"/>
                <w:b/>
                <w:sz w:val="18"/>
                <w:szCs w:val="18"/>
              </w:rPr>
              <w:t>40</w:t>
            </w:r>
          </w:p>
        </w:tc>
        <w:tc>
          <w:tcPr>
            <w:tcW w:w="1275" w:type="dxa"/>
            <w:tcBorders>
              <w:top w:val="single" w:sz="2" w:space="0" w:color="auto"/>
            </w:tcBorders>
          </w:tcPr>
          <w:p w14:paraId="464E6D07" w14:textId="77777777" w:rsidR="003E636B" w:rsidRDefault="003E636B" w:rsidP="00DD7247">
            <w:pPr>
              <w:ind w:right="142"/>
              <w:jc w:val="right"/>
              <w:rPr>
                <w:rFonts w:ascii="Calibri" w:hAnsi="Calibri" w:cs="Calibri"/>
                <w:b/>
                <w:sz w:val="18"/>
                <w:szCs w:val="18"/>
              </w:rPr>
            </w:pPr>
          </w:p>
          <w:p w14:paraId="684C2361" w14:textId="49B990EA" w:rsidR="003E636B" w:rsidRDefault="003E636B" w:rsidP="00DD7247">
            <w:pPr>
              <w:ind w:right="142"/>
              <w:jc w:val="right"/>
              <w:rPr>
                <w:rFonts w:ascii="Calibri" w:hAnsi="Calibri" w:cs="Calibri"/>
                <w:b/>
                <w:sz w:val="18"/>
                <w:szCs w:val="18"/>
              </w:rPr>
            </w:pPr>
            <w:r w:rsidRPr="00E8476E">
              <w:rPr>
                <w:rFonts w:ascii="Calibri" w:hAnsi="Calibri" w:cs="Calibri"/>
                <w:b/>
                <w:sz w:val="18"/>
                <w:szCs w:val="18"/>
              </w:rPr>
              <w:t>186,401</w:t>
            </w:r>
          </w:p>
        </w:tc>
      </w:tr>
      <w:tr w:rsidR="003E636B" w:rsidRPr="00E8476E" w14:paraId="630DA5BB" w14:textId="77777777" w:rsidTr="009A2B5A">
        <w:trPr>
          <w:trHeight w:val="229"/>
        </w:trPr>
        <w:tc>
          <w:tcPr>
            <w:tcW w:w="4678" w:type="dxa"/>
          </w:tcPr>
          <w:p w14:paraId="0BC9B729" w14:textId="77777777" w:rsidR="003E636B" w:rsidRPr="00E8476E" w:rsidRDefault="003E636B" w:rsidP="00DD7247">
            <w:pPr>
              <w:ind w:right="142"/>
              <w:rPr>
                <w:rFonts w:ascii="Calibri" w:hAnsi="Calibri" w:cs="Calibri"/>
                <w:sz w:val="18"/>
                <w:szCs w:val="18"/>
              </w:rPr>
            </w:pPr>
          </w:p>
        </w:tc>
        <w:tc>
          <w:tcPr>
            <w:tcW w:w="851" w:type="dxa"/>
          </w:tcPr>
          <w:p w14:paraId="548464C1" w14:textId="77777777" w:rsidR="003E636B" w:rsidRPr="00E8476E" w:rsidRDefault="003E636B" w:rsidP="00DD7247">
            <w:pPr>
              <w:ind w:right="142"/>
              <w:jc w:val="both"/>
              <w:rPr>
                <w:rFonts w:ascii="Calibri" w:hAnsi="Calibri" w:cs="Calibri"/>
                <w:sz w:val="18"/>
                <w:szCs w:val="18"/>
              </w:rPr>
            </w:pPr>
          </w:p>
        </w:tc>
        <w:tc>
          <w:tcPr>
            <w:tcW w:w="1276" w:type="dxa"/>
          </w:tcPr>
          <w:p w14:paraId="761A172D" w14:textId="77777777" w:rsidR="003E636B" w:rsidRPr="00E8476E" w:rsidRDefault="003E636B" w:rsidP="00DD7247">
            <w:pPr>
              <w:ind w:right="142"/>
              <w:jc w:val="both"/>
              <w:rPr>
                <w:rFonts w:ascii="Calibri" w:hAnsi="Calibri" w:cs="Calibri"/>
                <w:sz w:val="18"/>
                <w:szCs w:val="18"/>
              </w:rPr>
            </w:pPr>
          </w:p>
        </w:tc>
        <w:tc>
          <w:tcPr>
            <w:tcW w:w="1275" w:type="dxa"/>
          </w:tcPr>
          <w:p w14:paraId="3E10A362" w14:textId="77777777" w:rsidR="003E636B" w:rsidRPr="00E8476E" w:rsidRDefault="003E636B" w:rsidP="00DD7247">
            <w:pPr>
              <w:ind w:right="142"/>
              <w:jc w:val="right"/>
              <w:rPr>
                <w:rFonts w:ascii="Calibri" w:hAnsi="Calibri" w:cs="Calibri"/>
                <w:sz w:val="18"/>
                <w:szCs w:val="18"/>
              </w:rPr>
            </w:pPr>
          </w:p>
        </w:tc>
      </w:tr>
      <w:tr w:rsidR="003E636B" w:rsidRPr="00E8476E" w14:paraId="607F7872" w14:textId="77777777" w:rsidTr="009A2B5A">
        <w:trPr>
          <w:trHeight w:val="221"/>
        </w:trPr>
        <w:tc>
          <w:tcPr>
            <w:tcW w:w="4678" w:type="dxa"/>
          </w:tcPr>
          <w:p w14:paraId="1D9BF424" w14:textId="77777777" w:rsidR="003E636B" w:rsidRPr="00E8476E" w:rsidRDefault="003E636B" w:rsidP="00DD7247">
            <w:pPr>
              <w:ind w:right="142"/>
              <w:rPr>
                <w:rFonts w:ascii="Calibri" w:hAnsi="Calibri" w:cs="Calibri"/>
                <w:sz w:val="18"/>
                <w:szCs w:val="18"/>
              </w:rPr>
            </w:pPr>
            <w:r w:rsidRPr="00E8476E">
              <w:rPr>
                <w:rFonts w:ascii="Calibri" w:hAnsi="Calibri" w:cs="Calibri"/>
                <w:sz w:val="18"/>
                <w:szCs w:val="18"/>
              </w:rPr>
              <w:t>Insurance revenue</w:t>
            </w:r>
          </w:p>
        </w:tc>
        <w:tc>
          <w:tcPr>
            <w:tcW w:w="851" w:type="dxa"/>
          </w:tcPr>
          <w:p w14:paraId="02F1D090" w14:textId="77777777" w:rsidR="003E636B" w:rsidRPr="00E8476E" w:rsidRDefault="003E636B" w:rsidP="00DD7247">
            <w:pPr>
              <w:ind w:right="142"/>
              <w:jc w:val="right"/>
              <w:rPr>
                <w:rFonts w:ascii="Calibri" w:hAnsi="Calibri" w:cs="Calibri"/>
                <w:bCs/>
                <w:sz w:val="18"/>
                <w:szCs w:val="18"/>
                <w:lang w:val="en-US"/>
              </w:rPr>
            </w:pPr>
          </w:p>
        </w:tc>
        <w:tc>
          <w:tcPr>
            <w:tcW w:w="1276" w:type="dxa"/>
            <w:tcBorders>
              <w:bottom w:val="single" w:sz="4" w:space="0" w:color="auto"/>
            </w:tcBorders>
          </w:tcPr>
          <w:p w14:paraId="11DAE2BB" w14:textId="1428A1FE" w:rsidR="003E636B" w:rsidRPr="00E8476E" w:rsidRDefault="003E636B" w:rsidP="00DD7247">
            <w:pPr>
              <w:ind w:right="142"/>
              <w:jc w:val="right"/>
              <w:rPr>
                <w:rFonts w:ascii="Calibri" w:hAnsi="Calibri" w:cs="Calibri"/>
                <w:sz w:val="18"/>
                <w:szCs w:val="18"/>
              </w:rPr>
            </w:pPr>
            <w:r>
              <w:rPr>
                <w:rFonts w:ascii="Calibri" w:hAnsi="Calibri" w:cs="Calibri"/>
                <w:sz w:val="18"/>
                <w:szCs w:val="18"/>
              </w:rPr>
              <w:t>401,026</w:t>
            </w:r>
          </w:p>
        </w:tc>
        <w:tc>
          <w:tcPr>
            <w:tcW w:w="1275" w:type="dxa"/>
            <w:tcBorders>
              <w:bottom w:val="single" w:sz="4" w:space="0" w:color="auto"/>
            </w:tcBorders>
          </w:tcPr>
          <w:p w14:paraId="2993CF78" w14:textId="6EF94602" w:rsidR="003E636B" w:rsidRPr="00E8476E" w:rsidRDefault="003E636B" w:rsidP="00DD7247">
            <w:pPr>
              <w:ind w:right="142"/>
              <w:jc w:val="right"/>
              <w:rPr>
                <w:rFonts w:ascii="Calibri" w:hAnsi="Calibri" w:cs="Calibri"/>
                <w:sz w:val="18"/>
                <w:szCs w:val="18"/>
              </w:rPr>
            </w:pPr>
            <w:r w:rsidRPr="00E8476E">
              <w:rPr>
                <w:rFonts w:ascii="Calibri" w:hAnsi="Calibri" w:cs="Calibri"/>
                <w:sz w:val="18"/>
                <w:szCs w:val="18"/>
              </w:rPr>
              <w:t>379,697</w:t>
            </w:r>
          </w:p>
        </w:tc>
      </w:tr>
      <w:tr w:rsidR="003E636B" w:rsidRPr="00E8476E" w14:paraId="64717EFB" w14:textId="77777777" w:rsidTr="009A2B5A">
        <w:trPr>
          <w:trHeight w:val="116"/>
        </w:trPr>
        <w:tc>
          <w:tcPr>
            <w:tcW w:w="4678" w:type="dxa"/>
          </w:tcPr>
          <w:p w14:paraId="153C90EC" w14:textId="77777777" w:rsidR="003E636B" w:rsidRPr="00E8476E" w:rsidRDefault="003E636B" w:rsidP="00DD7247">
            <w:pPr>
              <w:ind w:right="142"/>
              <w:rPr>
                <w:rFonts w:ascii="Calibri" w:hAnsi="Calibri" w:cs="Calibri"/>
                <w:sz w:val="18"/>
                <w:szCs w:val="18"/>
              </w:rPr>
            </w:pPr>
          </w:p>
        </w:tc>
        <w:tc>
          <w:tcPr>
            <w:tcW w:w="851" w:type="dxa"/>
          </w:tcPr>
          <w:p w14:paraId="4F90699A" w14:textId="77777777" w:rsidR="003E636B" w:rsidRPr="00E8476E" w:rsidRDefault="003E636B" w:rsidP="00DD7247">
            <w:pPr>
              <w:ind w:right="142"/>
              <w:jc w:val="right"/>
              <w:rPr>
                <w:rFonts w:ascii="Calibri" w:hAnsi="Calibri" w:cs="Calibri"/>
                <w:sz w:val="18"/>
                <w:szCs w:val="18"/>
              </w:rPr>
            </w:pPr>
          </w:p>
        </w:tc>
        <w:tc>
          <w:tcPr>
            <w:tcW w:w="1276" w:type="dxa"/>
            <w:tcBorders>
              <w:top w:val="single" w:sz="4" w:space="0" w:color="auto"/>
            </w:tcBorders>
          </w:tcPr>
          <w:p w14:paraId="723017CD" w14:textId="77777777" w:rsidR="003E636B" w:rsidRPr="00E8476E" w:rsidRDefault="003E636B" w:rsidP="00DD7247">
            <w:pPr>
              <w:ind w:right="142"/>
              <w:jc w:val="right"/>
              <w:rPr>
                <w:rFonts w:ascii="Calibri" w:hAnsi="Calibri" w:cs="Calibri"/>
                <w:sz w:val="18"/>
                <w:szCs w:val="18"/>
              </w:rPr>
            </w:pPr>
          </w:p>
        </w:tc>
        <w:tc>
          <w:tcPr>
            <w:tcW w:w="1275" w:type="dxa"/>
            <w:tcBorders>
              <w:top w:val="single" w:sz="4" w:space="0" w:color="auto"/>
            </w:tcBorders>
          </w:tcPr>
          <w:p w14:paraId="3A688EB1" w14:textId="77777777" w:rsidR="003E636B" w:rsidRPr="00E8476E" w:rsidRDefault="003E636B" w:rsidP="00DD7247">
            <w:pPr>
              <w:ind w:right="142"/>
              <w:jc w:val="right"/>
              <w:rPr>
                <w:rFonts w:ascii="Calibri" w:hAnsi="Calibri" w:cs="Calibri"/>
                <w:sz w:val="18"/>
                <w:szCs w:val="18"/>
              </w:rPr>
            </w:pPr>
          </w:p>
        </w:tc>
      </w:tr>
      <w:tr w:rsidR="003E636B" w:rsidRPr="00E8476E" w14:paraId="4C5B0EB0" w14:textId="77777777" w:rsidTr="009A2B5A">
        <w:trPr>
          <w:trHeight w:val="229"/>
        </w:trPr>
        <w:tc>
          <w:tcPr>
            <w:tcW w:w="4678" w:type="dxa"/>
          </w:tcPr>
          <w:p w14:paraId="71214B68" w14:textId="77777777" w:rsidR="003E636B" w:rsidRPr="00E8476E" w:rsidRDefault="003E636B" w:rsidP="00DD7247">
            <w:pPr>
              <w:ind w:right="142"/>
              <w:rPr>
                <w:rFonts w:ascii="Calibri" w:hAnsi="Calibri" w:cs="Calibri"/>
                <w:b/>
                <w:sz w:val="18"/>
                <w:szCs w:val="18"/>
              </w:rPr>
            </w:pPr>
            <w:r w:rsidRPr="00E8476E">
              <w:rPr>
                <w:rFonts w:ascii="Calibri" w:hAnsi="Calibri" w:cs="Calibri"/>
                <w:b/>
                <w:sz w:val="18"/>
                <w:szCs w:val="18"/>
              </w:rPr>
              <w:t>Loss ratio (Total claims incurred</w:t>
            </w:r>
            <w:r>
              <w:rPr>
                <w:rFonts w:ascii="Calibri" w:hAnsi="Calibri" w:cs="Calibri"/>
                <w:b/>
                <w:sz w:val="18"/>
                <w:szCs w:val="18"/>
              </w:rPr>
              <w:t xml:space="preserve"> and movement in other provisions</w:t>
            </w:r>
            <w:r w:rsidRPr="00E8476E">
              <w:rPr>
                <w:rFonts w:ascii="Calibri" w:hAnsi="Calibri" w:cs="Calibri"/>
                <w:b/>
                <w:sz w:val="18"/>
                <w:szCs w:val="18"/>
              </w:rPr>
              <w:t>/Insurance revenue)</w:t>
            </w:r>
          </w:p>
        </w:tc>
        <w:tc>
          <w:tcPr>
            <w:tcW w:w="851" w:type="dxa"/>
          </w:tcPr>
          <w:p w14:paraId="2556C806" w14:textId="77777777" w:rsidR="003E636B" w:rsidRPr="00E8476E" w:rsidRDefault="003E636B" w:rsidP="00DD7247">
            <w:pPr>
              <w:ind w:right="142"/>
              <w:jc w:val="right"/>
              <w:rPr>
                <w:rFonts w:ascii="Calibri" w:hAnsi="Calibri" w:cs="Calibri"/>
                <w:b/>
                <w:bCs/>
                <w:sz w:val="18"/>
                <w:szCs w:val="18"/>
                <w:lang w:val="en-US"/>
              </w:rPr>
            </w:pPr>
          </w:p>
        </w:tc>
        <w:tc>
          <w:tcPr>
            <w:tcW w:w="1276" w:type="dxa"/>
            <w:tcBorders>
              <w:bottom w:val="single" w:sz="8" w:space="0" w:color="auto"/>
            </w:tcBorders>
          </w:tcPr>
          <w:p w14:paraId="0D444FBF" w14:textId="77777777" w:rsidR="003E636B" w:rsidRDefault="003E636B" w:rsidP="00DD7247">
            <w:pPr>
              <w:ind w:right="142"/>
              <w:jc w:val="right"/>
              <w:rPr>
                <w:rFonts w:ascii="Calibri" w:hAnsi="Calibri" w:cs="Calibri"/>
                <w:b/>
                <w:bCs/>
                <w:sz w:val="18"/>
                <w:szCs w:val="18"/>
                <w:lang w:val="en-US"/>
              </w:rPr>
            </w:pPr>
          </w:p>
          <w:p w14:paraId="10B40365" w14:textId="3E46DF9D" w:rsidR="003E636B" w:rsidRPr="00E8476E" w:rsidRDefault="003E636B" w:rsidP="00DD7247">
            <w:pPr>
              <w:ind w:right="142"/>
              <w:jc w:val="right"/>
              <w:rPr>
                <w:rFonts w:ascii="Calibri" w:hAnsi="Calibri" w:cs="Calibri"/>
                <w:b/>
                <w:sz w:val="18"/>
                <w:szCs w:val="18"/>
              </w:rPr>
            </w:pPr>
            <w:r>
              <w:rPr>
                <w:rFonts w:ascii="Calibri" w:hAnsi="Calibri" w:cs="Calibri"/>
                <w:b/>
                <w:bCs/>
                <w:sz w:val="18"/>
                <w:szCs w:val="18"/>
                <w:lang w:val="en-US"/>
              </w:rPr>
              <w:t>53.5</w:t>
            </w:r>
            <w:r w:rsidRPr="00E8476E">
              <w:rPr>
                <w:rFonts w:ascii="Calibri" w:hAnsi="Calibri" w:cs="Calibri"/>
                <w:b/>
                <w:bCs/>
                <w:sz w:val="18"/>
                <w:szCs w:val="18"/>
                <w:lang w:val="en-US"/>
              </w:rPr>
              <w:t>%</w:t>
            </w:r>
          </w:p>
        </w:tc>
        <w:tc>
          <w:tcPr>
            <w:tcW w:w="1275" w:type="dxa"/>
            <w:tcBorders>
              <w:bottom w:val="single" w:sz="8" w:space="0" w:color="auto"/>
            </w:tcBorders>
          </w:tcPr>
          <w:p w14:paraId="6BFFB53B" w14:textId="77777777" w:rsidR="003E636B" w:rsidRDefault="003E636B" w:rsidP="00DD7247">
            <w:pPr>
              <w:ind w:right="142"/>
              <w:jc w:val="right"/>
              <w:rPr>
                <w:rFonts w:ascii="Calibri" w:hAnsi="Calibri" w:cs="Calibri"/>
                <w:b/>
                <w:sz w:val="18"/>
                <w:szCs w:val="18"/>
              </w:rPr>
            </w:pPr>
          </w:p>
          <w:p w14:paraId="501D4E48" w14:textId="4BD89809" w:rsidR="003E636B" w:rsidRDefault="003E636B" w:rsidP="00DD7247">
            <w:pPr>
              <w:ind w:right="142"/>
              <w:jc w:val="right"/>
              <w:rPr>
                <w:rFonts w:ascii="Calibri" w:hAnsi="Calibri" w:cs="Calibri"/>
                <w:b/>
                <w:sz w:val="18"/>
                <w:szCs w:val="18"/>
              </w:rPr>
            </w:pPr>
            <w:r w:rsidRPr="00E8476E">
              <w:rPr>
                <w:rFonts w:ascii="Calibri" w:hAnsi="Calibri" w:cs="Calibri"/>
                <w:b/>
                <w:sz w:val="18"/>
                <w:szCs w:val="18"/>
              </w:rPr>
              <w:t>49.1%</w:t>
            </w:r>
          </w:p>
        </w:tc>
      </w:tr>
      <w:tr w:rsidR="005B7E84" w:rsidRPr="002972F1" w14:paraId="0B3B3B8D" w14:textId="77777777" w:rsidTr="009A2B5A">
        <w:trPr>
          <w:trHeight w:val="221"/>
        </w:trPr>
        <w:tc>
          <w:tcPr>
            <w:tcW w:w="6805" w:type="dxa"/>
            <w:gridSpan w:val="3"/>
          </w:tcPr>
          <w:p w14:paraId="2D2AE654" w14:textId="77777777" w:rsidR="005B7E84" w:rsidRPr="002972F1" w:rsidRDefault="005B7E84" w:rsidP="00DD7247">
            <w:pPr>
              <w:ind w:right="142"/>
              <w:rPr>
                <w:rFonts w:ascii="Calibri" w:hAnsi="Calibri" w:cs="Calibri"/>
                <w:sz w:val="16"/>
                <w:szCs w:val="16"/>
              </w:rPr>
            </w:pPr>
          </w:p>
          <w:p w14:paraId="1BC6C3DD" w14:textId="77777777" w:rsidR="005B7E84" w:rsidRDefault="005B7E84" w:rsidP="00DD7247">
            <w:pPr>
              <w:ind w:right="142"/>
              <w:jc w:val="both"/>
              <w:rPr>
                <w:rFonts w:ascii="Calibri" w:hAnsi="Calibri" w:cs="Calibri"/>
                <w:color w:val="000000"/>
                <w:sz w:val="16"/>
                <w:szCs w:val="16"/>
              </w:rPr>
            </w:pPr>
            <w:r w:rsidRPr="002972F1">
              <w:rPr>
                <w:rFonts w:ascii="Calibri" w:hAnsi="Calibri" w:cs="Calibri"/>
                <w:color w:val="000000"/>
                <w:sz w:val="16"/>
                <w:szCs w:val="16"/>
              </w:rPr>
              <w:t xml:space="preserve">  </w:t>
            </w:r>
            <w:r w:rsidR="00301499" w:rsidRPr="009A2B5A">
              <w:rPr>
                <w:rFonts w:ascii="Calibri" w:hAnsi="Calibri" w:cs="Calibri"/>
                <w:sz w:val="18"/>
                <w:szCs w:val="18"/>
                <w:vertAlign w:val="superscript"/>
              </w:rPr>
              <w:t>1</w:t>
            </w:r>
            <w:r w:rsidRPr="002972F1">
              <w:rPr>
                <w:rFonts w:ascii="Calibri" w:hAnsi="Calibri" w:cs="Calibri"/>
                <w:color w:val="000000"/>
                <w:sz w:val="16"/>
                <w:szCs w:val="16"/>
              </w:rPr>
              <w:t>ESG initiative</w:t>
            </w:r>
            <w:r w:rsidR="00A5626B">
              <w:rPr>
                <w:rFonts w:ascii="Calibri" w:hAnsi="Calibri" w:cs="Calibri"/>
                <w:color w:val="000000"/>
                <w:sz w:val="16"/>
                <w:szCs w:val="16"/>
              </w:rPr>
              <w:t xml:space="preserve"> of €2.5m</w:t>
            </w:r>
            <w:r w:rsidRPr="002972F1">
              <w:rPr>
                <w:rFonts w:ascii="Calibri" w:hAnsi="Calibri" w:cs="Calibri"/>
                <w:color w:val="000000"/>
                <w:sz w:val="16"/>
                <w:szCs w:val="16"/>
              </w:rPr>
              <w:t xml:space="preserve"> has been excluded as not insurance </w:t>
            </w:r>
            <w:proofErr w:type="gramStart"/>
            <w:r w:rsidRPr="002972F1">
              <w:rPr>
                <w:rFonts w:ascii="Calibri" w:hAnsi="Calibri" w:cs="Calibri"/>
                <w:color w:val="000000"/>
                <w:sz w:val="16"/>
                <w:szCs w:val="16"/>
              </w:rPr>
              <w:t>related</w:t>
            </w:r>
            <w:proofErr w:type="gramEnd"/>
          </w:p>
          <w:p w14:paraId="51727644" w14:textId="77777777" w:rsidR="0067083E" w:rsidRDefault="0067083E" w:rsidP="00DD7247">
            <w:pPr>
              <w:ind w:right="142"/>
              <w:jc w:val="both"/>
              <w:rPr>
                <w:rFonts w:ascii="Calibri" w:hAnsi="Calibri" w:cs="Calibri"/>
                <w:sz w:val="16"/>
                <w:szCs w:val="16"/>
              </w:rPr>
            </w:pPr>
          </w:p>
          <w:p w14:paraId="7D104D15" w14:textId="5EC89E6C" w:rsidR="0067083E" w:rsidRPr="002972F1" w:rsidRDefault="0067083E" w:rsidP="00DD7247">
            <w:pPr>
              <w:ind w:right="142"/>
              <w:jc w:val="both"/>
              <w:rPr>
                <w:rFonts w:ascii="Calibri" w:hAnsi="Calibri" w:cs="Calibri"/>
                <w:sz w:val="16"/>
                <w:szCs w:val="16"/>
              </w:rPr>
            </w:pPr>
          </w:p>
        </w:tc>
        <w:tc>
          <w:tcPr>
            <w:tcW w:w="1275" w:type="dxa"/>
            <w:tcBorders>
              <w:top w:val="single" w:sz="8" w:space="0" w:color="auto"/>
            </w:tcBorders>
          </w:tcPr>
          <w:p w14:paraId="248BAE92" w14:textId="77777777" w:rsidR="005B7E84" w:rsidRDefault="005B7E84" w:rsidP="00DD7247">
            <w:pPr>
              <w:ind w:right="142"/>
              <w:jc w:val="right"/>
              <w:rPr>
                <w:rFonts w:ascii="Calibri" w:hAnsi="Calibri" w:cs="Calibri"/>
                <w:sz w:val="16"/>
                <w:szCs w:val="16"/>
              </w:rPr>
            </w:pPr>
          </w:p>
          <w:p w14:paraId="3E869F2D" w14:textId="77777777" w:rsidR="0067083E" w:rsidRDefault="0067083E" w:rsidP="00DD7247">
            <w:pPr>
              <w:ind w:right="142"/>
              <w:jc w:val="right"/>
              <w:rPr>
                <w:rFonts w:ascii="Calibri" w:hAnsi="Calibri" w:cs="Calibri"/>
                <w:sz w:val="16"/>
                <w:szCs w:val="16"/>
              </w:rPr>
            </w:pPr>
          </w:p>
          <w:p w14:paraId="6A394006" w14:textId="77777777" w:rsidR="0067083E" w:rsidRDefault="0067083E" w:rsidP="00DD7247">
            <w:pPr>
              <w:ind w:right="142"/>
              <w:jc w:val="right"/>
              <w:rPr>
                <w:rFonts w:ascii="Calibri" w:hAnsi="Calibri" w:cs="Calibri"/>
                <w:sz w:val="16"/>
                <w:szCs w:val="16"/>
              </w:rPr>
            </w:pPr>
          </w:p>
          <w:p w14:paraId="4391E949" w14:textId="77777777" w:rsidR="0067083E" w:rsidRDefault="0067083E" w:rsidP="00DD7247">
            <w:pPr>
              <w:ind w:right="142"/>
              <w:jc w:val="right"/>
              <w:rPr>
                <w:rFonts w:ascii="Calibri" w:hAnsi="Calibri" w:cs="Calibri"/>
                <w:sz w:val="16"/>
                <w:szCs w:val="16"/>
              </w:rPr>
            </w:pPr>
          </w:p>
          <w:p w14:paraId="16717833" w14:textId="77777777" w:rsidR="0067083E" w:rsidRDefault="0067083E" w:rsidP="00DD7247">
            <w:pPr>
              <w:ind w:right="142"/>
              <w:jc w:val="right"/>
              <w:rPr>
                <w:rFonts w:ascii="Calibri" w:hAnsi="Calibri" w:cs="Calibri"/>
                <w:sz w:val="16"/>
                <w:szCs w:val="16"/>
              </w:rPr>
            </w:pPr>
          </w:p>
          <w:p w14:paraId="09F82BB4" w14:textId="77777777" w:rsidR="0067083E" w:rsidRDefault="0067083E" w:rsidP="00DD7247">
            <w:pPr>
              <w:ind w:right="142"/>
              <w:jc w:val="right"/>
              <w:rPr>
                <w:rFonts w:ascii="Calibri" w:hAnsi="Calibri" w:cs="Calibri"/>
                <w:sz w:val="16"/>
                <w:szCs w:val="16"/>
              </w:rPr>
            </w:pPr>
          </w:p>
          <w:p w14:paraId="77255E00" w14:textId="77777777" w:rsidR="0067083E" w:rsidRDefault="0067083E" w:rsidP="00DD7247">
            <w:pPr>
              <w:ind w:right="142"/>
              <w:jc w:val="right"/>
              <w:rPr>
                <w:rFonts w:ascii="Calibri" w:hAnsi="Calibri" w:cs="Calibri"/>
                <w:sz w:val="16"/>
                <w:szCs w:val="16"/>
              </w:rPr>
            </w:pPr>
          </w:p>
          <w:p w14:paraId="6BBBA898" w14:textId="77777777" w:rsidR="0067083E" w:rsidRDefault="0067083E" w:rsidP="00DD7247">
            <w:pPr>
              <w:ind w:right="142"/>
              <w:jc w:val="right"/>
              <w:rPr>
                <w:rFonts w:ascii="Calibri" w:hAnsi="Calibri" w:cs="Calibri"/>
                <w:sz w:val="16"/>
                <w:szCs w:val="16"/>
              </w:rPr>
            </w:pPr>
          </w:p>
          <w:p w14:paraId="1C8D47C3" w14:textId="77777777" w:rsidR="0067083E" w:rsidRDefault="0067083E" w:rsidP="00DD7247">
            <w:pPr>
              <w:ind w:right="142"/>
              <w:jc w:val="right"/>
              <w:rPr>
                <w:rFonts w:ascii="Calibri" w:hAnsi="Calibri" w:cs="Calibri"/>
                <w:sz w:val="16"/>
                <w:szCs w:val="16"/>
              </w:rPr>
            </w:pPr>
          </w:p>
          <w:p w14:paraId="341FD471" w14:textId="2391699C" w:rsidR="0067083E" w:rsidRPr="002972F1" w:rsidRDefault="0067083E" w:rsidP="00DD7247">
            <w:pPr>
              <w:ind w:right="142"/>
              <w:jc w:val="right"/>
              <w:rPr>
                <w:rFonts w:ascii="Calibri" w:hAnsi="Calibri" w:cs="Calibri"/>
                <w:sz w:val="16"/>
                <w:szCs w:val="16"/>
              </w:rPr>
            </w:pPr>
          </w:p>
        </w:tc>
      </w:tr>
      <w:tr w:rsidR="005B7E84" w:rsidRPr="008901A5" w14:paraId="2F80D958" w14:textId="77777777" w:rsidTr="009A2B5A">
        <w:trPr>
          <w:trHeight w:val="229"/>
        </w:trPr>
        <w:tc>
          <w:tcPr>
            <w:tcW w:w="4678" w:type="dxa"/>
          </w:tcPr>
          <w:p w14:paraId="5865E055" w14:textId="77777777" w:rsidR="0067083E" w:rsidRDefault="0067083E" w:rsidP="00957C52">
            <w:pPr>
              <w:ind w:right="142"/>
              <w:jc w:val="both"/>
              <w:rPr>
                <w:rFonts w:ascii="Calibri" w:hAnsi="Calibri" w:cs="Calibri"/>
                <w:color w:val="000000"/>
                <w:sz w:val="18"/>
                <w:szCs w:val="18"/>
              </w:rPr>
            </w:pPr>
          </w:p>
          <w:p w14:paraId="383FFCE8" w14:textId="77777777" w:rsidR="0067083E" w:rsidRDefault="0067083E" w:rsidP="00957C52">
            <w:pPr>
              <w:ind w:right="142"/>
              <w:jc w:val="both"/>
              <w:rPr>
                <w:rFonts w:ascii="Calibri" w:hAnsi="Calibri" w:cs="Calibri"/>
                <w:color w:val="000000"/>
                <w:sz w:val="18"/>
                <w:szCs w:val="18"/>
              </w:rPr>
            </w:pPr>
          </w:p>
          <w:p w14:paraId="0C5BD91F" w14:textId="77777777" w:rsidR="00EB3937" w:rsidRPr="00987D69" w:rsidRDefault="00EB3937" w:rsidP="00957C52">
            <w:pPr>
              <w:ind w:right="142"/>
              <w:jc w:val="both"/>
              <w:rPr>
                <w:rFonts w:ascii="Calibri" w:hAnsi="Calibri" w:cs="Calibri"/>
                <w:color w:val="000000"/>
                <w:sz w:val="18"/>
                <w:szCs w:val="18"/>
              </w:rPr>
            </w:pPr>
          </w:p>
        </w:tc>
        <w:tc>
          <w:tcPr>
            <w:tcW w:w="851" w:type="dxa"/>
          </w:tcPr>
          <w:p w14:paraId="3AA539F4" w14:textId="77777777" w:rsidR="005B7E84" w:rsidRPr="00987D69" w:rsidRDefault="005B7E84" w:rsidP="00957C52">
            <w:pPr>
              <w:ind w:right="142"/>
              <w:jc w:val="right"/>
              <w:rPr>
                <w:rFonts w:ascii="Calibri" w:hAnsi="Calibri" w:cs="Calibri"/>
                <w:b/>
                <w:color w:val="000000"/>
                <w:sz w:val="18"/>
                <w:szCs w:val="18"/>
              </w:rPr>
            </w:pPr>
          </w:p>
        </w:tc>
        <w:tc>
          <w:tcPr>
            <w:tcW w:w="1276" w:type="dxa"/>
          </w:tcPr>
          <w:p w14:paraId="6FAD0840" w14:textId="77777777" w:rsidR="005B7E84" w:rsidRPr="00987D69" w:rsidRDefault="005B7E84" w:rsidP="00957C52">
            <w:pPr>
              <w:ind w:right="142"/>
              <w:jc w:val="right"/>
              <w:rPr>
                <w:rFonts w:ascii="Calibri" w:hAnsi="Calibri" w:cs="Calibri"/>
                <w:b/>
                <w:color w:val="000000"/>
                <w:sz w:val="18"/>
                <w:szCs w:val="18"/>
              </w:rPr>
            </w:pPr>
            <w:r w:rsidRPr="00987D69">
              <w:rPr>
                <w:rFonts w:ascii="Calibri" w:hAnsi="Calibri" w:cs="Calibri"/>
                <w:color w:val="000000"/>
                <w:sz w:val="18"/>
                <w:szCs w:val="18"/>
              </w:rPr>
              <w:t>Year ended 31/12/2</w:t>
            </w:r>
            <w:r>
              <w:rPr>
                <w:rFonts w:ascii="Calibri" w:hAnsi="Calibri" w:cs="Calibri"/>
                <w:color w:val="000000"/>
                <w:sz w:val="18"/>
                <w:szCs w:val="18"/>
              </w:rPr>
              <w:t>3</w:t>
            </w:r>
            <w:r w:rsidRPr="00987D69">
              <w:rPr>
                <w:rFonts w:ascii="Calibri" w:hAnsi="Calibri" w:cs="Calibri"/>
                <w:color w:val="000000"/>
                <w:sz w:val="18"/>
                <w:szCs w:val="18"/>
              </w:rPr>
              <w:t xml:space="preserve"> </w:t>
            </w:r>
          </w:p>
        </w:tc>
        <w:tc>
          <w:tcPr>
            <w:tcW w:w="1275" w:type="dxa"/>
          </w:tcPr>
          <w:p w14:paraId="5C226B72" w14:textId="77777777" w:rsidR="005B7E84" w:rsidRPr="00987D69" w:rsidRDefault="005B7E84" w:rsidP="00957C52">
            <w:pPr>
              <w:ind w:right="142"/>
              <w:jc w:val="right"/>
              <w:rPr>
                <w:rFonts w:ascii="Calibri" w:hAnsi="Calibri" w:cs="Calibri"/>
                <w:color w:val="000000"/>
                <w:sz w:val="18"/>
                <w:szCs w:val="18"/>
              </w:rPr>
            </w:pPr>
            <w:r w:rsidRPr="00987D69">
              <w:rPr>
                <w:rFonts w:ascii="Calibri" w:hAnsi="Calibri" w:cs="Calibri"/>
                <w:color w:val="000000"/>
                <w:sz w:val="18"/>
                <w:szCs w:val="18"/>
              </w:rPr>
              <w:t>Year ended 31/12/22 (restated)</w:t>
            </w:r>
          </w:p>
        </w:tc>
      </w:tr>
      <w:tr w:rsidR="005B7E84" w:rsidRPr="00E32F3C" w14:paraId="69A5BB39" w14:textId="77777777" w:rsidTr="009A2B5A">
        <w:trPr>
          <w:trHeight w:val="221"/>
        </w:trPr>
        <w:tc>
          <w:tcPr>
            <w:tcW w:w="4678" w:type="dxa"/>
          </w:tcPr>
          <w:p w14:paraId="7D1ED224" w14:textId="77777777" w:rsidR="005B7E84" w:rsidRPr="00987D69" w:rsidRDefault="005B7E84" w:rsidP="00957C52">
            <w:pPr>
              <w:ind w:right="142"/>
              <w:jc w:val="both"/>
              <w:rPr>
                <w:rFonts w:ascii="Calibri" w:hAnsi="Calibri" w:cs="Calibri"/>
                <w:color w:val="000000"/>
                <w:sz w:val="18"/>
                <w:szCs w:val="18"/>
              </w:rPr>
            </w:pPr>
          </w:p>
        </w:tc>
        <w:tc>
          <w:tcPr>
            <w:tcW w:w="851" w:type="dxa"/>
          </w:tcPr>
          <w:p w14:paraId="2270B2BB" w14:textId="77777777" w:rsidR="005B7E84" w:rsidRPr="00987D69" w:rsidRDefault="005B7E84" w:rsidP="00957C52">
            <w:pPr>
              <w:ind w:right="142"/>
              <w:jc w:val="right"/>
              <w:rPr>
                <w:rFonts w:ascii="Calibri" w:hAnsi="Calibri" w:cs="Calibri"/>
                <w:b/>
                <w:sz w:val="18"/>
                <w:szCs w:val="18"/>
              </w:rPr>
            </w:pPr>
          </w:p>
        </w:tc>
        <w:tc>
          <w:tcPr>
            <w:tcW w:w="1276" w:type="dxa"/>
          </w:tcPr>
          <w:p w14:paraId="588568F4" w14:textId="77777777" w:rsidR="005B7E84" w:rsidRPr="00E32F3C" w:rsidRDefault="005B7E84" w:rsidP="00957C52">
            <w:pPr>
              <w:ind w:right="142"/>
              <w:jc w:val="right"/>
              <w:rPr>
                <w:rFonts w:ascii="Calibri" w:hAnsi="Calibri" w:cs="Calibri"/>
                <w:color w:val="000000"/>
                <w:sz w:val="18"/>
                <w:szCs w:val="18"/>
              </w:rPr>
            </w:pPr>
            <w:r w:rsidRPr="00E32F3C">
              <w:rPr>
                <w:rFonts w:ascii="Calibri" w:hAnsi="Calibri" w:cs="Calibri"/>
                <w:b/>
                <w:sz w:val="18"/>
                <w:szCs w:val="18"/>
              </w:rPr>
              <w:t>€000s</w:t>
            </w:r>
          </w:p>
        </w:tc>
        <w:tc>
          <w:tcPr>
            <w:tcW w:w="1275" w:type="dxa"/>
          </w:tcPr>
          <w:p w14:paraId="11183B40" w14:textId="77777777" w:rsidR="005B7E84" w:rsidRPr="00E32F3C" w:rsidRDefault="005B7E84" w:rsidP="00957C52">
            <w:pPr>
              <w:ind w:right="142"/>
              <w:jc w:val="right"/>
              <w:rPr>
                <w:rFonts w:ascii="Calibri" w:hAnsi="Calibri" w:cs="Calibri"/>
                <w:sz w:val="18"/>
                <w:szCs w:val="18"/>
              </w:rPr>
            </w:pPr>
            <w:r w:rsidRPr="00E32F3C">
              <w:rPr>
                <w:rFonts w:ascii="Calibri" w:hAnsi="Calibri" w:cs="Calibri"/>
                <w:sz w:val="18"/>
                <w:szCs w:val="18"/>
              </w:rPr>
              <w:t>€000s</w:t>
            </w:r>
          </w:p>
        </w:tc>
      </w:tr>
      <w:tr w:rsidR="005B7E84" w:rsidRPr="00E32F3C" w14:paraId="7E96B866" w14:textId="77777777" w:rsidTr="009A2B5A">
        <w:trPr>
          <w:trHeight w:val="229"/>
        </w:trPr>
        <w:tc>
          <w:tcPr>
            <w:tcW w:w="4678" w:type="dxa"/>
          </w:tcPr>
          <w:p w14:paraId="160C63A9" w14:textId="66D47362" w:rsidR="005B7E84" w:rsidRPr="00E32F3C" w:rsidRDefault="005B7E84" w:rsidP="00957C52">
            <w:pPr>
              <w:ind w:right="142"/>
              <w:rPr>
                <w:rFonts w:ascii="Calibri" w:hAnsi="Calibri" w:cs="Calibri"/>
                <w:b/>
                <w:color w:val="000000"/>
                <w:sz w:val="18"/>
                <w:szCs w:val="18"/>
              </w:rPr>
            </w:pPr>
            <w:r w:rsidRPr="00E32F3C">
              <w:rPr>
                <w:rFonts w:ascii="Calibri" w:hAnsi="Calibri" w:cs="Calibri"/>
                <w:b/>
                <w:color w:val="000000"/>
                <w:sz w:val="18"/>
                <w:szCs w:val="18"/>
              </w:rPr>
              <w:t>Undiscounted loss ratio</w:t>
            </w:r>
            <w:r w:rsidR="00301499">
              <w:rPr>
                <w:rFonts w:ascii="Calibri" w:hAnsi="Calibri" w:cs="Calibri"/>
                <w:sz w:val="18"/>
                <w:szCs w:val="18"/>
                <w:vertAlign w:val="superscript"/>
              </w:rPr>
              <w:t>3</w:t>
            </w:r>
          </w:p>
        </w:tc>
        <w:tc>
          <w:tcPr>
            <w:tcW w:w="851" w:type="dxa"/>
          </w:tcPr>
          <w:p w14:paraId="7457F7B9" w14:textId="77777777" w:rsidR="005B7E84" w:rsidRPr="00E32F3C" w:rsidRDefault="005B7E84" w:rsidP="00957C52">
            <w:pPr>
              <w:ind w:right="142"/>
              <w:jc w:val="both"/>
              <w:rPr>
                <w:rFonts w:ascii="Calibri" w:hAnsi="Calibri" w:cs="Calibri"/>
                <w:color w:val="000000"/>
                <w:sz w:val="18"/>
                <w:szCs w:val="18"/>
              </w:rPr>
            </w:pPr>
          </w:p>
        </w:tc>
        <w:tc>
          <w:tcPr>
            <w:tcW w:w="1276" w:type="dxa"/>
          </w:tcPr>
          <w:p w14:paraId="6DC77049" w14:textId="77777777" w:rsidR="005B7E84" w:rsidRPr="00E32F3C" w:rsidRDefault="005B7E84" w:rsidP="00957C52">
            <w:pPr>
              <w:ind w:right="142"/>
              <w:jc w:val="both"/>
              <w:rPr>
                <w:rFonts w:ascii="Calibri" w:hAnsi="Calibri" w:cs="Calibri"/>
                <w:color w:val="000000"/>
                <w:sz w:val="18"/>
                <w:szCs w:val="18"/>
              </w:rPr>
            </w:pPr>
          </w:p>
        </w:tc>
        <w:tc>
          <w:tcPr>
            <w:tcW w:w="1275" w:type="dxa"/>
          </w:tcPr>
          <w:p w14:paraId="172B98EF" w14:textId="77777777" w:rsidR="005B7E84" w:rsidRPr="00E32F3C" w:rsidRDefault="005B7E84" w:rsidP="00957C52">
            <w:pPr>
              <w:ind w:right="142"/>
              <w:jc w:val="both"/>
              <w:rPr>
                <w:rFonts w:ascii="Calibri" w:hAnsi="Calibri" w:cs="Calibri"/>
                <w:color w:val="000000"/>
                <w:sz w:val="18"/>
                <w:szCs w:val="18"/>
              </w:rPr>
            </w:pPr>
          </w:p>
        </w:tc>
      </w:tr>
      <w:tr w:rsidR="005B7E84" w:rsidRPr="00E32F3C" w14:paraId="0AA04774" w14:textId="77777777" w:rsidTr="009A2B5A">
        <w:trPr>
          <w:trHeight w:val="221"/>
        </w:trPr>
        <w:tc>
          <w:tcPr>
            <w:tcW w:w="4678" w:type="dxa"/>
          </w:tcPr>
          <w:p w14:paraId="772D2E5E" w14:textId="0DB611E9" w:rsidR="005B7E84" w:rsidRPr="00E32F3C" w:rsidRDefault="005B7E84" w:rsidP="00957C52">
            <w:pPr>
              <w:ind w:right="142"/>
              <w:rPr>
                <w:rFonts w:ascii="Calibri" w:hAnsi="Calibri" w:cs="Calibri"/>
                <w:sz w:val="18"/>
                <w:szCs w:val="18"/>
              </w:rPr>
            </w:pPr>
            <w:r w:rsidRPr="00E32F3C">
              <w:rPr>
                <w:rFonts w:ascii="Calibri" w:hAnsi="Calibri" w:cs="Calibri"/>
                <w:sz w:val="18"/>
                <w:szCs w:val="18"/>
              </w:rPr>
              <w:t>Incurred claims and other expenses</w:t>
            </w:r>
            <w:r w:rsidR="00301499">
              <w:rPr>
                <w:rFonts w:ascii="Calibri" w:hAnsi="Calibri" w:cs="Calibri"/>
                <w:sz w:val="18"/>
                <w:szCs w:val="18"/>
                <w:vertAlign w:val="superscript"/>
              </w:rPr>
              <w:t>2</w:t>
            </w:r>
            <w:r w:rsidRPr="00E32F3C">
              <w:rPr>
                <w:rFonts w:ascii="Calibri" w:hAnsi="Calibri" w:cs="Calibri"/>
                <w:sz w:val="18"/>
                <w:szCs w:val="18"/>
              </w:rPr>
              <w:t xml:space="preserve"> </w:t>
            </w:r>
          </w:p>
        </w:tc>
        <w:tc>
          <w:tcPr>
            <w:tcW w:w="851" w:type="dxa"/>
          </w:tcPr>
          <w:p w14:paraId="1B58BC2B" w14:textId="77777777" w:rsidR="005B7E84" w:rsidRPr="00E32F3C" w:rsidRDefault="005B7E84" w:rsidP="00957C52">
            <w:pPr>
              <w:ind w:right="142"/>
              <w:jc w:val="right"/>
              <w:rPr>
                <w:rFonts w:ascii="Calibri" w:hAnsi="Calibri" w:cs="Calibri"/>
                <w:bCs/>
                <w:sz w:val="18"/>
                <w:szCs w:val="18"/>
                <w:lang w:val="en-US"/>
              </w:rPr>
            </w:pPr>
          </w:p>
        </w:tc>
        <w:tc>
          <w:tcPr>
            <w:tcW w:w="1276" w:type="dxa"/>
          </w:tcPr>
          <w:p w14:paraId="36378661" w14:textId="086190B5" w:rsidR="005B7E84" w:rsidRPr="00E32F3C" w:rsidRDefault="005B7E84" w:rsidP="00957C52">
            <w:pPr>
              <w:ind w:right="142"/>
              <w:jc w:val="right"/>
              <w:rPr>
                <w:rFonts w:ascii="Calibri" w:hAnsi="Calibri" w:cs="Calibri"/>
                <w:sz w:val="18"/>
                <w:szCs w:val="18"/>
              </w:rPr>
            </w:pPr>
            <w:r w:rsidRPr="00E32F3C">
              <w:rPr>
                <w:rFonts w:ascii="Calibri" w:hAnsi="Calibri" w:cs="Calibri"/>
                <w:sz w:val="18"/>
                <w:szCs w:val="18"/>
              </w:rPr>
              <w:t>2</w:t>
            </w:r>
            <w:r w:rsidR="00E32F3C" w:rsidRPr="00E32F3C">
              <w:rPr>
                <w:rFonts w:ascii="Calibri" w:hAnsi="Calibri" w:cs="Calibri"/>
                <w:sz w:val="18"/>
                <w:szCs w:val="18"/>
              </w:rPr>
              <w:t>47</w:t>
            </w:r>
            <w:r w:rsidRPr="00E32F3C">
              <w:rPr>
                <w:rFonts w:ascii="Calibri" w:hAnsi="Calibri" w:cs="Calibri"/>
                <w:sz w:val="18"/>
                <w:szCs w:val="18"/>
              </w:rPr>
              <w:t>,</w:t>
            </w:r>
            <w:r w:rsidR="00E32F3C" w:rsidRPr="00E32F3C">
              <w:rPr>
                <w:rFonts w:ascii="Calibri" w:hAnsi="Calibri" w:cs="Calibri"/>
                <w:sz w:val="18"/>
                <w:szCs w:val="18"/>
              </w:rPr>
              <w:t>340</w:t>
            </w:r>
          </w:p>
        </w:tc>
        <w:tc>
          <w:tcPr>
            <w:tcW w:w="1275" w:type="dxa"/>
          </w:tcPr>
          <w:p w14:paraId="0B2AF907" w14:textId="2D25EE84" w:rsidR="005B7E84" w:rsidRPr="00E32F3C" w:rsidRDefault="005B7E84" w:rsidP="00957C52">
            <w:pPr>
              <w:ind w:right="142"/>
              <w:jc w:val="right"/>
              <w:rPr>
                <w:rFonts w:ascii="Calibri" w:hAnsi="Calibri" w:cs="Calibri"/>
                <w:sz w:val="18"/>
                <w:szCs w:val="18"/>
              </w:rPr>
            </w:pPr>
            <w:r w:rsidRPr="00E32F3C">
              <w:rPr>
                <w:rFonts w:ascii="Calibri" w:hAnsi="Calibri" w:cs="Calibri"/>
                <w:sz w:val="18"/>
                <w:szCs w:val="18"/>
              </w:rPr>
              <w:t>2</w:t>
            </w:r>
            <w:r w:rsidR="00E32F3C" w:rsidRPr="00E32F3C">
              <w:rPr>
                <w:rFonts w:ascii="Calibri" w:hAnsi="Calibri" w:cs="Calibri"/>
                <w:sz w:val="18"/>
                <w:szCs w:val="18"/>
              </w:rPr>
              <w:t>35,179</w:t>
            </w:r>
          </w:p>
        </w:tc>
      </w:tr>
      <w:tr w:rsidR="005B7E84" w:rsidRPr="00E32F3C" w14:paraId="1A013CE7" w14:textId="77777777" w:rsidTr="009A2B5A">
        <w:trPr>
          <w:trHeight w:val="221"/>
        </w:trPr>
        <w:tc>
          <w:tcPr>
            <w:tcW w:w="4678" w:type="dxa"/>
          </w:tcPr>
          <w:p w14:paraId="41E1F2AD" w14:textId="1CD9D397" w:rsidR="005B7E84" w:rsidRPr="00E32F3C" w:rsidRDefault="005B7E84" w:rsidP="00957C52">
            <w:pPr>
              <w:ind w:right="142"/>
              <w:rPr>
                <w:rFonts w:ascii="Calibri" w:hAnsi="Calibri" w:cs="Calibri"/>
                <w:sz w:val="18"/>
                <w:szCs w:val="18"/>
              </w:rPr>
            </w:pPr>
            <w:r w:rsidRPr="00E32F3C">
              <w:rPr>
                <w:rFonts w:ascii="Calibri" w:hAnsi="Calibri" w:cs="Calibri"/>
                <w:sz w:val="18"/>
                <w:szCs w:val="18"/>
              </w:rPr>
              <w:t>Changes that relate to past service – changes in FCF</w:t>
            </w:r>
            <w:r w:rsidR="00301499">
              <w:rPr>
                <w:rFonts w:ascii="Calibri" w:hAnsi="Calibri" w:cs="Calibri"/>
                <w:sz w:val="18"/>
                <w:szCs w:val="18"/>
                <w:vertAlign w:val="superscript"/>
              </w:rPr>
              <w:t>2</w:t>
            </w:r>
            <w:r w:rsidRPr="00E32F3C">
              <w:rPr>
                <w:rFonts w:ascii="Calibri" w:hAnsi="Calibri" w:cs="Calibri"/>
                <w:sz w:val="18"/>
                <w:szCs w:val="18"/>
              </w:rPr>
              <w:t xml:space="preserve"> relating to the LIC</w:t>
            </w:r>
            <w:r w:rsidR="00301499">
              <w:rPr>
                <w:rFonts w:ascii="Calibri" w:hAnsi="Calibri" w:cs="Calibri"/>
                <w:sz w:val="18"/>
                <w:szCs w:val="18"/>
                <w:vertAlign w:val="superscript"/>
              </w:rPr>
              <w:t>2</w:t>
            </w:r>
          </w:p>
        </w:tc>
        <w:tc>
          <w:tcPr>
            <w:tcW w:w="851" w:type="dxa"/>
          </w:tcPr>
          <w:p w14:paraId="14279FE8" w14:textId="77777777" w:rsidR="005B7E84" w:rsidRPr="00E32F3C" w:rsidRDefault="005B7E84" w:rsidP="00957C52">
            <w:pPr>
              <w:ind w:right="142"/>
              <w:jc w:val="right"/>
              <w:rPr>
                <w:rFonts w:ascii="Calibri" w:hAnsi="Calibri" w:cs="Calibri"/>
                <w:bCs/>
                <w:sz w:val="18"/>
                <w:szCs w:val="18"/>
                <w:lang w:val="en-US"/>
              </w:rPr>
            </w:pPr>
          </w:p>
        </w:tc>
        <w:tc>
          <w:tcPr>
            <w:tcW w:w="1276" w:type="dxa"/>
          </w:tcPr>
          <w:p w14:paraId="4F2E3E94" w14:textId="77777777" w:rsidR="005B7E84" w:rsidRPr="00E32F3C" w:rsidRDefault="005B7E84" w:rsidP="00957C52">
            <w:pPr>
              <w:ind w:right="142"/>
              <w:jc w:val="right"/>
              <w:rPr>
                <w:rFonts w:ascii="Calibri" w:hAnsi="Calibri" w:cs="Calibri"/>
                <w:bCs/>
                <w:sz w:val="18"/>
                <w:szCs w:val="18"/>
                <w:lang w:val="en-US"/>
              </w:rPr>
            </w:pPr>
          </w:p>
          <w:p w14:paraId="3C238F8E" w14:textId="1787F6F5" w:rsidR="005B7E84" w:rsidRPr="00E32F3C" w:rsidRDefault="005B7E84" w:rsidP="00957C52">
            <w:pPr>
              <w:ind w:right="142"/>
              <w:jc w:val="right"/>
              <w:rPr>
                <w:rFonts w:ascii="Calibri" w:hAnsi="Calibri" w:cs="Calibri"/>
                <w:bCs/>
                <w:sz w:val="18"/>
                <w:szCs w:val="18"/>
                <w:lang w:val="en-US"/>
              </w:rPr>
            </w:pPr>
            <w:r w:rsidRPr="00E32F3C">
              <w:rPr>
                <w:rFonts w:ascii="Calibri" w:hAnsi="Calibri" w:cs="Calibri"/>
                <w:bCs/>
                <w:sz w:val="18"/>
                <w:szCs w:val="18"/>
                <w:lang w:val="en-US"/>
              </w:rPr>
              <w:t>(10</w:t>
            </w:r>
            <w:r w:rsidR="00E32F3C" w:rsidRPr="00E32F3C">
              <w:rPr>
                <w:rFonts w:ascii="Calibri" w:hAnsi="Calibri" w:cs="Calibri"/>
                <w:bCs/>
                <w:sz w:val="18"/>
                <w:szCs w:val="18"/>
                <w:lang w:val="en-US"/>
              </w:rPr>
              <w:t>1,455</w:t>
            </w:r>
            <w:r w:rsidRPr="00E32F3C">
              <w:rPr>
                <w:rFonts w:ascii="Calibri" w:hAnsi="Calibri" w:cs="Calibri"/>
                <w:bCs/>
                <w:sz w:val="18"/>
                <w:szCs w:val="18"/>
                <w:lang w:val="en-US"/>
              </w:rPr>
              <w:t>)</w:t>
            </w:r>
          </w:p>
        </w:tc>
        <w:tc>
          <w:tcPr>
            <w:tcW w:w="1275" w:type="dxa"/>
          </w:tcPr>
          <w:p w14:paraId="3B47019E" w14:textId="77777777" w:rsidR="005B7E84" w:rsidRPr="00E32F3C" w:rsidRDefault="005B7E84" w:rsidP="00957C52">
            <w:pPr>
              <w:ind w:right="142"/>
              <w:jc w:val="right"/>
              <w:rPr>
                <w:rFonts w:ascii="Calibri" w:hAnsi="Calibri" w:cs="Calibri"/>
                <w:sz w:val="18"/>
                <w:szCs w:val="18"/>
              </w:rPr>
            </w:pPr>
          </w:p>
          <w:p w14:paraId="2E15EBBB" w14:textId="7CC80CF9" w:rsidR="005B7E84" w:rsidRPr="00E32F3C" w:rsidRDefault="005B7E84" w:rsidP="00957C52">
            <w:pPr>
              <w:ind w:right="142"/>
              <w:jc w:val="right"/>
              <w:rPr>
                <w:rFonts w:ascii="Calibri" w:hAnsi="Calibri" w:cs="Calibri"/>
                <w:sz w:val="18"/>
                <w:szCs w:val="18"/>
              </w:rPr>
            </w:pPr>
            <w:r w:rsidRPr="00E32F3C">
              <w:rPr>
                <w:rFonts w:ascii="Calibri" w:hAnsi="Calibri" w:cs="Calibri"/>
                <w:sz w:val="18"/>
                <w:szCs w:val="18"/>
              </w:rPr>
              <w:t>(9</w:t>
            </w:r>
            <w:r w:rsidR="00E32F3C" w:rsidRPr="00E32F3C">
              <w:rPr>
                <w:rFonts w:ascii="Calibri" w:hAnsi="Calibri" w:cs="Calibri"/>
                <w:sz w:val="18"/>
                <w:szCs w:val="18"/>
              </w:rPr>
              <w:t>0,696</w:t>
            </w:r>
            <w:r w:rsidRPr="00E32F3C">
              <w:rPr>
                <w:rFonts w:ascii="Calibri" w:hAnsi="Calibri" w:cs="Calibri"/>
                <w:sz w:val="18"/>
                <w:szCs w:val="18"/>
              </w:rPr>
              <w:t>)</w:t>
            </w:r>
          </w:p>
        </w:tc>
      </w:tr>
      <w:tr w:rsidR="005B7E84" w:rsidRPr="00E32F3C" w14:paraId="18E5976F" w14:textId="77777777" w:rsidTr="009A2B5A">
        <w:trPr>
          <w:trHeight w:val="221"/>
        </w:trPr>
        <w:tc>
          <w:tcPr>
            <w:tcW w:w="4678" w:type="dxa"/>
          </w:tcPr>
          <w:p w14:paraId="3C8A26D6" w14:textId="6B970751" w:rsidR="005B7E84" w:rsidRPr="00E32F3C" w:rsidRDefault="005B7E84" w:rsidP="00957C52">
            <w:pPr>
              <w:ind w:right="142"/>
              <w:rPr>
                <w:rFonts w:ascii="Calibri" w:hAnsi="Calibri" w:cs="Calibri"/>
                <w:sz w:val="18"/>
                <w:szCs w:val="18"/>
              </w:rPr>
            </w:pPr>
            <w:r w:rsidRPr="00E32F3C">
              <w:rPr>
                <w:rFonts w:ascii="Calibri" w:hAnsi="Calibri" w:cs="Calibri"/>
                <w:sz w:val="18"/>
                <w:szCs w:val="18"/>
              </w:rPr>
              <w:t>Net expense from reinsurance contracts held</w:t>
            </w:r>
            <w:r w:rsidR="00301499">
              <w:rPr>
                <w:rFonts w:ascii="Calibri" w:hAnsi="Calibri" w:cs="Calibri"/>
                <w:sz w:val="18"/>
                <w:szCs w:val="18"/>
                <w:vertAlign w:val="superscript"/>
              </w:rPr>
              <w:t>2</w:t>
            </w:r>
          </w:p>
        </w:tc>
        <w:tc>
          <w:tcPr>
            <w:tcW w:w="851" w:type="dxa"/>
          </w:tcPr>
          <w:p w14:paraId="1B00AD12" w14:textId="77777777" w:rsidR="005B7E84" w:rsidRPr="00E32F3C" w:rsidRDefault="005B7E84" w:rsidP="00957C52">
            <w:pPr>
              <w:ind w:right="142"/>
              <w:jc w:val="right"/>
              <w:rPr>
                <w:rFonts w:ascii="Calibri" w:hAnsi="Calibri" w:cs="Calibri"/>
                <w:bCs/>
                <w:color w:val="FF0000"/>
                <w:sz w:val="18"/>
                <w:szCs w:val="18"/>
                <w:lang w:val="en-US"/>
              </w:rPr>
            </w:pPr>
          </w:p>
        </w:tc>
        <w:tc>
          <w:tcPr>
            <w:tcW w:w="1276" w:type="dxa"/>
          </w:tcPr>
          <w:p w14:paraId="03FC5067" w14:textId="506808F7" w:rsidR="005B7E84" w:rsidRPr="00E32F3C" w:rsidRDefault="005B7E84" w:rsidP="00957C52">
            <w:pPr>
              <w:ind w:right="142"/>
              <w:jc w:val="right"/>
              <w:rPr>
                <w:rFonts w:ascii="Calibri" w:hAnsi="Calibri" w:cs="Calibri"/>
                <w:sz w:val="18"/>
                <w:szCs w:val="18"/>
              </w:rPr>
            </w:pPr>
            <w:r w:rsidRPr="00E32F3C">
              <w:rPr>
                <w:rFonts w:ascii="Calibri" w:hAnsi="Calibri" w:cs="Calibri"/>
                <w:sz w:val="18"/>
                <w:szCs w:val="18"/>
              </w:rPr>
              <w:t>6</w:t>
            </w:r>
            <w:r w:rsidR="00E32F3C" w:rsidRPr="00E32F3C">
              <w:rPr>
                <w:rFonts w:ascii="Calibri" w:hAnsi="Calibri" w:cs="Calibri"/>
                <w:sz w:val="18"/>
                <w:szCs w:val="18"/>
              </w:rPr>
              <w:t>2,359</w:t>
            </w:r>
          </w:p>
        </w:tc>
        <w:tc>
          <w:tcPr>
            <w:tcW w:w="1275" w:type="dxa"/>
          </w:tcPr>
          <w:p w14:paraId="01A53020" w14:textId="561E55BD" w:rsidR="005B7E84" w:rsidRPr="00E32F3C" w:rsidRDefault="005B7E84" w:rsidP="00957C52">
            <w:pPr>
              <w:ind w:right="142"/>
              <w:jc w:val="right"/>
              <w:rPr>
                <w:rFonts w:ascii="Calibri" w:hAnsi="Calibri" w:cs="Calibri"/>
                <w:sz w:val="18"/>
                <w:szCs w:val="18"/>
              </w:rPr>
            </w:pPr>
            <w:r w:rsidRPr="00E32F3C">
              <w:rPr>
                <w:rFonts w:ascii="Calibri" w:hAnsi="Calibri" w:cs="Calibri"/>
                <w:sz w:val="18"/>
                <w:szCs w:val="18"/>
              </w:rPr>
              <w:t>4</w:t>
            </w:r>
            <w:r w:rsidR="00E32F3C" w:rsidRPr="00E32F3C">
              <w:rPr>
                <w:rFonts w:ascii="Calibri" w:hAnsi="Calibri" w:cs="Calibri"/>
                <w:sz w:val="18"/>
                <w:szCs w:val="18"/>
              </w:rPr>
              <w:t>3,680</w:t>
            </w:r>
          </w:p>
        </w:tc>
      </w:tr>
      <w:tr w:rsidR="005B7E84" w:rsidRPr="00E32F3C" w14:paraId="7F377D73" w14:textId="77777777" w:rsidTr="009A2B5A">
        <w:trPr>
          <w:trHeight w:val="229"/>
        </w:trPr>
        <w:tc>
          <w:tcPr>
            <w:tcW w:w="4678" w:type="dxa"/>
          </w:tcPr>
          <w:p w14:paraId="18CA45B9" w14:textId="1C00A8DC" w:rsidR="005B7E84" w:rsidRPr="00E32F3C" w:rsidRDefault="005B7E84" w:rsidP="00957C52">
            <w:pPr>
              <w:ind w:right="142"/>
              <w:rPr>
                <w:rFonts w:ascii="Calibri" w:hAnsi="Calibri" w:cs="Calibri"/>
                <w:sz w:val="18"/>
                <w:szCs w:val="18"/>
              </w:rPr>
            </w:pPr>
            <w:r w:rsidRPr="00E32F3C">
              <w:rPr>
                <w:rFonts w:ascii="Calibri" w:hAnsi="Calibri" w:cs="Calibri"/>
                <w:sz w:val="18"/>
                <w:szCs w:val="18"/>
              </w:rPr>
              <w:t>Movement in other provisions</w:t>
            </w:r>
            <w:r w:rsidR="00301499">
              <w:rPr>
                <w:rFonts w:ascii="Calibri" w:hAnsi="Calibri" w:cs="Calibri"/>
                <w:sz w:val="18"/>
                <w:szCs w:val="18"/>
                <w:vertAlign w:val="superscript"/>
              </w:rPr>
              <w:t>2</w:t>
            </w:r>
          </w:p>
        </w:tc>
        <w:tc>
          <w:tcPr>
            <w:tcW w:w="851" w:type="dxa"/>
          </w:tcPr>
          <w:p w14:paraId="22E19609" w14:textId="77777777" w:rsidR="005B7E84" w:rsidRPr="00E32F3C" w:rsidRDefault="005B7E84" w:rsidP="00957C52">
            <w:pPr>
              <w:ind w:right="142"/>
              <w:jc w:val="right"/>
              <w:rPr>
                <w:rFonts w:ascii="Calibri" w:hAnsi="Calibri" w:cs="Calibri"/>
                <w:bCs/>
                <w:sz w:val="18"/>
                <w:szCs w:val="18"/>
                <w:lang w:val="en-US"/>
              </w:rPr>
            </w:pPr>
          </w:p>
        </w:tc>
        <w:tc>
          <w:tcPr>
            <w:tcW w:w="1276" w:type="dxa"/>
            <w:tcBorders>
              <w:bottom w:val="single" w:sz="2" w:space="0" w:color="auto"/>
            </w:tcBorders>
          </w:tcPr>
          <w:p w14:paraId="4345AA37" w14:textId="77777777" w:rsidR="005B7E84" w:rsidRPr="00E32F3C" w:rsidRDefault="005B7E84" w:rsidP="00957C52">
            <w:pPr>
              <w:ind w:right="142"/>
              <w:jc w:val="right"/>
              <w:rPr>
                <w:rFonts w:ascii="Calibri" w:hAnsi="Calibri" w:cs="Calibri"/>
                <w:sz w:val="18"/>
                <w:szCs w:val="18"/>
              </w:rPr>
            </w:pPr>
            <w:r w:rsidRPr="00E32F3C">
              <w:rPr>
                <w:rFonts w:ascii="Calibri" w:hAnsi="Calibri" w:cs="Calibri"/>
                <w:sz w:val="18"/>
                <w:szCs w:val="18"/>
              </w:rPr>
              <w:t>15,831</w:t>
            </w:r>
          </w:p>
        </w:tc>
        <w:tc>
          <w:tcPr>
            <w:tcW w:w="1275" w:type="dxa"/>
            <w:tcBorders>
              <w:bottom w:val="single" w:sz="2" w:space="0" w:color="auto"/>
            </w:tcBorders>
          </w:tcPr>
          <w:p w14:paraId="629FDCBD" w14:textId="77777777" w:rsidR="005B7E84" w:rsidRPr="00E32F3C" w:rsidRDefault="005B7E84" w:rsidP="00957C52">
            <w:pPr>
              <w:ind w:right="142"/>
              <w:jc w:val="right"/>
              <w:rPr>
                <w:rFonts w:ascii="Calibri" w:hAnsi="Calibri" w:cs="Calibri"/>
                <w:sz w:val="18"/>
                <w:szCs w:val="18"/>
              </w:rPr>
            </w:pPr>
            <w:r w:rsidRPr="00E32F3C">
              <w:rPr>
                <w:rFonts w:ascii="Calibri" w:hAnsi="Calibri" w:cs="Calibri"/>
                <w:sz w:val="18"/>
                <w:szCs w:val="18"/>
              </w:rPr>
              <w:t>8,403</w:t>
            </w:r>
          </w:p>
        </w:tc>
      </w:tr>
      <w:tr w:rsidR="005B7E84" w:rsidRPr="00E8476E" w14:paraId="3284F3B0" w14:textId="77777777" w:rsidTr="009A2B5A">
        <w:trPr>
          <w:trHeight w:val="229"/>
        </w:trPr>
        <w:tc>
          <w:tcPr>
            <w:tcW w:w="4678" w:type="dxa"/>
          </w:tcPr>
          <w:p w14:paraId="338EBE7E" w14:textId="77777777" w:rsidR="005B7E84" w:rsidRPr="00E32F3C" w:rsidRDefault="005B7E84" w:rsidP="00957C52">
            <w:pPr>
              <w:ind w:right="142"/>
              <w:rPr>
                <w:rFonts w:ascii="Calibri" w:hAnsi="Calibri" w:cs="Calibri"/>
                <w:b/>
                <w:sz w:val="18"/>
                <w:szCs w:val="18"/>
              </w:rPr>
            </w:pPr>
            <w:r w:rsidRPr="00E32F3C">
              <w:rPr>
                <w:rFonts w:ascii="Calibri" w:hAnsi="Calibri" w:cs="Calibri"/>
                <w:b/>
                <w:sz w:val="18"/>
                <w:szCs w:val="18"/>
              </w:rPr>
              <w:t>Total claims incurred and movement in other provisions</w:t>
            </w:r>
          </w:p>
        </w:tc>
        <w:tc>
          <w:tcPr>
            <w:tcW w:w="851" w:type="dxa"/>
          </w:tcPr>
          <w:p w14:paraId="062EC49D" w14:textId="77777777" w:rsidR="005B7E84" w:rsidRPr="00E32F3C" w:rsidRDefault="005B7E84" w:rsidP="00957C52">
            <w:pPr>
              <w:ind w:right="142"/>
              <w:jc w:val="right"/>
              <w:rPr>
                <w:rFonts w:ascii="Calibri" w:hAnsi="Calibri" w:cs="Calibri"/>
                <w:b/>
                <w:bCs/>
                <w:sz w:val="18"/>
                <w:szCs w:val="18"/>
                <w:lang w:val="en-US"/>
              </w:rPr>
            </w:pPr>
          </w:p>
        </w:tc>
        <w:tc>
          <w:tcPr>
            <w:tcW w:w="1276" w:type="dxa"/>
            <w:tcBorders>
              <w:top w:val="single" w:sz="2" w:space="0" w:color="auto"/>
            </w:tcBorders>
          </w:tcPr>
          <w:p w14:paraId="4B397089" w14:textId="77777777" w:rsidR="005B7E84" w:rsidRPr="00E32F3C" w:rsidRDefault="005B7E84" w:rsidP="00957C52">
            <w:pPr>
              <w:ind w:right="142"/>
              <w:jc w:val="right"/>
              <w:rPr>
                <w:rFonts w:ascii="Calibri" w:hAnsi="Calibri" w:cs="Calibri"/>
                <w:b/>
                <w:sz w:val="18"/>
                <w:szCs w:val="18"/>
              </w:rPr>
            </w:pPr>
          </w:p>
          <w:p w14:paraId="759F05C4" w14:textId="093E4B77" w:rsidR="005B7E84" w:rsidRPr="00E32F3C" w:rsidRDefault="005B7E84" w:rsidP="00957C52">
            <w:pPr>
              <w:ind w:right="142"/>
              <w:jc w:val="right"/>
              <w:rPr>
                <w:rFonts w:ascii="Calibri" w:hAnsi="Calibri" w:cs="Calibri"/>
                <w:b/>
                <w:sz w:val="18"/>
                <w:szCs w:val="18"/>
              </w:rPr>
            </w:pPr>
            <w:r w:rsidRPr="00E32F3C">
              <w:rPr>
                <w:rFonts w:ascii="Calibri" w:hAnsi="Calibri" w:cs="Calibri"/>
                <w:b/>
                <w:sz w:val="18"/>
                <w:szCs w:val="18"/>
              </w:rPr>
              <w:t>2</w:t>
            </w:r>
            <w:r w:rsidR="00E32F3C" w:rsidRPr="00E32F3C">
              <w:rPr>
                <w:rFonts w:ascii="Calibri" w:hAnsi="Calibri" w:cs="Calibri"/>
                <w:b/>
                <w:sz w:val="18"/>
                <w:szCs w:val="18"/>
              </w:rPr>
              <w:t>24</w:t>
            </w:r>
            <w:r w:rsidRPr="00E32F3C">
              <w:rPr>
                <w:rFonts w:ascii="Calibri" w:hAnsi="Calibri" w:cs="Calibri"/>
                <w:b/>
                <w:sz w:val="18"/>
                <w:szCs w:val="18"/>
              </w:rPr>
              <w:t>,</w:t>
            </w:r>
            <w:r w:rsidR="00E32F3C" w:rsidRPr="00E32F3C">
              <w:rPr>
                <w:rFonts w:ascii="Calibri" w:hAnsi="Calibri" w:cs="Calibri"/>
                <w:b/>
                <w:sz w:val="18"/>
                <w:szCs w:val="18"/>
              </w:rPr>
              <w:t>075</w:t>
            </w:r>
          </w:p>
        </w:tc>
        <w:tc>
          <w:tcPr>
            <w:tcW w:w="1275" w:type="dxa"/>
            <w:tcBorders>
              <w:top w:val="single" w:sz="2" w:space="0" w:color="auto"/>
            </w:tcBorders>
          </w:tcPr>
          <w:p w14:paraId="70AD33C6" w14:textId="77777777" w:rsidR="005B7E84" w:rsidRPr="00E32F3C" w:rsidRDefault="005B7E84" w:rsidP="00957C52">
            <w:pPr>
              <w:ind w:right="142"/>
              <w:jc w:val="right"/>
              <w:rPr>
                <w:rFonts w:ascii="Calibri" w:hAnsi="Calibri" w:cs="Calibri"/>
                <w:b/>
                <w:sz w:val="18"/>
                <w:szCs w:val="18"/>
              </w:rPr>
            </w:pPr>
          </w:p>
          <w:p w14:paraId="3FA831A2" w14:textId="42059D9F" w:rsidR="005B7E84" w:rsidRDefault="005B7E84" w:rsidP="00957C52">
            <w:pPr>
              <w:ind w:right="142"/>
              <w:jc w:val="right"/>
              <w:rPr>
                <w:rFonts w:ascii="Calibri" w:hAnsi="Calibri" w:cs="Calibri"/>
                <w:b/>
                <w:sz w:val="18"/>
                <w:szCs w:val="18"/>
              </w:rPr>
            </w:pPr>
            <w:r w:rsidRPr="00E32F3C">
              <w:rPr>
                <w:rFonts w:ascii="Calibri" w:hAnsi="Calibri" w:cs="Calibri"/>
                <w:b/>
                <w:sz w:val="18"/>
                <w:szCs w:val="18"/>
              </w:rPr>
              <w:t>1</w:t>
            </w:r>
            <w:r w:rsidR="00E32F3C" w:rsidRPr="00E32F3C">
              <w:rPr>
                <w:rFonts w:ascii="Calibri" w:hAnsi="Calibri" w:cs="Calibri"/>
                <w:b/>
                <w:sz w:val="18"/>
                <w:szCs w:val="18"/>
              </w:rPr>
              <w:t>96,566</w:t>
            </w:r>
          </w:p>
        </w:tc>
      </w:tr>
      <w:tr w:rsidR="005B7E84" w:rsidRPr="00E8476E" w14:paraId="603CE662" w14:textId="77777777" w:rsidTr="009A2B5A">
        <w:trPr>
          <w:trHeight w:val="229"/>
        </w:trPr>
        <w:tc>
          <w:tcPr>
            <w:tcW w:w="4678" w:type="dxa"/>
          </w:tcPr>
          <w:p w14:paraId="318566A1" w14:textId="77777777" w:rsidR="005B7E84" w:rsidRPr="00E8476E" w:rsidRDefault="005B7E84" w:rsidP="00957C52">
            <w:pPr>
              <w:ind w:right="142"/>
              <w:rPr>
                <w:rFonts w:ascii="Calibri" w:hAnsi="Calibri" w:cs="Calibri"/>
                <w:sz w:val="18"/>
                <w:szCs w:val="18"/>
              </w:rPr>
            </w:pPr>
          </w:p>
        </w:tc>
        <w:tc>
          <w:tcPr>
            <w:tcW w:w="851" w:type="dxa"/>
          </w:tcPr>
          <w:p w14:paraId="65BEF119" w14:textId="77777777" w:rsidR="005B7E84" w:rsidRPr="00E8476E" w:rsidRDefault="005B7E84" w:rsidP="00957C52">
            <w:pPr>
              <w:ind w:right="142"/>
              <w:jc w:val="both"/>
              <w:rPr>
                <w:rFonts w:ascii="Calibri" w:hAnsi="Calibri" w:cs="Calibri"/>
                <w:sz w:val="18"/>
                <w:szCs w:val="18"/>
              </w:rPr>
            </w:pPr>
          </w:p>
        </w:tc>
        <w:tc>
          <w:tcPr>
            <w:tcW w:w="1276" w:type="dxa"/>
          </w:tcPr>
          <w:p w14:paraId="69343847" w14:textId="77777777" w:rsidR="005B7E84" w:rsidRPr="00E8476E" w:rsidRDefault="005B7E84" w:rsidP="00957C52">
            <w:pPr>
              <w:ind w:right="142"/>
              <w:jc w:val="both"/>
              <w:rPr>
                <w:rFonts w:ascii="Calibri" w:hAnsi="Calibri" w:cs="Calibri"/>
                <w:sz w:val="18"/>
                <w:szCs w:val="18"/>
              </w:rPr>
            </w:pPr>
          </w:p>
        </w:tc>
        <w:tc>
          <w:tcPr>
            <w:tcW w:w="1275" w:type="dxa"/>
          </w:tcPr>
          <w:p w14:paraId="135FE0B9" w14:textId="77777777" w:rsidR="005B7E84" w:rsidRPr="00E8476E" w:rsidRDefault="005B7E84" w:rsidP="00957C52">
            <w:pPr>
              <w:ind w:right="142"/>
              <w:jc w:val="right"/>
              <w:rPr>
                <w:rFonts w:ascii="Calibri" w:hAnsi="Calibri" w:cs="Calibri"/>
                <w:sz w:val="18"/>
                <w:szCs w:val="18"/>
              </w:rPr>
            </w:pPr>
          </w:p>
        </w:tc>
      </w:tr>
      <w:tr w:rsidR="005B7E84" w:rsidRPr="00E8476E" w14:paraId="2AEB9BED" w14:textId="77777777" w:rsidTr="009A2B5A">
        <w:trPr>
          <w:trHeight w:val="221"/>
        </w:trPr>
        <w:tc>
          <w:tcPr>
            <w:tcW w:w="4678" w:type="dxa"/>
          </w:tcPr>
          <w:p w14:paraId="1B5F1AE4" w14:textId="77777777" w:rsidR="005B7E84" w:rsidRPr="00E8476E" w:rsidRDefault="005B7E84" w:rsidP="00957C52">
            <w:pPr>
              <w:ind w:right="142"/>
              <w:rPr>
                <w:rFonts w:ascii="Calibri" w:hAnsi="Calibri" w:cs="Calibri"/>
                <w:sz w:val="18"/>
                <w:szCs w:val="18"/>
              </w:rPr>
            </w:pPr>
            <w:r w:rsidRPr="00E8476E">
              <w:rPr>
                <w:rFonts w:ascii="Calibri" w:hAnsi="Calibri" w:cs="Calibri"/>
                <w:sz w:val="18"/>
                <w:szCs w:val="18"/>
              </w:rPr>
              <w:t>Insurance revenue</w:t>
            </w:r>
          </w:p>
        </w:tc>
        <w:tc>
          <w:tcPr>
            <w:tcW w:w="851" w:type="dxa"/>
          </w:tcPr>
          <w:p w14:paraId="2A9755C6" w14:textId="77777777" w:rsidR="005B7E84" w:rsidRPr="00E8476E" w:rsidRDefault="005B7E84" w:rsidP="00957C52">
            <w:pPr>
              <w:ind w:right="142"/>
              <w:jc w:val="right"/>
              <w:rPr>
                <w:rFonts w:ascii="Calibri" w:hAnsi="Calibri" w:cs="Calibri"/>
                <w:bCs/>
                <w:sz w:val="18"/>
                <w:szCs w:val="18"/>
                <w:lang w:val="en-US"/>
              </w:rPr>
            </w:pPr>
          </w:p>
        </w:tc>
        <w:tc>
          <w:tcPr>
            <w:tcW w:w="1276" w:type="dxa"/>
            <w:tcBorders>
              <w:bottom w:val="single" w:sz="4" w:space="0" w:color="auto"/>
            </w:tcBorders>
          </w:tcPr>
          <w:p w14:paraId="0AC26892" w14:textId="77777777" w:rsidR="005B7E84" w:rsidRPr="00E8476E" w:rsidRDefault="005B7E84" w:rsidP="00957C52">
            <w:pPr>
              <w:ind w:right="142"/>
              <w:jc w:val="right"/>
              <w:rPr>
                <w:rFonts w:ascii="Calibri" w:hAnsi="Calibri" w:cs="Calibri"/>
                <w:sz w:val="18"/>
                <w:szCs w:val="18"/>
              </w:rPr>
            </w:pPr>
            <w:r>
              <w:rPr>
                <w:rFonts w:ascii="Calibri" w:hAnsi="Calibri" w:cs="Calibri"/>
                <w:sz w:val="18"/>
                <w:szCs w:val="18"/>
              </w:rPr>
              <w:t>401,026</w:t>
            </w:r>
          </w:p>
        </w:tc>
        <w:tc>
          <w:tcPr>
            <w:tcW w:w="1275" w:type="dxa"/>
            <w:tcBorders>
              <w:bottom w:val="single" w:sz="4" w:space="0" w:color="auto"/>
            </w:tcBorders>
          </w:tcPr>
          <w:p w14:paraId="5F326222" w14:textId="77777777" w:rsidR="005B7E84" w:rsidRPr="00E8476E" w:rsidRDefault="005B7E84" w:rsidP="00957C52">
            <w:pPr>
              <w:ind w:right="142"/>
              <w:jc w:val="right"/>
              <w:rPr>
                <w:rFonts w:ascii="Calibri" w:hAnsi="Calibri" w:cs="Calibri"/>
                <w:sz w:val="18"/>
                <w:szCs w:val="18"/>
              </w:rPr>
            </w:pPr>
            <w:r w:rsidRPr="00E8476E">
              <w:rPr>
                <w:rFonts w:ascii="Calibri" w:hAnsi="Calibri" w:cs="Calibri"/>
                <w:sz w:val="18"/>
                <w:szCs w:val="18"/>
              </w:rPr>
              <w:t>379,697</w:t>
            </w:r>
          </w:p>
        </w:tc>
      </w:tr>
      <w:tr w:rsidR="005B7E84" w:rsidRPr="00E8476E" w14:paraId="32975C77" w14:textId="77777777" w:rsidTr="009A2B5A">
        <w:trPr>
          <w:trHeight w:val="116"/>
        </w:trPr>
        <w:tc>
          <w:tcPr>
            <w:tcW w:w="4678" w:type="dxa"/>
          </w:tcPr>
          <w:p w14:paraId="2BC9AA51" w14:textId="77777777" w:rsidR="005B7E84" w:rsidRPr="00E8476E" w:rsidRDefault="005B7E84" w:rsidP="00957C52">
            <w:pPr>
              <w:ind w:right="142"/>
              <w:rPr>
                <w:rFonts w:ascii="Calibri" w:hAnsi="Calibri" w:cs="Calibri"/>
                <w:sz w:val="18"/>
                <w:szCs w:val="18"/>
              </w:rPr>
            </w:pPr>
          </w:p>
        </w:tc>
        <w:tc>
          <w:tcPr>
            <w:tcW w:w="851" w:type="dxa"/>
          </w:tcPr>
          <w:p w14:paraId="7297A962" w14:textId="77777777" w:rsidR="005B7E84" w:rsidRPr="00E8476E" w:rsidRDefault="005B7E84" w:rsidP="00957C52">
            <w:pPr>
              <w:ind w:right="142"/>
              <w:jc w:val="right"/>
              <w:rPr>
                <w:rFonts w:ascii="Calibri" w:hAnsi="Calibri" w:cs="Calibri"/>
                <w:sz w:val="18"/>
                <w:szCs w:val="18"/>
              </w:rPr>
            </w:pPr>
          </w:p>
        </w:tc>
        <w:tc>
          <w:tcPr>
            <w:tcW w:w="1276" w:type="dxa"/>
            <w:tcBorders>
              <w:top w:val="single" w:sz="4" w:space="0" w:color="auto"/>
            </w:tcBorders>
          </w:tcPr>
          <w:p w14:paraId="3F4A0B23" w14:textId="77777777" w:rsidR="005B7E84" w:rsidRPr="00E8476E" w:rsidRDefault="005B7E84" w:rsidP="00957C52">
            <w:pPr>
              <w:ind w:right="142"/>
              <w:jc w:val="right"/>
              <w:rPr>
                <w:rFonts w:ascii="Calibri" w:hAnsi="Calibri" w:cs="Calibri"/>
                <w:sz w:val="18"/>
                <w:szCs w:val="18"/>
              </w:rPr>
            </w:pPr>
          </w:p>
        </w:tc>
        <w:tc>
          <w:tcPr>
            <w:tcW w:w="1275" w:type="dxa"/>
            <w:tcBorders>
              <w:top w:val="single" w:sz="4" w:space="0" w:color="auto"/>
            </w:tcBorders>
          </w:tcPr>
          <w:p w14:paraId="169A2558" w14:textId="77777777" w:rsidR="005B7E84" w:rsidRPr="00E8476E" w:rsidRDefault="005B7E84" w:rsidP="00957C52">
            <w:pPr>
              <w:ind w:right="142"/>
              <w:jc w:val="right"/>
              <w:rPr>
                <w:rFonts w:ascii="Calibri" w:hAnsi="Calibri" w:cs="Calibri"/>
                <w:sz w:val="18"/>
                <w:szCs w:val="18"/>
              </w:rPr>
            </w:pPr>
          </w:p>
        </w:tc>
      </w:tr>
      <w:tr w:rsidR="005B7E84" w:rsidRPr="00E8476E" w14:paraId="0DF68F88" w14:textId="77777777" w:rsidTr="009A2B5A">
        <w:trPr>
          <w:trHeight w:val="229"/>
        </w:trPr>
        <w:tc>
          <w:tcPr>
            <w:tcW w:w="4678" w:type="dxa"/>
          </w:tcPr>
          <w:p w14:paraId="73C2FD3F" w14:textId="04E614B2" w:rsidR="005B7E84" w:rsidRPr="00E8476E" w:rsidRDefault="005B7E84" w:rsidP="00957C52">
            <w:pPr>
              <w:ind w:right="142"/>
              <w:rPr>
                <w:rFonts w:ascii="Calibri" w:hAnsi="Calibri" w:cs="Calibri"/>
                <w:b/>
                <w:sz w:val="18"/>
                <w:szCs w:val="18"/>
              </w:rPr>
            </w:pPr>
            <w:r>
              <w:rPr>
                <w:rFonts w:ascii="Calibri" w:hAnsi="Calibri" w:cs="Calibri"/>
                <w:b/>
                <w:sz w:val="18"/>
                <w:szCs w:val="18"/>
              </w:rPr>
              <w:t>Undiscounted l</w:t>
            </w:r>
            <w:r w:rsidRPr="00E8476E">
              <w:rPr>
                <w:rFonts w:ascii="Calibri" w:hAnsi="Calibri" w:cs="Calibri"/>
                <w:b/>
                <w:sz w:val="18"/>
                <w:szCs w:val="18"/>
              </w:rPr>
              <w:t>oss ratio (Total claims incurred</w:t>
            </w:r>
            <w:r>
              <w:rPr>
                <w:rFonts w:ascii="Calibri" w:hAnsi="Calibri" w:cs="Calibri"/>
                <w:b/>
                <w:sz w:val="18"/>
                <w:szCs w:val="18"/>
              </w:rPr>
              <w:t xml:space="preserve"> and </w:t>
            </w:r>
            <w:r w:rsidR="005C4080">
              <w:rPr>
                <w:rFonts w:ascii="Calibri" w:hAnsi="Calibri" w:cs="Calibri"/>
                <w:b/>
                <w:sz w:val="18"/>
                <w:szCs w:val="18"/>
              </w:rPr>
              <w:t>m</w:t>
            </w:r>
            <w:r>
              <w:rPr>
                <w:rFonts w:ascii="Calibri" w:hAnsi="Calibri" w:cs="Calibri"/>
                <w:b/>
                <w:sz w:val="18"/>
                <w:szCs w:val="18"/>
              </w:rPr>
              <w:t>ovement in other provisions</w:t>
            </w:r>
            <w:r w:rsidRPr="00E8476E">
              <w:rPr>
                <w:rFonts w:ascii="Calibri" w:hAnsi="Calibri" w:cs="Calibri"/>
                <w:b/>
                <w:sz w:val="18"/>
                <w:szCs w:val="18"/>
              </w:rPr>
              <w:t>/Insurance revenue)</w:t>
            </w:r>
          </w:p>
        </w:tc>
        <w:tc>
          <w:tcPr>
            <w:tcW w:w="851" w:type="dxa"/>
          </w:tcPr>
          <w:p w14:paraId="1A7A46AF" w14:textId="77777777" w:rsidR="005B7E84" w:rsidRPr="00E8476E" w:rsidRDefault="005B7E84" w:rsidP="00957C52">
            <w:pPr>
              <w:ind w:right="142"/>
              <w:jc w:val="right"/>
              <w:rPr>
                <w:rFonts w:ascii="Calibri" w:hAnsi="Calibri" w:cs="Calibri"/>
                <w:b/>
                <w:bCs/>
                <w:sz w:val="18"/>
                <w:szCs w:val="18"/>
                <w:lang w:val="en-US"/>
              </w:rPr>
            </w:pPr>
          </w:p>
        </w:tc>
        <w:tc>
          <w:tcPr>
            <w:tcW w:w="1276" w:type="dxa"/>
            <w:tcBorders>
              <w:bottom w:val="single" w:sz="8" w:space="0" w:color="auto"/>
            </w:tcBorders>
          </w:tcPr>
          <w:p w14:paraId="5FF67785" w14:textId="77777777" w:rsidR="005B7E84" w:rsidRDefault="005B7E84" w:rsidP="00957C52">
            <w:pPr>
              <w:ind w:right="142"/>
              <w:jc w:val="right"/>
              <w:rPr>
                <w:rFonts w:ascii="Calibri" w:hAnsi="Calibri" w:cs="Calibri"/>
                <w:b/>
                <w:bCs/>
                <w:sz w:val="18"/>
                <w:szCs w:val="18"/>
                <w:lang w:val="en-US"/>
              </w:rPr>
            </w:pPr>
          </w:p>
          <w:p w14:paraId="0D542241" w14:textId="048476E3" w:rsidR="005B7E84" w:rsidRPr="00E8476E" w:rsidRDefault="005B7E84" w:rsidP="00957C52">
            <w:pPr>
              <w:ind w:right="142"/>
              <w:jc w:val="right"/>
              <w:rPr>
                <w:rFonts w:ascii="Calibri" w:hAnsi="Calibri" w:cs="Calibri"/>
                <w:b/>
                <w:sz w:val="18"/>
                <w:szCs w:val="18"/>
              </w:rPr>
            </w:pPr>
            <w:r>
              <w:rPr>
                <w:rFonts w:ascii="Calibri" w:hAnsi="Calibri" w:cs="Calibri"/>
                <w:b/>
                <w:bCs/>
                <w:sz w:val="18"/>
                <w:szCs w:val="18"/>
                <w:lang w:val="en-US"/>
              </w:rPr>
              <w:t>55.9</w:t>
            </w:r>
            <w:r w:rsidRPr="00E8476E">
              <w:rPr>
                <w:rFonts w:ascii="Calibri" w:hAnsi="Calibri" w:cs="Calibri"/>
                <w:b/>
                <w:bCs/>
                <w:sz w:val="18"/>
                <w:szCs w:val="18"/>
                <w:lang w:val="en-US"/>
              </w:rPr>
              <w:t>%</w:t>
            </w:r>
          </w:p>
        </w:tc>
        <w:tc>
          <w:tcPr>
            <w:tcW w:w="1275" w:type="dxa"/>
            <w:tcBorders>
              <w:bottom w:val="single" w:sz="8" w:space="0" w:color="auto"/>
            </w:tcBorders>
          </w:tcPr>
          <w:p w14:paraId="6FB2D188" w14:textId="77777777" w:rsidR="005B7E84" w:rsidRDefault="005B7E84" w:rsidP="00957C52">
            <w:pPr>
              <w:ind w:right="142"/>
              <w:jc w:val="right"/>
              <w:rPr>
                <w:rFonts w:ascii="Calibri" w:hAnsi="Calibri" w:cs="Calibri"/>
                <w:b/>
                <w:sz w:val="18"/>
                <w:szCs w:val="18"/>
              </w:rPr>
            </w:pPr>
          </w:p>
          <w:p w14:paraId="3A1D37E8" w14:textId="5BF23521" w:rsidR="005B7E84" w:rsidRDefault="005B7E84" w:rsidP="00957C52">
            <w:pPr>
              <w:ind w:right="142"/>
              <w:jc w:val="right"/>
              <w:rPr>
                <w:rFonts w:ascii="Calibri" w:hAnsi="Calibri" w:cs="Calibri"/>
                <w:b/>
                <w:sz w:val="18"/>
                <w:szCs w:val="18"/>
              </w:rPr>
            </w:pPr>
            <w:r>
              <w:rPr>
                <w:rFonts w:ascii="Calibri" w:hAnsi="Calibri" w:cs="Calibri"/>
                <w:b/>
                <w:sz w:val="18"/>
                <w:szCs w:val="18"/>
              </w:rPr>
              <w:t>51.8</w:t>
            </w:r>
            <w:r w:rsidRPr="00E8476E">
              <w:rPr>
                <w:rFonts w:ascii="Calibri" w:hAnsi="Calibri" w:cs="Calibri"/>
                <w:b/>
                <w:sz w:val="18"/>
                <w:szCs w:val="18"/>
              </w:rPr>
              <w:t>%</w:t>
            </w:r>
          </w:p>
        </w:tc>
      </w:tr>
      <w:tr w:rsidR="005B7E84" w:rsidRPr="00105451" w14:paraId="09371AC7" w14:textId="77777777" w:rsidTr="009A2B5A">
        <w:trPr>
          <w:trHeight w:val="221"/>
        </w:trPr>
        <w:tc>
          <w:tcPr>
            <w:tcW w:w="6805" w:type="dxa"/>
            <w:gridSpan w:val="3"/>
          </w:tcPr>
          <w:p w14:paraId="46ED1C7D" w14:textId="77777777" w:rsidR="005B7E84" w:rsidRPr="00105451" w:rsidRDefault="005B7E84" w:rsidP="00957C52">
            <w:pPr>
              <w:ind w:right="142"/>
              <w:rPr>
                <w:rFonts w:ascii="Calibri" w:hAnsi="Calibri" w:cs="Calibri"/>
                <w:sz w:val="16"/>
                <w:szCs w:val="16"/>
              </w:rPr>
            </w:pPr>
          </w:p>
          <w:p w14:paraId="116AB736" w14:textId="17416C72" w:rsidR="005B7E84" w:rsidRPr="00105451" w:rsidRDefault="00301499" w:rsidP="00957C52">
            <w:pPr>
              <w:ind w:right="142"/>
              <w:jc w:val="both"/>
              <w:rPr>
                <w:rFonts w:ascii="Calibri" w:hAnsi="Calibri" w:cs="Calibri"/>
                <w:sz w:val="16"/>
                <w:szCs w:val="16"/>
              </w:rPr>
            </w:pPr>
            <w:r w:rsidRPr="009A2B5A">
              <w:rPr>
                <w:rFonts w:ascii="Calibri" w:hAnsi="Calibri" w:cs="Calibri"/>
                <w:iCs/>
                <w:sz w:val="16"/>
                <w:szCs w:val="16"/>
                <w:vertAlign w:val="superscript"/>
              </w:rPr>
              <w:t>1</w:t>
            </w:r>
            <w:r>
              <w:rPr>
                <w:rFonts w:ascii="Calibri" w:hAnsi="Calibri" w:cs="Calibri"/>
                <w:iCs/>
                <w:sz w:val="16"/>
                <w:szCs w:val="16"/>
              </w:rPr>
              <w:t>E</w:t>
            </w:r>
            <w:r w:rsidR="005B7E84" w:rsidRPr="00105451">
              <w:rPr>
                <w:rFonts w:ascii="Calibri" w:hAnsi="Calibri" w:cs="Calibri"/>
                <w:color w:val="000000"/>
                <w:sz w:val="16"/>
                <w:szCs w:val="16"/>
              </w:rPr>
              <w:t>SG initiative</w:t>
            </w:r>
            <w:r w:rsidR="00A5626B">
              <w:rPr>
                <w:rFonts w:ascii="Calibri" w:hAnsi="Calibri" w:cs="Calibri"/>
                <w:color w:val="000000"/>
                <w:sz w:val="16"/>
                <w:szCs w:val="16"/>
              </w:rPr>
              <w:t xml:space="preserve"> of €2.5m</w:t>
            </w:r>
            <w:r w:rsidR="00A5626B" w:rsidRPr="002972F1">
              <w:rPr>
                <w:rFonts w:ascii="Calibri" w:hAnsi="Calibri" w:cs="Calibri"/>
                <w:color w:val="000000"/>
                <w:sz w:val="16"/>
                <w:szCs w:val="16"/>
              </w:rPr>
              <w:t xml:space="preserve"> </w:t>
            </w:r>
            <w:r w:rsidR="005B7E84" w:rsidRPr="00105451">
              <w:rPr>
                <w:rFonts w:ascii="Calibri" w:hAnsi="Calibri" w:cs="Calibri"/>
                <w:color w:val="000000"/>
                <w:sz w:val="16"/>
                <w:szCs w:val="16"/>
              </w:rPr>
              <w:t>has been excluded as not insurance related</w:t>
            </w:r>
            <w:r w:rsidR="00E42B0B">
              <w:rPr>
                <w:rFonts w:ascii="Calibri" w:hAnsi="Calibri" w:cs="Calibri"/>
                <w:color w:val="000000"/>
                <w:sz w:val="16"/>
                <w:szCs w:val="16"/>
              </w:rPr>
              <w:t>.</w:t>
            </w:r>
          </w:p>
        </w:tc>
        <w:tc>
          <w:tcPr>
            <w:tcW w:w="1275" w:type="dxa"/>
            <w:tcBorders>
              <w:top w:val="single" w:sz="8" w:space="0" w:color="auto"/>
            </w:tcBorders>
          </w:tcPr>
          <w:p w14:paraId="46035740" w14:textId="77777777" w:rsidR="005B7E84" w:rsidRPr="00105451" w:rsidRDefault="005B7E84" w:rsidP="00957C52">
            <w:pPr>
              <w:ind w:right="142"/>
              <w:jc w:val="right"/>
              <w:rPr>
                <w:rFonts w:ascii="Calibri" w:hAnsi="Calibri" w:cs="Calibri"/>
                <w:sz w:val="16"/>
                <w:szCs w:val="16"/>
              </w:rPr>
            </w:pPr>
          </w:p>
        </w:tc>
      </w:tr>
      <w:tr w:rsidR="00E42B0B" w:rsidRPr="00E8476E" w14:paraId="31CC4C22" w14:textId="77777777" w:rsidTr="008350C7">
        <w:trPr>
          <w:trHeight w:val="221"/>
        </w:trPr>
        <w:tc>
          <w:tcPr>
            <w:tcW w:w="8080" w:type="dxa"/>
            <w:gridSpan w:val="4"/>
          </w:tcPr>
          <w:p w14:paraId="491CFA4E" w14:textId="43EA20EA" w:rsidR="00E42B0B" w:rsidRPr="009A2B5A" w:rsidRDefault="00301499" w:rsidP="005C4080">
            <w:pPr>
              <w:tabs>
                <w:tab w:val="left" w:pos="9923"/>
              </w:tabs>
              <w:autoSpaceDE w:val="0"/>
              <w:autoSpaceDN w:val="0"/>
              <w:adjustRightInd w:val="0"/>
              <w:ind w:right="-142"/>
              <w:jc w:val="both"/>
              <w:rPr>
                <w:rFonts w:ascii="Calibri" w:hAnsi="Calibri" w:cs="Calibri"/>
                <w:iCs/>
                <w:sz w:val="16"/>
                <w:szCs w:val="16"/>
              </w:rPr>
            </w:pPr>
            <w:r>
              <w:rPr>
                <w:rFonts w:ascii="Calibri" w:hAnsi="Calibri" w:cs="Calibri"/>
                <w:iCs/>
                <w:sz w:val="16"/>
                <w:szCs w:val="16"/>
                <w:vertAlign w:val="superscript"/>
              </w:rPr>
              <w:t>2</w:t>
            </w:r>
            <w:r w:rsidR="00E42B0B" w:rsidRPr="009A2B5A">
              <w:rPr>
                <w:rFonts w:ascii="Calibri" w:hAnsi="Calibri" w:cs="Calibri"/>
                <w:iCs/>
                <w:sz w:val="16"/>
                <w:szCs w:val="16"/>
              </w:rPr>
              <w:t>These items cannot be reconciled to the financial statements</w:t>
            </w:r>
            <w:r w:rsidR="00E42B0B">
              <w:rPr>
                <w:rFonts w:ascii="Calibri" w:hAnsi="Calibri" w:cs="Calibri"/>
                <w:iCs/>
                <w:sz w:val="16"/>
                <w:szCs w:val="16"/>
              </w:rPr>
              <w:t>.</w:t>
            </w:r>
          </w:p>
          <w:p w14:paraId="77BB616B" w14:textId="3835CED6" w:rsidR="00E42B0B" w:rsidRPr="009A2B5A" w:rsidRDefault="00301499" w:rsidP="00DD7247">
            <w:pPr>
              <w:ind w:right="142"/>
              <w:rPr>
                <w:rFonts w:ascii="Calibri" w:hAnsi="Calibri" w:cs="Calibri"/>
                <w:iCs/>
                <w:sz w:val="16"/>
                <w:szCs w:val="16"/>
              </w:rPr>
            </w:pPr>
            <w:r>
              <w:rPr>
                <w:rFonts w:ascii="Calibri" w:hAnsi="Calibri" w:cs="Calibri"/>
                <w:iCs/>
                <w:sz w:val="16"/>
                <w:szCs w:val="16"/>
                <w:vertAlign w:val="superscript"/>
              </w:rPr>
              <w:t>3</w:t>
            </w:r>
            <w:r w:rsidR="00E42B0B" w:rsidRPr="009A2B5A">
              <w:rPr>
                <w:rFonts w:ascii="Calibri" w:hAnsi="Calibri" w:cs="Calibri"/>
                <w:iCs/>
                <w:sz w:val="16"/>
                <w:szCs w:val="16"/>
              </w:rPr>
              <w:t>T</w:t>
            </w:r>
            <w:r w:rsidR="00E42B0B" w:rsidRPr="00E42B0B">
              <w:rPr>
                <w:rFonts w:ascii="Calibri" w:hAnsi="Calibri" w:cs="Calibri"/>
                <w:iCs/>
                <w:sz w:val="16"/>
                <w:szCs w:val="16"/>
              </w:rPr>
              <w:t>he difference between the undiscounted loss ratio and discounted loss ratio is the effect of discounting only, which has been determined in line with accounting policy 3 (E)</w:t>
            </w:r>
            <w:r w:rsidR="00E42B0B">
              <w:rPr>
                <w:rFonts w:ascii="Calibri" w:hAnsi="Calibri" w:cs="Calibri"/>
                <w:iCs/>
                <w:sz w:val="16"/>
                <w:szCs w:val="16"/>
              </w:rPr>
              <w:t>.</w:t>
            </w:r>
          </w:p>
          <w:p w14:paraId="2C8CD4CB" w14:textId="77777777" w:rsidR="00E42B0B" w:rsidRPr="00E8476E" w:rsidRDefault="00E42B0B" w:rsidP="00DD7247">
            <w:pPr>
              <w:ind w:right="142"/>
              <w:jc w:val="right"/>
              <w:rPr>
                <w:rFonts w:ascii="Calibri" w:hAnsi="Calibri" w:cs="Calibri"/>
                <w:sz w:val="18"/>
                <w:szCs w:val="18"/>
              </w:rPr>
            </w:pPr>
          </w:p>
        </w:tc>
      </w:tr>
      <w:tr w:rsidR="003E636B" w:rsidRPr="00E8476E" w14:paraId="0617D632" w14:textId="77777777" w:rsidTr="009A2B5A">
        <w:trPr>
          <w:trHeight w:val="229"/>
        </w:trPr>
        <w:tc>
          <w:tcPr>
            <w:tcW w:w="4678" w:type="dxa"/>
          </w:tcPr>
          <w:p w14:paraId="7A685A1A" w14:textId="77777777" w:rsidR="003E636B" w:rsidRPr="00E8476E" w:rsidRDefault="003E636B" w:rsidP="00DD7247">
            <w:pPr>
              <w:ind w:right="142"/>
              <w:rPr>
                <w:rFonts w:ascii="Calibri" w:hAnsi="Calibri" w:cs="Calibri"/>
                <w:b/>
                <w:sz w:val="18"/>
                <w:szCs w:val="18"/>
              </w:rPr>
            </w:pPr>
            <w:r w:rsidRPr="00E8476E">
              <w:rPr>
                <w:rFonts w:ascii="Calibri" w:hAnsi="Calibri" w:cs="Calibri"/>
                <w:b/>
                <w:sz w:val="18"/>
                <w:szCs w:val="18"/>
              </w:rPr>
              <w:t>Expense ratio</w:t>
            </w:r>
          </w:p>
        </w:tc>
        <w:tc>
          <w:tcPr>
            <w:tcW w:w="851" w:type="dxa"/>
          </w:tcPr>
          <w:p w14:paraId="10558089" w14:textId="77777777" w:rsidR="003E636B" w:rsidRPr="00E8476E" w:rsidRDefault="003E636B" w:rsidP="00DD7247">
            <w:pPr>
              <w:ind w:right="142"/>
              <w:jc w:val="both"/>
              <w:rPr>
                <w:rFonts w:ascii="Calibri" w:hAnsi="Calibri" w:cs="Calibri"/>
                <w:sz w:val="18"/>
                <w:szCs w:val="18"/>
              </w:rPr>
            </w:pPr>
          </w:p>
        </w:tc>
        <w:tc>
          <w:tcPr>
            <w:tcW w:w="1276" w:type="dxa"/>
          </w:tcPr>
          <w:p w14:paraId="3B30C4FD" w14:textId="77777777" w:rsidR="003E636B" w:rsidRPr="00E8476E" w:rsidRDefault="003E636B" w:rsidP="00DD7247">
            <w:pPr>
              <w:ind w:right="142"/>
              <w:jc w:val="both"/>
              <w:rPr>
                <w:rFonts w:ascii="Calibri" w:hAnsi="Calibri" w:cs="Calibri"/>
                <w:sz w:val="18"/>
                <w:szCs w:val="18"/>
              </w:rPr>
            </w:pPr>
          </w:p>
        </w:tc>
        <w:tc>
          <w:tcPr>
            <w:tcW w:w="1275" w:type="dxa"/>
          </w:tcPr>
          <w:p w14:paraId="797155A7" w14:textId="77777777" w:rsidR="003E636B" w:rsidRPr="00E8476E" w:rsidRDefault="003E636B" w:rsidP="00DD7247">
            <w:pPr>
              <w:ind w:right="142"/>
              <w:jc w:val="right"/>
              <w:rPr>
                <w:rFonts w:ascii="Calibri" w:hAnsi="Calibri" w:cs="Calibri"/>
                <w:sz w:val="18"/>
                <w:szCs w:val="18"/>
              </w:rPr>
            </w:pPr>
          </w:p>
        </w:tc>
      </w:tr>
      <w:tr w:rsidR="003E636B" w:rsidRPr="00E8476E" w14:paraId="29F06A22" w14:textId="77777777" w:rsidTr="009A2B5A">
        <w:trPr>
          <w:trHeight w:val="229"/>
        </w:trPr>
        <w:tc>
          <w:tcPr>
            <w:tcW w:w="4678" w:type="dxa"/>
          </w:tcPr>
          <w:p w14:paraId="5B80E419" w14:textId="77777777" w:rsidR="003E636B" w:rsidRPr="00E8476E" w:rsidRDefault="003E636B" w:rsidP="00DD7247">
            <w:pPr>
              <w:ind w:right="142"/>
              <w:rPr>
                <w:rFonts w:ascii="Calibri" w:hAnsi="Calibri" w:cs="Calibri"/>
                <w:sz w:val="18"/>
                <w:szCs w:val="18"/>
              </w:rPr>
            </w:pPr>
            <w:r w:rsidRPr="00E8476E">
              <w:rPr>
                <w:rFonts w:ascii="Calibri" w:hAnsi="Calibri" w:cs="Calibri"/>
                <w:sz w:val="18"/>
                <w:szCs w:val="18"/>
              </w:rPr>
              <w:t xml:space="preserve">Amortisation of insurance acquisition cash flow </w:t>
            </w:r>
          </w:p>
        </w:tc>
        <w:tc>
          <w:tcPr>
            <w:tcW w:w="851" w:type="dxa"/>
          </w:tcPr>
          <w:p w14:paraId="7ABB8C2A" w14:textId="34C47A0A" w:rsidR="003E636B" w:rsidRPr="00E8476E" w:rsidRDefault="003E636B" w:rsidP="00DD7247">
            <w:pPr>
              <w:ind w:right="142"/>
              <w:jc w:val="right"/>
              <w:rPr>
                <w:rFonts w:ascii="Calibri" w:hAnsi="Calibri" w:cs="Calibri"/>
                <w:bCs/>
                <w:sz w:val="18"/>
                <w:szCs w:val="18"/>
                <w:lang w:val="en-US"/>
              </w:rPr>
            </w:pPr>
          </w:p>
        </w:tc>
        <w:tc>
          <w:tcPr>
            <w:tcW w:w="1276" w:type="dxa"/>
          </w:tcPr>
          <w:p w14:paraId="07FD157B" w14:textId="0527E260" w:rsidR="003E636B" w:rsidRPr="00E8476E" w:rsidRDefault="003E636B" w:rsidP="00DD7247">
            <w:pPr>
              <w:ind w:right="142"/>
              <w:jc w:val="right"/>
              <w:rPr>
                <w:rFonts w:ascii="Calibri" w:hAnsi="Calibri" w:cs="Calibri"/>
                <w:sz w:val="18"/>
                <w:szCs w:val="18"/>
              </w:rPr>
            </w:pPr>
            <w:r>
              <w:rPr>
                <w:rFonts w:ascii="Calibri" w:hAnsi="Calibri" w:cs="Calibri"/>
                <w:sz w:val="18"/>
                <w:szCs w:val="18"/>
              </w:rPr>
              <w:t>75,909</w:t>
            </w:r>
          </w:p>
        </w:tc>
        <w:tc>
          <w:tcPr>
            <w:tcW w:w="1275" w:type="dxa"/>
          </w:tcPr>
          <w:p w14:paraId="0B774098" w14:textId="4F4D77FF" w:rsidR="003E636B" w:rsidRPr="00E8476E" w:rsidRDefault="003E636B" w:rsidP="00DD7247">
            <w:pPr>
              <w:ind w:right="142"/>
              <w:jc w:val="right"/>
              <w:rPr>
                <w:rFonts w:ascii="Calibri" w:hAnsi="Calibri" w:cs="Calibri"/>
                <w:sz w:val="18"/>
                <w:szCs w:val="18"/>
              </w:rPr>
            </w:pPr>
            <w:r w:rsidRPr="00E8476E">
              <w:rPr>
                <w:rFonts w:ascii="Calibri" w:hAnsi="Calibri" w:cs="Calibri"/>
                <w:sz w:val="18"/>
                <w:szCs w:val="18"/>
              </w:rPr>
              <w:t>70,595</w:t>
            </w:r>
          </w:p>
        </w:tc>
      </w:tr>
      <w:tr w:rsidR="003E636B" w:rsidRPr="00E8476E" w14:paraId="3DE61430" w14:textId="77777777" w:rsidTr="009A2B5A">
        <w:trPr>
          <w:trHeight w:val="229"/>
        </w:trPr>
        <w:tc>
          <w:tcPr>
            <w:tcW w:w="4678" w:type="dxa"/>
          </w:tcPr>
          <w:p w14:paraId="1BB5D73D" w14:textId="77777777" w:rsidR="003E636B" w:rsidRPr="00E8476E" w:rsidRDefault="003E636B" w:rsidP="00DD7247">
            <w:pPr>
              <w:ind w:right="142"/>
              <w:rPr>
                <w:rFonts w:ascii="Calibri" w:hAnsi="Calibri" w:cs="Calibri"/>
                <w:sz w:val="18"/>
                <w:szCs w:val="18"/>
              </w:rPr>
            </w:pPr>
            <w:r w:rsidRPr="00E8476E">
              <w:rPr>
                <w:rFonts w:ascii="Calibri" w:hAnsi="Calibri" w:cs="Calibri"/>
                <w:sz w:val="18"/>
                <w:szCs w:val="18"/>
              </w:rPr>
              <w:t>Non-attributable expenses</w:t>
            </w:r>
          </w:p>
        </w:tc>
        <w:tc>
          <w:tcPr>
            <w:tcW w:w="851" w:type="dxa"/>
          </w:tcPr>
          <w:p w14:paraId="2A0F066B" w14:textId="10884DA9" w:rsidR="003E636B" w:rsidRPr="00E8476E" w:rsidRDefault="003E636B" w:rsidP="00DD7247">
            <w:pPr>
              <w:ind w:right="142"/>
              <w:jc w:val="right"/>
              <w:rPr>
                <w:rFonts w:ascii="Calibri" w:hAnsi="Calibri" w:cs="Calibri"/>
                <w:bCs/>
                <w:sz w:val="18"/>
                <w:szCs w:val="18"/>
                <w:lang w:val="en-US"/>
              </w:rPr>
            </w:pPr>
          </w:p>
        </w:tc>
        <w:tc>
          <w:tcPr>
            <w:tcW w:w="1276" w:type="dxa"/>
            <w:tcBorders>
              <w:bottom w:val="single" w:sz="2" w:space="0" w:color="auto"/>
            </w:tcBorders>
          </w:tcPr>
          <w:p w14:paraId="1D7606BF" w14:textId="4C5B7EF2" w:rsidR="003E636B" w:rsidRPr="00E8476E" w:rsidRDefault="003E636B" w:rsidP="00DD7247">
            <w:pPr>
              <w:ind w:right="142"/>
              <w:jc w:val="right"/>
              <w:rPr>
                <w:rFonts w:ascii="Calibri" w:hAnsi="Calibri" w:cs="Calibri"/>
                <w:sz w:val="18"/>
                <w:szCs w:val="18"/>
              </w:rPr>
            </w:pPr>
            <w:r>
              <w:rPr>
                <w:rFonts w:ascii="Calibri" w:hAnsi="Calibri" w:cs="Calibri"/>
                <w:sz w:val="18"/>
                <w:szCs w:val="18"/>
              </w:rPr>
              <w:t>34,018</w:t>
            </w:r>
          </w:p>
        </w:tc>
        <w:tc>
          <w:tcPr>
            <w:tcW w:w="1275" w:type="dxa"/>
            <w:tcBorders>
              <w:bottom w:val="single" w:sz="2" w:space="0" w:color="auto"/>
            </w:tcBorders>
          </w:tcPr>
          <w:p w14:paraId="0B40EBA9" w14:textId="4EE4770D" w:rsidR="003E636B" w:rsidRPr="00E8476E" w:rsidRDefault="003E636B" w:rsidP="00DD7247">
            <w:pPr>
              <w:ind w:right="142"/>
              <w:jc w:val="right"/>
              <w:rPr>
                <w:rFonts w:ascii="Calibri" w:hAnsi="Calibri" w:cs="Calibri"/>
                <w:sz w:val="18"/>
                <w:szCs w:val="18"/>
              </w:rPr>
            </w:pPr>
            <w:r w:rsidRPr="00E8476E">
              <w:rPr>
                <w:rFonts w:ascii="Calibri" w:hAnsi="Calibri" w:cs="Calibri"/>
                <w:sz w:val="18"/>
                <w:szCs w:val="18"/>
              </w:rPr>
              <w:t>33,048</w:t>
            </w:r>
          </w:p>
        </w:tc>
      </w:tr>
      <w:tr w:rsidR="003E636B" w:rsidRPr="00E8476E" w14:paraId="5DB57FD6" w14:textId="77777777" w:rsidTr="009A2B5A">
        <w:trPr>
          <w:trHeight w:val="229"/>
        </w:trPr>
        <w:tc>
          <w:tcPr>
            <w:tcW w:w="4678" w:type="dxa"/>
          </w:tcPr>
          <w:p w14:paraId="3EA14935" w14:textId="77777777" w:rsidR="003E636B" w:rsidRPr="00E8476E" w:rsidRDefault="003E636B" w:rsidP="00DD7247">
            <w:pPr>
              <w:ind w:right="142"/>
              <w:rPr>
                <w:rFonts w:ascii="Calibri" w:hAnsi="Calibri" w:cs="Calibri"/>
                <w:b/>
                <w:sz w:val="18"/>
                <w:szCs w:val="18"/>
              </w:rPr>
            </w:pPr>
            <w:r w:rsidRPr="00E8476E">
              <w:rPr>
                <w:rFonts w:ascii="Calibri" w:hAnsi="Calibri" w:cs="Calibri"/>
                <w:b/>
                <w:sz w:val="18"/>
                <w:szCs w:val="18"/>
              </w:rPr>
              <w:t>Total insurance acquisition and non-attributable expenses</w:t>
            </w:r>
          </w:p>
        </w:tc>
        <w:tc>
          <w:tcPr>
            <w:tcW w:w="851" w:type="dxa"/>
          </w:tcPr>
          <w:p w14:paraId="3EB4B57A" w14:textId="581810CE" w:rsidR="003E636B" w:rsidRPr="00E8476E" w:rsidRDefault="003E636B" w:rsidP="00DD7247">
            <w:pPr>
              <w:ind w:right="142"/>
              <w:jc w:val="right"/>
              <w:rPr>
                <w:rFonts w:ascii="Calibri" w:hAnsi="Calibri" w:cs="Calibri"/>
                <w:b/>
                <w:bCs/>
                <w:sz w:val="18"/>
                <w:szCs w:val="18"/>
                <w:lang w:val="en-US"/>
              </w:rPr>
            </w:pPr>
          </w:p>
        </w:tc>
        <w:tc>
          <w:tcPr>
            <w:tcW w:w="1276" w:type="dxa"/>
            <w:tcBorders>
              <w:top w:val="single" w:sz="2" w:space="0" w:color="auto"/>
            </w:tcBorders>
          </w:tcPr>
          <w:p w14:paraId="2EFAD0D8" w14:textId="77777777" w:rsidR="003E636B" w:rsidRDefault="003E636B" w:rsidP="00DD7247">
            <w:pPr>
              <w:ind w:right="142"/>
              <w:jc w:val="right"/>
              <w:rPr>
                <w:rFonts w:ascii="Calibri" w:hAnsi="Calibri" w:cs="Calibri"/>
                <w:b/>
                <w:sz w:val="18"/>
                <w:szCs w:val="18"/>
              </w:rPr>
            </w:pPr>
          </w:p>
          <w:p w14:paraId="446773C6" w14:textId="6386A8BB" w:rsidR="003E636B" w:rsidRPr="00E8476E" w:rsidRDefault="003E636B" w:rsidP="00DD7247">
            <w:pPr>
              <w:ind w:right="142"/>
              <w:jc w:val="right"/>
              <w:rPr>
                <w:rFonts w:ascii="Calibri" w:hAnsi="Calibri" w:cs="Calibri"/>
                <w:b/>
                <w:sz w:val="18"/>
                <w:szCs w:val="18"/>
              </w:rPr>
            </w:pPr>
            <w:r>
              <w:rPr>
                <w:rFonts w:ascii="Calibri" w:hAnsi="Calibri" w:cs="Calibri"/>
                <w:b/>
                <w:sz w:val="18"/>
                <w:szCs w:val="18"/>
              </w:rPr>
              <w:t>109,927</w:t>
            </w:r>
          </w:p>
        </w:tc>
        <w:tc>
          <w:tcPr>
            <w:tcW w:w="1275" w:type="dxa"/>
            <w:tcBorders>
              <w:top w:val="single" w:sz="2" w:space="0" w:color="auto"/>
            </w:tcBorders>
          </w:tcPr>
          <w:p w14:paraId="2DB81606" w14:textId="77777777" w:rsidR="003E636B" w:rsidRDefault="003E636B" w:rsidP="00DD7247">
            <w:pPr>
              <w:ind w:right="142"/>
              <w:jc w:val="right"/>
              <w:rPr>
                <w:rFonts w:ascii="Calibri" w:hAnsi="Calibri" w:cs="Calibri"/>
                <w:b/>
                <w:sz w:val="18"/>
                <w:szCs w:val="18"/>
              </w:rPr>
            </w:pPr>
          </w:p>
          <w:p w14:paraId="364B62D2" w14:textId="0A31B807" w:rsidR="003E636B" w:rsidRDefault="003E636B" w:rsidP="00DD7247">
            <w:pPr>
              <w:ind w:right="142"/>
              <w:jc w:val="right"/>
              <w:rPr>
                <w:rFonts w:ascii="Calibri" w:hAnsi="Calibri" w:cs="Calibri"/>
                <w:b/>
                <w:sz w:val="18"/>
                <w:szCs w:val="18"/>
              </w:rPr>
            </w:pPr>
            <w:r w:rsidRPr="00E8476E">
              <w:rPr>
                <w:rFonts w:ascii="Calibri" w:hAnsi="Calibri" w:cs="Calibri"/>
                <w:b/>
                <w:sz w:val="18"/>
                <w:szCs w:val="18"/>
              </w:rPr>
              <w:t>103,643</w:t>
            </w:r>
          </w:p>
        </w:tc>
      </w:tr>
      <w:tr w:rsidR="003E636B" w:rsidRPr="00E8476E" w14:paraId="5EB754DF" w14:textId="77777777" w:rsidTr="009A2B5A">
        <w:trPr>
          <w:trHeight w:val="229"/>
        </w:trPr>
        <w:tc>
          <w:tcPr>
            <w:tcW w:w="4678" w:type="dxa"/>
          </w:tcPr>
          <w:p w14:paraId="16F60A77" w14:textId="77777777" w:rsidR="003E636B" w:rsidRPr="00E8476E" w:rsidRDefault="003E636B" w:rsidP="00DD7247">
            <w:pPr>
              <w:ind w:right="142"/>
              <w:rPr>
                <w:rFonts w:ascii="Calibri" w:hAnsi="Calibri" w:cs="Calibri"/>
                <w:sz w:val="18"/>
                <w:szCs w:val="18"/>
              </w:rPr>
            </w:pPr>
          </w:p>
        </w:tc>
        <w:tc>
          <w:tcPr>
            <w:tcW w:w="851" w:type="dxa"/>
          </w:tcPr>
          <w:p w14:paraId="77FC22E9" w14:textId="77777777" w:rsidR="003E636B" w:rsidRPr="00E8476E" w:rsidRDefault="003E636B" w:rsidP="00DD7247">
            <w:pPr>
              <w:ind w:right="142"/>
              <w:jc w:val="both"/>
              <w:rPr>
                <w:rFonts w:ascii="Calibri" w:hAnsi="Calibri" w:cs="Calibri"/>
                <w:sz w:val="18"/>
                <w:szCs w:val="18"/>
              </w:rPr>
            </w:pPr>
          </w:p>
        </w:tc>
        <w:tc>
          <w:tcPr>
            <w:tcW w:w="1276" w:type="dxa"/>
          </w:tcPr>
          <w:p w14:paraId="1ED440E1" w14:textId="77777777" w:rsidR="003E636B" w:rsidRPr="00E8476E" w:rsidRDefault="003E636B" w:rsidP="00DD7247">
            <w:pPr>
              <w:ind w:right="142"/>
              <w:jc w:val="both"/>
              <w:rPr>
                <w:rFonts w:ascii="Calibri" w:hAnsi="Calibri" w:cs="Calibri"/>
                <w:sz w:val="18"/>
                <w:szCs w:val="18"/>
              </w:rPr>
            </w:pPr>
          </w:p>
        </w:tc>
        <w:tc>
          <w:tcPr>
            <w:tcW w:w="1275" w:type="dxa"/>
          </w:tcPr>
          <w:p w14:paraId="74ADC1FC" w14:textId="77777777" w:rsidR="003E636B" w:rsidRPr="00E8476E" w:rsidRDefault="003E636B" w:rsidP="00DD7247">
            <w:pPr>
              <w:ind w:right="142"/>
              <w:jc w:val="right"/>
              <w:rPr>
                <w:rFonts w:ascii="Calibri" w:hAnsi="Calibri" w:cs="Calibri"/>
                <w:sz w:val="18"/>
                <w:szCs w:val="18"/>
              </w:rPr>
            </w:pPr>
          </w:p>
        </w:tc>
      </w:tr>
      <w:tr w:rsidR="003E636B" w:rsidRPr="00E8476E" w14:paraId="71F320FA" w14:textId="77777777" w:rsidTr="009A2B5A">
        <w:trPr>
          <w:trHeight w:val="221"/>
        </w:trPr>
        <w:tc>
          <w:tcPr>
            <w:tcW w:w="4678" w:type="dxa"/>
          </w:tcPr>
          <w:p w14:paraId="3A3FDCB5" w14:textId="77777777" w:rsidR="003E636B" w:rsidRPr="00E8476E" w:rsidRDefault="003E636B" w:rsidP="00DD7247">
            <w:pPr>
              <w:ind w:right="142"/>
              <w:rPr>
                <w:rFonts w:ascii="Calibri" w:hAnsi="Calibri" w:cs="Calibri"/>
                <w:sz w:val="18"/>
                <w:szCs w:val="18"/>
              </w:rPr>
            </w:pPr>
            <w:r w:rsidRPr="00E8476E">
              <w:rPr>
                <w:rFonts w:ascii="Calibri" w:hAnsi="Calibri" w:cs="Calibri"/>
                <w:sz w:val="18"/>
                <w:szCs w:val="18"/>
              </w:rPr>
              <w:t>Insurance revenue</w:t>
            </w:r>
          </w:p>
        </w:tc>
        <w:tc>
          <w:tcPr>
            <w:tcW w:w="851" w:type="dxa"/>
          </w:tcPr>
          <w:p w14:paraId="3F02E299" w14:textId="77777777" w:rsidR="003E636B" w:rsidRPr="00E8476E" w:rsidRDefault="003E636B" w:rsidP="00DD7247">
            <w:pPr>
              <w:ind w:right="142"/>
              <w:jc w:val="right"/>
              <w:rPr>
                <w:rFonts w:ascii="Calibri" w:hAnsi="Calibri" w:cs="Calibri"/>
                <w:bCs/>
                <w:sz w:val="18"/>
                <w:szCs w:val="18"/>
                <w:lang w:val="en-US"/>
              </w:rPr>
            </w:pPr>
          </w:p>
        </w:tc>
        <w:tc>
          <w:tcPr>
            <w:tcW w:w="1276" w:type="dxa"/>
            <w:tcBorders>
              <w:bottom w:val="single" w:sz="2" w:space="0" w:color="auto"/>
            </w:tcBorders>
          </w:tcPr>
          <w:p w14:paraId="6CBBCF10" w14:textId="75DFFEFA" w:rsidR="003E636B" w:rsidRPr="00E8476E" w:rsidRDefault="003E636B" w:rsidP="00DD7247">
            <w:pPr>
              <w:ind w:right="142"/>
              <w:jc w:val="right"/>
              <w:rPr>
                <w:rFonts w:ascii="Calibri" w:hAnsi="Calibri" w:cs="Calibri"/>
                <w:sz w:val="18"/>
                <w:szCs w:val="18"/>
              </w:rPr>
            </w:pPr>
            <w:r>
              <w:rPr>
                <w:rFonts w:ascii="Calibri" w:hAnsi="Calibri" w:cs="Calibri"/>
                <w:sz w:val="18"/>
                <w:szCs w:val="18"/>
              </w:rPr>
              <w:t>401,026</w:t>
            </w:r>
          </w:p>
        </w:tc>
        <w:tc>
          <w:tcPr>
            <w:tcW w:w="1275" w:type="dxa"/>
            <w:tcBorders>
              <w:bottom w:val="single" w:sz="2" w:space="0" w:color="auto"/>
            </w:tcBorders>
          </w:tcPr>
          <w:p w14:paraId="6802FCAB" w14:textId="306DA1D6" w:rsidR="003E636B" w:rsidRPr="00E8476E" w:rsidRDefault="003E636B" w:rsidP="00DD7247">
            <w:pPr>
              <w:ind w:right="142"/>
              <w:jc w:val="right"/>
              <w:rPr>
                <w:rFonts w:ascii="Calibri" w:hAnsi="Calibri" w:cs="Calibri"/>
                <w:sz w:val="18"/>
                <w:szCs w:val="18"/>
              </w:rPr>
            </w:pPr>
            <w:r w:rsidRPr="00E8476E">
              <w:rPr>
                <w:rFonts w:ascii="Calibri" w:hAnsi="Calibri" w:cs="Calibri"/>
                <w:sz w:val="18"/>
                <w:szCs w:val="18"/>
              </w:rPr>
              <w:t>379,697</w:t>
            </w:r>
          </w:p>
        </w:tc>
      </w:tr>
      <w:tr w:rsidR="003E636B" w:rsidRPr="00E8476E" w14:paraId="79DC6049" w14:textId="77777777" w:rsidTr="009A2B5A">
        <w:trPr>
          <w:trHeight w:val="229"/>
        </w:trPr>
        <w:tc>
          <w:tcPr>
            <w:tcW w:w="4678" w:type="dxa"/>
          </w:tcPr>
          <w:p w14:paraId="1744F83B" w14:textId="77777777" w:rsidR="003E636B" w:rsidRPr="00E8476E" w:rsidRDefault="003E636B" w:rsidP="00DD7247">
            <w:pPr>
              <w:ind w:right="142"/>
              <w:rPr>
                <w:rFonts w:ascii="Calibri" w:hAnsi="Calibri" w:cs="Calibri"/>
                <w:b/>
                <w:sz w:val="18"/>
                <w:szCs w:val="18"/>
              </w:rPr>
            </w:pPr>
            <w:r w:rsidRPr="00E8476E">
              <w:rPr>
                <w:rFonts w:ascii="Calibri" w:hAnsi="Calibri" w:cs="Calibri"/>
                <w:b/>
                <w:sz w:val="18"/>
                <w:szCs w:val="18"/>
              </w:rPr>
              <w:t>Expense ratio (Total insurance acquisition and non-attributable expenses</w:t>
            </w:r>
            <w:r w:rsidRPr="00E8476E" w:rsidDel="00F17AC4">
              <w:rPr>
                <w:rFonts w:ascii="Calibri" w:hAnsi="Calibri" w:cs="Calibri"/>
                <w:b/>
                <w:sz w:val="18"/>
                <w:szCs w:val="18"/>
              </w:rPr>
              <w:t xml:space="preserve"> </w:t>
            </w:r>
            <w:r w:rsidRPr="00E8476E">
              <w:rPr>
                <w:rFonts w:ascii="Calibri" w:hAnsi="Calibri" w:cs="Calibri"/>
                <w:b/>
                <w:sz w:val="18"/>
                <w:szCs w:val="18"/>
              </w:rPr>
              <w:t>/Insurance revenue)</w:t>
            </w:r>
          </w:p>
        </w:tc>
        <w:tc>
          <w:tcPr>
            <w:tcW w:w="851" w:type="dxa"/>
          </w:tcPr>
          <w:p w14:paraId="4BF3A801" w14:textId="77777777" w:rsidR="003E636B" w:rsidRPr="00E8476E" w:rsidRDefault="003E636B" w:rsidP="00DD7247">
            <w:pPr>
              <w:ind w:right="142"/>
              <w:jc w:val="right"/>
              <w:rPr>
                <w:rFonts w:ascii="Calibri" w:hAnsi="Calibri" w:cs="Calibri"/>
                <w:b/>
                <w:bCs/>
                <w:sz w:val="18"/>
                <w:szCs w:val="18"/>
                <w:lang w:val="en-US"/>
              </w:rPr>
            </w:pPr>
          </w:p>
        </w:tc>
        <w:tc>
          <w:tcPr>
            <w:tcW w:w="1276" w:type="dxa"/>
            <w:tcBorders>
              <w:top w:val="single" w:sz="2" w:space="0" w:color="auto"/>
              <w:bottom w:val="single" w:sz="8" w:space="0" w:color="auto"/>
            </w:tcBorders>
          </w:tcPr>
          <w:p w14:paraId="5D810D85" w14:textId="77777777" w:rsidR="003E636B" w:rsidRDefault="003E636B" w:rsidP="00DD7247">
            <w:pPr>
              <w:ind w:right="142"/>
              <w:jc w:val="right"/>
              <w:rPr>
                <w:rFonts w:ascii="Calibri" w:hAnsi="Calibri" w:cs="Calibri"/>
                <w:b/>
                <w:bCs/>
                <w:sz w:val="18"/>
                <w:szCs w:val="18"/>
                <w:lang w:val="en-US"/>
              </w:rPr>
            </w:pPr>
          </w:p>
          <w:p w14:paraId="3AF09B62" w14:textId="70B7731A" w:rsidR="003E636B" w:rsidRPr="00E8476E" w:rsidRDefault="003E636B" w:rsidP="00DD7247">
            <w:pPr>
              <w:ind w:right="142"/>
              <w:jc w:val="right"/>
              <w:rPr>
                <w:rFonts w:ascii="Calibri" w:hAnsi="Calibri" w:cs="Calibri"/>
                <w:b/>
                <w:sz w:val="18"/>
                <w:szCs w:val="18"/>
              </w:rPr>
            </w:pPr>
            <w:r>
              <w:rPr>
                <w:rFonts w:ascii="Calibri" w:hAnsi="Calibri" w:cs="Calibri"/>
                <w:b/>
                <w:bCs/>
                <w:sz w:val="18"/>
                <w:szCs w:val="18"/>
                <w:lang w:val="en-US"/>
              </w:rPr>
              <w:t>27.4</w:t>
            </w:r>
            <w:r w:rsidRPr="00E8476E">
              <w:rPr>
                <w:rFonts w:ascii="Calibri" w:hAnsi="Calibri" w:cs="Calibri"/>
                <w:b/>
                <w:bCs/>
                <w:sz w:val="18"/>
                <w:szCs w:val="18"/>
                <w:lang w:val="en-US"/>
              </w:rPr>
              <w:t>%</w:t>
            </w:r>
          </w:p>
        </w:tc>
        <w:tc>
          <w:tcPr>
            <w:tcW w:w="1275" w:type="dxa"/>
            <w:tcBorders>
              <w:top w:val="single" w:sz="2" w:space="0" w:color="auto"/>
              <w:bottom w:val="single" w:sz="8" w:space="0" w:color="auto"/>
            </w:tcBorders>
          </w:tcPr>
          <w:p w14:paraId="78E6588B" w14:textId="77777777" w:rsidR="003E636B" w:rsidRDefault="003E636B" w:rsidP="00DD7247">
            <w:pPr>
              <w:ind w:right="142"/>
              <w:jc w:val="right"/>
              <w:rPr>
                <w:rFonts w:ascii="Calibri" w:hAnsi="Calibri" w:cs="Calibri"/>
                <w:b/>
                <w:sz w:val="18"/>
                <w:szCs w:val="18"/>
              </w:rPr>
            </w:pPr>
          </w:p>
          <w:p w14:paraId="13348122" w14:textId="37DFC97A" w:rsidR="003E636B" w:rsidRDefault="003E636B" w:rsidP="00DD7247">
            <w:pPr>
              <w:ind w:right="142"/>
              <w:jc w:val="right"/>
              <w:rPr>
                <w:rFonts w:ascii="Calibri" w:hAnsi="Calibri" w:cs="Calibri"/>
                <w:b/>
                <w:sz w:val="18"/>
                <w:szCs w:val="18"/>
              </w:rPr>
            </w:pPr>
            <w:r w:rsidRPr="00E8476E">
              <w:rPr>
                <w:rFonts w:ascii="Calibri" w:hAnsi="Calibri" w:cs="Calibri"/>
                <w:b/>
                <w:sz w:val="18"/>
                <w:szCs w:val="18"/>
              </w:rPr>
              <w:t>27.3%</w:t>
            </w:r>
          </w:p>
        </w:tc>
      </w:tr>
      <w:tr w:rsidR="003E636B" w:rsidRPr="00E8476E" w14:paraId="1490F2D8" w14:textId="77777777" w:rsidTr="009A2B5A">
        <w:trPr>
          <w:trHeight w:val="221"/>
        </w:trPr>
        <w:tc>
          <w:tcPr>
            <w:tcW w:w="4678" w:type="dxa"/>
          </w:tcPr>
          <w:p w14:paraId="1666DB37" w14:textId="77777777" w:rsidR="003E636B" w:rsidRPr="00E8476E" w:rsidRDefault="003E636B" w:rsidP="00DD7247">
            <w:pPr>
              <w:ind w:right="142"/>
              <w:rPr>
                <w:rFonts w:ascii="Calibri" w:hAnsi="Calibri" w:cs="Calibri"/>
                <w:sz w:val="18"/>
                <w:szCs w:val="18"/>
              </w:rPr>
            </w:pPr>
          </w:p>
        </w:tc>
        <w:tc>
          <w:tcPr>
            <w:tcW w:w="851" w:type="dxa"/>
          </w:tcPr>
          <w:p w14:paraId="02F488DA" w14:textId="77777777" w:rsidR="003E636B" w:rsidRPr="00E8476E" w:rsidRDefault="003E636B" w:rsidP="00DD7247">
            <w:pPr>
              <w:ind w:right="142"/>
              <w:jc w:val="both"/>
              <w:rPr>
                <w:rFonts w:ascii="Calibri" w:hAnsi="Calibri" w:cs="Calibri"/>
                <w:sz w:val="18"/>
                <w:szCs w:val="18"/>
              </w:rPr>
            </w:pPr>
          </w:p>
        </w:tc>
        <w:tc>
          <w:tcPr>
            <w:tcW w:w="1276" w:type="dxa"/>
            <w:tcBorders>
              <w:top w:val="single" w:sz="8" w:space="0" w:color="auto"/>
            </w:tcBorders>
          </w:tcPr>
          <w:p w14:paraId="7A32CBB0" w14:textId="77777777" w:rsidR="003E636B" w:rsidRPr="00E8476E" w:rsidRDefault="003E636B" w:rsidP="00DD7247">
            <w:pPr>
              <w:ind w:right="142"/>
              <w:jc w:val="both"/>
              <w:rPr>
                <w:rFonts w:ascii="Calibri" w:hAnsi="Calibri" w:cs="Calibri"/>
                <w:sz w:val="18"/>
                <w:szCs w:val="18"/>
              </w:rPr>
            </w:pPr>
          </w:p>
        </w:tc>
        <w:tc>
          <w:tcPr>
            <w:tcW w:w="1275" w:type="dxa"/>
            <w:tcBorders>
              <w:top w:val="single" w:sz="8" w:space="0" w:color="auto"/>
            </w:tcBorders>
          </w:tcPr>
          <w:p w14:paraId="2D0A69DE" w14:textId="77777777" w:rsidR="003E636B" w:rsidRPr="00E8476E" w:rsidRDefault="003E636B" w:rsidP="00DD7247">
            <w:pPr>
              <w:ind w:right="142"/>
              <w:jc w:val="right"/>
              <w:rPr>
                <w:rFonts w:ascii="Calibri" w:hAnsi="Calibri" w:cs="Calibri"/>
                <w:sz w:val="18"/>
                <w:szCs w:val="18"/>
              </w:rPr>
            </w:pPr>
          </w:p>
        </w:tc>
      </w:tr>
      <w:tr w:rsidR="003E636B" w:rsidRPr="00E8476E" w14:paraId="3B9659E8" w14:textId="77777777" w:rsidTr="009A2B5A">
        <w:trPr>
          <w:trHeight w:val="221"/>
        </w:trPr>
        <w:tc>
          <w:tcPr>
            <w:tcW w:w="4678" w:type="dxa"/>
          </w:tcPr>
          <w:p w14:paraId="17C10F47" w14:textId="77777777" w:rsidR="003E636B" w:rsidRPr="00E8476E" w:rsidRDefault="003E636B" w:rsidP="00DD7247">
            <w:pPr>
              <w:ind w:right="142"/>
              <w:rPr>
                <w:rFonts w:ascii="Calibri" w:hAnsi="Calibri" w:cs="Calibri"/>
                <w:sz w:val="18"/>
                <w:szCs w:val="18"/>
              </w:rPr>
            </w:pPr>
          </w:p>
        </w:tc>
        <w:tc>
          <w:tcPr>
            <w:tcW w:w="851" w:type="dxa"/>
          </w:tcPr>
          <w:p w14:paraId="6473E338" w14:textId="77777777" w:rsidR="003E636B" w:rsidRPr="00E8476E" w:rsidRDefault="003E636B" w:rsidP="00DD7247">
            <w:pPr>
              <w:ind w:right="142"/>
              <w:jc w:val="right"/>
              <w:rPr>
                <w:rFonts w:ascii="Calibri" w:hAnsi="Calibri" w:cs="Calibri"/>
                <w:b/>
                <w:sz w:val="18"/>
                <w:szCs w:val="18"/>
              </w:rPr>
            </w:pPr>
          </w:p>
        </w:tc>
        <w:tc>
          <w:tcPr>
            <w:tcW w:w="1276" w:type="dxa"/>
          </w:tcPr>
          <w:p w14:paraId="4CE0BFAC" w14:textId="77777777" w:rsidR="003E636B" w:rsidRPr="00E8476E" w:rsidRDefault="003E636B" w:rsidP="00DD7247">
            <w:pPr>
              <w:ind w:right="142"/>
              <w:jc w:val="right"/>
              <w:rPr>
                <w:rFonts w:ascii="Calibri" w:hAnsi="Calibri" w:cs="Calibri"/>
                <w:sz w:val="18"/>
                <w:szCs w:val="18"/>
              </w:rPr>
            </w:pPr>
            <w:r w:rsidRPr="00E8476E">
              <w:rPr>
                <w:rFonts w:ascii="Calibri" w:hAnsi="Calibri" w:cs="Calibri"/>
                <w:b/>
                <w:sz w:val="18"/>
                <w:szCs w:val="18"/>
              </w:rPr>
              <w:t>%</w:t>
            </w:r>
          </w:p>
        </w:tc>
        <w:tc>
          <w:tcPr>
            <w:tcW w:w="1275" w:type="dxa"/>
          </w:tcPr>
          <w:p w14:paraId="35429863" w14:textId="1F412643" w:rsidR="003E636B" w:rsidRPr="00E8476E" w:rsidRDefault="003E636B" w:rsidP="00DD7247">
            <w:pPr>
              <w:ind w:right="142"/>
              <w:jc w:val="right"/>
              <w:rPr>
                <w:rFonts w:ascii="Calibri" w:hAnsi="Calibri" w:cs="Calibri"/>
                <w:sz w:val="18"/>
                <w:szCs w:val="18"/>
              </w:rPr>
            </w:pPr>
            <w:r w:rsidRPr="00E8476E">
              <w:rPr>
                <w:rFonts w:ascii="Calibri" w:hAnsi="Calibri" w:cs="Calibri"/>
                <w:sz w:val="18"/>
                <w:szCs w:val="18"/>
              </w:rPr>
              <w:t>%</w:t>
            </w:r>
          </w:p>
        </w:tc>
      </w:tr>
      <w:tr w:rsidR="003E636B" w:rsidRPr="00E8476E" w14:paraId="62E3872E" w14:textId="77777777" w:rsidTr="009A2B5A">
        <w:trPr>
          <w:trHeight w:val="221"/>
        </w:trPr>
        <w:tc>
          <w:tcPr>
            <w:tcW w:w="4678" w:type="dxa"/>
          </w:tcPr>
          <w:p w14:paraId="1203EABB" w14:textId="77777777" w:rsidR="003E636B" w:rsidRPr="004710EB" w:rsidRDefault="003E636B" w:rsidP="00DD7247">
            <w:pPr>
              <w:ind w:right="142"/>
              <w:rPr>
                <w:rFonts w:ascii="Calibri" w:hAnsi="Calibri" w:cs="Calibri"/>
                <w:b/>
                <w:sz w:val="18"/>
                <w:szCs w:val="18"/>
              </w:rPr>
            </w:pPr>
            <w:r w:rsidRPr="004710EB">
              <w:rPr>
                <w:rFonts w:ascii="Calibri" w:hAnsi="Calibri" w:cs="Calibri"/>
                <w:b/>
                <w:sz w:val="18"/>
                <w:szCs w:val="18"/>
              </w:rPr>
              <w:t>Combined operating ratio</w:t>
            </w:r>
          </w:p>
        </w:tc>
        <w:tc>
          <w:tcPr>
            <w:tcW w:w="851" w:type="dxa"/>
          </w:tcPr>
          <w:p w14:paraId="3B50CC6B" w14:textId="77777777" w:rsidR="003E636B" w:rsidRPr="00E8476E" w:rsidRDefault="003E636B" w:rsidP="00DD7247">
            <w:pPr>
              <w:ind w:right="142"/>
              <w:jc w:val="right"/>
              <w:rPr>
                <w:rFonts w:ascii="Calibri" w:hAnsi="Calibri" w:cs="Calibri"/>
                <w:b/>
                <w:sz w:val="18"/>
                <w:szCs w:val="18"/>
              </w:rPr>
            </w:pPr>
          </w:p>
        </w:tc>
        <w:tc>
          <w:tcPr>
            <w:tcW w:w="1276" w:type="dxa"/>
          </w:tcPr>
          <w:p w14:paraId="25BEFF76" w14:textId="77777777" w:rsidR="003E636B" w:rsidRPr="00E8476E" w:rsidRDefault="003E636B" w:rsidP="00DD7247">
            <w:pPr>
              <w:ind w:right="142"/>
              <w:jc w:val="right"/>
              <w:rPr>
                <w:rFonts w:ascii="Calibri" w:hAnsi="Calibri" w:cs="Calibri"/>
                <w:b/>
                <w:sz w:val="18"/>
                <w:szCs w:val="18"/>
              </w:rPr>
            </w:pPr>
          </w:p>
        </w:tc>
        <w:tc>
          <w:tcPr>
            <w:tcW w:w="1275" w:type="dxa"/>
          </w:tcPr>
          <w:p w14:paraId="72DE0534" w14:textId="77777777" w:rsidR="003E636B" w:rsidRPr="00E8476E" w:rsidRDefault="003E636B" w:rsidP="00DD7247">
            <w:pPr>
              <w:ind w:right="142"/>
              <w:jc w:val="right"/>
              <w:rPr>
                <w:rFonts w:ascii="Calibri" w:hAnsi="Calibri" w:cs="Calibri"/>
                <w:sz w:val="18"/>
                <w:szCs w:val="18"/>
              </w:rPr>
            </w:pPr>
          </w:p>
        </w:tc>
      </w:tr>
      <w:tr w:rsidR="003E636B" w:rsidRPr="00E8476E" w14:paraId="6A84C04B" w14:textId="77777777" w:rsidTr="009A2B5A">
        <w:trPr>
          <w:trHeight w:val="221"/>
        </w:trPr>
        <w:tc>
          <w:tcPr>
            <w:tcW w:w="4678" w:type="dxa"/>
          </w:tcPr>
          <w:p w14:paraId="4DC5E4F9" w14:textId="77777777" w:rsidR="003E636B" w:rsidRPr="00E8476E" w:rsidRDefault="003E636B" w:rsidP="00DD7247">
            <w:pPr>
              <w:ind w:right="142"/>
              <w:rPr>
                <w:rFonts w:ascii="Calibri" w:hAnsi="Calibri" w:cs="Calibri"/>
                <w:sz w:val="18"/>
                <w:szCs w:val="18"/>
              </w:rPr>
            </w:pPr>
            <w:r w:rsidRPr="00E8476E">
              <w:rPr>
                <w:rFonts w:ascii="Calibri" w:hAnsi="Calibri" w:cs="Calibri"/>
                <w:sz w:val="18"/>
                <w:szCs w:val="18"/>
              </w:rPr>
              <w:t>Loss ratio</w:t>
            </w:r>
          </w:p>
        </w:tc>
        <w:tc>
          <w:tcPr>
            <w:tcW w:w="851" w:type="dxa"/>
          </w:tcPr>
          <w:p w14:paraId="3BEE0890" w14:textId="77777777" w:rsidR="003E636B" w:rsidRPr="00E8476E" w:rsidRDefault="003E636B" w:rsidP="00DD7247">
            <w:pPr>
              <w:ind w:right="142"/>
              <w:jc w:val="right"/>
              <w:rPr>
                <w:rFonts w:ascii="Calibri" w:hAnsi="Calibri" w:cs="Calibri"/>
                <w:bCs/>
                <w:sz w:val="18"/>
                <w:szCs w:val="18"/>
                <w:lang w:val="en-US"/>
              </w:rPr>
            </w:pPr>
          </w:p>
        </w:tc>
        <w:tc>
          <w:tcPr>
            <w:tcW w:w="1276" w:type="dxa"/>
          </w:tcPr>
          <w:p w14:paraId="35CB4991" w14:textId="01093A64" w:rsidR="003E636B" w:rsidRPr="00E8476E" w:rsidRDefault="003E636B" w:rsidP="00DD7247">
            <w:pPr>
              <w:ind w:right="142"/>
              <w:jc w:val="right"/>
              <w:rPr>
                <w:rFonts w:ascii="Calibri" w:hAnsi="Calibri" w:cs="Calibri"/>
                <w:sz w:val="18"/>
                <w:szCs w:val="18"/>
              </w:rPr>
            </w:pPr>
            <w:r>
              <w:rPr>
                <w:rFonts w:ascii="Calibri" w:hAnsi="Calibri" w:cs="Calibri"/>
                <w:sz w:val="18"/>
                <w:szCs w:val="18"/>
              </w:rPr>
              <w:t>53.5</w:t>
            </w:r>
          </w:p>
        </w:tc>
        <w:tc>
          <w:tcPr>
            <w:tcW w:w="1275" w:type="dxa"/>
          </w:tcPr>
          <w:p w14:paraId="5D053391" w14:textId="2165A31F" w:rsidR="003E636B" w:rsidRPr="00E8476E" w:rsidRDefault="003E636B" w:rsidP="00DD7247">
            <w:pPr>
              <w:ind w:right="142"/>
              <w:jc w:val="right"/>
              <w:rPr>
                <w:rFonts w:ascii="Calibri" w:hAnsi="Calibri" w:cs="Calibri"/>
                <w:sz w:val="18"/>
                <w:szCs w:val="18"/>
              </w:rPr>
            </w:pPr>
            <w:r w:rsidRPr="00E8476E">
              <w:rPr>
                <w:rFonts w:ascii="Calibri" w:hAnsi="Calibri" w:cs="Calibri"/>
                <w:sz w:val="18"/>
                <w:szCs w:val="18"/>
              </w:rPr>
              <w:t>49.1</w:t>
            </w:r>
          </w:p>
        </w:tc>
      </w:tr>
      <w:tr w:rsidR="003E636B" w:rsidRPr="00E8476E" w14:paraId="63AE5A48" w14:textId="77777777" w:rsidTr="009A2B5A">
        <w:trPr>
          <w:trHeight w:val="221"/>
        </w:trPr>
        <w:tc>
          <w:tcPr>
            <w:tcW w:w="4678" w:type="dxa"/>
          </w:tcPr>
          <w:p w14:paraId="01D1FF8D" w14:textId="77777777" w:rsidR="003E636B" w:rsidRPr="00E8476E" w:rsidRDefault="003E636B" w:rsidP="00DD7247">
            <w:pPr>
              <w:ind w:right="142"/>
              <w:rPr>
                <w:rFonts w:ascii="Calibri" w:hAnsi="Calibri" w:cs="Calibri"/>
                <w:sz w:val="18"/>
                <w:szCs w:val="18"/>
              </w:rPr>
            </w:pPr>
            <w:r w:rsidRPr="00E8476E">
              <w:rPr>
                <w:rFonts w:ascii="Calibri" w:hAnsi="Calibri" w:cs="Calibri"/>
                <w:sz w:val="18"/>
                <w:szCs w:val="18"/>
              </w:rPr>
              <w:t>Expense ratio</w:t>
            </w:r>
          </w:p>
        </w:tc>
        <w:tc>
          <w:tcPr>
            <w:tcW w:w="851" w:type="dxa"/>
          </w:tcPr>
          <w:p w14:paraId="704572D3" w14:textId="77777777" w:rsidR="003E636B" w:rsidRPr="00E8476E" w:rsidRDefault="003E636B" w:rsidP="00DD7247">
            <w:pPr>
              <w:ind w:right="142"/>
              <w:jc w:val="right"/>
              <w:rPr>
                <w:rFonts w:ascii="Calibri" w:hAnsi="Calibri" w:cs="Calibri"/>
                <w:bCs/>
                <w:sz w:val="18"/>
                <w:szCs w:val="18"/>
                <w:lang w:val="en-US"/>
              </w:rPr>
            </w:pPr>
          </w:p>
        </w:tc>
        <w:tc>
          <w:tcPr>
            <w:tcW w:w="1276" w:type="dxa"/>
            <w:tcBorders>
              <w:bottom w:val="single" w:sz="2" w:space="0" w:color="auto"/>
            </w:tcBorders>
          </w:tcPr>
          <w:p w14:paraId="3353081C" w14:textId="400E4CE9" w:rsidR="003E636B" w:rsidRPr="00E8476E" w:rsidRDefault="003E636B" w:rsidP="00DD7247">
            <w:pPr>
              <w:ind w:right="142"/>
              <w:jc w:val="right"/>
              <w:rPr>
                <w:rFonts w:ascii="Calibri" w:hAnsi="Calibri" w:cs="Calibri"/>
                <w:sz w:val="18"/>
                <w:szCs w:val="18"/>
              </w:rPr>
            </w:pPr>
            <w:r>
              <w:rPr>
                <w:rFonts w:ascii="Calibri" w:hAnsi="Calibri" w:cs="Calibri"/>
                <w:sz w:val="18"/>
                <w:szCs w:val="18"/>
              </w:rPr>
              <w:t>27.4</w:t>
            </w:r>
          </w:p>
        </w:tc>
        <w:tc>
          <w:tcPr>
            <w:tcW w:w="1275" w:type="dxa"/>
            <w:tcBorders>
              <w:bottom w:val="single" w:sz="2" w:space="0" w:color="auto"/>
            </w:tcBorders>
          </w:tcPr>
          <w:p w14:paraId="04B51085" w14:textId="532F9A60" w:rsidR="003E636B" w:rsidRPr="00E8476E" w:rsidRDefault="003E636B" w:rsidP="00DD7247">
            <w:pPr>
              <w:ind w:right="142"/>
              <w:jc w:val="right"/>
              <w:rPr>
                <w:rFonts w:ascii="Calibri" w:hAnsi="Calibri" w:cs="Calibri"/>
                <w:sz w:val="18"/>
                <w:szCs w:val="18"/>
              </w:rPr>
            </w:pPr>
            <w:r w:rsidRPr="00E8476E">
              <w:rPr>
                <w:rFonts w:ascii="Calibri" w:hAnsi="Calibri" w:cs="Calibri"/>
                <w:sz w:val="18"/>
                <w:szCs w:val="18"/>
              </w:rPr>
              <w:t>27.3</w:t>
            </w:r>
          </w:p>
        </w:tc>
      </w:tr>
      <w:tr w:rsidR="003E636B" w:rsidRPr="00E8476E" w14:paraId="246646CA" w14:textId="77777777" w:rsidTr="009A2B5A">
        <w:trPr>
          <w:trHeight w:val="221"/>
        </w:trPr>
        <w:tc>
          <w:tcPr>
            <w:tcW w:w="4678" w:type="dxa"/>
          </w:tcPr>
          <w:p w14:paraId="32CA6B0D" w14:textId="77777777" w:rsidR="003E636B" w:rsidRPr="00E8476E" w:rsidRDefault="003E636B" w:rsidP="00DD7247">
            <w:pPr>
              <w:ind w:right="142"/>
              <w:rPr>
                <w:rFonts w:ascii="Calibri" w:hAnsi="Calibri" w:cs="Calibri"/>
                <w:b/>
                <w:sz w:val="18"/>
                <w:szCs w:val="18"/>
              </w:rPr>
            </w:pPr>
            <w:r w:rsidRPr="00E8476E">
              <w:rPr>
                <w:rFonts w:ascii="Calibri" w:hAnsi="Calibri" w:cs="Calibri"/>
                <w:b/>
                <w:sz w:val="18"/>
                <w:szCs w:val="18"/>
              </w:rPr>
              <w:t>Combined operating ratio (Loss ratio + Expense ratio)</w:t>
            </w:r>
          </w:p>
        </w:tc>
        <w:tc>
          <w:tcPr>
            <w:tcW w:w="851" w:type="dxa"/>
          </w:tcPr>
          <w:p w14:paraId="1A79A4F8" w14:textId="77777777" w:rsidR="003E636B" w:rsidRPr="00E8476E" w:rsidRDefault="003E636B" w:rsidP="00DD7247">
            <w:pPr>
              <w:ind w:right="142"/>
              <w:jc w:val="right"/>
              <w:rPr>
                <w:rFonts w:ascii="Calibri" w:hAnsi="Calibri" w:cs="Calibri"/>
                <w:b/>
                <w:bCs/>
                <w:sz w:val="18"/>
                <w:szCs w:val="18"/>
                <w:lang w:val="en-US"/>
              </w:rPr>
            </w:pPr>
          </w:p>
        </w:tc>
        <w:tc>
          <w:tcPr>
            <w:tcW w:w="1276" w:type="dxa"/>
            <w:tcBorders>
              <w:top w:val="single" w:sz="2" w:space="0" w:color="auto"/>
              <w:bottom w:val="single" w:sz="8" w:space="0" w:color="auto"/>
            </w:tcBorders>
          </w:tcPr>
          <w:p w14:paraId="47BA905D" w14:textId="3AC63B85" w:rsidR="003E636B" w:rsidRPr="00E8476E" w:rsidRDefault="003E636B" w:rsidP="00DD7247">
            <w:pPr>
              <w:ind w:right="142"/>
              <w:jc w:val="right"/>
              <w:rPr>
                <w:rFonts w:ascii="Calibri" w:hAnsi="Calibri" w:cs="Calibri"/>
                <w:b/>
                <w:sz w:val="18"/>
                <w:szCs w:val="18"/>
              </w:rPr>
            </w:pPr>
            <w:r>
              <w:rPr>
                <w:rFonts w:ascii="Calibri" w:hAnsi="Calibri" w:cs="Calibri"/>
                <w:b/>
                <w:sz w:val="18"/>
                <w:szCs w:val="18"/>
              </w:rPr>
              <w:t>80.9</w:t>
            </w:r>
          </w:p>
        </w:tc>
        <w:tc>
          <w:tcPr>
            <w:tcW w:w="1275" w:type="dxa"/>
            <w:tcBorders>
              <w:top w:val="single" w:sz="2" w:space="0" w:color="auto"/>
              <w:bottom w:val="single" w:sz="8" w:space="0" w:color="auto"/>
            </w:tcBorders>
          </w:tcPr>
          <w:p w14:paraId="1A41C8D0" w14:textId="644244F7" w:rsidR="003E636B" w:rsidRPr="00E8476E" w:rsidRDefault="003E636B" w:rsidP="00DD7247">
            <w:pPr>
              <w:ind w:right="142"/>
              <w:jc w:val="right"/>
              <w:rPr>
                <w:rFonts w:ascii="Calibri" w:hAnsi="Calibri" w:cs="Calibri"/>
                <w:b/>
                <w:sz w:val="18"/>
                <w:szCs w:val="18"/>
              </w:rPr>
            </w:pPr>
            <w:r w:rsidRPr="00E8476E">
              <w:rPr>
                <w:rFonts w:ascii="Calibri" w:hAnsi="Calibri" w:cs="Calibri"/>
                <w:b/>
                <w:sz w:val="18"/>
                <w:szCs w:val="18"/>
              </w:rPr>
              <w:t>76.4</w:t>
            </w:r>
          </w:p>
        </w:tc>
      </w:tr>
    </w:tbl>
    <w:p w14:paraId="02B689A1" w14:textId="77777777" w:rsidR="00DD7247" w:rsidRPr="00E8476E" w:rsidRDefault="00DD7247" w:rsidP="00DD7247">
      <w:pPr>
        <w:ind w:right="142"/>
        <w:jc w:val="both"/>
        <w:rPr>
          <w:rFonts w:ascii="Calibri" w:hAnsi="Calibri" w:cs="Calibri"/>
          <w:sz w:val="18"/>
          <w:szCs w:val="18"/>
        </w:rPr>
      </w:pPr>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851"/>
        <w:gridCol w:w="1276"/>
        <w:gridCol w:w="1275"/>
      </w:tblGrid>
      <w:tr w:rsidR="005B7E84" w:rsidRPr="00E32F3C" w14:paraId="7B23AB48" w14:textId="77777777" w:rsidTr="00957C52">
        <w:trPr>
          <w:trHeight w:val="221"/>
        </w:trPr>
        <w:tc>
          <w:tcPr>
            <w:tcW w:w="4536" w:type="dxa"/>
          </w:tcPr>
          <w:p w14:paraId="371448AB" w14:textId="06049F07" w:rsidR="005B7E84" w:rsidRPr="00E32F3C" w:rsidRDefault="005B7E84" w:rsidP="00957C52">
            <w:pPr>
              <w:ind w:right="142"/>
              <w:rPr>
                <w:rFonts w:ascii="Calibri" w:hAnsi="Calibri" w:cs="Calibri"/>
                <w:b/>
                <w:sz w:val="18"/>
                <w:szCs w:val="18"/>
              </w:rPr>
            </w:pPr>
            <w:r w:rsidRPr="00E32F3C">
              <w:rPr>
                <w:rFonts w:ascii="Calibri" w:hAnsi="Calibri" w:cs="Calibri"/>
                <w:b/>
                <w:sz w:val="18"/>
                <w:szCs w:val="18"/>
              </w:rPr>
              <w:t>Undiscounted Combined operating ratio</w:t>
            </w:r>
          </w:p>
        </w:tc>
        <w:tc>
          <w:tcPr>
            <w:tcW w:w="851" w:type="dxa"/>
          </w:tcPr>
          <w:p w14:paraId="2034A423" w14:textId="77777777" w:rsidR="005B7E84" w:rsidRPr="00E32F3C" w:rsidRDefault="005B7E84" w:rsidP="00957C52">
            <w:pPr>
              <w:ind w:right="142"/>
              <w:jc w:val="right"/>
              <w:rPr>
                <w:rFonts w:ascii="Calibri" w:hAnsi="Calibri" w:cs="Calibri"/>
                <w:b/>
                <w:sz w:val="18"/>
                <w:szCs w:val="18"/>
              </w:rPr>
            </w:pPr>
          </w:p>
        </w:tc>
        <w:tc>
          <w:tcPr>
            <w:tcW w:w="1276" w:type="dxa"/>
          </w:tcPr>
          <w:p w14:paraId="1E89884A" w14:textId="77777777" w:rsidR="005B7E84" w:rsidRPr="00E32F3C" w:rsidRDefault="005B7E84" w:rsidP="00957C52">
            <w:pPr>
              <w:ind w:right="142"/>
              <w:jc w:val="right"/>
              <w:rPr>
                <w:rFonts w:ascii="Calibri" w:hAnsi="Calibri" w:cs="Calibri"/>
                <w:b/>
                <w:sz w:val="18"/>
                <w:szCs w:val="18"/>
              </w:rPr>
            </w:pPr>
          </w:p>
        </w:tc>
        <w:tc>
          <w:tcPr>
            <w:tcW w:w="1275" w:type="dxa"/>
          </w:tcPr>
          <w:p w14:paraId="1D3E53DB" w14:textId="77777777" w:rsidR="005B7E84" w:rsidRPr="00E32F3C" w:rsidRDefault="005B7E84" w:rsidP="00957C52">
            <w:pPr>
              <w:ind w:right="142"/>
              <w:jc w:val="right"/>
              <w:rPr>
                <w:rFonts w:ascii="Calibri" w:hAnsi="Calibri" w:cs="Calibri"/>
                <w:sz w:val="18"/>
                <w:szCs w:val="18"/>
              </w:rPr>
            </w:pPr>
          </w:p>
        </w:tc>
      </w:tr>
      <w:tr w:rsidR="005B7E84" w:rsidRPr="00E32F3C" w14:paraId="72D83845" w14:textId="77777777" w:rsidTr="00957C52">
        <w:trPr>
          <w:trHeight w:val="221"/>
        </w:trPr>
        <w:tc>
          <w:tcPr>
            <w:tcW w:w="4536" w:type="dxa"/>
          </w:tcPr>
          <w:p w14:paraId="226EE83D" w14:textId="010EE139" w:rsidR="005B7E84" w:rsidRPr="00E32F3C" w:rsidRDefault="005C4080" w:rsidP="00957C52">
            <w:pPr>
              <w:ind w:right="142"/>
              <w:rPr>
                <w:rFonts w:ascii="Calibri" w:hAnsi="Calibri" w:cs="Calibri"/>
                <w:sz w:val="18"/>
                <w:szCs w:val="18"/>
              </w:rPr>
            </w:pPr>
            <w:r>
              <w:rPr>
                <w:rFonts w:ascii="Calibri" w:hAnsi="Calibri" w:cs="Calibri"/>
                <w:sz w:val="18"/>
                <w:szCs w:val="18"/>
              </w:rPr>
              <w:t>Undiscounted l</w:t>
            </w:r>
            <w:r w:rsidR="005B7E84" w:rsidRPr="00E32F3C">
              <w:rPr>
                <w:rFonts w:ascii="Calibri" w:hAnsi="Calibri" w:cs="Calibri"/>
                <w:sz w:val="18"/>
                <w:szCs w:val="18"/>
              </w:rPr>
              <w:t>oss ratio</w:t>
            </w:r>
          </w:p>
        </w:tc>
        <w:tc>
          <w:tcPr>
            <w:tcW w:w="851" w:type="dxa"/>
          </w:tcPr>
          <w:p w14:paraId="13D02209" w14:textId="77777777" w:rsidR="005B7E84" w:rsidRPr="00E32F3C" w:rsidRDefault="005B7E84" w:rsidP="00957C52">
            <w:pPr>
              <w:ind w:right="142"/>
              <w:jc w:val="right"/>
              <w:rPr>
                <w:rFonts w:ascii="Calibri" w:hAnsi="Calibri" w:cs="Calibri"/>
                <w:bCs/>
                <w:sz w:val="18"/>
                <w:szCs w:val="18"/>
                <w:lang w:val="en-US"/>
              </w:rPr>
            </w:pPr>
          </w:p>
        </w:tc>
        <w:tc>
          <w:tcPr>
            <w:tcW w:w="1276" w:type="dxa"/>
          </w:tcPr>
          <w:p w14:paraId="32B67DC0" w14:textId="2924E78C" w:rsidR="005B7E84" w:rsidRPr="00E32F3C" w:rsidRDefault="005B7E84" w:rsidP="00957C52">
            <w:pPr>
              <w:ind w:right="142"/>
              <w:jc w:val="right"/>
              <w:rPr>
                <w:rFonts w:ascii="Calibri" w:hAnsi="Calibri" w:cs="Calibri"/>
                <w:sz w:val="18"/>
                <w:szCs w:val="18"/>
              </w:rPr>
            </w:pPr>
            <w:r w:rsidRPr="00E32F3C">
              <w:rPr>
                <w:rFonts w:ascii="Calibri" w:hAnsi="Calibri" w:cs="Calibri"/>
                <w:sz w:val="18"/>
                <w:szCs w:val="18"/>
              </w:rPr>
              <w:t>55.9</w:t>
            </w:r>
          </w:p>
        </w:tc>
        <w:tc>
          <w:tcPr>
            <w:tcW w:w="1275" w:type="dxa"/>
          </w:tcPr>
          <w:p w14:paraId="1E02F75C" w14:textId="474197D2" w:rsidR="005B7E84" w:rsidRPr="00E32F3C" w:rsidRDefault="005B7E84" w:rsidP="00957C52">
            <w:pPr>
              <w:ind w:right="142"/>
              <w:jc w:val="right"/>
              <w:rPr>
                <w:rFonts w:ascii="Calibri" w:hAnsi="Calibri" w:cs="Calibri"/>
                <w:sz w:val="18"/>
                <w:szCs w:val="18"/>
              </w:rPr>
            </w:pPr>
            <w:r w:rsidRPr="00E32F3C">
              <w:rPr>
                <w:rFonts w:ascii="Calibri" w:hAnsi="Calibri" w:cs="Calibri"/>
                <w:sz w:val="18"/>
                <w:szCs w:val="18"/>
              </w:rPr>
              <w:t>51.8</w:t>
            </w:r>
          </w:p>
        </w:tc>
      </w:tr>
      <w:tr w:rsidR="005B7E84" w:rsidRPr="00E32F3C" w14:paraId="387D8582" w14:textId="77777777" w:rsidTr="00957C52">
        <w:trPr>
          <w:trHeight w:val="221"/>
        </w:trPr>
        <w:tc>
          <w:tcPr>
            <w:tcW w:w="4536" w:type="dxa"/>
          </w:tcPr>
          <w:p w14:paraId="6BF3A394" w14:textId="77777777" w:rsidR="005B7E84" w:rsidRPr="00E32F3C" w:rsidRDefault="005B7E84" w:rsidP="00957C52">
            <w:pPr>
              <w:ind w:right="142"/>
              <w:rPr>
                <w:rFonts w:ascii="Calibri" w:hAnsi="Calibri" w:cs="Calibri"/>
                <w:sz w:val="18"/>
                <w:szCs w:val="18"/>
              </w:rPr>
            </w:pPr>
            <w:r w:rsidRPr="00E32F3C">
              <w:rPr>
                <w:rFonts w:ascii="Calibri" w:hAnsi="Calibri" w:cs="Calibri"/>
                <w:sz w:val="18"/>
                <w:szCs w:val="18"/>
              </w:rPr>
              <w:t>Expense ratio</w:t>
            </w:r>
          </w:p>
        </w:tc>
        <w:tc>
          <w:tcPr>
            <w:tcW w:w="851" w:type="dxa"/>
          </w:tcPr>
          <w:p w14:paraId="7CD74FFC" w14:textId="77777777" w:rsidR="005B7E84" w:rsidRPr="00E32F3C" w:rsidRDefault="005B7E84" w:rsidP="00957C52">
            <w:pPr>
              <w:ind w:right="142"/>
              <w:jc w:val="right"/>
              <w:rPr>
                <w:rFonts w:ascii="Calibri" w:hAnsi="Calibri" w:cs="Calibri"/>
                <w:bCs/>
                <w:sz w:val="18"/>
                <w:szCs w:val="18"/>
                <w:lang w:val="en-US"/>
              </w:rPr>
            </w:pPr>
          </w:p>
        </w:tc>
        <w:tc>
          <w:tcPr>
            <w:tcW w:w="1276" w:type="dxa"/>
            <w:tcBorders>
              <w:bottom w:val="single" w:sz="2" w:space="0" w:color="auto"/>
            </w:tcBorders>
          </w:tcPr>
          <w:p w14:paraId="6B24740D" w14:textId="77777777" w:rsidR="005B7E84" w:rsidRPr="00E32F3C" w:rsidRDefault="005B7E84" w:rsidP="00957C52">
            <w:pPr>
              <w:ind w:right="142"/>
              <w:jc w:val="right"/>
              <w:rPr>
                <w:rFonts w:ascii="Calibri" w:hAnsi="Calibri" w:cs="Calibri"/>
                <w:sz w:val="18"/>
                <w:szCs w:val="18"/>
              </w:rPr>
            </w:pPr>
            <w:r w:rsidRPr="00E32F3C">
              <w:rPr>
                <w:rFonts w:ascii="Calibri" w:hAnsi="Calibri" w:cs="Calibri"/>
                <w:sz w:val="18"/>
                <w:szCs w:val="18"/>
              </w:rPr>
              <w:t>27.4</w:t>
            </w:r>
          </w:p>
        </w:tc>
        <w:tc>
          <w:tcPr>
            <w:tcW w:w="1275" w:type="dxa"/>
            <w:tcBorders>
              <w:bottom w:val="single" w:sz="2" w:space="0" w:color="auto"/>
            </w:tcBorders>
          </w:tcPr>
          <w:p w14:paraId="7084FA26" w14:textId="77777777" w:rsidR="005B7E84" w:rsidRPr="00E32F3C" w:rsidRDefault="005B7E84" w:rsidP="00957C52">
            <w:pPr>
              <w:ind w:right="142"/>
              <w:jc w:val="right"/>
              <w:rPr>
                <w:rFonts w:ascii="Calibri" w:hAnsi="Calibri" w:cs="Calibri"/>
                <w:sz w:val="18"/>
                <w:szCs w:val="18"/>
              </w:rPr>
            </w:pPr>
            <w:r w:rsidRPr="00E32F3C">
              <w:rPr>
                <w:rFonts w:ascii="Calibri" w:hAnsi="Calibri" w:cs="Calibri"/>
                <w:sz w:val="18"/>
                <w:szCs w:val="18"/>
              </w:rPr>
              <w:t>27.3</w:t>
            </w:r>
          </w:p>
        </w:tc>
      </w:tr>
      <w:tr w:rsidR="005B7E84" w:rsidRPr="00E8476E" w14:paraId="407D943A" w14:textId="77777777" w:rsidTr="00957C52">
        <w:trPr>
          <w:trHeight w:val="221"/>
        </w:trPr>
        <w:tc>
          <w:tcPr>
            <w:tcW w:w="4536" w:type="dxa"/>
          </w:tcPr>
          <w:p w14:paraId="42778FE3" w14:textId="32E2EA2D" w:rsidR="005B7E84" w:rsidRPr="00E32F3C" w:rsidRDefault="005B7E84" w:rsidP="00957C52">
            <w:pPr>
              <w:ind w:right="142"/>
              <w:rPr>
                <w:rFonts w:ascii="Calibri" w:hAnsi="Calibri" w:cs="Calibri"/>
                <w:b/>
                <w:sz w:val="18"/>
                <w:szCs w:val="18"/>
              </w:rPr>
            </w:pPr>
            <w:r w:rsidRPr="00E32F3C">
              <w:rPr>
                <w:rFonts w:ascii="Calibri" w:hAnsi="Calibri" w:cs="Calibri"/>
                <w:b/>
                <w:sz w:val="18"/>
                <w:szCs w:val="18"/>
              </w:rPr>
              <w:t>Undiscounted Combined operating ratio (</w:t>
            </w:r>
            <w:r w:rsidR="005C4080">
              <w:rPr>
                <w:rFonts w:ascii="Calibri" w:hAnsi="Calibri" w:cs="Calibri"/>
                <w:b/>
                <w:sz w:val="18"/>
                <w:szCs w:val="18"/>
              </w:rPr>
              <w:t>Undiscounted l</w:t>
            </w:r>
            <w:r w:rsidRPr="00E32F3C">
              <w:rPr>
                <w:rFonts w:ascii="Calibri" w:hAnsi="Calibri" w:cs="Calibri"/>
                <w:b/>
                <w:sz w:val="18"/>
                <w:szCs w:val="18"/>
              </w:rPr>
              <w:t>oss ratio + Expense ratio)</w:t>
            </w:r>
          </w:p>
        </w:tc>
        <w:tc>
          <w:tcPr>
            <w:tcW w:w="851" w:type="dxa"/>
          </w:tcPr>
          <w:p w14:paraId="7FD7D220" w14:textId="77777777" w:rsidR="005B7E84" w:rsidRPr="00E32F3C" w:rsidRDefault="005B7E84" w:rsidP="00957C52">
            <w:pPr>
              <w:ind w:right="142"/>
              <w:jc w:val="right"/>
              <w:rPr>
                <w:rFonts w:ascii="Calibri" w:hAnsi="Calibri" w:cs="Calibri"/>
                <w:b/>
                <w:bCs/>
                <w:sz w:val="18"/>
                <w:szCs w:val="18"/>
                <w:lang w:val="en-US"/>
              </w:rPr>
            </w:pPr>
          </w:p>
        </w:tc>
        <w:tc>
          <w:tcPr>
            <w:tcW w:w="1276" w:type="dxa"/>
            <w:tcBorders>
              <w:top w:val="single" w:sz="2" w:space="0" w:color="auto"/>
              <w:bottom w:val="single" w:sz="8" w:space="0" w:color="auto"/>
            </w:tcBorders>
          </w:tcPr>
          <w:p w14:paraId="399785C5" w14:textId="77777777" w:rsidR="005B7E84" w:rsidRPr="00E32F3C" w:rsidRDefault="005B7E84" w:rsidP="00957C52">
            <w:pPr>
              <w:ind w:right="142"/>
              <w:jc w:val="right"/>
              <w:rPr>
                <w:rFonts w:ascii="Calibri" w:hAnsi="Calibri" w:cs="Calibri"/>
                <w:b/>
                <w:sz w:val="18"/>
                <w:szCs w:val="18"/>
              </w:rPr>
            </w:pPr>
          </w:p>
          <w:p w14:paraId="15A50D97" w14:textId="5D13A26A" w:rsidR="005B7E84" w:rsidRPr="00E32F3C" w:rsidRDefault="005B7E84" w:rsidP="00957C52">
            <w:pPr>
              <w:ind w:right="142"/>
              <w:jc w:val="right"/>
              <w:rPr>
                <w:rFonts w:ascii="Calibri" w:hAnsi="Calibri" w:cs="Calibri"/>
                <w:b/>
                <w:sz w:val="18"/>
                <w:szCs w:val="18"/>
              </w:rPr>
            </w:pPr>
            <w:r w:rsidRPr="00E32F3C">
              <w:rPr>
                <w:rFonts w:ascii="Calibri" w:hAnsi="Calibri" w:cs="Calibri"/>
                <w:b/>
                <w:sz w:val="18"/>
                <w:szCs w:val="18"/>
              </w:rPr>
              <w:t>83.3</w:t>
            </w:r>
          </w:p>
        </w:tc>
        <w:tc>
          <w:tcPr>
            <w:tcW w:w="1275" w:type="dxa"/>
            <w:tcBorders>
              <w:top w:val="single" w:sz="2" w:space="0" w:color="auto"/>
              <w:bottom w:val="single" w:sz="8" w:space="0" w:color="auto"/>
            </w:tcBorders>
          </w:tcPr>
          <w:p w14:paraId="3F1D5F66" w14:textId="77777777" w:rsidR="005B7E84" w:rsidRPr="00E32F3C" w:rsidRDefault="005B7E84" w:rsidP="00957C52">
            <w:pPr>
              <w:ind w:right="142"/>
              <w:jc w:val="right"/>
              <w:rPr>
                <w:rFonts w:ascii="Calibri" w:hAnsi="Calibri" w:cs="Calibri"/>
                <w:b/>
                <w:sz w:val="18"/>
                <w:szCs w:val="18"/>
              </w:rPr>
            </w:pPr>
          </w:p>
          <w:p w14:paraId="780705FC" w14:textId="030FE706" w:rsidR="005B7E84" w:rsidRPr="00E8476E" w:rsidRDefault="005B7E84" w:rsidP="00957C52">
            <w:pPr>
              <w:ind w:right="142"/>
              <w:jc w:val="right"/>
              <w:rPr>
                <w:rFonts w:ascii="Calibri" w:hAnsi="Calibri" w:cs="Calibri"/>
                <w:b/>
                <w:sz w:val="18"/>
                <w:szCs w:val="18"/>
              </w:rPr>
            </w:pPr>
            <w:r w:rsidRPr="00E32F3C">
              <w:rPr>
                <w:rFonts w:ascii="Calibri" w:hAnsi="Calibri" w:cs="Calibri"/>
                <w:b/>
                <w:sz w:val="18"/>
                <w:szCs w:val="18"/>
              </w:rPr>
              <w:t>79.1</w:t>
            </w:r>
          </w:p>
        </w:tc>
      </w:tr>
    </w:tbl>
    <w:p w14:paraId="7486130E" w14:textId="77777777" w:rsidR="00507B1C" w:rsidRPr="00DD7247" w:rsidRDefault="00DD7247" w:rsidP="00507B1C">
      <w:pPr>
        <w:ind w:left="-142"/>
        <w:jc w:val="center"/>
        <w:rPr>
          <w:rFonts w:asciiTheme="minorHAnsi" w:hAnsiTheme="minorHAnsi" w:cstheme="minorHAnsi"/>
          <w:color w:val="000000"/>
          <w:sz w:val="22"/>
          <w:szCs w:val="22"/>
        </w:rPr>
      </w:pPr>
      <w:r>
        <w:rPr>
          <w:rFonts w:ascii="Calibri" w:hAnsi="Calibri" w:cs="Calibri"/>
          <w:color w:val="000000"/>
          <w:sz w:val="18"/>
          <w:szCs w:val="18"/>
        </w:rPr>
        <w:br w:type="page"/>
      </w:r>
      <w:r w:rsidR="00507B1C" w:rsidRPr="00DD7247">
        <w:rPr>
          <w:rFonts w:asciiTheme="minorHAnsi" w:hAnsiTheme="minorHAnsi" w:cstheme="minorHAnsi"/>
          <w:b/>
          <w:color w:val="000000"/>
          <w:sz w:val="22"/>
          <w:szCs w:val="22"/>
        </w:rPr>
        <w:t>FBD Holdings plc</w:t>
      </w:r>
    </w:p>
    <w:p w14:paraId="5695FF8A" w14:textId="77777777" w:rsidR="00507B1C" w:rsidRPr="00DD7247" w:rsidRDefault="00507B1C" w:rsidP="00507B1C">
      <w:pPr>
        <w:tabs>
          <w:tab w:val="left" w:pos="-142"/>
          <w:tab w:val="decimal" w:pos="4678"/>
          <w:tab w:val="decimal" w:pos="5670"/>
          <w:tab w:val="decimal" w:pos="6946"/>
          <w:tab w:val="decimal" w:pos="10348"/>
        </w:tabs>
        <w:ind w:left="-142"/>
        <w:jc w:val="center"/>
        <w:rPr>
          <w:rFonts w:asciiTheme="minorHAnsi" w:hAnsiTheme="minorHAnsi" w:cstheme="minorHAnsi"/>
          <w:b/>
          <w:color w:val="000000"/>
          <w:sz w:val="22"/>
          <w:szCs w:val="22"/>
        </w:rPr>
      </w:pPr>
      <w:r w:rsidRPr="00DD7247">
        <w:rPr>
          <w:rFonts w:asciiTheme="minorHAnsi" w:hAnsiTheme="minorHAnsi" w:cstheme="minorHAnsi"/>
          <w:b/>
          <w:color w:val="000000"/>
          <w:sz w:val="22"/>
          <w:szCs w:val="22"/>
        </w:rPr>
        <w:t>Supplementary Information (continued)</w:t>
      </w:r>
    </w:p>
    <w:p w14:paraId="537929EC" w14:textId="77777777" w:rsidR="00507B1C" w:rsidRDefault="00507B1C" w:rsidP="00507B1C">
      <w:pPr>
        <w:tabs>
          <w:tab w:val="left" w:pos="426"/>
          <w:tab w:val="left" w:pos="851"/>
          <w:tab w:val="left" w:pos="10604"/>
        </w:tabs>
        <w:ind w:left="-142" w:right="-28"/>
        <w:jc w:val="center"/>
        <w:rPr>
          <w:rFonts w:asciiTheme="minorHAnsi" w:hAnsiTheme="minorHAnsi" w:cstheme="minorHAnsi"/>
          <w:b/>
          <w:color w:val="000000"/>
          <w:sz w:val="22"/>
          <w:szCs w:val="22"/>
        </w:rPr>
      </w:pPr>
      <w:r w:rsidRPr="00DD7247">
        <w:rPr>
          <w:rFonts w:asciiTheme="minorHAnsi" w:hAnsiTheme="minorHAnsi" w:cstheme="minorHAnsi"/>
          <w:b/>
          <w:color w:val="000000"/>
          <w:sz w:val="22"/>
          <w:szCs w:val="22"/>
        </w:rPr>
        <w:t>For the year ended 31 December 2023</w:t>
      </w:r>
    </w:p>
    <w:p w14:paraId="6A4A25F0" w14:textId="77777777" w:rsidR="00507B1C" w:rsidRDefault="00507B1C" w:rsidP="00507B1C">
      <w:pPr>
        <w:tabs>
          <w:tab w:val="left" w:pos="426"/>
          <w:tab w:val="left" w:pos="851"/>
          <w:tab w:val="left" w:pos="10604"/>
        </w:tabs>
        <w:ind w:left="-142" w:right="-28"/>
        <w:jc w:val="center"/>
        <w:rPr>
          <w:rFonts w:asciiTheme="minorHAnsi" w:hAnsiTheme="minorHAnsi" w:cstheme="minorHAnsi"/>
          <w:b/>
          <w:color w:val="000000"/>
          <w:sz w:val="22"/>
          <w:szCs w:val="22"/>
        </w:rPr>
      </w:pPr>
    </w:p>
    <w:p w14:paraId="399E54E9" w14:textId="77777777" w:rsidR="00507B1C" w:rsidRPr="00DD7247" w:rsidRDefault="00507B1C" w:rsidP="00507B1C">
      <w:pPr>
        <w:tabs>
          <w:tab w:val="left" w:pos="426"/>
          <w:tab w:val="left" w:pos="851"/>
          <w:tab w:val="left" w:pos="10604"/>
        </w:tabs>
        <w:ind w:left="-142" w:right="-28"/>
        <w:jc w:val="center"/>
        <w:rPr>
          <w:rFonts w:asciiTheme="minorHAnsi" w:hAnsiTheme="minorHAnsi" w:cstheme="minorHAnsi"/>
          <w:b/>
          <w:color w:val="000000"/>
          <w:sz w:val="22"/>
          <w:szCs w:val="22"/>
        </w:rPr>
      </w:pPr>
      <w:r w:rsidRPr="00DD7247">
        <w:rPr>
          <w:rFonts w:asciiTheme="minorHAnsi" w:hAnsiTheme="minorHAnsi" w:cstheme="minorHAnsi"/>
          <w:b/>
          <w:color w:val="000000"/>
          <w:sz w:val="22"/>
          <w:szCs w:val="22"/>
        </w:rPr>
        <w:t>ALTERNATIVE PERFORMANCE MEASURES (APM’s) (unaudited)</w:t>
      </w:r>
    </w:p>
    <w:p w14:paraId="412106D1" w14:textId="3F01430B" w:rsidR="00DD7247" w:rsidRPr="00DD7247" w:rsidRDefault="00DD7247" w:rsidP="003E636B">
      <w:pPr>
        <w:tabs>
          <w:tab w:val="left" w:pos="426"/>
          <w:tab w:val="left" w:pos="851"/>
          <w:tab w:val="left" w:pos="10604"/>
        </w:tabs>
        <w:ind w:left="-142" w:right="-28"/>
        <w:jc w:val="center"/>
        <w:rPr>
          <w:rFonts w:asciiTheme="minorHAnsi" w:hAnsiTheme="minorHAnsi" w:cstheme="minorHAnsi"/>
          <w:b/>
          <w:color w:val="000000"/>
          <w:sz w:val="22"/>
          <w:szCs w:val="22"/>
        </w:rPr>
      </w:pPr>
    </w:p>
    <w:tbl>
      <w:tblPr>
        <w:tblStyle w:val="TableGrid"/>
        <w:tblW w:w="78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0"/>
        <w:gridCol w:w="1240"/>
        <w:gridCol w:w="1218"/>
      </w:tblGrid>
      <w:tr w:rsidR="003E636B" w:rsidRPr="008901A5" w14:paraId="254B8F6B" w14:textId="77777777" w:rsidTr="003E636B">
        <w:trPr>
          <w:trHeight w:val="234"/>
        </w:trPr>
        <w:tc>
          <w:tcPr>
            <w:tcW w:w="5410" w:type="dxa"/>
          </w:tcPr>
          <w:p w14:paraId="5EEAC2E6" w14:textId="77777777" w:rsidR="003E636B" w:rsidRPr="00987D69" w:rsidRDefault="003E636B" w:rsidP="00DD7247">
            <w:pPr>
              <w:ind w:right="142"/>
              <w:jc w:val="both"/>
              <w:rPr>
                <w:rFonts w:ascii="Calibri" w:hAnsi="Calibri" w:cs="Calibri"/>
                <w:color w:val="000000"/>
                <w:sz w:val="18"/>
                <w:szCs w:val="18"/>
              </w:rPr>
            </w:pPr>
          </w:p>
        </w:tc>
        <w:tc>
          <w:tcPr>
            <w:tcW w:w="1240" w:type="dxa"/>
          </w:tcPr>
          <w:p w14:paraId="6F43EDC9" w14:textId="58E870BD" w:rsidR="003E636B" w:rsidRPr="00987D69" w:rsidRDefault="003E636B" w:rsidP="00DD7247">
            <w:pPr>
              <w:ind w:right="142"/>
              <w:jc w:val="right"/>
              <w:rPr>
                <w:rFonts w:ascii="Calibri" w:hAnsi="Calibri" w:cs="Calibri"/>
                <w:b/>
                <w:color w:val="000000"/>
                <w:sz w:val="18"/>
                <w:szCs w:val="18"/>
              </w:rPr>
            </w:pPr>
            <w:r w:rsidRPr="00987D69">
              <w:rPr>
                <w:rFonts w:ascii="Calibri" w:hAnsi="Calibri" w:cs="Calibri"/>
                <w:color w:val="000000"/>
                <w:sz w:val="18"/>
                <w:szCs w:val="18"/>
              </w:rPr>
              <w:t>Year ended 31/12/2</w:t>
            </w:r>
            <w:r>
              <w:rPr>
                <w:rFonts w:ascii="Calibri" w:hAnsi="Calibri" w:cs="Calibri"/>
                <w:color w:val="000000"/>
                <w:sz w:val="18"/>
                <w:szCs w:val="18"/>
              </w:rPr>
              <w:t>3</w:t>
            </w:r>
          </w:p>
        </w:tc>
        <w:tc>
          <w:tcPr>
            <w:tcW w:w="1218" w:type="dxa"/>
          </w:tcPr>
          <w:p w14:paraId="52E52891" w14:textId="3BD56FA6" w:rsidR="003E636B" w:rsidRPr="00987D69" w:rsidRDefault="003E636B" w:rsidP="00DD7247">
            <w:pPr>
              <w:ind w:right="142"/>
              <w:jc w:val="right"/>
              <w:rPr>
                <w:rFonts w:ascii="Calibri" w:hAnsi="Calibri" w:cs="Calibri"/>
                <w:color w:val="000000"/>
                <w:sz w:val="18"/>
                <w:szCs w:val="18"/>
              </w:rPr>
            </w:pPr>
            <w:r w:rsidRPr="00987D69">
              <w:rPr>
                <w:rFonts w:ascii="Calibri" w:hAnsi="Calibri" w:cs="Calibri"/>
                <w:color w:val="000000"/>
                <w:sz w:val="18"/>
                <w:szCs w:val="18"/>
              </w:rPr>
              <w:t>Year ended 31/12/22 (restated)</w:t>
            </w:r>
          </w:p>
        </w:tc>
      </w:tr>
      <w:tr w:rsidR="003E636B" w:rsidRPr="008901A5" w14:paraId="1F3AE822" w14:textId="77777777" w:rsidTr="003E636B">
        <w:trPr>
          <w:trHeight w:val="227"/>
        </w:trPr>
        <w:tc>
          <w:tcPr>
            <w:tcW w:w="5410" w:type="dxa"/>
          </w:tcPr>
          <w:p w14:paraId="5EC9B3C4" w14:textId="77777777" w:rsidR="003E636B" w:rsidRPr="00987D69" w:rsidRDefault="003E636B" w:rsidP="00DD7247">
            <w:pPr>
              <w:ind w:right="142"/>
              <w:jc w:val="both"/>
              <w:rPr>
                <w:rFonts w:ascii="Calibri" w:hAnsi="Calibri" w:cs="Calibri"/>
                <w:color w:val="000000"/>
                <w:sz w:val="18"/>
                <w:szCs w:val="18"/>
              </w:rPr>
            </w:pPr>
          </w:p>
        </w:tc>
        <w:tc>
          <w:tcPr>
            <w:tcW w:w="1240" w:type="dxa"/>
          </w:tcPr>
          <w:p w14:paraId="7B02535F" w14:textId="061C7984" w:rsidR="003E636B" w:rsidRPr="00987D69" w:rsidRDefault="00ED7140" w:rsidP="00DD7247">
            <w:pPr>
              <w:ind w:right="142"/>
              <w:jc w:val="right"/>
              <w:rPr>
                <w:rFonts w:ascii="Calibri" w:hAnsi="Calibri" w:cs="Calibri"/>
                <w:color w:val="000000"/>
                <w:sz w:val="18"/>
                <w:szCs w:val="18"/>
              </w:rPr>
            </w:pPr>
            <w:r w:rsidRPr="00987D69">
              <w:rPr>
                <w:rFonts w:ascii="Calibri" w:hAnsi="Calibri" w:cs="Calibri"/>
                <w:sz w:val="18"/>
                <w:szCs w:val="18"/>
              </w:rPr>
              <w:t>€000s</w:t>
            </w:r>
          </w:p>
        </w:tc>
        <w:tc>
          <w:tcPr>
            <w:tcW w:w="1218" w:type="dxa"/>
          </w:tcPr>
          <w:p w14:paraId="372DADD4" w14:textId="06291923" w:rsidR="003E636B" w:rsidRPr="00987D69" w:rsidRDefault="003E636B" w:rsidP="00DD7247">
            <w:pPr>
              <w:ind w:right="142"/>
              <w:jc w:val="right"/>
              <w:rPr>
                <w:rFonts w:ascii="Calibri" w:hAnsi="Calibri" w:cs="Calibri"/>
                <w:sz w:val="18"/>
                <w:szCs w:val="18"/>
              </w:rPr>
            </w:pPr>
            <w:r w:rsidRPr="00987D69">
              <w:rPr>
                <w:rFonts w:ascii="Calibri" w:hAnsi="Calibri" w:cs="Calibri"/>
                <w:sz w:val="18"/>
                <w:szCs w:val="18"/>
              </w:rPr>
              <w:t>€000s</w:t>
            </w:r>
          </w:p>
        </w:tc>
      </w:tr>
      <w:tr w:rsidR="003E636B" w:rsidRPr="008901A5" w14:paraId="56F0EB2E" w14:textId="77777777" w:rsidTr="003E636B">
        <w:trPr>
          <w:trHeight w:val="234"/>
        </w:trPr>
        <w:tc>
          <w:tcPr>
            <w:tcW w:w="5410" w:type="dxa"/>
          </w:tcPr>
          <w:p w14:paraId="31E811E1" w14:textId="77777777" w:rsidR="003E636B" w:rsidRPr="00987D69" w:rsidRDefault="003E636B" w:rsidP="00DD7247">
            <w:pPr>
              <w:ind w:right="142"/>
              <w:jc w:val="both"/>
              <w:rPr>
                <w:rFonts w:ascii="Calibri" w:hAnsi="Calibri" w:cs="Calibri"/>
                <w:b/>
                <w:color w:val="000000"/>
                <w:sz w:val="18"/>
                <w:szCs w:val="18"/>
              </w:rPr>
            </w:pPr>
            <w:r w:rsidRPr="00987D69">
              <w:rPr>
                <w:rFonts w:ascii="Calibri" w:hAnsi="Calibri" w:cs="Calibri"/>
                <w:b/>
                <w:color w:val="000000"/>
                <w:sz w:val="18"/>
                <w:szCs w:val="18"/>
              </w:rPr>
              <w:t>Actual investment return</w:t>
            </w:r>
          </w:p>
        </w:tc>
        <w:tc>
          <w:tcPr>
            <w:tcW w:w="1240" w:type="dxa"/>
          </w:tcPr>
          <w:p w14:paraId="2F02C10D" w14:textId="77777777" w:rsidR="003E636B" w:rsidRPr="00987D69" w:rsidRDefault="003E636B" w:rsidP="00DD7247">
            <w:pPr>
              <w:ind w:right="142"/>
              <w:jc w:val="both"/>
              <w:rPr>
                <w:rFonts w:ascii="Calibri" w:hAnsi="Calibri" w:cs="Calibri"/>
                <w:color w:val="000000"/>
                <w:sz w:val="18"/>
                <w:szCs w:val="18"/>
              </w:rPr>
            </w:pPr>
          </w:p>
        </w:tc>
        <w:tc>
          <w:tcPr>
            <w:tcW w:w="1218" w:type="dxa"/>
          </w:tcPr>
          <w:p w14:paraId="39B48F7D" w14:textId="77777777" w:rsidR="003E636B" w:rsidRPr="00987D69" w:rsidRDefault="003E636B" w:rsidP="00DD7247">
            <w:pPr>
              <w:ind w:right="142"/>
              <w:jc w:val="both"/>
              <w:rPr>
                <w:rFonts w:ascii="Calibri" w:hAnsi="Calibri" w:cs="Calibri"/>
                <w:color w:val="000000"/>
                <w:sz w:val="18"/>
                <w:szCs w:val="18"/>
              </w:rPr>
            </w:pPr>
          </w:p>
        </w:tc>
      </w:tr>
      <w:tr w:rsidR="003E636B" w:rsidRPr="008901A5" w14:paraId="0F4588BA" w14:textId="77777777" w:rsidTr="003E636B">
        <w:trPr>
          <w:trHeight w:val="227"/>
        </w:trPr>
        <w:tc>
          <w:tcPr>
            <w:tcW w:w="5410" w:type="dxa"/>
          </w:tcPr>
          <w:p w14:paraId="737B34B3" w14:textId="77777777" w:rsidR="003E636B" w:rsidRPr="00987D69" w:rsidRDefault="003E636B" w:rsidP="00DD7247">
            <w:pPr>
              <w:ind w:right="142"/>
              <w:rPr>
                <w:rFonts w:ascii="Calibri" w:hAnsi="Calibri" w:cs="Calibri"/>
                <w:color w:val="000000"/>
                <w:sz w:val="18"/>
                <w:szCs w:val="18"/>
              </w:rPr>
            </w:pPr>
            <w:r w:rsidRPr="00987D69">
              <w:rPr>
                <w:rFonts w:ascii="Calibri" w:hAnsi="Calibri" w:cs="Calibri"/>
                <w:color w:val="000000"/>
                <w:sz w:val="18"/>
                <w:szCs w:val="18"/>
              </w:rPr>
              <w:t>Investment return recognised in consolidated income statement</w:t>
            </w:r>
          </w:p>
        </w:tc>
        <w:tc>
          <w:tcPr>
            <w:tcW w:w="1240" w:type="dxa"/>
          </w:tcPr>
          <w:p w14:paraId="58A1B3EE" w14:textId="3B84CD0C" w:rsidR="003E636B" w:rsidRPr="00105250" w:rsidRDefault="003E636B" w:rsidP="00DD7247">
            <w:pPr>
              <w:ind w:right="142"/>
              <w:jc w:val="right"/>
              <w:rPr>
                <w:rFonts w:ascii="Calibri" w:hAnsi="Calibri" w:cs="Calibri"/>
                <w:sz w:val="18"/>
                <w:szCs w:val="18"/>
              </w:rPr>
            </w:pPr>
            <w:r>
              <w:rPr>
                <w:rFonts w:ascii="Calibri" w:hAnsi="Calibri" w:cs="Calibri"/>
                <w:sz w:val="18"/>
                <w:szCs w:val="18"/>
              </w:rPr>
              <w:t>19,094</w:t>
            </w:r>
          </w:p>
        </w:tc>
        <w:tc>
          <w:tcPr>
            <w:tcW w:w="1218" w:type="dxa"/>
          </w:tcPr>
          <w:p w14:paraId="718961FD" w14:textId="71B6016B" w:rsidR="003E636B" w:rsidRPr="00987D69" w:rsidRDefault="003E636B" w:rsidP="00DD7247">
            <w:pPr>
              <w:ind w:right="142"/>
              <w:jc w:val="right"/>
              <w:rPr>
                <w:rFonts w:ascii="Calibri" w:hAnsi="Calibri" w:cs="Calibri"/>
                <w:sz w:val="18"/>
                <w:szCs w:val="18"/>
              </w:rPr>
            </w:pPr>
            <w:r w:rsidRPr="00987D69">
              <w:rPr>
                <w:rFonts w:ascii="Calibri" w:hAnsi="Calibri" w:cs="Calibri"/>
                <w:color w:val="000000"/>
                <w:sz w:val="18"/>
                <w:szCs w:val="18"/>
              </w:rPr>
              <w:t>(10,753)</w:t>
            </w:r>
          </w:p>
        </w:tc>
      </w:tr>
      <w:tr w:rsidR="003E636B" w:rsidRPr="008901A5" w14:paraId="168AB038" w14:textId="77777777" w:rsidTr="003E636B">
        <w:trPr>
          <w:trHeight w:val="234"/>
        </w:trPr>
        <w:tc>
          <w:tcPr>
            <w:tcW w:w="5410" w:type="dxa"/>
          </w:tcPr>
          <w:p w14:paraId="799AEED4" w14:textId="77777777" w:rsidR="003E636B" w:rsidRPr="00987D69" w:rsidRDefault="003E636B" w:rsidP="00DD7247">
            <w:pPr>
              <w:ind w:right="142"/>
              <w:rPr>
                <w:rFonts w:ascii="Calibri" w:hAnsi="Calibri" w:cs="Calibri"/>
                <w:color w:val="000000"/>
                <w:sz w:val="18"/>
                <w:szCs w:val="18"/>
              </w:rPr>
            </w:pPr>
            <w:r w:rsidRPr="00987D69">
              <w:rPr>
                <w:rFonts w:ascii="Calibri" w:hAnsi="Calibri" w:cs="Calibri"/>
                <w:color w:val="000000"/>
                <w:sz w:val="18"/>
                <w:szCs w:val="18"/>
              </w:rPr>
              <w:t>Investment return recognised in statement of comprehensive income</w:t>
            </w:r>
          </w:p>
        </w:tc>
        <w:tc>
          <w:tcPr>
            <w:tcW w:w="1240" w:type="dxa"/>
            <w:tcBorders>
              <w:bottom w:val="single" w:sz="2" w:space="0" w:color="auto"/>
            </w:tcBorders>
          </w:tcPr>
          <w:p w14:paraId="534194E0" w14:textId="77777777" w:rsidR="003E636B" w:rsidRDefault="003E636B" w:rsidP="00DD7247">
            <w:pPr>
              <w:ind w:right="142"/>
              <w:jc w:val="right"/>
              <w:rPr>
                <w:rFonts w:ascii="Calibri" w:hAnsi="Calibri" w:cs="Calibri"/>
                <w:sz w:val="18"/>
                <w:szCs w:val="18"/>
              </w:rPr>
            </w:pPr>
          </w:p>
          <w:p w14:paraId="0EFA1932" w14:textId="5D4FEC0B" w:rsidR="003E636B" w:rsidRPr="00105250" w:rsidRDefault="003E636B" w:rsidP="00DD7247">
            <w:pPr>
              <w:ind w:right="142"/>
              <w:jc w:val="right"/>
              <w:rPr>
                <w:rFonts w:ascii="Calibri" w:hAnsi="Calibri" w:cs="Calibri"/>
                <w:sz w:val="18"/>
                <w:szCs w:val="18"/>
              </w:rPr>
            </w:pPr>
            <w:r>
              <w:rPr>
                <w:rFonts w:ascii="Calibri" w:hAnsi="Calibri" w:cs="Calibri"/>
                <w:sz w:val="18"/>
                <w:szCs w:val="18"/>
              </w:rPr>
              <w:t>41,392</w:t>
            </w:r>
          </w:p>
        </w:tc>
        <w:tc>
          <w:tcPr>
            <w:tcW w:w="1218" w:type="dxa"/>
            <w:tcBorders>
              <w:bottom w:val="single" w:sz="2" w:space="0" w:color="auto"/>
            </w:tcBorders>
          </w:tcPr>
          <w:p w14:paraId="6E615E6E" w14:textId="77777777" w:rsidR="003E636B" w:rsidRDefault="003E636B" w:rsidP="00DD7247">
            <w:pPr>
              <w:ind w:right="142"/>
              <w:jc w:val="right"/>
              <w:rPr>
                <w:rFonts w:ascii="Calibri" w:hAnsi="Calibri" w:cs="Calibri"/>
                <w:color w:val="000000"/>
                <w:sz w:val="18"/>
                <w:szCs w:val="18"/>
              </w:rPr>
            </w:pPr>
          </w:p>
          <w:p w14:paraId="7CBD8A28" w14:textId="287085D8" w:rsidR="003E636B" w:rsidRDefault="003E636B" w:rsidP="00DD7247">
            <w:pPr>
              <w:ind w:right="142"/>
              <w:jc w:val="right"/>
              <w:rPr>
                <w:rFonts w:ascii="Calibri" w:hAnsi="Calibri" w:cs="Calibri"/>
                <w:sz w:val="18"/>
                <w:szCs w:val="18"/>
              </w:rPr>
            </w:pPr>
            <w:r w:rsidRPr="00987D69">
              <w:rPr>
                <w:rFonts w:ascii="Calibri" w:hAnsi="Calibri" w:cs="Calibri"/>
                <w:color w:val="000000"/>
                <w:sz w:val="18"/>
                <w:szCs w:val="18"/>
              </w:rPr>
              <w:t>(89,802)</w:t>
            </w:r>
          </w:p>
        </w:tc>
      </w:tr>
      <w:tr w:rsidR="003E636B" w:rsidRPr="008901A5" w14:paraId="0BBAAA8D" w14:textId="77777777" w:rsidTr="003E636B">
        <w:trPr>
          <w:trHeight w:val="234"/>
        </w:trPr>
        <w:tc>
          <w:tcPr>
            <w:tcW w:w="5410" w:type="dxa"/>
          </w:tcPr>
          <w:p w14:paraId="61971D3F" w14:textId="77777777" w:rsidR="003E636B" w:rsidRPr="00987D69" w:rsidRDefault="003E636B" w:rsidP="00DD7247">
            <w:pPr>
              <w:ind w:right="142"/>
              <w:rPr>
                <w:rFonts w:ascii="Calibri" w:hAnsi="Calibri" w:cs="Calibri"/>
                <w:b/>
                <w:color w:val="000000"/>
                <w:sz w:val="18"/>
                <w:szCs w:val="18"/>
              </w:rPr>
            </w:pPr>
            <w:r>
              <w:rPr>
                <w:rFonts w:ascii="Calibri" w:hAnsi="Calibri" w:cs="Calibri"/>
                <w:b/>
                <w:color w:val="000000"/>
                <w:sz w:val="18"/>
                <w:szCs w:val="18"/>
              </w:rPr>
              <w:t>Actual</w:t>
            </w:r>
            <w:r w:rsidRPr="00987D69">
              <w:rPr>
                <w:rFonts w:ascii="Calibri" w:hAnsi="Calibri" w:cs="Calibri"/>
                <w:b/>
                <w:color w:val="000000"/>
                <w:sz w:val="18"/>
                <w:szCs w:val="18"/>
              </w:rPr>
              <w:t xml:space="preserve"> investment return</w:t>
            </w:r>
          </w:p>
        </w:tc>
        <w:tc>
          <w:tcPr>
            <w:tcW w:w="1240" w:type="dxa"/>
            <w:tcBorders>
              <w:top w:val="single" w:sz="2" w:space="0" w:color="auto"/>
            </w:tcBorders>
          </w:tcPr>
          <w:p w14:paraId="7D49EFF8" w14:textId="6A30C540" w:rsidR="003E636B" w:rsidRPr="00E8476E" w:rsidRDefault="003E636B" w:rsidP="00DD7247">
            <w:pPr>
              <w:ind w:right="142"/>
              <w:jc w:val="right"/>
              <w:rPr>
                <w:rFonts w:ascii="Calibri" w:hAnsi="Calibri" w:cs="Calibri"/>
                <w:b/>
                <w:sz w:val="18"/>
                <w:szCs w:val="18"/>
              </w:rPr>
            </w:pPr>
            <w:r>
              <w:rPr>
                <w:rFonts w:ascii="Calibri" w:hAnsi="Calibri" w:cs="Calibri"/>
                <w:b/>
                <w:sz w:val="18"/>
                <w:szCs w:val="18"/>
              </w:rPr>
              <w:t>60,486</w:t>
            </w:r>
          </w:p>
        </w:tc>
        <w:tc>
          <w:tcPr>
            <w:tcW w:w="1218" w:type="dxa"/>
            <w:tcBorders>
              <w:top w:val="single" w:sz="2" w:space="0" w:color="auto"/>
            </w:tcBorders>
          </w:tcPr>
          <w:p w14:paraId="1812027F" w14:textId="7FCB67E3" w:rsidR="003E636B" w:rsidRPr="00987D69" w:rsidRDefault="003E636B" w:rsidP="00DD7247">
            <w:pPr>
              <w:ind w:right="142"/>
              <w:jc w:val="right"/>
              <w:rPr>
                <w:rFonts w:ascii="Calibri" w:hAnsi="Calibri" w:cs="Calibri"/>
                <w:b/>
                <w:sz w:val="18"/>
                <w:szCs w:val="18"/>
              </w:rPr>
            </w:pPr>
            <w:r w:rsidRPr="00987D69">
              <w:rPr>
                <w:rFonts w:ascii="Calibri" w:hAnsi="Calibri" w:cs="Calibri"/>
                <w:b/>
                <w:color w:val="000000"/>
                <w:sz w:val="18"/>
                <w:szCs w:val="18"/>
              </w:rPr>
              <w:t>(100,555)</w:t>
            </w:r>
          </w:p>
        </w:tc>
      </w:tr>
      <w:tr w:rsidR="003E636B" w:rsidRPr="008901A5" w14:paraId="01AB0657" w14:textId="77777777" w:rsidTr="003E636B">
        <w:trPr>
          <w:trHeight w:val="234"/>
        </w:trPr>
        <w:tc>
          <w:tcPr>
            <w:tcW w:w="5410" w:type="dxa"/>
          </w:tcPr>
          <w:p w14:paraId="132D938E" w14:textId="77777777" w:rsidR="003E636B" w:rsidRPr="00987D69" w:rsidRDefault="003E636B" w:rsidP="00DD7247">
            <w:pPr>
              <w:ind w:right="142"/>
              <w:rPr>
                <w:rFonts w:ascii="Calibri" w:hAnsi="Calibri" w:cs="Calibri"/>
                <w:color w:val="000000"/>
                <w:sz w:val="18"/>
                <w:szCs w:val="18"/>
              </w:rPr>
            </w:pPr>
          </w:p>
        </w:tc>
        <w:tc>
          <w:tcPr>
            <w:tcW w:w="1240" w:type="dxa"/>
            <w:tcBorders>
              <w:top w:val="single" w:sz="2" w:space="0" w:color="auto"/>
            </w:tcBorders>
          </w:tcPr>
          <w:p w14:paraId="56826821" w14:textId="77777777" w:rsidR="003E636B" w:rsidRPr="00105250" w:rsidRDefault="003E636B" w:rsidP="00DD7247">
            <w:pPr>
              <w:ind w:right="142"/>
              <w:jc w:val="right"/>
              <w:rPr>
                <w:rFonts w:ascii="Calibri" w:hAnsi="Calibri" w:cs="Calibri"/>
                <w:sz w:val="18"/>
                <w:szCs w:val="18"/>
              </w:rPr>
            </w:pPr>
          </w:p>
        </w:tc>
        <w:tc>
          <w:tcPr>
            <w:tcW w:w="1218" w:type="dxa"/>
            <w:tcBorders>
              <w:top w:val="single" w:sz="2" w:space="0" w:color="auto"/>
            </w:tcBorders>
          </w:tcPr>
          <w:p w14:paraId="5F57C82C" w14:textId="77777777" w:rsidR="003E636B" w:rsidRPr="00987D69" w:rsidRDefault="003E636B" w:rsidP="00DD7247">
            <w:pPr>
              <w:ind w:right="142"/>
              <w:jc w:val="right"/>
              <w:rPr>
                <w:rFonts w:ascii="Calibri" w:hAnsi="Calibri" w:cs="Calibri"/>
                <w:sz w:val="18"/>
                <w:szCs w:val="18"/>
              </w:rPr>
            </w:pPr>
          </w:p>
        </w:tc>
      </w:tr>
      <w:tr w:rsidR="003E636B" w:rsidRPr="008901A5" w14:paraId="542DA28B" w14:textId="77777777" w:rsidTr="003E636B">
        <w:trPr>
          <w:trHeight w:val="227"/>
        </w:trPr>
        <w:tc>
          <w:tcPr>
            <w:tcW w:w="5410" w:type="dxa"/>
          </w:tcPr>
          <w:p w14:paraId="191EF2A7" w14:textId="77777777" w:rsidR="003E636B" w:rsidRPr="00987D69" w:rsidRDefault="003E636B" w:rsidP="00DD7247">
            <w:pPr>
              <w:ind w:right="142"/>
              <w:rPr>
                <w:rFonts w:ascii="Calibri" w:hAnsi="Calibri" w:cs="Calibri"/>
                <w:color w:val="000000"/>
                <w:sz w:val="18"/>
                <w:szCs w:val="18"/>
              </w:rPr>
            </w:pPr>
            <w:r w:rsidRPr="00987D69">
              <w:rPr>
                <w:rFonts w:ascii="Calibri" w:hAnsi="Calibri" w:cs="Calibri"/>
                <w:color w:val="000000"/>
                <w:sz w:val="18"/>
                <w:szCs w:val="18"/>
              </w:rPr>
              <w:t>Average investment assets</w:t>
            </w:r>
          </w:p>
        </w:tc>
        <w:tc>
          <w:tcPr>
            <w:tcW w:w="1240" w:type="dxa"/>
            <w:tcBorders>
              <w:bottom w:val="single" w:sz="2" w:space="0" w:color="auto"/>
            </w:tcBorders>
          </w:tcPr>
          <w:p w14:paraId="534FA93E" w14:textId="4CABF164" w:rsidR="003E636B" w:rsidRPr="00105250" w:rsidRDefault="003E636B" w:rsidP="00DD7247">
            <w:pPr>
              <w:ind w:right="142"/>
              <w:jc w:val="right"/>
              <w:rPr>
                <w:rFonts w:ascii="Calibri" w:hAnsi="Calibri" w:cs="Calibri"/>
                <w:sz w:val="18"/>
                <w:szCs w:val="18"/>
              </w:rPr>
            </w:pPr>
            <w:r>
              <w:rPr>
                <w:rFonts w:ascii="Calibri" w:hAnsi="Calibri" w:cs="Calibri"/>
                <w:sz w:val="18"/>
                <w:szCs w:val="18"/>
              </w:rPr>
              <w:t>1,137,746</w:t>
            </w:r>
          </w:p>
        </w:tc>
        <w:tc>
          <w:tcPr>
            <w:tcW w:w="1218" w:type="dxa"/>
            <w:tcBorders>
              <w:bottom w:val="single" w:sz="2" w:space="0" w:color="auto"/>
            </w:tcBorders>
          </w:tcPr>
          <w:p w14:paraId="3B732D54" w14:textId="395D670D" w:rsidR="003E636B" w:rsidRPr="00987D69" w:rsidRDefault="003E636B" w:rsidP="00DD7247">
            <w:pPr>
              <w:ind w:right="142"/>
              <w:jc w:val="right"/>
              <w:rPr>
                <w:rFonts w:ascii="Calibri" w:hAnsi="Calibri" w:cs="Calibri"/>
                <w:sz w:val="18"/>
                <w:szCs w:val="18"/>
              </w:rPr>
            </w:pPr>
            <w:r w:rsidRPr="00987D69">
              <w:rPr>
                <w:rFonts w:ascii="Calibri" w:hAnsi="Calibri" w:cs="Calibri"/>
                <w:color w:val="000000"/>
                <w:sz w:val="18"/>
                <w:szCs w:val="18"/>
              </w:rPr>
              <w:t>1,169,411</w:t>
            </w:r>
          </w:p>
        </w:tc>
      </w:tr>
      <w:tr w:rsidR="003E636B" w:rsidRPr="008901A5" w14:paraId="4E7E54CE" w14:textId="77777777" w:rsidTr="003E636B">
        <w:trPr>
          <w:trHeight w:val="234"/>
        </w:trPr>
        <w:tc>
          <w:tcPr>
            <w:tcW w:w="5410" w:type="dxa"/>
          </w:tcPr>
          <w:p w14:paraId="75C1973E" w14:textId="77777777" w:rsidR="003E636B" w:rsidRPr="00987D69" w:rsidRDefault="003E636B" w:rsidP="00DD7247">
            <w:pPr>
              <w:ind w:right="142"/>
              <w:rPr>
                <w:rFonts w:ascii="Calibri" w:hAnsi="Calibri" w:cs="Calibri"/>
                <w:b/>
                <w:color w:val="000000"/>
                <w:sz w:val="18"/>
                <w:szCs w:val="18"/>
              </w:rPr>
            </w:pPr>
            <w:r w:rsidRPr="00987D69">
              <w:rPr>
                <w:rFonts w:ascii="Calibri" w:hAnsi="Calibri" w:cs="Calibri"/>
                <w:b/>
                <w:color w:val="000000"/>
                <w:sz w:val="18"/>
                <w:szCs w:val="18"/>
              </w:rPr>
              <w:t>Investment return (</w:t>
            </w:r>
            <w:r>
              <w:rPr>
                <w:rFonts w:ascii="Calibri" w:hAnsi="Calibri" w:cs="Calibri"/>
                <w:b/>
                <w:color w:val="000000"/>
                <w:sz w:val="18"/>
                <w:szCs w:val="18"/>
              </w:rPr>
              <w:t>Actual</w:t>
            </w:r>
            <w:r w:rsidRPr="00987D69">
              <w:rPr>
                <w:rFonts w:ascii="Calibri" w:hAnsi="Calibri" w:cs="Calibri"/>
                <w:b/>
                <w:color w:val="000000"/>
                <w:sz w:val="18"/>
                <w:szCs w:val="18"/>
              </w:rPr>
              <w:t xml:space="preserve"> investment return/ Average investment assets)</w:t>
            </w:r>
          </w:p>
        </w:tc>
        <w:tc>
          <w:tcPr>
            <w:tcW w:w="1240" w:type="dxa"/>
            <w:tcBorders>
              <w:top w:val="single" w:sz="2" w:space="0" w:color="auto"/>
              <w:bottom w:val="single" w:sz="8" w:space="0" w:color="auto"/>
            </w:tcBorders>
          </w:tcPr>
          <w:p w14:paraId="1ED4232E" w14:textId="77777777" w:rsidR="003E636B" w:rsidRPr="00E8476E" w:rsidRDefault="003E636B" w:rsidP="00DD7247">
            <w:pPr>
              <w:ind w:right="142"/>
              <w:jc w:val="center"/>
              <w:rPr>
                <w:rFonts w:ascii="Calibri" w:hAnsi="Calibri" w:cs="Calibri"/>
                <w:b/>
                <w:bCs/>
                <w:sz w:val="18"/>
                <w:szCs w:val="18"/>
                <w:lang w:val="en-US"/>
              </w:rPr>
            </w:pPr>
          </w:p>
          <w:p w14:paraId="4B5666B7" w14:textId="4122D04B" w:rsidR="003E636B" w:rsidRPr="00E8476E" w:rsidRDefault="003E636B" w:rsidP="00DD7247">
            <w:pPr>
              <w:ind w:right="142"/>
              <w:jc w:val="right"/>
              <w:rPr>
                <w:rFonts w:ascii="Calibri" w:hAnsi="Calibri" w:cs="Calibri"/>
                <w:b/>
                <w:sz w:val="18"/>
                <w:szCs w:val="18"/>
              </w:rPr>
            </w:pPr>
            <w:r>
              <w:rPr>
                <w:rFonts w:ascii="Calibri" w:hAnsi="Calibri" w:cs="Calibri"/>
                <w:b/>
                <w:bCs/>
                <w:sz w:val="18"/>
                <w:szCs w:val="18"/>
                <w:lang w:val="en-US"/>
              </w:rPr>
              <w:t>5.3</w:t>
            </w:r>
            <w:r w:rsidRPr="00E8476E">
              <w:rPr>
                <w:rFonts w:ascii="Calibri" w:hAnsi="Calibri" w:cs="Calibri"/>
                <w:b/>
                <w:bCs/>
                <w:sz w:val="18"/>
                <w:szCs w:val="18"/>
                <w:lang w:val="en-US"/>
              </w:rPr>
              <w:t>%</w:t>
            </w:r>
          </w:p>
        </w:tc>
        <w:tc>
          <w:tcPr>
            <w:tcW w:w="1218" w:type="dxa"/>
            <w:tcBorders>
              <w:top w:val="single" w:sz="2" w:space="0" w:color="auto"/>
              <w:bottom w:val="single" w:sz="8" w:space="0" w:color="auto"/>
            </w:tcBorders>
          </w:tcPr>
          <w:p w14:paraId="4F4733AA" w14:textId="77777777" w:rsidR="003E636B" w:rsidRPr="00E8476E" w:rsidRDefault="003E636B" w:rsidP="00DD7247">
            <w:pPr>
              <w:ind w:right="142"/>
              <w:jc w:val="right"/>
              <w:rPr>
                <w:rFonts w:ascii="Calibri" w:hAnsi="Calibri" w:cs="Calibri"/>
                <w:b/>
                <w:sz w:val="18"/>
                <w:szCs w:val="18"/>
              </w:rPr>
            </w:pPr>
          </w:p>
          <w:p w14:paraId="7F9A3C84" w14:textId="7995E7B5" w:rsidR="003E636B" w:rsidRPr="00E8476E" w:rsidRDefault="003E636B" w:rsidP="00DD7247">
            <w:pPr>
              <w:ind w:right="142"/>
              <w:jc w:val="right"/>
              <w:rPr>
                <w:rFonts w:ascii="Calibri" w:hAnsi="Calibri" w:cs="Calibri"/>
                <w:b/>
                <w:sz w:val="18"/>
                <w:szCs w:val="18"/>
              </w:rPr>
            </w:pPr>
            <w:r w:rsidRPr="00E8476E">
              <w:rPr>
                <w:rFonts w:ascii="Calibri" w:hAnsi="Calibri" w:cs="Calibri"/>
                <w:b/>
                <w:sz w:val="18"/>
                <w:szCs w:val="18"/>
              </w:rPr>
              <w:t>(8.6%)</w:t>
            </w:r>
          </w:p>
        </w:tc>
      </w:tr>
      <w:tr w:rsidR="003E636B" w:rsidRPr="008901A5" w14:paraId="1D1AB080" w14:textId="77777777" w:rsidTr="003E636B">
        <w:trPr>
          <w:trHeight w:val="234"/>
        </w:trPr>
        <w:tc>
          <w:tcPr>
            <w:tcW w:w="5410" w:type="dxa"/>
          </w:tcPr>
          <w:p w14:paraId="5F88485D" w14:textId="77777777" w:rsidR="003E636B" w:rsidRPr="00987D69" w:rsidRDefault="003E636B" w:rsidP="00DD7247">
            <w:pPr>
              <w:ind w:right="142"/>
              <w:rPr>
                <w:rFonts w:ascii="Calibri" w:hAnsi="Calibri" w:cs="Calibri"/>
                <w:color w:val="000000"/>
                <w:sz w:val="18"/>
                <w:szCs w:val="18"/>
              </w:rPr>
            </w:pPr>
          </w:p>
        </w:tc>
        <w:tc>
          <w:tcPr>
            <w:tcW w:w="1240" w:type="dxa"/>
            <w:tcBorders>
              <w:top w:val="single" w:sz="8" w:space="0" w:color="auto"/>
            </w:tcBorders>
          </w:tcPr>
          <w:p w14:paraId="0A4CF659" w14:textId="77777777" w:rsidR="003E636B" w:rsidRPr="00105250" w:rsidRDefault="003E636B" w:rsidP="00DD7247">
            <w:pPr>
              <w:ind w:right="142"/>
              <w:jc w:val="right"/>
              <w:rPr>
                <w:rFonts w:ascii="Calibri" w:hAnsi="Calibri" w:cs="Calibri"/>
                <w:sz w:val="18"/>
                <w:szCs w:val="18"/>
              </w:rPr>
            </w:pPr>
          </w:p>
        </w:tc>
        <w:tc>
          <w:tcPr>
            <w:tcW w:w="1218" w:type="dxa"/>
            <w:tcBorders>
              <w:top w:val="single" w:sz="8" w:space="0" w:color="auto"/>
            </w:tcBorders>
          </w:tcPr>
          <w:p w14:paraId="2566FBD6" w14:textId="77777777" w:rsidR="003E636B" w:rsidRPr="00987D69" w:rsidRDefault="003E636B" w:rsidP="00DD7247">
            <w:pPr>
              <w:ind w:right="142"/>
              <w:jc w:val="right"/>
              <w:rPr>
                <w:rFonts w:ascii="Calibri" w:hAnsi="Calibri" w:cs="Calibri"/>
                <w:color w:val="FF0000"/>
                <w:sz w:val="18"/>
                <w:szCs w:val="18"/>
              </w:rPr>
            </w:pPr>
          </w:p>
        </w:tc>
      </w:tr>
      <w:tr w:rsidR="003E636B" w:rsidRPr="008901A5" w14:paraId="33CA4750" w14:textId="77777777" w:rsidTr="003E636B">
        <w:trPr>
          <w:trHeight w:val="227"/>
        </w:trPr>
        <w:tc>
          <w:tcPr>
            <w:tcW w:w="5410" w:type="dxa"/>
          </w:tcPr>
          <w:p w14:paraId="23F1F292" w14:textId="77777777" w:rsidR="003E636B" w:rsidRPr="00987D69" w:rsidRDefault="003E636B" w:rsidP="00DD7247">
            <w:pPr>
              <w:ind w:right="142"/>
              <w:rPr>
                <w:rFonts w:ascii="Calibri" w:hAnsi="Calibri" w:cs="Calibri"/>
                <w:b/>
                <w:color w:val="000000"/>
                <w:sz w:val="18"/>
                <w:szCs w:val="18"/>
              </w:rPr>
            </w:pPr>
            <w:r w:rsidRPr="00987D69">
              <w:rPr>
                <w:rFonts w:ascii="Calibri" w:hAnsi="Calibri" w:cs="Calibri"/>
                <w:b/>
                <w:color w:val="000000"/>
                <w:sz w:val="18"/>
                <w:szCs w:val="18"/>
              </w:rPr>
              <w:t>Net asset value per share (NAV per share)</w:t>
            </w:r>
          </w:p>
        </w:tc>
        <w:tc>
          <w:tcPr>
            <w:tcW w:w="1240" w:type="dxa"/>
          </w:tcPr>
          <w:p w14:paraId="13F39D3D" w14:textId="77777777" w:rsidR="003E636B" w:rsidRPr="00105250" w:rsidRDefault="003E636B" w:rsidP="00DD7247">
            <w:pPr>
              <w:ind w:right="142"/>
              <w:jc w:val="right"/>
              <w:rPr>
                <w:rFonts w:ascii="Calibri" w:hAnsi="Calibri" w:cs="Calibri"/>
                <w:sz w:val="18"/>
                <w:szCs w:val="18"/>
              </w:rPr>
            </w:pPr>
          </w:p>
        </w:tc>
        <w:tc>
          <w:tcPr>
            <w:tcW w:w="1218" w:type="dxa"/>
          </w:tcPr>
          <w:p w14:paraId="4BA0E46B" w14:textId="77777777" w:rsidR="003E636B" w:rsidRPr="00987D69" w:rsidRDefault="003E636B" w:rsidP="00DD7247">
            <w:pPr>
              <w:ind w:right="142"/>
              <w:jc w:val="right"/>
              <w:rPr>
                <w:rFonts w:ascii="Calibri" w:hAnsi="Calibri" w:cs="Calibri"/>
                <w:color w:val="FF0000"/>
                <w:sz w:val="18"/>
                <w:szCs w:val="18"/>
              </w:rPr>
            </w:pPr>
          </w:p>
        </w:tc>
      </w:tr>
      <w:tr w:rsidR="003E636B" w:rsidRPr="008901A5" w14:paraId="6998BEB3" w14:textId="77777777" w:rsidTr="003E636B">
        <w:trPr>
          <w:trHeight w:val="234"/>
        </w:trPr>
        <w:tc>
          <w:tcPr>
            <w:tcW w:w="5410" w:type="dxa"/>
          </w:tcPr>
          <w:p w14:paraId="721EA1C0" w14:textId="77777777" w:rsidR="003E636B" w:rsidRPr="00987D69" w:rsidRDefault="003E636B" w:rsidP="00DD7247">
            <w:pPr>
              <w:ind w:right="142"/>
              <w:rPr>
                <w:rFonts w:ascii="Calibri" w:hAnsi="Calibri" w:cs="Calibri"/>
                <w:color w:val="000000"/>
                <w:sz w:val="18"/>
                <w:szCs w:val="18"/>
              </w:rPr>
            </w:pPr>
            <w:r w:rsidRPr="00987D69">
              <w:rPr>
                <w:rFonts w:ascii="Calibri" w:hAnsi="Calibri" w:cs="Calibri"/>
                <w:color w:val="000000"/>
                <w:sz w:val="18"/>
                <w:szCs w:val="18"/>
              </w:rPr>
              <w:t>Shareholders’ funds – equity interests</w:t>
            </w:r>
          </w:p>
        </w:tc>
        <w:tc>
          <w:tcPr>
            <w:tcW w:w="1240" w:type="dxa"/>
            <w:tcBorders>
              <w:bottom w:val="single" w:sz="2" w:space="0" w:color="auto"/>
            </w:tcBorders>
          </w:tcPr>
          <w:p w14:paraId="1C302CDA" w14:textId="16546462" w:rsidR="003E636B" w:rsidRPr="00105250" w:rsidRDefault="003E636B" w:rsidP="00DD7247">
            <w:pPr>
              <w:ind w:right="142"/>
              <w:jc w:val="right"/>
              <w:rPr>
                <w:rFonts w:ascii="Calibri" w:hAnsi="Calibri" w:cs="Calibri"/>
                <w:sz w:val="18"/>
                <w:szCs w:val="18"/>
              </w:rPr>
            </w:pPr>
            <w:r>
              <w:rPr>
                <w:rFonts w:ascii="Calibri" w:hAnsi="Calibri" w:cs="Calibri"/>
                <w:sz w:val="18"/>
                <w:szCs w:val="18"/>
              </w:rPr>
              <w:t>477,036</w:t>
            </w:r>
          </w:p>
        </w:tc>
        <w:tc>
          <w:tcPr>
            <w:tcW w:w="1218" w:type="dxa"/>
            <w:tcBorders>
              <w:bottom w:val="single" w:sz="2" w:space="0" w:color="auto"/>
            </w:tcBorders>
          </w:tcPr>
          <w:p w14:paraId="0423F26E" w14:textId="06E6FAA0" w:rsidR="003E636B" w:rsidRPr="00987D69" w:rsidRDefault="003E636B" w:rsidP="00DD7247">
            <w:pPr>
              <w:ind w:right="142"/>
              <w:jc w:val="right"/>
              <w:rPr>
                <w:rFonts w:ascii="Calibri" w:hAnsi="Calibri" w:cs="Calibri"/>
                <w:sz w:val="18"/>
                <w:szCs w:val="18"/>
              </w:rPr>
            </w:pPr>
            <w:r w:rsidRPr="00987D69">
              <w:rPr>
                <w:rFonts w:ascii="Calibri" w:hAnsi="Calibri" w:cs="Calibri"/>
                <w:color w:val="000000"/>
                <w:sz w:val="18"/>
                <w:szCs w:val="18"/>
              </w:rPr>
              <w:t>454,006</w:t>
            </w:r>
          </w:p>
        </w:tc>
      </w:tr>
      <w:tr w:rsidR="003E636B" w:rsidRPr="008901A5" w14:paraId="31767755" w14:textId="77777777" w:rsidTr="003E636B">
        <w:trPr>
          <w:trHeight w:val="227"/>
        </w:trPr>
        <w:tc>
          <w:tcPr>
            <w:tcW w:w="5410" w:type="dxa"/>
          </w:tcPr>
          <w:p w14:paraId="23D8B5CA" w14:textId="77777777" w:rsidR="003E636B" w:rsidRPr="00987D69" w:rsidRDefault="003E636B" w:rsidP="00DD7247">
            <w:pPr>
              <w:ind w:right="142"/>
              <w:rPr>
                <w:rFonts w:ascii="Calibri" w:hAnsi="Calibri" w:cs="Calibri"/>
                <w:color w:val="000000"/>
                <w:sz w:val="18"/>
                <w:szCs w:val="18"/>
              </w:rPr>
            </w:pPr>
          </w:p>
        </w:tc>
        <w:tc>
          <w:tcPr>
            <w:tcW w:w="1240" w:type="dxa"/>
            <w:tcBorders>
              <w:top w:val="single" w:sz="2" w:space="0" w:color="auto"/>
            </w:tcBorders>
          </w:tcPr>
          <w:p w14:paraId="4BC2DB47" w14:textId="77777777" w:rsidR="003E636B" w:rsidRPr="00105250" w:rsidRDefault="003E636B" w:rsidP="00DD7247">
            <w:pPr>
              <w:ind w:right="142"/>
              <w:jc w:val="right"/>
              <w:rPr>
                <w:rFonts w:ascii="Calibri" w:hAnsi="Calibri" w:cs="Calibri"/>
                <w:sz w:val="18"/>
                <w:szCs w:val="18"/>
              </w:rPr>
            </w:pPr>
          </w:p>
        </w:tc>
        <w:tc>
          <w:tcPr>
            <w:tcW w:w="1218" w:type="dxa"/>
            <w:tcBorders>
              <w:top w:val="single" w:sz="2" w:space="0" w:color="auto"/>
            </w:tcBorders>
          </w:tcPr>
          <w:p w14:paraId="22B4226E" w14:textId="77777777" w:rsidR="003E636B" w:rsidRPr="00987D69" w:rsidRDefault="003E636B" w:rsidP="00DD7247">
            <w:pPr>
              <w:ind w:right="142"/>
              <w:jc w:val="right"/>
              <w:rPr>
                <w:rFonts w:ascii="Calibri" w:hAnsi="Calibri" w:cs="Calibri"/>
                <w:color w:val="FF0000"/>
                <w:sz w:val="18"/>
                <w:szCs w:val="18"/>
              </w:rPr>
            </w:pPr>
          </w:p>
        </w:tc>
      </w:tr>
      <w:tr w:rsidR="003E636B" w:rsidRPr="008901A5" w14:paraId="13A7A19E" w14:textId="77777777" w:rsidTr="003E636B">
        <w:trPr>
          <w:trHeight w:val="234"/>
        </w:trPr>
        <w:tc>
          <w:tcPr>
            <w:tcW w:w="5410" w:type="dxa"/>
          </w:tcPr>
          <w:p w14:paraId="28CCC5E2" w14:textId="77777777" w:rsidR="003E636B" w:rsidRPr="00987D69" w:rsidRDefault="003E636B" w:rsidP="00DD7247">
            <w:pPr>
              <w:ind w:right="142"/>
              <w:rPr>
                <w:rFonts w:ascii="Calibri" w:hAnsi="Calibri" w:cs="Calibri"/>
                <w:b/>
                <w:color w:val="000000"/>
                <w:sz w:val="18"/>
                <w:szCs w:val="18"/>
              </w:rPr>
            </w:pPr>
            <w:r w:rsidRPr="00987D69">
              <w:rPr>
                <w:rFonts w:ascii="Calibri" w:hAnsi="Calibri" w:cs="Calibri"/>
                <w:b/>
                <w:color w:val="000000"/>
                <w:sz w:val="18"/>
                <w:szCs w:val="18"/>
              </w:rPr>
              <w:t>Number of shares</w:t>
            </w:r>
          </w:p>
        </w:tc>
        <w:tc>
          <w:tcPr>
            <w:tcW w:w="1240" w:type="dxa"/>
          </w:tcPr>
          <w:p w14:paraId="52D025F3" w14:textId="77777777" w:rsidR="003E636B" w:rsidRPr="00105250" w:rsidRDefault="003E636B" w:rsidP="00DD7247">
            <w:pPr>
              <w:ind w:right="142"/>
              <w:jc w:val="right"/>
              <w:rPr>
                <w:rFonts w:ascii="Calibri" w:hAnsi="Calibri" w:cs="Calibri"/>
                <w:sz w:val="18"/>
                <w:szCs w:val="18"/>
              </w:rPr>
            </w:pPr>
            <w:r w:rsidRPr="00105250">
              <w:rPr>
                <w:rFonts w:ascii="Calibri" w:hAnsi="Calibri" w:cs="Calibri"/>
                <w:b/>
                <w:sz w:val="18"/>
                <w:szCs w:val="18"/>
              </w:rPr>
              <w:t>No.</w:t>
            </w:r>
          </w:p>
        </w:tc>
        <w:tc>
          <w:tcPr>
            <w:tcW w:w="1218" w:type="dxa"/>
          </w:tcPr>
          <w:p w14:paraId="65AA4ECE" w14:textId="662986F1" w:rsidR="003E636B" w:rsidRPr="00987D69" w:rsidRDefault="003E636B" w:rsidP="00DD7247">
            <w:pPr>
              <w:ind w:right="142"/>
              <w:jc w:val="right"/>
              <w:rPr>
                <w:rFonts w:ascii="Calibri" w:hAnsi="Calibri" w:cs="Calibri"/>
                <w:sz w:val="18"/>
                <w:szCs w:val="18"/>
              </w:rPr>
            </w:pPr>
            <w:r w:rsidRPr="00987D69">
              <w:rPr>
                <w:rFonts w:ascii="Calibri" w:hAnsi="Calibri" w:cs="Calibri"/>
                <w:color w:val="000000"/>
                <w:sz w:val="18"/>
                <w:szCs w:val="18"/>
              </w:rPr>
              <w:t>No.</w:t>
            </w:r>
          </w:p>
        </w:tc>
      </w:tr>
      <w:tr w:rsidR="003E636B" w:rsidRPr="008901A5" w14:paraId="59E5C867" w14:textId="77777777" w:rsidTr="003E636B">
        <w:trPr>
          <w:trHeight w:val="234"/>
        </w:trPr>
        <w:tc>
          <w:tcPr>
            <w:tcW w:w="5410" w:type="dxa"/>
          </w:tcPr>
          <w:p w14:paraId="20EFF122" w14:textId="77777777" w:rsidR="003E636B" w:rsidRPr="00987D69" w:rsidRDefault="003E636B" w:rsidP="00DD7247">
            <w:pPr>
              <w:ind w:right="142"/>
              <w:rPr>
                <w:rFonts w:ascii="Calibri" w:hAnsi="Calibri" w:cs="Calibri"/>
                <w:color w:val="000000"/>
                <w:sz w:val="18"/>
                <w:szCs w:val="18"/>
              </w:rPr>
            </w:pPr>
            <w:r w:rsidRPr="00987D69">
              <w:rPr>
                <w:rFonts w:ascii="Calibri" w:hAnsi="Calibri" w:cs="Calibri"/>
                <w:color w:val="000000"/>
                <w:sz w:val="18"/>
                <w:szCs w:val="18"/>
              </w:rPr>
              <w:t>Closing number of ordinary shares (</w:t>
            </w:r>
            <w:r>
              <w:rPr>
                <w:rFonts w:ascii="Calibri" w:hAnsi="Calibri" w:cs="Calibri"/>
                <w:color w:val="000000"/>
                <w:sz w:val="18"/>
                <w:szCs w:val="18"/>
              </w:rPr>
              <w:t xml:space="preserve">excluding </w:t>
            </w:r>
            <w:r w:rsidRPr="00987D69">
              <w:rPr>
                <w:rFonts w:ascii="Calibri" w:hAnsi="Calibri" w:cs="Calibri"/>
                <w:color w:val="000000"/>
                <w:sz w:val="18"/>
                <w:szCs w:val="18"/>
              </w:rPr>
              <w:t>Treasury)</w:t>
            </w:r>
          </w:p>
        </w:tc>
        <w:tc>
          <w:tcPr>
            <w:tcW w:w="1240" w:type="dxa"/>
            <w:tcBorders>
              <w:bottom w:val="single" w:sz="2" w:space="0" w:color="auto"/>
            </w:tcBorders>
          </w:tcPr>
          <w:p w14:paraId="30026AD0" w14:textId="2D78ADD5" w:rsidR="003E636B" w:rsidRPr="00105250" w:rsidRDefault="003E636B" w:rsidP="00DD7247">
            <w:pPr>
              <w:ind w:right="142"/>
              <w:jc w:val="right"/>
              <w:rPr>
                <w:rFonts w:ascii="Calibri" w:hAnsi="Calibri" w:cs="Calibri"/>
                <w:sz w:val="18"/>
                <w:szCs w:val="18"/>
              </w:rPr>
            </w:pPr>
            <w:r>
              <w:rPr>
                <w:rFonts w:ascii="Calibri" w:hAnsi="Calibri" w:cs="Calibri"/>
                <w:sz w:val="18"/>
                <w:szCs w:val="18"/>
              </w:rPr>
              <w:t>35,856,967</w:t>
            </w:r>
          </w:p>
        </w:tc>
        <w:tc>
          <w:tcPr>
            <w:tcW w:w="1218" w:type="dxa"/>
            <w:tcBorders>
              <w:bottom w:val="single" w:sz="2" w:space="0" w:color="auto"/>
            </w:tcBorders>
          </w:tcPr>
          <w:p w14:paraId="390A447C" w14:textId="622ABBF1" w:rsidR="003E636B" w:rsidRPr="00987D69" w:rsidRDefault="003E636B" w:rsidP="00DD7247">
            <w:pPr>
              <w:ind w:right="142"/>
              <w:jc w:val="right"/>
              <w:rPr>
                <w:rFonts w:ascii="Calibri" w:hAnsi="Calibri" w:cs="Calibri"/>
                <w:sz w:val="18"/>
                <w:szCs w:val="18"/>
              </w:rPr>
            </w:pPr>
            <w:r w:rsidRPr="00987D69">
              <w:rPr>
                <w:rFonts w:ascii="Calibri" w:hAnsi="Calibri" w:cs="Calibri"/>
                <w:color w:val="000000"/>
                <w:sz w:val="18"/>
                <w:szCs w:val="18"/>
              </w:rPr>
              <w:t>35,587,279</w:t>
            </w:r>
          </w:p>
        </w:tc>
      </w:tr>
      <w:tr w:rsidR="003E636B" w:rsidRPr="008901A5" w14:paraId="7F42F13A" w14:textId="77777777" w:rsidTr="003E636B">
        <w:trPr>
          <w:trHeight w:val="234"/>
        </w:trPr>
        <w:tc>
          <w:tcPr>
            <w:tcW w:w="5410" w:type="dxa"/>
          </w:tcPr>
          <w:p w14:paraId="5F460855" w14:textId="77777777" w:rsidR="003E636B" w:rsidRPr="00987D69" w:rsidRDefault="003E636B" w:rsidP="00DD7247">
            <w:pPr>
              <w:ind w:right="142"/>
              <w:rPr>
                <w:rFonts w:ascii="Calibri" w:hAnsi="Calibri" w:cs="Calibri"/>
                <w:color w:val="000000"/>
                <w:sz w:val="18"/>
                <w:szCs w:val="18"/>
              </w:rPr>
            </w:pPr>
          </w:p>
        </w:tc>
        <w:tc>
          <w:tcPr>
            <w:tcW w:w="1240" w:type="dxa"/>
            <w:tcBorders>
              <w:top w:val="single" w:sz="2" w:space="0" w:color="auto"/>
            </w:tcBorders>
          </w:tcPr>
          <w:p w14:paraId="1CBA9AD2" w14:textId="77777777" w:rsidR="003E636B" w:rsidRPr="00105250" w:rsidRDefault="003E636B" w:rsidP="00DD7247">
            <w:pPr>
              <w:ind w:right="142"/>
              <w:jc w:val="right"/>
              <w:rPr>
                <w:rFonts w:ascii="Calibri" w:hAnsi="Calibri" w:cs="Calibri"/>
                <w:sz w:val="18"/>
                <w:szCs w:val="18"/>
              </w:rPr>
            </w:pPr>
          </w:p>
        </w:tc>
        <w:tc>
          <w:tcPr>
            <w:tcW w:w="1218" w:type="dxa"/>
            <w:tcBorders>
              <w:top w:val="single" w:sz="2" w:space="0" w:color="auto"/>
            </w:tcBorders>
          </w:tcPr>
          <w:p w14:paraId="3748861F" w14:textId="77777777" w:rsidR="003E636B" w:rsidRPr="00987D69" w:rsidRDefault="003E636B" w:rsidP="00DD7247">
            <w:pPr>
              <w:ind w:right="142"/>
              <w:jc w:val="right"/>
              <w:rPr>
                <w:rFonts w:ascii="Calibri" w:hAnsi="Calibri" w:cs="Calibri"/>
                <w:color w:val="FF0000"/>
                <w:sz w:val="18"/>
                <w:szCs w:val="18"/>
              </w:rPr>
            </w:pPr>
          </w:p>
        </w:tc>
      </w:tr>
      <w:tr w:rsidR="003E636B" w:rsidRPr="008901A5" w14:paraId="66E4F4BB" w14:textId="77777777" w:rsidTr="003E636B">
        <w:trPr>
          <w:trHeight w:val="234"/>
        </w:trPr>
        <w:tc>
          <w:tcPr>
            <w:tcW w:w="5410" w:type="dxa"/>
          </w:tcPr>
          <w:p w14:paraId="462D464A" w14:textId="77777777" w:rsidR="003E636B" w:rsidRPr="00987D69" w:rsidRDefault="003E636B" w:rsidP="00DD7247">
            <w:pPr>
              <w:ind w:right="142"/>
              <w:rPr>
                <w:rFonts w:ascii="Calibri" w:hAnsi="Calibri" w:cs="Calibri"/>
                <w:color w:val="000000"/>
                <w:sz w:val="18"/>
                <w:szCs w:val="18"/>
              </w:rPr>
            </w:pPr>
          </w:p>
        </w:tc>
        <w:tc>
          <w:tcPr>
            <w:tcW w:w="1240" w:type="dxa"/>
          </w:tcPr>
          <w:p w14:paraId="51EE676A" w14:textId="77777777" w:rsidR="003E636B" w:rsidRPr="00105250" w:rsidRDefault="003E636B" w:rsidP="00DD7247">
            <w:pPr>
              <w:ind w:right="142"/>
              <w:jc w:val="right"/>
              <w:rPr>
                <w:rFonts w:ascii="Calibri" w:hAnsi="Calibri" w:cs="Calibri"/>
                <w:b/>
                <w:sz w:val="18"/>
                <w:szCs w:val="18"/>
              </w:rPr>
            </w:pPr>
            <w:r w:rsidRPr="00105250">
              <w:rPr>
                <w:rFonts w:ascii="Calibri" w:hAnsi="Calibri" w:cs="Calibri"/>
                <w:b/>
                <w:sz w:val="18"/>
                <w:szCs w:val="18"/>
              </w:rPr>
              <w:t>Cent</w:t>
            </w:r>
          </w:p>
        </w:tc>
        <w:tc>
          <w:tcPr>
            <w:tcW w:w="1218" w:type="dxa"/>
          </w:tcPr>
          <w:p w14:paraId="7794FF8F" w14:textId="1C78F813" w:rsidR="003E636B" w:rsidRPr="00987D69" w:rsidRDefault="003E636B" w:rsidP="00DD7247">
            <w:pPr>
              <w:ind w:right="142"/>
              <w:jc w:val="right"/>
              <w:rPr>
                <w:rFonts w:ascii="Calibri" w:hAnsi="Calibri" w:cs="Calibri"/>
                <w:sz w:val="18"/>
                <w:szCs w:val="18"/>
              </w:rPr>
            </w:pPr>
            <w:r w:rsidRPr="00987D69">
              <w:rPr>
                <w:rFonts w:ascii="Calibri" w:hAnsi="Calibri" w:cs="Calibri"/>
                <w:color w:val="000000"/>
                <w:sz w:val="18"/>
                <w:szCs w:val="18"/>
              </w:rPr>
              <w:t>Cent</w:t>
            </w:r>
          </w:p>
        </w:tc>
      </w:tr>
      <w:tr w:rsidR="003E636B" w:rsidRPr="008901A5" w14:paraId="607FE513" w14:textId="77777777" w:rsidTr="003E636B">
        <w:trPr>
          <w:trHeight w:val="234"/>
        </w:trPr>
        <w:tc>
          <w:tcPr>
            <w:tcW w:w="5410" w:type="dxa"/>
          </w:tcPr>
          <w:p w14:paraId="788DA989" w14:textId="6A3DA67B" w:rsidR="003E636B" w:rsidRPr="00987D69" w:rsidRDefault="003E636B" w:rsidP="00DD7247">
            <w:pPr>
              <w:ind w:right="142"/>
              <w:rPr>
                <w:rFonts w:ascii="Calibri" w:hAnsi="Calibri" w:cs="Calibri"/>
                <w:b/>
                <w:color w:val="000000"/>
                <w:sz w:val="18"/>
                <w:szCs w:val="18"/>
              </w:rPr>
            </w:pPr>
            <w:r w:rsidRPr="00987D69">
              <w:rPr>
                <w:rFonts w:ascii="Calibri" w:hAnsi="Calibri" w:cs="Calibri"/>
                <w:b/>
                <w:color w:val="000000"/>
                <w:sz w:val="18"/>
                <w:szCs w:val="18"/>
              </w:rPr>
              <w:t>Net asset value per share (Shareholders</w:t>
            </w:r>
            <w:r>
              <w:rPr>
                <w:rFonts w:ascii="Calibri" w:hAnsi="Calibri" w:cs="Calibri"/>
                <w:b/>
                <w:color w:val="000000"/>
                <w:sz w:val="18"/>
                <w:szCs w:val="18"/>
              </w:rPr>
              <w:t>’</w:t>
            </w:r>
            <w:r w:rsidRPr="00987D69">
              <w:rPr>
                <w:rFonts w:ascii="Calibri" w:hAnsi="Calibri" w:cs="Calibri"/>
                <w:b/>
                <w:color w:val="000000"/>
                <w:sz w:val="18"/>
                <w:szCs w:val="18"/>
              </w:rPr>
              <w:t xml:space="preserve"> funds/Closing number of ordinary shares)</w:t>
            </w:r>
          </w:p>
        </w:tc>
        <w:tc>
          <w:tcPr>
            <w:tcW w:w="1240" w:type="dxa"/>
            <w:tcBorders>
              <w:bottom w:val="single" w:sz="2" w:space="0" w:color="auto"/>
            </w:tcBorders>
          </w:tcPr>
          <w:p w14:paraId="6DADD36B" w14:textId="77777777" w:rsidR="003E636B" w:rsidRPr="00E8476E" w:rsidRDefault="003E636B" w:rsidP="00DD7247">
            <w:pPr>
              <w:ind w:right="142"/>
              <w:jc w:val="right"/>
              <w:rPr>
                <w:rFonts w:ascii="Calibri" w:hAnsi="Calibri" w:cs="Calibri"/>
                <w:b/>
                <w:bCs/>
                <w:sz w:val="18"/>
                <w:szCs w:val="18"/>
                <w:lang w:val="en-US"/>
              </w:rPr>
            </w:pPr>
          </w:p>
          <w:p w14:paraId="4094AA61" w14:textId="1FE1DA50" w:rsidR="003E636B" w:rsidRPr="00E8476E" w:rsidRDefault="003E636B" w:rsidP="00DD7247">
            <w:pPr>
              <w:ind w:right="142"/>
              <w:jc w:val="right"/>
              <w:rPr>
                <w:rFonts w:ascii="Calibri" w:hAnsi="Calibri" w:cs="Calibri"/>
                <w:b/>
                <w:sz w:val="18"/>
                <w:szCs w:val="18"/>
              </w:rPr>
            </w:pPr>
            <w:r>
              <w:rPr>
                <w:rFonts w:ascii="Calibri" w:hAnsi="Calibri" w:cs="Calibri"/>
                <w:b/>
                <w:sz w:val="18"/>
                <w:szCs w:val="18"/>
              </w:rPr>
              <w:t>1,330</w:t>
            </w:r>
          </w:p>
        </w:tc>
        <w:tc>
          <w:tcPr>
            <w:tcW w:w="1218" w:type="dxa"/>
            <w:tcBorders>
              <w:bottom w:val="single" w:sz="2" w:space="0" w:color="auto"/>
            </w:tcBorders>
          </w:tcPr>
          <w:p w14:paraId="67D1BD7A" w14:textId="77777777" w:rsidR="003E636B" w:rsidRPr="00E8476E" w:rsidRDefault="003E636B" w:rsidP="00DD7247">
            <w:pPr>
              <w:ind w:right="142"/>
              <w:jc w:val="right"/>
              <w:rPr>
                <w:rFonts w:ascii="Calibri" w:hAnsi="Calibri" w:cs="Calibri"/>
                <w:b/>
                <w:color w:val="000000"/>
                <w:sz w:val="18"/>
                <w:szCs w:val="18"/>
              </w:rPr>
            </w:pPr>
          </w:p>
          <w:p w14:paraId="398C46E1" w14:textId="745EE395" w:rsidR="003E636B" w:rsidRPr="00E8476E" w:rsidRDefault="003E636B" w:rsidP="00DD7247">
            <w:pPr>
              <w:ind w:right="142"/>
              <w:jc w:val="right"/>
              <w:rPr>
                <w:rFonts w:ascii="Calibri" w:hAnsi="Calibri" w:cs="Calibri"/>
                <w:b/>
                <w:sz w:val="18"/>
                <w:szCs w:val="18"/>
              </w:rPr>
            </w:pPr>
            <w:r w:rsidRPr="00E8476E">
              <w:rPr>
                <w:rFonts w:ascii="Calibri" w:hAnsi="Calibri" w:cs="Calibri"/>
                <w:b/>
                <w:color w:val="000000"/>
                <w:sz w:val="18"/>
                <w:szCs w:val="18"/>
              </w:rPr>
              <w:t>1,276</w:t>
            </w:r>
          </w:p>
        </w:tc>
      </w:tr>
      <w:tr w:rsidR="003E636B" w:rsidRPr="008901A5" w14:paraId="1DA6EBA4" w14:textId="77777777" w:rsidTr="003E636B">
        <w:trPr>
          <w:trHeight w:val="234"/>
        </w:trPr>
        <w:tc>
          <w:tcPr>
            <w:tcW w:w="5410" w:type="dxa"/>
          </w:tcPr>
          <w:p w14:paraId="2583E145" w14:textId="77777777" w:rsidR="003E636B" w:rsidRPr="00987D69" w:rsidRDefault="003E636B" w:rsidP="00DD7247">
            <w:pPr>
              <w:ind w:right="142"/>
              <w:rPr>
                <w:rFonts w:ascii="Calibri" w:hAnsi="Calibri" w:cs="Calibri"/>
                <w:b/>
                <w:color w:val="000000"/>
                <w:sz w:val="18"/>
                <w:szCs w:val="18"/>
              </w:rPr>
            </w:pPr>
          </w:p>
        </w:tc>
        <w:tc>
          <w:tcPr>
            <w:tcW w:w="1240" w:type="dxa"/>
            <w:tcBorders>
              <w:top w:val="single" w:sz="2" w:space="0" w:color="auto"/>
            </w:tcBorders>
          </w:tcPr>
          <w:p w14:paraId="4F65E5F6" w14:textId="77777777" w:rsidR="003E636B" w:rsidRPr="00105250" w:rsidRDefault="003E636B" w:rsidP="00DD7247">
            <w:pPr>
              <w:ind w:right="142"/>
              <w:jc w:val="right"/>
              <w:rPr>
                <w:rFonts w:ascii="Calibri" w:hAnsi="Calibri" w:cs="Calibri"/>
                <w:sz w:val="18"/>
                <w:szCs w:val="18"/>
              </w:rPr>
            </w:pPr>
          </w:p>
        </w:tc>
        <w:tc>
          <w:tcPr>
            <w:tcW w:w="1218" w:type="dxa"/>
            <w:tcBorders>
              <w:top w:val="single" w:sz="2" w:space="0" w:color="auto"/>
            </w:tcBorders>
          </w:tcPr>
          <w:p w14:paraId="5C874C65" w14:textId="77777777" w:rsidR="003E636B" w:rsidRPr="00987D69" w:rsidRDefault="003E636B" w:rsidP="00DD7247">
            <w:pPr>
              <w:ind w:right="142"/>
              <w:jc w:val="right"/>
              <w:rPr>
                <w:rFonts w:ascii="Calibri" w:hAnsi="Calibri" w:cs="Calibri"/>
                <w:color w:val="FF0000"/>
                <w:sz w:val="18"/>
                <w:szCs w:val="18"/>
              </w:rPr>
            </w:pPr>
          </w:p>
        </w:tc>
      </w:tr>
      <w:tr w:rsidR="003E636B" w:rsidRPr="008901A5" w14:paraId="1511FCC3" w14:textId="77777777" w:rsidTr="003E636B">
        <w:trPr>
          <w:trHeight w:val="234"/>
        </w:trPr>
        <w:tc>
          <w:tcPr>
            <w:tcW w:w="5410" w:type="dxa"/>
          </w:tcPr>
          <w:p w14:paraId="27AAB3FE" w14:textId="77777777" w:rsidR="003E636B" w:rsidRPr="00987D69" w:rsidRDefault="003E636B" w:rsidP="00DD7247">
            <w:pPr>
              <w:ind w:right="142"/>
              <w:rPr>
                <w:rFonts w:ascii="Calibri" w:hAnsi="Calibri" w:cs="Calibri"/>
                <w:b/>
                <w:color w:val="000000"/>
                <w:sz w:val="18"/>
                <w:szCs w:val="18"/>
              </w:rPr>
            </w:pPr>
            <w:r w:rsidRPr="00987D69">
              <w:rPr>
                <w:rFonts w:ascii="Calibri" w:hAnsi="Calibri" w:cs="Calibri"/>
                <w:b/>
                <w:color w:val="000000"/>
                <w:sz w:val="18"/>
                <w:szCs w:val="18"/>
              </w:rPr>
              <w:t>Return on Equity</w:t>
            </w:r>
          </w:p>
        </w:tc>
        <w:tc>
          <w:tcPr>
            <w:tcW w:w="1240" w:type="dxa"/>
          </w:tcPr>
          <w:p w14:paraId="5AC7E0B4" w14:textId="77777777" w:rsidR="003E636B" w:rsidRPr="00105250" w:rsidRDefault="003E636B" w:rsidP="00DD7247">
            <w:pPr>
              <w:ind w:right="142"/>
              <w:jc w:val="right"/>
              <w:rPr>
                <w:rFonts w:ascii="Calibri" w:hAnsi="Calibri" w:cs="Calibri"/>
                <w:sz w:val="18"/>
                <w:szCs w:val="18"/>
              </w:rPr>
            </w:pPr>
            <w:r w:rsidRPr="00B242B6">
              <w:rPr>
                <w:rFonts w:ascii="Calibri" w:hAnsi="Calibri" w:cs="Calibri"/>
                <w:b/>
                <w:sz w:val="18"/>
                <w:szCs w:val="18"/>
              </w:rPr>
              <w:t>€000s</w:t>
            </w:r>
          </w:p>
        </w:tc>
        <w:tc>
          <w:tcPr>
            <w:tcW w:w="1218" w:type="dxa"/>
          </w:tcPr>
          <w:p w14:paraId="5A88B9E0" w14:textId="774DCB67" w:rsidR="003E636B" w:rsidRPr="00987D69" w:rsidRDefault="003E636B" w:rsidP="00DD7247">
            <w:pPr>
              <w:ind w:right="142"/>
              <w:jc w:val="right"/>
              <w:rPr>
                <w:rFonts w:ascii="Calibri" w:hAnsi="Calibri" w:cs="Calibri"/>
                <w:sz w:val="18"/>
                <w:szCs w:val="18"/>
              </w:rPr>
            </w:pPr>
            <w:r w:rsidRPr="00987D69">
              <w:rPr>
                <w:rFonts w:ascii="Calibri" w:hAnsi="Calibri" w:cs="Calibri"/>
                <w:sz w:val="18"/>
                <w:szCs w:val="18"/>
              </w:rPr>
              <w:t>€000s</w:t>
            </w:r>
          </w:p>
        </w:tc>
      </w:tr>
      <w:tr w:rsidR="003E636B" w:rsidRPr="008901A5" w14:paraId="261CB3D5" w14:textId="77777777" w:rsidTr="003E636B">
        <w:trPr>
          <w:trHeight w:val="234"/>
        </w:trPr>
        <w:tc>
          <w:tcPr>
            <w:tcW w:w="5410" w:type="dxa"/>
          </w:tcPr>
          <w:p w14:paraId="6E1A9490" w14:textId="77777777" w:rsidR="003E636B" w:rsidRPr="00987D69" w:rsidRDefault="003E636B" w:rsidP="00DD7247">
            <w:pPr>
              <w:ind w:right="142"/>
              <w:rPr>
                <w:rFonts w:ascii="Calibri" w:hAnsi="Calibri" w:cs="Calibri"/>
                <w:color w:val="000000"/>
                <w:sz w:val="18"/>
                <w:szCs w:val="18"/>
              </w:rPr>
            </w:pPr>
            <w:r w:rsidRPr="00987D69">
              <w:rPr>
                <w:rFonts w:ascii="Calibri" w:hAnsi="Calibri" w:cs="Calibri"/>
                <w:color w:val="000000"/>
                <w:sz w:val="18"/>
                <w:szCs w:val="18"/>
              </w:rPr>
              <w:t>W</w:t>
            </w:r>
            <w:r>
              <w:rPr>
                <w:rFonts w:ascii="Calibri" w:hAnsi="Calibri" w:cs="Calibri"/>
                <w:color w:val="000000"/>
                <w:sz w:val="18"/>
                <w:szCs w:val="18"/>
              </w:rPr>
              <w:t xml:space="preserve">eighted </w:t>
            </w:r>
            <w:r w:rsidRPr="00987D69">
              <w:rPr>
                <w:rFonts w:ascii="Calibri" w:hAnsi="Calibri" w:cs="Calibri"/>
                <w:color w:val="000000"/>
                <w:sz w:val="18"/>
                <w:szCs w:val="18"/>
              </w:rPr>
              <w:t>A</w:t>
            </w:r>
            <w:r>
              <w:rPr>
                <w:rFonts w:ascii="Calibri" w:hAnsi="Calibri" w:cs="Calibri"/>
                <w:color w:val="000000"/>
                <w:sz w:val="18"/>
                <w:szCs w:val="18"/>
              </w:rPr>
              <w:t>verage</w:t>
            </w:r>
            <w:r w:rsidRPr="00987D69">
              <w:rPr>
                <w:rFonts w:ascii="Calibri" w:hAnsi="Calibri" w:cs="Calibri"/>
                <w:color w:val="000000"/>
                <w:sz w:val="18"/>
                <w:szCs w:val="18"/>
              </w:rPr>
              <w:t xml:space="preserve"> </w:t>
            </w:r>
            <w:r>
              <w:rPr>
                <w:rFonts w:ascii="Calibri" w:hAnsi="Calibri" w:cs="Calibri"/>
                <w:color w:val="000000"/>
                <w:sz w:val="18"/>
                <w:szCs w:val="18"/>
              </w:rPr>
              <w:t xml:space="preserve">(WA) </w:t>
            </w:r>
            <w:r w:rsidRPr="00987D69">
              <w:rPr>
                <w:rFonts w:ascii="Calibri" w:hAnsi="Calibri" w:cs="Calibri"/>
                <w:color w:val="000000"/>
                <w:sz w:val="18"/>
                <w:szCs w:val="18"/>
              </w:rPr>
              <w:t>equity attributable to ord</w:t>
            </w:r>
            <w:r>
              <w:rPr>
                <w:rFonts w:ascii="Calibri" w:hAnsi="Calibri" w:cs="Calibri"/>
                <w:color w:val="000000"/>
                <w:sz w:val="18"/>
                <w:szCs w:val="18"/>
              </w:rPr>
              <w:t>inary</w:t>
            </w:r>
            <w:r w:rsidRPr="00987D69">
              <w:rPr>
                <w:rFonts w:ascii="Calibri" w:hAnsi="Calibri" w:cs="Calibri"/>
                <w:color w:val="000000"/>
                <w:sz w:val="18"/>
                <w:szCs w:val="18"/>
              </w:rPr>
              <w:t xml:space="preserve"> shareholders</w:t>
            </w:r>
          </w:p>
        </w:tc>
        <w:tc>
          <w:tcPr>
            <w:tcW w:w="1240" w:type="dxa"/>
          </w:tcPr>
          <w:p w14:paraId="0CC23C58" w14:textId="7E153A15" w:rsidR="003E636B" w:rsidRPr="00105250" w:rsidRDefault="003E636B" w:rsidP="00DD7247">
            <w:pPr>
              <w:ind w:right="142"/>
              <w:jc w:val="right"/>
              <w:rPr>
                <w:rFonts w:ascii="Calibri" w:hAnsi="Calibri" w:cs="Calibri"/>
                <w:sz w:val="18"/>
                <w:szCs w:val="18"/>
              </w:rPr>
            </w:pPr>
            <w:r>
              <w:rPr>
                <w:rFonts w:ascii="Calibri" w:hAnsi="Calibri" w:cs="Calibri"/>
                <w:sz w:val="18"/>
                <w:szCs w:val="18"/>
              </w:rPr>
              <w:t>465,521</w:t>
            </w:r>
          </w:p>
        </w:tc>
        <w:tc>
          <w:tcPr>
            <w:tcW w:w="1218" w:type="dxa"/>
          </w:tcPr>
          <w:p w14:paraId="6FCA2139" w14:textId="7E812D6B" w:rsidR="003E636B" w:rsidRPr="00987D69" w:rsidRDefault="003E636B" w:rsidP="00DD7247">
            <w:pPr>
              <w:ind w:right="142"/>
              <w:jc w:val="right"/>
              <w:rPr>
                <w:rFonts w:ascii="Calibri" w:hAnsi="Calibri" w:cs="Calibri"/>
                <w:sz w:val="18"/>
                <w:szCs w:val="18"/>
              </w:rPr>
            </w:pPr>
            <w:r w:rsidRPr="00987D69">
              <w:rPr>
                <w:rFonts w:ascii="Calibri" w:hAnsi="Calibri" w:cs="Calibri"/>
                <w:color w:val="000000"/>
                <w:sz w:val="18"/>
                <w:szCs w:val="18"/>
              </w:rPr>
              <w:t>467,148</w:t>
            </w:r>
          </w:p>
        </w:tc>
      </w:tr>
      <w:tr w:rsidR="003E636B" w:rsidRPr="008901A5" w14:paraId="3A16CFE6" w14:textId="77777777" w:rsidTr="003E636B">
        <w:trPr>
          <w:trHeight w:val="234"/>
        </w:trPr>
        <w:tc>
          <w:tcPr>
            <w:tcW w:w="5410" w:type="dxa"/>
          </w:tcPr>
          <w:p w14:paraId="362BAC00" w14:textId="77777777" w:rsidR="003E636B" w:rsidRPr="00987D69" w:rsidRDefault="003E636B" w:rsidP="00DD7247">
            <w:pPr>
              <w:ind w:right="142"/>
              <w:rPr>
                <w:rFonts w:ascii="Calibri" w:hAnsi="Calibri" w:cs="Calibri"/>
                <w:color w:val="000000"/>
                <w:sz w:val="18"/>
                <w:szCs w:val="18"/>
              </w:rPr>
            </w:pPr>
            <w:r w:rsidRPr="00987D69">
              <w:rPr>
                <w:rFonts w:ascii="Calibri" w:hAnsi="Calibri" w:cs="Calibri"/>
                <w:color w:val="000000"/>
                <w:sz w:val="18"/>
                <w:szCs w:val="18"/>
              </w:rPr>
              <w:t>Result for the period</w:t>
            </w:r>
          </w:p>
        </w:tc>
        <w:tc>
          <w:tcPr>
            <w:tcW w:w="1240" w:type="dxa"/>
          </w:tcPr>
          <w:p w14:paraId="447249A0" w14:textId="463E891B" w:rsidR="003E636B" w:rsidRPr="00105250" w:rsidRDefault="003E636B" w:rsidP="00DD7247">
            <w:pPr>
              <w:ind w:right="142"/>
              <w:jc w:val="right"/>
              <w:rPr>
                <w:rFonts w:ascii="Calibri" w:hAnsi="Calibri" w:cs="Calibri"/>
                <w:sz w:val="18"/>
                <w:szCs w:val="18"/>
              </w:rPr>
            </w:pPr>
            <w:r>
              <w:rPr>
                <w:rFonts w:ascii="Calibri" w:hAnsi="Calibri" w:cs="Calibri"/>
                <w:sz w:val="18"/>
                <w:szCs w:val="18"/>
              </w:rPr>
              <w:t>69,5</w:t>
            </w:r>
            <w:r w:rsidR="005C4080">
              <w:rPr>
                <w:rFonts w:ascii="Calibri" w:hAnsi="Calibri" w:cs="Calibri"/>
                <w:sz w:val="18"/>
                <w:szCs w:val="18"/>
              </w:rPr>
              <w:t>41</w:t>
            </w:r>
          </w:p>
        </w:tc>
        <w:tc>
          <w:tcPr>
            <w:tcW w:w="1218" w:type="dxa"/>
          </w:tcPr>
          <w:p w14:paraId="403FCD78" w14:textId="3CB85D94" w:rsidR="003E636B" w:rsidRPr="00987D69" w:rsidRDefault="003E636B" w:rsidP="00DD7247">
            <w:pPr>
              <w:ind w:right="142"/>
              <w:jc w:val="right"/>
              <w:rPr>
                <w:rFonts w:ascii="Calibri" w:hAnsi="Calibri" w:cs="Calibri"/>
                <w:sz w:val="18"/>
                <w:szCs w:val="18"/>
              </w:rPr>
            </w:pPr>
            <w:r w:rsidRPr="00987D69">
              <w:rPr>
                <w:rFonts w:ascii="Calibri" w:hAnsi="Calibri" w:cs="Calibri"/>
                <w:sz w:val="18"/>
                <w:szCs w:val="18"/>
              </w:rPr>
              <w:t>57,556</w:t>
            </w:r>
          </w:p>
        </w:tc>
      </w:tr>
      <w:tr w:rsidR="003E636B" w:rsidRPr="008901A5" w14:paraId="60C55D67" w14:textId="77777777" w:rsidTr="003E636B">
        <w:trPr>
          <w:trHeight w:val="234"/>
        </w:trPr>
        <w:tc>
          <w:tcPr>
            <w:tcW w:w="5410" w:type="dxa"/>
          </w:tcPr>
          <w:p w14:paraId="183282D3" w14:textId="77777777" w:rsidR="003E636B" w:rsidRPr="00987D69" w:rsidRDefault="003E636B" w:rsidP="00DD7247">
            <w:pPr>
              <w:ind w:right="142"/>
              <w:rPr>
                <w:rFonts w:ascii="Calibri" w:hAnsi="Calibri" w:cs="Calibri"/>
                <w:color w:val="000000"/>
                <w:sz w:val="18"/>
                <w:szCs w:val="18"/>
              </w:rPr>
            </w:pPr>
          </w:p>
        </w:tc>
        <w:tc>
          <w:tcPr>
            <w:tcW w:w="1240" w:type="dxa"/>
          </w:tcPr>
          <w:p w14:paraId="64D18B14" w14:textId="77777777" w:rsidR="003E636B" w:rsidRPr="00105250" w:rsidRDefault="003E636B" w:rsidP="00DD7247">
            <w:pPr>
              <w:ind w:right="142"/>
              <w:jc w:val="right"/>
              <w:rPr>
                <w:rFonts w:ascii="Calibri" w:hAnsi="Calibri" w:cs="Calibri"/>
                <w:sz w:val="18"/>
                <w:szCs w:val="18"/>
              </w:rPr>
            </w:pPr>
          </w:p>
        </w:tc>
        <w:tc>
          <w:tcPr>
            <w:tcW w:w="1218" w:type="dxa"/>
          </w:tcPr>
          <w:p w14:paraId="06857F57" w14:textId="77777777" w:rsidR="003E636B" w:rsidRPr="00987D69" w:rsidRDefault="003E636B" w:rsidP="00DD7247">
            <w:pPr>
              <w:ind w:right="142"/>
              <w:jc w:val="right"/>
              <w:rPr>
                <w:rFonts w:ascii="Calibri" w:hAnsi="Calibri" w:cs="Calibri"/>
                <w:sz w:val="18"/>
                <w:szCs w:val="18"/>
              </w:rPr>
            </w:pPr>
          </w:p>
        </w:tc>
      </w:tr>
      <w:tr w:rsidR="003E636B" w:rsidRPr="008901A5" w14:paraId="073C84AF" w14:textId="77777777" w:rsidTr="003E636B">
        <w:trPr>
          <w:trHeight w:val="234"/>
        </w:trPr>
        <w:tc>
          <w:tcPr>
            <w:tcW w:w="5410" w:type="dxa"/>
          </w:tcPr>
          <w:p w14:paraId="0E9D357A" w14:textId="77777777" w:rsidR="003E636B" w:rsidRPr="00987D69" w:rsidRDefault="003E636B" w:rsidP="00DD7247">
            <w:pPr>
              <w:ind w:right="142"/>
              <w:rPr>
                <w:rFonts w:ascii="Calibri" w:hAnsi="Calibri" w:cs="Calibri"/>
                <w:b/>
                <w:color w:val="000000"/>
                <w:sz w:val="18"/>
                <w:szCs w:val="18"/>
              </w:rPr>
            </w:pPr>
            <w:r w:rsidRPr="00987D69">
              <w:rPr>
                <w:rFonts w:ascii="Calibri" w:hAnsi="Calibri" w:cs="Calibri"/>
                <w:b/>
                <w:color w:val="000000"/>
                <w:sz w:val="18"/>
                <w:szCs w:val="18"/>
              </w:rPr>
              <w:t>ROE</w:t>
            </w:r>
            <w:r>
              <w:rPr>
                <w:rFonts w:ascii="Calibri" w:hAnsi="Calibri" w:cs="Calibri"/>
                <w:b/>
                <w:color w:val="000000"/>
                <w:sz w:val="18"/>
                <w:szCs w:val="18"/>
              </w:rPr>
              <w:t xml:space="preserve"> (Result for the period/WA equity attributable to ordinary shareholders)</w:t>
            </w:r>
          </w:p>
        </w:tc>
        <w:tc>
          <w:tcPr>
            <w:tcW w:w="1240" w:type="dxa"/>
          </w:tcPr>
          <w:p w14:paraId="401942DE" w14:textId="77777777" w:rsidR="003E636B" w:rsidRPr="00C13732" w:rsidRDefault="003E636B" w:rsidP="00DD7247">
            <w:pPr>
              <w:ind w:right="142"/>
              <w:jc w:val="right"/>
              <w:rPr>
                <w:rFonts w:ascii="Calibri" w:hAnsi="Calibri" w:cs="Calibri"/>
                <w:bCs/>
                <w:sz w:val="18"/>
                <w:szCs w:val="18"/>
                <w:lang w:val="en-US"/>
              </w:rPr>
            </w:pPr>
            <w:r w:rsidRPr="00C13732">
              <w:rPr>
                <w:rFonts w:ascii="Calibri" w:hAnsi="Calibri" w:cs="Calibri"/>
                <w:sz w:val="18"/>
                <w:szCs w:val="18"/>
              </w:rPr>
              <w:t>%</w:t>
            </w:r>
          </w:p>
          <w:p w14:paraId="2427054F" w14:textId="0A31D1CA" w:rsidR="003E636B" w:rsidRPr="00E8476E" w:rsidRDefault="003E636B" w:rsidP="00DD7247">
            <w:pPr>
              <w:ind w:right="142"/>
              <w:jc w:val="right"/>
              <w:rPr>
                <w:rFonts w:ascii="Calibri" w:hAnsi="Calibri" w:cs="Calibri"/>
                <w:b/>
                <w:sz w:val="18"/>
                <w:szCs w:val="18"/>
              </w:rPr>
            </w:pPr>
            <w:r>
              <w:rPr>
                <w:rFonts w:ascii="Calibri" w:hAnsi="Calibri" w:cs="Calibri"/>
                <w:b/>
                <w:sz w:val="18"/>
                <w:szCs w:val="18"/>
              </w:rPr>
              <w:t>15</w:t>
            </w:r>
          </w:p>
        </w:tc>
        <w:tc>
          <w:tcPr>
            <w:tcW w:w="1218" w:type="dxa"/>
          </w:tcPr>
          <w:p w14:paraId="07EACC6A" w14:textId="77777777" w:rsidR="003E636B" w:rsidRPr="00C13732" w:rsidRDefault="003E636B" w:rsidP="00DD7247">
            <w:pPr>
              <w:ind w:right="142"/>
              <w:jc w:val="right"/>
              <w:rPr>
                <w:rFonts w:ascii="Calibri" w:hAnsi="Calibri" w:cs="Calibri"/>
                <w:color w:val="000000"/>
                <w:sz w:val="18"/>
                <w:szCs w:val="18"/>
              </w:rPr>
            </w:pPr>
            <w:r w:rsidRPr="00C13732">
              <w:rPr>
                <w:rFonts w:ascii="Calibri" w:hAnsi="Calibri" w:cs="Calibri"/>
                <w:sz w:val="18"/>
                <w:szCs w:val="18"/>
              </w:rPr>
              <w:t>%</w:t>
            </w:r>
          </w:p>
          <w:p w14:paraId="3264CA50" w14:textId="55B0A339" w:rsidR="003E636B" w:rsidRPr="00C13732" w:rsidRDefault="003E636B" w:rsidP="00DD7247">
            <w:pPr>
              <w:ind w:right="142"/>
              <w:jc w:val="right"/>
              <w:rPr>
                <w:rFonts w:ascii="Calibri" w:hAnsi="Calibri" w:cs="Calibri"/>
                <w:sz w:val="18"/>
                <w:szCs w:val="18"/>
              </w:rPr>
            </w:pPr>
            <w:r w:rsidRPr="00E8476E">
              <w:rPr>
                <w:rFonts w:ascii="Calibri" w:hAnsi="Calibri" w:cs="Calibri"/>
                <w:b/>
                <w:color w:val="000000"/>
                <w:sz w:val="18"/>
                <w:szCs w:val="18"/>
              </w:rPr>
              <w:t>12</w:t>
            </w:r>
          </w:p>
        </w:tc>
      </w:tr>
      <w:tr w:rsidR="003E636B" w:rsidRPr="008901A5" w14:paraId="7EC9FBAE" w14:textId="77777777" w:rsidTr="003E636B">
        <w:trPr>
          <w:trHeight w:val="234"/>
        </w:trPr>
        <w:tc>
          <w:tcPr>
            <w:tcW w:w="5410" w:type="dxa"/>
          </w:tcPr>
          <w:p w14:paraId="37BAD4EA" w14:textId="77777777" w:rsidR="003E636B" w:rsidRPr="00987D69" w:rsidRDefault="003E636B" w:rsidP="00DD7247">
            <w:pPr>
              <w:ind w:right="142"/>
              <w:rPr>
                <w:rFonts w:ascii="Calibri" w:hAnsi="Calibri" w:cs="Calibri"/>
                <w:b/>
                <w:color w:val="000000"/>
                <w:sz w:val="18"/>
                <w:szCs w:val="18"/>
              </w:rPr>
            </w:pPr>
          </w:p>
        </w:tc>
        <w:tc>
          <w:tcPr>
            <w:tcW w:w="1240" w:type="dxa"/>
          </w:tcPr>
          <w:p w14:paraId="1586D659" w14:textId="77777777" w:rsidR="003E636B" w:rsidRPr="00105250" w:rsidRDefault="003E636B" w:rsidP="00DD7247">
            <w:pPr>
              <w:ind w:right="142"/>
              <w:jc w:val="right"/>
              <w:rPr>
                <w:rFonts w:ascii="Calibri" w:hAnsi="Calibri" w:cs="Calibri"/>
                <w:bCs/>
                <w:sz w:val="18"/>
                <w:szCs w:val="18"/>
                <w:lang w:val="en-US"/>
              </w:rPr>
            </w:pPr>
          </w:p>
        </w:tc>
        <w:tc>
          <w:tcPr>
            <w:tcW w:w="1218" w:type="dxa"/>
          </w:tcPr>
          <w:p w14:paraId="51F8F634" w14:textId="77777777" w:rsidR="003E636B" w:rsidRPr="00987D69" w:rsidRDefault="003E636B" w:rsidP="00DD7247">
            <w:pPr>
              <w:ind w:right="142"/>
              <w:jc w:val="right"/>
              <w:rPr>
                <w:rFonts w:ascii="Calibri" w:hAnsi="Calibri" w:cs="Calibri"/>
                <w:sz w:val="18"/>
                <w:szCs w:val="18"/>
              </w:rPr>
            </w:pPr>
          </w:p>
        </w:tc>
      </w:tr>
      <w:tr w:rsidR="003E636B" w:rsidRPr="008901A5" w14:paraId="1DEF3865" w14:textId="77777777" w:rsidTr="003E636B">
        <w:trPr>
          <w:trHeight w:val="234"/>
        </w:trPr>
        <w:tc>
          <w:tcPr>
            <w:tcW w:w="5410" w:type="dxa"/>
          </w:tcPr>
          <w:p w14:paraId="25C94304" w14:textId="77777777" w:rsidR="003E636B" w:rsidRPr="00987D69" w:rsidRDefault="003E636B" w:rsidP="00DD7247">
            <w:pPr>
              <w:ind w:right="142"/>
              <w:rPr>
                <w:rFonts w:ascii="Calibri" w:hAnsi="Calibri" w:cs="Calibri"/>
                <w:b/>
                <w:color w:val="000000"/>
                <w:sz w:val="18"/>
                <w:szCs w:val="18"/>
              </w:rPr>
            </w:pPr>
            <w:r w:rsidRPr="004710EB">
              <w:rPr>
                <w:rFonts w:ascii="Calibri" w:hAnsi="Calibri" w:cs="Calibri"/>
                <w:b/>
                <w:color w:val="000000"/>
                <w:sz w:val="18"/>
                <w:szCs w:val="18"/>
              </w:rPr>
              <w:t>Underwriting result</w:t>
            </w:r>
          </w:p>
        </w:tc>
        <w:tc>
          <w:tcPr>
            <w:tcW w:w="1240" w:type="dxa"/>
          </w:tcPr>
          <w:p w14:paraId="351CAD39" w14:textId="77777777" w:rsidR="003E636B" w:rsidRPr="00105250" w:rsidRDefault="003E636B" w:rsidP="00DD7247">
            <w:pPr>
              <w:ind w:right="142"/>
              <w:jc w:val="right"/>
              <w:rPr>
                <w:rFonts w:ascii="Calibri" w:hAnsi="Calibri" w:cs="Calibri"/>
                <w:bCs/>
                <w:sz w:val="18"/>
                <w:szCs w:val="18"/>
                <w:lang w:val="en-US"/>
              </w:rPr>
            </w:pPr>
            <w:r w:rsidRPr="00B242B6">
              <w:rPr>
                <w:rFonts w:ascii="Calibri" w:hAnsi="Calibri" w:cs="Calibri"/>
                <w:b/>
                <w:sz w:val="18"/>
                <w:szCs w:val="18"/>
              </w:rPr>
              <w:t>€000s</w:t>
            </w:r>
          </w:p>
        </w:tc>
        <w:tc>
          <w:tcPr>
            <w:tcW w:w="1218" w:type="dxa"/>
          </w:tcPr>
          <w:p w14:paraId="36D26933" w14:textId="74729BB1" w:rsidR="003E636B" w:rsidRPr="00987D69" w:rsidRDefault="003E636B" w:rsidP="00DD7247">
            <w:pPr>
              <w:ind w:right="142"/>
              <w:jc w:val="right"/>
              <w:rPr>
                <w:rFonts w:ascii="Calibri" w:hAnsi="Calibri" w:cs="Calibri"/>
                <w:sz w:val="18"/>
                <w:szCs w:val="18"/>
              </w:rPr>
            </w:pPr>
            <w:r w:rsidRPr="00987D69">
              <w:rPr>
                <w:rFonts w:ascii="Calibri" w:hAnsi="Calibri" w:cs="Calibri"/>
                <w:sz w:val="18"/>
                <w:szCs w:val="18"/>
              </w:rPr>
              <w:t>€000s</w:t>
            </w:r>
          </w:p>
        </w:tc>
      </w:tr>
      <w:tr w:rsidR="003E636B" w:rsidRPr="008901A5" w14:paraId="78ABAFAF" w14:textId="77777777" w:rsidTr="003E636B">
        <w:trPr>
          <w:trHeight w:val="234"/>
        </w:trPr>
        <w:tc>
          <w:tcPr>
            <w:tcW w:w="5410" w:type="dxa"/>
          </w:tcPr>
          <w:p w14:paraId="7D5337C1" w14:textId="77777777" w:rsidR="003E636B" w:rsidRPr="00465E1A" w:rsidRDefault="003E636B" w:rsidP="00DD7247">
            <w:pPr>
              <w:ind w:right="142"/>
              <w:rPr>
                <w:rFonts w:ascii="Calibri" w:hAnsi="Calibri" w:cs="Calibri"/>
                <w:color w:val="000000"/>
                <w:sz w:val="18"/>
                <w:szCs w:val="18"/>
              </w:rPr>
            </w:pPr>
            <w:r w:rsidRPr="00465E1A">
              <w:rPr>
                <w:rFonts w:ascii="Calibri" w:hAnsi="Calibri" w:cs="Calibri"/>
                <w:color w:val="000000"/>
                <w:sz w:val="18"/>
                <w:szCs w:val="18"/>
              </w:rPr>
              <w:t>Insurance service result</w:t>
            </w:r>
          </w:p>
        </w:tc>
        <w:tc>
          <w:tcPr>
            <w:tcW w:w="1240" w:type="dxa"/>
          </w:tcPr>
          <w:p w14:paraId="7C8EE8BC" w14:textId="202C52B9" w:rsidR="003E636B" w:rsidRPr="00105250" w:rsidRDefault="003E636B" w:rsidP="00DD7247">
            <w:pPr>
              <w:ind w:right="142"/>
              <w:jc w:val="right"/>
              <w:rPr>
                <w:rFonts w:ascii="Calibri" w:hAnsi="Calibri" w:cs="Calibri"/>
                <w:bCs/>
                <w:sz w:val="18"/>
                <w:szCs w:val="18"/>
                <w:lang w:val="en-US"/>
              </w:rPr>
            </w:pPr>
            <w:r>
              <w:rPr>
                <w:rFonts w:ascii="Calibri" w:hAnsi="Calibri" w:cs="Calibri"/>
                <w:bCs/>
                <w:sz w:val="18"/>
                <w:szCs w:val="18"/>
                <w:lang w:val="en-US"/>
              </w:rPr>
              <w:t>126,308</w:t>
            </w:r>
          </w:p>
        </w:tc>
        <w:tc>
          <w:tcPr>
            <w:tcW w:w="1218" w:type="dxa"/>
          </w:tcPr>
          <w:p w14:paraId="3602BE6F" w14:textId="6BCBDB45" w:rsidR="003E636B" w:rsidRDefault="003E636B" w:rsidP="00DD7247">
            <w:pPr>
              <w:ind w:right="142"/>
              <w:jc w:val="right"/>
              <w:rPr>
                <w:rFonts w:ascii="Calibri" w:hAnsi="Calibri" w:cs="Calibri"/>
                <w:sz w:val="18"/>
                <w:szCs w:val="18"/>
              </w:rPr>
            </w:pPr>
            <w:r>
              <w:rPr>
                <w:rFonts w:ascii="Calibri" w:hAnsi="Calibri" w:cs="Calibri"/>
                <w:color w:val="000000"/>
                <w:sz w:val="18"/>
                <w:szCs w:val="18"/>
              </w:rPr>
              <w:t>131,104</w:t>
            </w:r>
          </w:p>
        </w:tc>
      </w:tr>
      <w:tr w:rsidR="003E636B" w:rsidRPr="008901A5" w14:paraId="702D275B" w14:textId="77777777" w:rsidTr="003E636B">
        <w:trPr>
          <w:trHeight w:val="234"/>
        </w:trPr>
        <w:tc>
          <w:tcPr>
            <w:tcW w:w="5410" w:type="dxa"/>
          </w:tcPr>
          <w:p w14:paraId="6D7FC548" w14:textId="77777777" w:rsidR="003E636B" w:rsidRPr="00465E1A" w:rsidRDefault="003E636B" w:rsidP="00DD7247">
            <w:pPr>
              <w:ind w:right="142"/>
              <w:rPr>
                <w:rFonts w:ascii="Calibri" w:hAnsi="Calibri" w:cs="Calibri"/>
                <w:color w:val="000000"/>
                <w:sz w:val="18"/>
                <w:szCs w:val="18"/>
              </w:rPr>
            </w:pPr>
            <w:r>
              <w:rPr>
                <w:rFonts w:ascii="Calibri" w:hAnsi="Calibri" w:cs="Calibri"/>
                <w:color w:val="000000"/>
                <w:sz w:val="18"/>
                <w:szCs w:val="18"/>
              </w:rPr>
              <w:t>Non-attributable expenses</w:t>
            </w:r>
          </w:p>
        </w:tc>
        <w:tc>
          <w:tcPr>
            <w:tcW w:w="1240" w:type="dxa"/>
          </w:tcPr>
          <w:p w14:paraId="59C04CF9" w14:textId="10D345EC" w:rsidR="003E636B" w:rsidRPr="00105250" w:rsidRDefault="003E636B" w:rsidP="00DD7247">
            <w:pPr>
              <w:ind w:right="142"/>
              <w:jc w:val="right"/>
              <w:rPr>
                <w:rFonts w:ascii="Calibri" w:hAnsi="Calibri" w:cs="Calibri"/>
                <w:bCs/>
                <w:sz w:val="18"/>
                <w:szCs w:val="18"/>
                <w:lang w:val="en-US"/>
              </w:rPr>
            </w:pPr>
            <w:r>
              <w:rPr>
                <w:rFonts w:ascii="Calibri" w:hAnsi="Calibri" w:cs="Calibri"/>
                <w:bCs/>
                <w:sz w:val="18"/>
                <w:szCs w:val="18"/>
                <w:lang w:val="en-US"/>
              </w:rPr>
              <w:t>(34,018)</w:t>
            </w:r>
          </w:p>
        </w:tc>
        <w:tc>
          <w:tcPr>
            <w:tcW w:w="1218" w:type="dxa"/>
          </w:tcPr>
          <w:p w14:paraId="03B2CD0C" w14:textId="06A7DD95" w:rsidR="003E636B" w:rsidRDefault="003E636B" w:rsidP="00DD7247">
            <w:pPr>
              <w:ind w:right="142"/>
              <w:jc w:val="right"/>
              <w:rPr>
                <w:rFonts w:ascii="Calibri" w:hAnsi="Calibri" w:cs="Calibri"/>
                <w:sz w:val="18"/>
                <w:szCs w:val="18"/>
              </w:rPr>
            </w:pPr>
            <w:r>
              <w:rPr>
                <w:rFonts w:ascii="Calibri" w:hAnsi="Calibri" w:cs="Calibri"/>
                <w:color w:val="000000"/>
                <w:sz w:val="18"/>
                <w:szCs w:val="18"/>
              </w:rPr>
              <w:t>(33,048)</w:t>
            </w:r>
          </w:p>
        </w:tc>
      </w:tr>
      <w:tr w:rsidR="003E636B" w:rsidRPr="008901A5" w14:paraId="19792D1A" w14:textId="77777777" w:rsidTr="003E636B">
        <w:trPr>
          <w:trHeight w:val="234"/>
        </w:trPr>
        <w:tc>
          <w:tcPr>
            <w:tcW w:w="5410" w:type="dxa"/>
          </w:tcPr>
          <w:p w14:paraId="0F4BB22B" w14:textId="0A7F3506" w:rsidR="003E636B" w:rsidRPr="00465E1A" w:rsidRDefault="003E636B" w:rsidP="00DD7247">
            <w:pPr>
              <w:ind w:right="142"/>
              <w:rPr>
                <w:rFonts w:ascii="Calibri" w:hAnsi="Calibri" w:cs="Calibri"/>
                <w:color w:val="000000"/>
                <w:sz w:val="18"/>
                <w:szCs w:val="18"/>
              </w:rPr>
            </w:pPr>
            <w:r>
              <w:rPr>
                <w:rFonts w:ascii="Calibri" w:hAnsi="Calibri" w:cs="Calibri"/>
                <w:color w:val="000000"/>
                <w:sz w:val="18"/>
                <w:szCs w:val="18"/>
              </w:rPr>
              <w:t xml:space="preserve">Other </w:t>
            </w:r>
            <w:r w:rsidRPr="00465E1A">
              <w:rPr>
                <w:rFonts w:ascii="Calibri" w:hAnsi="Calibri" w:cs="Calibri"/>
                <w:color w:val="000000"/>
                <w:sz w:val="18"/>
                <w:szCs w:val="18"/>
              </w:rPr>
              <w:t>provisions</w:t>
            </w:r>
            <w:r w:rsidR="005C4080">
              <w:rPr>
                <w:rFonts w:ascii="Calibri" w:hAnsi="Calibri" w:cs="Calibri"/>
                <w:color w:val="000000"/>
                <w:sz w:val="18"/>
                <w:szCs w:val="18"/>
              </w:rPr>
              <w:t>*</w:t>
            </w:r>
          </w:p>
        </w:tc>
        <w:tc>
          <w:tcPr>
            <w:tcW w:w="1240" w:type="dxa"/>
            <w:tcBorders>
              <w:bottom w:val="single" w:sz="4" w:space="0" w:color="auto"/>
            </w:tcBorders>
          </w:tcPr>
          <w:p w14:paraId="65FEC282" w14:textId="5D7E660B" w:rsidR="003E636B" w:rsidRPr="00105250" w:rsidRDefault="003E636B" w:rsidP="00DD7247">
            <w:pPr>
              <w:ind w:right="142"/>
              <w:jc w:val="right"/>
              <w:rPr>
                <w:rFonts w:ascii="Calibri" w:hAnsi="Calibri" w:cs="Calibri"/>
                <w:bCs/>
                <w:sz w:val="18"/>
                <w:szCs w:val="18"/>
                <w:lang w:val="en-US"/>
              </w:rPr>
            </w:pPr>
            <w:r>
              <w:rPr>
                <w:rFonts w:ascii="Calibri" w:hAnsi="Calibri" w:cs="Calibri"/>
                <w:bCs/>
                <w:sz w:val="18"/>
                <w:szCs w:val="18"/>
                <w:lang w:val="en-US"/>
              </w:rPr>
              <w:t>(1</w:t>
            </w:r>
            <w:r w:rsidR="00142FED">
              <w:rPr>
                <w:rFonts w:ascii="Calibri" w:hAnsi="Calibri" w:cs="Calibri"/>
                <w:bCs/>
                <w:sz w:val="18"/>
                <w:szCs w:val="18"/>
                <w:lang w:val="en-US"/>
              </w:rPr>
              <w:t>5</w:t>
            </w:r>
            <w:r>
              <w:rPr>
                <w:rFonts w:ascii="Calibri" w:hAnsi="Calibri" w:cs="Calibri"/>
                <w:bCs/>
                <w:sz w:val="18"/>
                <w:szCs w:val="18"/>
                <w:lang w:val="en-US"/>
              </w:rPr>
              <w:t>,</w:t>
            </w:r>
            <w:r w:rsidR="00142FED">
              <w:rPr>
                <w:rFonts w:ascii="Calibri" w:hAnsi="Calibri" w:cs="Calibri"/>
                <w:bCs/>
                <w:sz w:val="18"/>
                <w:szCs w:val="18"/>
                <w:lang w:val="en-US"/>
              </w:rPr>
              <w:t>8</w:t>
            </w:r>
            <w:r>
              <w:rPr>
                <w:rFonts w:ascii="Calibri" w:hAnsi="Calibri" w:cs="Calibri"/>
                <w:bCs/>
                <w:sz w:val="18"/>
                <w:szCs w:val="18"/>
                <w:lang w:val="en-US"/>
              </w:rPr>
              <w:t>31)</w:t>
            </w:r>
          </w:p>
        </w:tc>
        <w:tc>
          <w:tcPr>
            <w:tcW w:w="1218" w:type="dxa"/>
            <w:tcBorders>
              <w:bottom w:val="single" w:sz="4" w:space="0" w:color="auto"/>
            </w:tcBorders>
          </w:tcPr>
          <w:p w14:paraId="741503BF" w14:textId="70EC45D0" w:rsidR="003E636B" w:rsidRDefault="003E636B" w:rsidP="00DD7247">
            <w:pPr>
              <w:ind w:right="142"/>
              <w:jc w:val="right"/>
              <w:rPr>
                <w:rFonts w:ascii="Calibri" w:hAnsi="Calibri" w:cs="Calibri"/>
                <w:sz w:val="18"/>
                <w:szCs w:val="18"/>
              </w:rPr>
            </w:pPr>
            <w:r>
              <w:rPr>
                <w:rFonts w:ascii="Calibri" w:hAnsi="Calibri" w:cs="Calibri"/>
                <w:color w:val="000000"/>
                <w:sz w:val="18"/>
                <w:szCs w:val="18"/>
              </w:rPr>
              <w:t>(8,403)</w:t>
            </w:r>
          </w:p>
        </w:tc>
      </w:tr>
      <w:tr w:rsidR="003E636B" w:rsidRPr="008901A5" w14:paraId="642E4FD5" w14:textId="77777777" w:rsidTr="003E636B">
        <w:trPr>
          <w:trHeight w:val="234"/>
        </w:trPr>
        <w:tc>
          <w:tcPr>
            <w:tcW w:w="5410" w:type="dxa"/>
          </w:tcPr>
          <w:p w14:paraId="58C3FAFC" w14:textId="77777777" w:rsidR="003E636B" w:rsidRPr="00987D69" w:rsidRDefault="003E636B" w:rsidP="00DD7247">
            <w:pPr>
              <w:ind w:right="142"/>
              <w:rPr>
                <w:rFonts w:ascii="Calibri" w:hAnsi="Calibri" w:cs="Calibri"/>
                <w:b/>
                <w:color w:val="000000"/>
                <w:sz w:val="18"/>
                <w:szCs w:val="18"/>
              </w:rPr>
            </w:pPr>
            <w:r>
              <w:rPr>
                <w:rFonts w:ascii="Calibri" w:hAnsi="Calibri" w:cs="Calibri"/>
                <w:b/>
                <w:color w:val="000000"/>
                <w:sz w:val="18"/>
                <w:szCs w:val="18"/>
              </w:rPr>
              <w:t>Underwriting result</w:t>
            </w:r>
          </w:p>
        </w:tc>
        <w:tc>
          <w:tcPr>
            <w:tcW w:w="1240" w:type="dxa"/>
            <w:tcBorders>
              <w:top w:val="single" w:sz="4" w:space="0" w:color="auto"/>
              <w:bottom w:val="single" w:sz="4" w:space="0" w:color="auto"/>
            </w:tcBorders>
          </w:tcPr>
          <w:p w14:paraId="71808CC1" w14:textId="6A47375E" w:rsidR="003E636B" w:rsidRPr="00105250" w:rsidRDefault="003E636B" w:rsidP="00DD7247">
            <w:pPr>
              <w:ind w:right="142"/>
              <w:jc w:val="right"/>
              <w:rPr>
                <w:rFonts w:ascii="Calibri" w:hAnsi="Calibri" w:cs="Calibri"/>
                <w:b/>
                <w:bCs/>
                <w:sz w:val="18"/>
                <w:szCs w:val="18"/>
                <w:lang w:val="en-US"/>
              </w:rPr>
            </w:pPr>
            <w:r>
              <w:rPr>
                <w:rFonts w:ascii="Calibri" w:hAnsi="Calibri" w:cs="Calibri"/>
                <w:b/>
                <w:bCs/>
                <w:sz w:val="18"/>
                <w:szCs w:val="18"/>
                <w:lang w:val="en-US"/>
              </w:rPr>
              <w:t>7</w:t>
            </w:r>
            <w:r w:rsidR="00142FED">
              <w:rPr>
                <w:rFonts w:ascii="Calibri" w:hAnsi="Calibri" w:cs="Calibri"/>
                <w:b/>
                <w:bCs/>
                <w:sz w:val="18"/>
                <w:szCs w:val="18"/>
                <w:lang w:val="en-US"/>
              </w:rPr>
              <w:t>6</w:t>
            </w:r>
            <w:r>
              <w:rPr>
                <w:rFonts w:ascii="Calibri" w:hAnsi="Calibri" w:cs="Calibri"/>
                <w:b/>
                <w:bCs/>
                <w:sz w:val="18"/>
                <w:szCs w:val="18"/>
                <w:lang w:val="en-US"/>
              </w:rPr>
              <w:t>,</w:t>
            </w:r>
            <w:r w:rsidR="00142FED">
              <w:rPr>
                <w:rFonts w:ascii="Calibri" w:hAnsi="Calibri" w:cs="Calibri"/>
                <w:b/>
                <w:bCs/>
                <w:sz w:val="18"/>
                <w:szCs w:val="18"/>
                <w:lang w:val="en-US"/>
              </w:rPr>
              <w:t>4</w:t>
            </w:r>
            <w:r>
              <w:rPr>
                <w:rFonts w:ascii="Calibri" w:hAnsi="Calibri" w:cs="Calibri"/>
                <w:b/>
                <w:bCs/>
                <w:sz w:val="18"/>
                <w:szCs w:val="18"/>
                <w:lang w:val="en-US"/>
              </w:rPr>
              <w:t>59</w:t>
            </w:r>
          </w:p>
        </w:tc>
        <w:tc>
          <w:tcPr>
            <w:tcW w:w="1218" w:type="dxa"/>
            <w:tcBorders>
              <w:top w:val="single" w:sz="4" w:space="0" w:color="auto"/>
              <w:bottom w:val="single" w:sz="4" w:space="0" w:color="auto"/>
            </w:tcBorders>
          </w:tcPr>
          <w:p w14:paraId="07BB7CD6" w14:textId="333F2E9B" w:rsidR="003E636B" w:rsidRPr="00465E1A" w:rsidRDefault="003E636B" w:rsidP="00DD7247">
            <w:pPr>
              <w:ind w:right="142"/>
              <w:jc w:val="right"/>
              <w:rPr>
                <w:rFonts w:ascii="Calibri" w:hAnsi="Calibri" w:cs="Calibri"/>
                <w:b/>
                <w:sz w:val="18"/>
                <w:szCs w:val="18"/>
              </w:rPr>
            </w:pPr>
            <w:r w:rsidRPr="00465E1A">
              <w:rPr>
                <w:rFonts w:ascii="Calibri" w:hAnsi="Calibri" w:cs="Calibri"/>
                <w:b/>
                <w:color w:val="000000"/>
                <w:sz w:val="18"/>
                <w:szCs w:val="18"/>
              </w:rPr>
              <w:t>89,653</w:t>
            </w:r>
          </w:p>
        </w:tc>
      </w:tr>
      <w:tr w:rsidR="005C4080" w:rsidRPr="00987D69" w14:paraId="7106FDA6" w14:textId="77777777" w:rsidTr="003E636B">
        <w:trPr>
          <w:trHeight w:val="234"/>
        </w:trPr>
        <w:tc>
          <w:tcPr>
            <w:tcW w:w="5410" w:type="dxa"/>
          </w:tcPr>
          <w:p w14:paraId="7A149543" w14:textId="77777777" w:rsidR="005C4080" w:rsidRPr="00105451" w:rsidRDefault="005C4080" w:rsidP="005C4080">
            <w:pPr>
              <w:ind w:right="142"/>
              <w:rPr>
                <w:rFonts w:ascii="Calibri" w:hAnsi="Calibri" w:cs="Calibri"/>
                <w:sz w:val="16"/>
                <w:szCs w:val="16"/>
              </w:rPr>
            </w:pPr>
          </w:p>
          <w:p w14:paraId="7EFE239E" w14:textId="2368FFAF" w:rsidR="005C4080" w:rsidRDefault="005C4080" w:rsidP="005C4080">
            <w:pPr>
              <w:ind w:right="142"/>
              <w:rPr>
                <w:rFonts w:ascii="Calibri" w:hAnsi="Calibri" w:cs="Calibri"/>
                <w:color w:val="000000"/>
                <w:sz w:val="16"/>
                <w:szCs w:val="16"/>
              </w:rPr>
            </w:pPr>
            <w:r w:rsidRPr="00105451">
              <w:rPr>
                <w:rFonts w:ascii="Calibri" w:hAnsi="Calibri" w:cs="Calibri"/>
                <w:color w:val="000000"/>
                <w:sz w:val="16"/>
                <w:szCs w:val="16"/>
              </w:rPr>
              <w:t xml:space="preserve">  * ESG initiative</w:t>
            </w:r>
            <w:r>
              <w:rPr>
                <w:rFonts w:ascii="Calibri" w:hAnsi="Calibri" w:cs="Calibri"/>
                <w:color w:val="000000"/>
                <w:sz w:val="16"/>
                <w:szCs w:val="16"/>
              </w:rPr>
              <w:t xml:space="preserve"> of €2.5m</w:t>
            </w:r>
            <w:r w:rsidRPr="00105451">
              <w:rPr>
                <w:rFonts w:ascii="Calibri" w:hAnsi="Calibri" w:cs="Calibri"/>
                <w:color w:val="000000"/>
                <w:sz w:val="16"/>
                <w:szCs w:val="16"/>
              </w:rPr>
              <w:t xml:space="preserve"> has been excluded as not insurance related</w:t>
            </w:r>
          </w:p>
          <w:p w14:paraId="5FB98FD2" w14:textId="047B0868" w:rsidR="005C4080" w:rsidRPr="004710EB" w:rsidRDefault="005C4080" w:rsidP="005C4080">
            <w:pPr>
              <w:ind w:right="142"/>
              <w:rPr>
                <w:rFonts w:ascii="Calibri" w:hAnsi="Calibri" w:cs="Calibri"/>
                <w:b/>
                <w:color w:val="000000"/>
                <w:sz w:val="18"/>
                <w:szCs w:val="18"/>
              </w:rPr>
            </w:pPr>
          </w:p>
        </w:tc>
        <w:tc>
          <w:tcPr>
            <w:tcW w:w="1240" w:type="dxa"/>
          </w:tcPr>
          <w:p w14:paraId="6CCF4547" w14:textId="77777777" w:rsidR="005C4080" w:rsidRPr="00B242B6" w:rsidRDefault="005C4080" w:rsidP="005C4080">
            <w:pPr>
              <w:ind w:right="142"/>
              <w:jc w:val="right"/>
              <w:rPr>
                <w:rFonts w:ascii="Calibri" w:hAnsi="Calibri" w:cs="Calibri"/>
                <w:b/>
                <w:sz w:val="18"/>
                <w:szCs w:val="18"/>
              </w:rPr>
            </w:pPr>
          </w:p>
        </w:tc>
        <w:tc>
          <w:tcPr>
            <w:tcW w:w="1218" w:type="dxa"/>
          </w:tcPr>
          <w:p w14:paraId="1FD00919" w14:textId="77777777" w:rsidR="005C4080" w:rsidRPr="00987D69" w:rsidRDefault="005C4080" w:rsidP="005C4080">
            <w:pPr>
              <w:ind w:right="142"/>
              <w:jc w:val="right"/>
              <w:rPr>
                <w:rFonts w:ascii="Calibri" w:hAnsi="Calibri" w:cs="Calibri"/>
                <w:sz w:val="18"/>
                <w:szCs w:val="18"/>
              </w:rPr>
            </w:pPr>
          </w:p>
        </w:tc>
      </w:tr>
      <w:tr w:rsidR="005C4080" w:rsidRPr="00987D69" w14:paraId="7A3831F9" w14:textId="77777777" w:rsidTr="003E636B">
        <w:trPr>
          <w:trHeight w:val="234"/>
        </w:trPr>
        <w:tc>
          <w:tcPr>
            <w:tcW w:w="5410" w:type="dxa"/>
          </w:tcPr>
          <w:p w14:paraId="343DB461" w14:textId="77777777" w:rsidR="005C4080" w:rsidRPr="00987D69" w:rsidRDefault="005C4080" w:rsidP="005C4080">
            <w:pPr>
              <w:ind w:right="142"/>
              <w:rPr>
                <w:rFonts w:ascii="Calibri" w:hAnsi="Calibri" w:cs="Calibri"/>
                <w:b/>
                <w:color w:val="000000"/>
                <w:sz w:val="18"/>
                <w:szCs w:val="18"/>
              </w:rPr>
            </w:pPr>
            <w:r>
              <w:rPr>
                <w:rFonts w:ascii="Calibri" w:hAnsi="Calibri" w:cs="Calibri"/>
                <w:b/>
                <w:color w:val="000000"/>
                <w:sz w:val="18"/>
                <w:szCs w:val="18"/>
              </w:rPr>
              <w:t>Gross written premium</w:t>
            </w:r>
          </w:p>
        </w:tc>
        <w:tc>
          <w:tcPr>
            <w:tcW w:w="1240" w:type="dxa"/>
          </w:tcPr>
          <w:p w14:paraId="3E3DB672" w14:textId="77777777" w:rsidR="005C4080" w:rsidRPr="00105250" w:rsidRDefault="005C4080" w:rsidP="005C4080">
            <w:pPr>
              <w:ind w:right="142"/>
              <w:jc w:val="right"/>
              <w:rPr>
                <w:rFonts w:ascii="Calibri" w:hAnsi="Calibri" w:cs="Calibri"/>
                <w:bCs/>
                <w:sz w:val="18"/>
                <w:szCs w:val="18"/>
                <w:lang w:val="en-US"/>
              </w:rPr>
            </w:pPr>
            <w:r w:rsidRPr="00B242B6">
              <w:rPr>
                <w:rFonts w:ascii="Calibri" w:hAnsi="Calibri" w:cs="Calibri"/>
                <w:b/>
                <w:sz w:val="18"/>
                <w:szCs w:val="18"/>
              </w:rPr>
              <w:t>€000s</w:t>
            </w:r>
          </w:p>
        </w:tc>
        <w:tc>
          <w:tcPr>
            <w:tcW w:w="1218" w:type="dxa"/>
          </w:tcPr>
          <w:p w14:paraId="293A582A" w14:textId="19EBB578" w:rsidR="005C4080" w:rsidRPr="00987D69" w:rsidRDefault="005C4080" w:rsidP="005C4080">
            <w:pPr>
              <w:ind w:right="142"/>
              <w:jc w:val="right"/>
              <w:rPr>
                <w:rFonts w:ascii="Calibri" w:hAnsi="Calibri" w:cs="Calibri"/>
                <w:sz w:val="18"/>
                <w:szCs w:val="18"/>
              </w:rPr>
            </w:pPr>
            <w:r w:rsidRPr="00987D69">
              <w:rPr>
                <w:rFonts w:ascii="Calibri" w:hAnsi="Calibri" w:cs="Calibri"/>
                <w:sz w:val="18"/>
                <w:szCs w:val="18"/>
              </w:rPr>
              <w:t>€000s</w:t>
            </w:r>
          </w:p>
        </w:tc>
      </w:tr>
      <w:tr w:rsidR="005C4080" w:rsidRPr="00987D69" w14:paraId="378EE117" w14:textId="77777777" w:rsidTr="003E636B">
        <w:trPr>
          <w:trHeight w:val="234"/>
        </w:trPr>
        <w:tc>
          <w:tcPr>
            <w:tcW w:w="5410" w:type="dxa"/>
          </w:tcPr>
          <w:p w14:paraId="58E21E1C" w14:textId="77777777" w:rsidR="005C4080" w:rsidRPr="00465E1A" w:rsidRDefault="005C4080" w:rsidP="005C4080">
            <w:pPr>
              <w:ind w:right="142"/>
              <w:rPr>
                <w:rFonts w:ascii="Calibri" w:hAnsi="Calibri" w:cs="Calibri"/>
                <w:color w:val="000000"/>
                <w:sz w:val="18"/>
                <w:szCs w:val="18"/>
              </w:rPr>
            </w:pPr>
            <w:r w:rsidRPr="00465E1A">
              <w:rPr>
                <w:rFonts w:ascii="Calibri" w:hAnsi="Calibri" w:cs="Calibri"/>
                <w:color w:val="000000"/>
                <w:sz w:val="18"/>
                <w:szCs w:val="18"/>
              </w:rPr>
              <w:t xml:space="preserve">Insurance </w:t>
            </w:r>
            <w:r>
              <w:rPr>
                <w:rFonts w:ascii="Calibri" w:hAnsi="Calibri" w:cs="Calibri"/>
                <w:color w:val="000000"/>
                <w:sz w:val="18"/>
                <w:szCs w:val="18"/>
              </w:rPr>
              <w:t>revenue</w:t>
            </w:r>
          </w:p>
        </w:tc>
        <w:tc>
          <w:tcPr>
            <w:tcW w:w="1240" w:type="dxa"/>
          </w:tcPr>
          <w:p w14:paraId="75A9ED5D" w14:textId="23B0DF26" w:rsidR="005C4080" w:rsidRPr="00105250" w:rsidRDefault="005C4080" w:rsidP="005C4080">
            <w:pPr>
              <w:ind w:right="142"/>
              <w:jc w:val="right"/>
              <w:rPr>
                <w:rFonts w:ascii="Calibri" w:hAnsi="Calibri" w:cs="Calibri"/>
                <w:bCs/>
                <w:sz w:val="18"/>
                <w:szCs w:val="18"/>
                <w:lang w:val="en-US"/>
              </w:rPr>
            </w:pPr>
            <w:r>
              <w:rPr>
                <w:rFonts w:ascii="Calibri" w:hAnsi="Calibri" w:cs="Calibri"/>
                <w:bCs/>
                <w:sz w:val="18"/>
                <w:szCs w:val="18"/>
                <w:lang w:val="en-US"/>
              </w:rPr>
              <w:t>401,026</w:t>
            </w:r>
          </w:p>
        </w:tc>
        <w:tc>
          <w:tcPr>
            <w:tcW w:w="1218" w:type="dxa"/>
          </w:tcPr>
          <w:p w14:paraId="61FC7D3E" w14:textId="029D892D" w:rsidR="005C4080" w:rsidRDefault="005C4080" w:rsidP="005C4080">
            <w:pPr>
              <w:ind w:right="142"/>
              <w:jc w:val="right"/>
              <w:rPr>
                <w:rFonts w:ascii="Calibri" w:hAnsi="Calibri" w:cs="Calibri"/>
                <w:sz w:val="18"/>
                <w:szCs w:val="18"/>
              </w:rPr>
            </w:pPr>
            <w:r>
              <w:rPr>
                <w:rFonts w:ascii="Calibri" w:hAnsi="Calibri" w:cs="Calibri"/>
                <w:color w:val="000000"/>
                <w:sz w:val="18"/>
                <w:szCs w:val="18"/>
              </w:rPr>
              <w:t>379,697</w:t>
            </w:r>
          </w:p>
        </w:tc>
      </w:tr>
      <w:tr w:rsidR="005C4080" w:rsidRPr="00987D69" w14:paraId="6BA9D8D8" w14:textId="77777777" w:rsidTr="003E636B">
        <w:trPr>
          <w:trHeight w:val="234"/>
        </w:trPr>
        <w:tc>
          <w:tcPr>
            <w:tcW w:w="5410" w:type="dxa"/>
          </w:tcPr>
          <w:p w14:paraId="7F5DEF44" w14:textId="0B8380D1" w:rsidR="005C4080" w:rsidRPr="00465E1A" w:rsidRDefault="005C4080" w:rsidP="005C4080">
            <w:pPr>
              <w:ind w:right="142"/>
              <w:rPr>
                <w:rFonts w:ascii="Calibri" w:hAnsi="Calibri" w:cs="Calibri"/>
                <w:color w:val="000000"/>
                <w:sz w:val="18"/>
                <w:szCs w:val="18"/>
              </w:rPr>
            </w:pPr>
            <w:r>
              <w:rPr>
                <w:rFonts w:ascii="Calibri" w:hAnsi="Calibri" w:cs="Calibri"/>
                <w:color w:val="000000"/>
                <w:sz w:val="18"/>
                <w:szCs w:val="18"/>
              </w:rPr>
              <w:t>Less: Instalment premium</w:t>
            </w:r>
            <w:r>
              <w:rPr>
                <w:rFonts w:ascii="Calibri" w:hAnsi="Calibri" w:cs="Calibri"/>
                <w:color w:val="000000"/>
                <w:sz w:val="18"/>
                <w:szCs w:val="18"/>
                <w:vertAlign w:val="superscript"/>
              </w:rPr>
              <w:t>1</w:t>
            </w:r>
          </w:p>
        </w:tc>
        <w:tc>
          <w:tcPr>
            <w:tcW w:w="1240" w:type="dxa"/>
          </w:tcPr>
          <w:p w14:paraId="51B10195" w14:textId="70A8521F" w:rsidR="005C4080" w:rsidRPr="00105250" w:rsidRDefault="005C4080" w:rsidP="005C4080">
            <w:pPr>
              <w:ind w:right="142"/>
              <w:jc w:val="right"/>
              <w:rPr>
                <w:rFonts w:ascii="Calibri" w:hAnsi="Calibri" w:cs="Calibri"/>
                <w:bCs/>
                <w:sz w:val="18"/>
                <w:szCs w:val="18"/>
                <w:lang w:val="en-US"/>
              </w:rPr>
            </w:pPr>
            <w:r>
              <w:rPr>
                <w:rFonts w:ascii="Calibri" w:hAnsi="Calibri" w:cs="Calibri"/>
                <w:bCs/>
                <w:sz w:val="18"/>
                <w:szCs w:val="18"/>
                <w:lang w:val="en-US"/>
              </w:rPr>
              <w:t>(4,430)</w:t>
            </w:r>
          </w:p>
        </w:tc>
        <w:tc>
          <w:tcPr>
            <w:tcW w:w="1218" w:type="dxa"/>
          </w:tcPr>
          <w:p w14:paraId="5B20DF9D" w14:textId="70A428E2" w:rsidR="005C4080" w:rsidRDefault="005C4080" w:rsidP="005C4080">
            <w:pPr>
              <w:ind w:right="142"/>
              <w:jc w:val="right"/>
              <w:rPr>
                <w:rFonts w:ascii="Calibri" w:hAnsi="Calibri" w:cs="Calibri"/>
                <w:sz w:val="18"/>
                <w:szCs w:val="18"/>
              </w:rPr>
            </w:pPr>
            <w:r>
              <w:rPr>
                <w:rFonts w:ascii="Calibri" w:hAnsi="Calibri" w:cs="Calibri"/>
                <w:color w:val="000000"/>
                <w:sz w:val="18"/>
                <w:szCs w:val="18"/>
              </w:rPr>
              <w:t>(4,291)</w:t>
            </w:r>
          </w:p>
        </w:tc>
      </w:tr>
      <w:tr w:rsidR="005C4080" w:rsidRPr="00987D69" w14:paraId="18588FA4" w14:textId="77777777" w:rsidTr="003E636B">
        <w:trPr>
          <w:trHeight w:val="234"/>
        </w:trPr>
        <w:tc>
          <w:tcPr>
            <w:tcW w:w="5410" w:type="dxa"/>
          </w:tcPr>
          <w:p w14:paraId="6DF0C2AA" w14:textId="2F8F0CAA" w:rsidR="005C4080" w:rsidRPr="00465E1A" w:rsidRDefault="005C4080" w:rsidP="005C4080">
            <w:pPr>
              <w:ind w:right="142"/>
              <w:rPr>
                <w:rFonts w:ascii="Calibri" w:hAnsi="Calibri" w:cs="Calibri"/>
                <w:color w:val="000000"/>
                <w:sz w:val="18"/>
                <w:szCs w:val="18"/>
              </w:rPr>
            </w:pPr>
            <w:r>
              <w:rPr>
                <w:rFonts w:ascii="Calibri" w:hAnsi="Calibri" w:cs="Calibri"/>
                <w:color w:val="000000"/>
                <w:sz w:val="18"/>
                <w:szCs w:val="18"/>
              </w:rPr>
              <w:t>Add: Movement in unearned premium</w:t>
            </w:r>
            <w:r>
              <w:rPr>
                <w:rFonts w:ascii="Calibri" w:hAnsi="Calibri" w:cs="Calibri"/>
                <w:color w:val="000000"/>
                <w:sz w:val="18"/>
                <w:szCs w:val="18"/>
                <w:vertAlign w:val="superscript"/>
              </w:rPr>
              <w:t>1</w:t>
            </w:r>
          </w:p>
        </w:tc>
        <w:tc>
          <w:tcPr>
            <w:tcW w:w="1240" w:type="dxa"/>
            <w:tcBorders>
              <w:bottom w:val="single" w:sz="4" w:space="0" w:color="auto"/>
            </w:tcBorders>
          </w:tcPr>
          <w:p w14:paraId="4868D8B0" w14:textId="43E93C1E" w:rsidR="005C4080" w:rsidRPr="00105250" w:rsidRDefault="005C4080" w:rsidP="005C4080">
            <w:pPr>
              <w:ind w:right="142"/>
              <w:jc w:val="right"/>
              <w:rPr>
                <w:rFonts w:ascii="Calibri" w:hAnsi="Calibri" w:cs="Calibri"/>
                <w:bCs/>
                <w:sz w:val="18"/>
                <w:szCs w:val="18"/>
                <w:lang w:val="en-US"/>
              </w:rPr>
            </w:pPr>
            <w:r>
              <w:rPr>
                <w:rFonts w:ascii="Calibri" w:hAnsi="Calibri" w:cs="Calibri"/>
                <w:bCs/>
                <w:sz w:val="18"/>
                <w:szCs w:val="18"/>
                <w:lang w:val="en-US"/>
              </w:rPr>
              <w:t>16,997</w:t>
            </w:r>
          </w:p>
        </w:tc>
        <w:tc>
          <w:tcPr>
            <w:tcW w:w="1218" w:type="dxa"/>
            <w:tcBorders>
              <w:bottom w:val="single" w:sz="4" w:space="0" w:color="auto"/>
            </w:tcBorders>
          </w:tcPr>
          <w:p w14:paraId="10BB32AE" w14:textId="64C16661" w:rsidR="005C4080" w:rsidRDefault="005C4080" w:rsidP="005C4080">
            <w:pPr>
              <w:ind w:right="142"/>
              <w:jc w:val="right"/>
              <w:rPr>
                <w:rFonts w:ascii="Calibri" w:hAnsi="Calibri" w:cs="Calibri"/>
                <w:sz w:val="18"/>
                <w:szCs w:val="18"/>
              </w:rPr>
            </w:pPr>
            <w:r>
              <w:rPr>
                <w:rFonts w:ascii="Calibri" w:hAnsi="Calibri" w:cs="Calibri"/>
                <w:color w:val="000000"/>
                <w:sz w:val="18"/>
                <w:szCs w:val="18"/>
              </w:rPr>
              <w:t>7,245</w:t>
            </w:r>
          </w:p>
        </w:tc>
      </w:tr>
      <w:tr w:rsidR="005C4080" w:rsidRPr="00465E1A" w14:paraId="582F3676" w14:textId="77777777" w:rsidTr="003E636B">
        <w:trPr>
          <w:trHeight w:val="234"/>
        </w:trPr>
        <w:tc>
          <w:tcPr>
            <w:tcW w:w="5410" w:type="dxa"/>
          </w:tcPr>
          <w:p w14:paraId="188B4A2B" w14:textId="77777777" w:rsidR="005C4080" w:rsidRPr="00987D69" w:rsidRDefault="005C4080" w:rsidP="005C4080">
            <w:pPr>
              <w:ind w:right="142"/>
              <w:rPr>
                <w:rFonts w:ascii="Calibri" w:hAnsi="Calibri" w:cs="Calibri"/>
                <w:b/>
                <w:color w:val="000000"/>
                <w:sz w:val="18"/>
                <w:szCs w:val="18"/>
              </w:rPr>
            </w:pPr>
            <w:r>
              <w:rPr>
                <w:rFonts w:ascii="Calibri" w:hAnsi="Calibri" w:cs="Calibri"/>
                <w:b/>
                <w:color w:val="000000"/>
                <w:sz w:val="18"/>
                <w:szCs w:val="18"/>
              </w:rPr>
              <w:t>Gross written premium</w:t>
            </w:r>
          </w:p>
        </w:tc>
        <w:tc>
          <w:tcPr>
            <w:tcW w:w="1240" w:type="dxa"/>
            <w:tcBorders>
              <w:top w:val="single" w:sz="4" w:space="0" w:color="auto"/>
              <w:bottom w:val="single" w:sz="4" w:space="0" w:color="auto"/>
            </w:tcBorders>
          </w:tcPr>
          <w:p w14:paraId="32A900F4" w14:textId="36D080A3" w:rsidR="005C4080" w:rsidRPr="00105250" w:rsidRDefault="005C4080" w:rsidP="005C4080">
            <w:pPr>
              <w:ind w:right="142"/>
              <w:jc w:val="right"/>
              <w:rPr>
                <w:rFonts w:ascii="Calibri" w:hAnsi="Calibri" w:cs="Calibri"/>
                <w:b/>
                <w:bCs/>
                <w:sz w:val="18"/>
                <w:szCs w:val="18"/>
                <w:lang w:val="en-US"/>
              </w:rPr>
            </w:pPr>
            <w:r>
              <w:rPr>
                <w:rFonts w:ascii="Calibri" w:hAnsi="Calibri" w:cs="Calibri"/>
                <w:b/>
                <w:bCs/>
                <w:sz w:val="18"/>
                <w:szCs w:val="18"/>
                <w:lang w:val="en-US"/>
              </w:rPr>
              <w:t>413,593</w:t>
            </w:r>
          </w:p>
        </w:tc>
        <w:tc>
          <w:tcPr>
            <w:tcW w:w="1218" w:type="dxa"/>
            <w:tcBorders>
              <w:top w:val="single" w:sz="4" w:space="0" w:color="auto"/>
              <w:bottom w:val="single" w:sz="4" w:space="0" w:color="auto"/>
            </w:tcBorders>
          </w:tcPr>
          <w:p w14:paraId="5DBF0A88" w14:textId="6A8186F4" w:rsidR="005C4080" w:rsidRDefault="005C4080" w:rsidP="005C4080">
            <w:pPr>
              <w:ind w:right="142"/>
              <w:jc w:val="right"/>
              <w:rPr>
                <w:rFonts w:ascii="Calibri" w:hAnsi="Calibri" w:cs="Calibri"/>
                <w:b/>
                <w:sz w:val="18"/>
                <w:szCs w:val="18"/>
              </w:rPr>
            </w:pPr>
            <w:r>
              <w:rPr>
                <w:rFonts w:ascii="Calibri" w:hAnsi="Calibri" w:cs="Calibri"/>
                <w:b/>
                <w:color w:val="000000"/>
                <w:sz w:val="18"/>
                <w:szCs w:val="18"/>
              </w:rPr>
              <w:t>382,651</w:t>
            </w:r>
          </w:p>
        </w:tc>
      </w:tr>
      <w:tr w:rsidR="005C4080" w:rsidRPr="008901A5" w14:paraId="1944B7BA" w14:textId="77777777" w:rsidTr="003E636B">
        <w:trPr>
          <w:trHeight w:val="234"/>
        </w:trPr>
        <w:tc>
          <w:tcPr>
            <w:tcW w:w="5410" w:type="dxa"/>
          </w:tcPr>
          <w:p w14:paraId="26492CDA" w14:textId="7BFBA94D" w:rsidR="005C4080" w:rsidRPr="00987D69" w:rsidRDefault="005C4080" w:rsidP="005C4080">
            <w:pPr>
              <w:ind w:right="142"/>
              <w:rPr>
                <w:rFonts w:ascii="Calibri" w:hAnsi="Calibri" w:cs="Calibri"/>
                <w:b/>
                <w:color w:val="000000"/>
                <w:sz w:val="18"/>
                <w:szCs w:val="18"/>
              </w:rPr>
            </w:pPr>
          </w:p>
        </w:tc>
        <w:tc>
          <w:tcPr>
            <w:tcW w:w="1240" w:type="dxa"/>
            <w:tcBorders>
              <w:top w:val="single" w:sz="4" w:space="0" w:color="auto"/>
            </w:tcBorders>
          </w:tcPr>
          <w:p w14:paraId="604A74D2" w14:textId="77777777" w:rsidR="005C4080" w:rsidRPr="00987D69" w:rsidRDefault="005C4080" w:rsidP="005C4080">
            <w:pPr>
              <w:ind w:right="142"/>
              <w:jc w:val="right"/>
              <w:rPr>
                <w:rFonts w:ascii="Calibri" w:hAnsi="Calibri" w:cs="Calibri"/>
                <w:bCs/>
                <w:color w:val="FF0000"/>
                <w:sz w:val="18"/>
                <w:szCs w:val="18"/>
                <w:lang w:val="en-US"/>
              </w:rPr>
            </w:pPr>
          </w:p>
        </w:tc>
        <w:tc>
          <w:tcPr>
            <w:tcW w:w="1218" w:type="dxa"/>
            <w:tcBorders>
              <w:top w:val="single" w:sz="4" w:space="0" w:color="auto"/>
            </w:tcBorders>
          </w:tcPr>
          <w:p w14:paraId="029BB0EC" w14:textId="77777777" w:rsidR="005C4080" w:rsidRPr="00987D69" w:rsidRDefault="005C4080" w:rsidP="005C4080">
            <w:pPr>
              <w:ind w:right="142"/>
              <w:jc w:val="right"/>
              <w:rPr>
                <w:rFonts w:ascii="Calibri" w:hAnsi="Calibri" w:cs="Calibri"/>
                <w:sz w:val="18"/>
                <w:szCs w:val="18"/>
              </w:rPr>
            </w:pPr>
          </w:p>
        </w:tc>
      </w:tr>
    </w:tbl>
    <w:p w14:paraId="0B6C5AA1" w14:textId="4720EB94" w:rsidR="00DD7247" w:rsidRPr="00987D69" w:rsidRDefault="00562222" w:rsidP="00DD7247">
      <w:pPr>
        <w:tabs>
          <w:tab w:val="left" w:pos="9923"/>
        </w:tabs>
        <w:autoSpaceDE w:val="0"/>
        <w:autoSpaceDN w:val="0"/>
        <w:adjustRightInd w:val="0"/>
        <w:ind w:right="-142"/>
        <w:jc w:val="both"/>
        <w:rPr>
          <w:rFonts w:ascii="Calibri" w:hAnsi="Calibri" w:cs="Calibri"/>
          <w:i/>
          <w:sz w:val="18"/>
          <w:szCs w:val="18"/>
        </w:rPr>
      </w:pPr>
      <w:r>
        <w:rPr>
          <w:rFonts w:ascii="Calibri" w:hAnsi="Calibri" w:cs="Calibri"/>
          <w:i/>
          <w:sz w:val="18"/>
          <w:szCs w:val="18"/>
          <w:vertAlign w:val="superscript"/>
        </w:rPr>
        <w:t>1</w:t>
      </w:r>
      <w:r w:rsidR="00DD7247">
        <w:rPr>
          <w:rFonts w:ascii="Calibri" w:hAnsi="Calibri" w:cs="Calibri"/>
          <w:i/>
          <w:sz w:val="18"/>
          <w:szCs w:val="18"/>
        </w:rPr>
        <w:t xml:space="preserve">These items cannot be reconciled to the </w:t>
      </w:r>
      <w:r w:rsidR="00CA183F">
        <w:rPr>
          <w:rFonts w:ascii="Calibri" w:hAnsi="Calibri" w:cs="Calibri"/>
          <w:i/>
          <w:sz w:val="18"/>
          <w:szCs w:val="18"/>
        </w:rPr>
        <w:t>f</w:t>
      </w:r>
      <w:r w:rsidR="00DD7247">
        <w:rPr>
          <w:rFonts w:ascii="Calibri" w:hAnsi="Calibri" w:cs="Calibri"/>
          <w:i/>
          <w:sz w:val="18"/>
          <w:szCs w:val="18"/>
        </w:rPr>
        <w:t xml:space="preserve">inancial </w:t>
      </w:r>
      <w:proofErr w:type="gramStart"/>
      <w:r w:rsidR="00CA183F">
        <w:rPr>
          <w:rFonts w:ascii="Calibri" w:hAnsi="Calibri" w:cs="Calibri"/>
          <w:i/>
          <w:sz w:val="18"/>
          <w:szCs w:val="18"/>
        </w:rPr>
        <w:t>s</w:t>
      </w:r>
      <w:r w:rsidR="00DD7247">
        <w:rPr>
          <w:rFonts w:ascii="Calibri" w:hAnsi="Calibri" w:cs="Calibri"/>
          <w:i/>
          <w:sz w:val="18"/>
          <w:szCs w:val="18"/>
        </w:rPr>
        <w:t>tatements</w:t>
      </w:r>
      <w:proofErr w:type="gramEnd"/>
    </w:p>
    <w:p w14:paraId="56DD84EA" w14:textId="77777777" w:rsidR="00DD7247" w:rsidRPr="00987D69" w:rsidRDefault="00DD7247" w:rsidP="00DD7247">
      <w:pPr>
        <w:ind w:right="142"/>
        <w:jc w:val="both"/>
        <w:rPr>
          <w:rFonts w:ascii="Calibri" w:hAnsi="Calibri" w:cs="Calibri"/>
          <w:color w:val="000000"/>
          <w:sz w:val="18"/>
          <w:szCs w:val="18"/>
        </w:rPr>
      </w:pPr>
    </w:p>
    <w:p w14:paraId="0B40E837" w14:textId="681E9E18" w:rsidR="00DD7247" w:rsidRPr="00987D69" w:rsidRDefault="00DD7247" w:rsidP="00DD7247">
      <w:pPr>
        <w:ind w:right="142"/>
        <w:jc w:val="both"/>
        <w:rPr>
          <w:rFonts w:ascii="Calibri" w:hAnsi="Calibri" w:cs="Calibri"/>
          <w:color w:val="000000"/>
          <w:sz w:val="18"/>
          <w:szCs w:val="18"/>
        </w:rPr>
      </w:pPr>
      <w:r w:rsidRPr="00987D69">
        <w:rPr>
          <w:rFonts w:ascii="Calibri" w:hAnsi="Calibri" w:cs="Calibri"/>
          <w:b/>
          <w:color w:val="000000"/>
          <w:sz w:val="18"/>
          <w:szCs w:val="18"/>
        </w:rPr>
        <w:t>Gross written</w:t>
      </w:r>
      <w:r>
        <w:rPr>
          <w:rFonts w:ascii="Calibri" w:hAnsi="Calibri" w:cs="Calibri"/>
          <w:b/>
          <w:color w:val="000000"/>
          <w:sz w:val="18"/>
          <w:szCs w:val="18"/>
        </w:rPr>
        <w:t xml:space="preserve"> premium</w:t>
      </w:r>
      <w:r w:rsidRPr="00987D69">
        <w:rPr>
          <w:rFonts w:ascii="Calibri" w:hAnsi="Calibri" w:cs="Calibri"/>
          <w:b/>
          <w:color w:val="000000"/>
          <w:sz w:val="18"/>
          <w:szCs w:val="18"/>
        </w:rPr>
        <w:t>:</w:t>
      </w:r>
      <w:r w:rsidRPr="00987D69">
        <w:rPr>
          <w:rFonts w:ascii="Calibri" w:hAnsi="Calibri" w:cs="Calibri"/>
          <w:color w:val="000000"/>
          <w:sz w:val="18"/>
          <w:szCs w:val="18"/>
        </w:rPr>
        <w:t xml:space="preserve"> the total premium on insurance underwritten by an insurer or reinsurer during a specific </w:t>
      </w:r>
      <w:proofErr w:type="gramStart"/>
      <w:r w:rsidRPr="00987D69">
        <w:rPr>
          <w:rFonts w:ascii="Calibri" w:hAnsi="Calibri" w:cs="Calibri"/>
          <w:color w:val="000000"/>
          <w:sz w:val="18"/>
          <w:szCs w:val="18"/>
        </w:rPr>
        <w:t>period</w:t>
      </w:r>
      <w:r w:rsidR="005A1F3C" w:rsidRPr="005A1F3C">
        <w:rPr>
          <w:rFonts w:ascii="Calibri" w:hAnsi="Calibri" w:cs="Calibri"/>
          <w:color w:val="000000"/>
          <w:sz w:val="18"/>
          <w:szCs w:val="18"/>
        </w:rPr>
        <w:t>, before</w:t>
      </w:r>
      <w:proofErr w:type="gramEnd"/>
      <w:r w:rsidR="005A1F3C" w:rsidRPr="005A1F3C">
        <w:rPr>
          <w:rFonts w:ascii="Calibri" w:hAnsi="Calibri" w:cs="Calibri"/>
          <w:color w:val="000000"/>
          <w:sz w:val="18"/>
          <w:szCs w:val="18"/>
        </w:rPr>
        <w:t xml:space="preserve"> deduction of reinsurance premium.</w:t>
      </w:r>
    </w:p>
    <w:p w14:paraId="39AF0C5B" w14:textId="77777777" w:rsidR="00F2587A" w:rsidRDefault="00F2587A" w:rsidP="00DD7247">
      <w:pPr>
        <w:spacing w:line="276" w:lineRule="auto"/>
        <w:jc w:val="both"/>
        <w:rPr>
          <w:rFonts w:ascii="Calibri" w:hAnsi="Calibri" w:cs="Calibri"/>
          <w:b/>
          <w:color w:val="000000"/>
          <w:sz w:val="18"/>
          <w:szCs w:val="18"/>
        </w:rPr>
      </w:pPr>
    </w:p>
    <w:p w14:paraId="69926E95" w14:textId="45827AD5" w:rsidR="00DD7247" w:rsidRPr="00987D69" w:rsidRDefault="00DD7247" w:rsidP="00DD7247">
      <w:pPr>
        <w:spacing w:line="276" w:lineRule="auto"/>
        <w:jc w:val="both"/>
        <w:rPr>
          <w:rFonts w:ascii="Calibri" w:hAnsi="Calibri" w:cs="Calibri"/>
          <w:color w:val="000000"/>
          <w:sz w:val="18"/>
          <w:szCs w:val="18"/>
          <w:lang w:val="en-IE"/>
        </w:rPr>
      </w:pPr>
      <w:r w:rsidRPr="004710EB">
        <w:rPr>
          <w:rFonts w:ascii="Calibri" w:hAnsi="Calibri" w:cs="Calibri"/>
          <w:b/>
          <w:color w:val="000000"/>
          <w:sz w:val="18"/>
          <w:szCs w:val="18"/>
        </w:rPr>
        <w:t>Underwriting result:</w:t>
      </w:r>
      <w:r w:rsidRPr="00B242B6">
        <w:rPr>
          <w:rFonts w:ascii="Calibri" w:hAnsi="Calibri" w:cs="Calibri"/>
          <w:color w:val="000000"/>
          <w:sz w:val="18"/>
          <w:szCs w:val="18"/>
        </w:rPr>
        <w:t xml:space="preserve"> Insurance</w:t>
      </w:r>
      <w:r w:rsidRPr="00987D69">
        <w:rPr>
          <w:rFonts w:ascii="Calibri" w:hAnsi="Calibri" w:cs="Calibri"/>
          <w:color w:val="000000"/>
          <w:sz w:val="18"/>
          <w:szCs w:val="18"/>
        </w:rPr>
        <w:t xml:space="preserve"> service result less </w:t>
      </w:r>
      <w:r>
        <w:rPr>
          <w:rFonts w:ascii="Calibri" w:hAnsi="Calibri" w:cs="Calibri"/>
          <w:color w:val="000000"/>
          <w:sz w:val="18"/>
          <w:szCs w:val="18"/>
        </w:rPr>
        <w:t>non-attributable expenses</w:t>
      </w:r>
      <w:r w:rsidRPr="00987D69">
        <w:rPr>
          <w:rFonts w:ascii="Calibri" w:hAnsi="Calibri" w:cs="Calibri"/>
          <w:color w:val="000000"/>
          <w:sz w:val="18"/>
          <w:szCs w:val="18"/>
        </w:rPr>
        <w:t xml:space="preserve"> and movement in other </w:t>
      </w:r>
      <w:r w:rsidR="00E066A2">
        <w:rPr>
          <w:rFonts w:ascii="Calibri" w:hAnsi="Calibri" w:cs="Calibri"/>
          <w:color w:val="000000"/>
          <w:sz w:val="18"/>
          <w:szCs w:val="18"/>
        </w:rPr>
        <w:t xml:space="preserve">insurance related </w:t>
      </w:r>
      <w:r w:rsidRPr="00987D69">
        <w:rPr>
          <w:rFonts w:ascii="Calibri" w:hAnsi="Calibri" w:cs="Calibri"/>
          <w:color w:val="000000"/>
          <w:sz w:val="18"/>
          <w:szCs w:val="18"/>
        </w:rPr>
        <w:t>provisions.</w:t>
      </w:r>
    </w:p>
    <w:p w14:paraId="604F1A15" w14:textId="77777777" w:rsidR="00F2587A" w:rsidRDefault="00F2587A" w:rsidP="00DD7247">
      <w:pPr>
        <w:ind w:right="142"/>
        <w:jc w:val="both"/>
        <w:rPr>
          <w:rFonts w:ascii="Calibri" w:hAnsi="Calibri" w:cs="Calibri"/>
          <w:b/>
          <w:color w:val="000000"/>
          <w:sz w:val="18"/>
          <w:szCs w:val="18"/>
        </w:rPr>
      </w:pPr>
    </w:p>
    <w:p w14:paraId="461CB5FB" w14:textId="7E9975F4" w:rsidR="00DD7247" w:rsidRPr="00987D69" w:rsidRDefault="00DD7247" w:rsidP="00DD7247">
      <w:pPr>
        <w:ind w:right="142"/>
        <w:jc w:val="both"/>
        <w:rPr>
          <w:rFonts w:ascii="Calibri" w:hAnsi="Calibri" w:cs="Calibri"/>
          <w:color w:val="000000"/>
          <w:sz w:val="18"/>
          <w:szCs w:val="18"/>
        </w:rPr>
      </w:pPr>
      <w:r w:rsidRPr="00987D69">
        <w:rPr>
          <w:rFonts w:ascii="Calibri" w:hAnsi="Calibri" w:cs="Calibri"/>
          <w:b/>
          <w:color w:val="000000"/>
          <w:sz w:val="18"/>
          <w:szCs w:val="18"/>
        </w:rPr>
        <w:t>Expense ratio:</w:t>
      </w:r>
      <w:r w:rsidRPr="00987D69">
        <w:rPr>
          <w:rFonts w:ascii="Calibri" w:hAnsi="Calibri" w:cs="Calibri"/>
          <w:color w:val="000000"/>
          <w:sz w:val="18"/>
          <w:szCs w:val="18"/>
        </w:rPr>
        <w:t xml:space="preserve"> </w:t>
      </w:r>
      <w:r>
        <w:rPr>
          <w:rFonts w:ascii="Calibri" w:hAnsi="Calibri" w:cs="Calibri"/>
          <w:color w:val="000000"/>
          <w:sz w:val="18"/>
          <w:szCs w:val="18"/>
        </w:rPr>
        <w:t>Insurance acquisition expenses</w:t>
      </w:r>
      <w:r w:rsidRPr="00987D69">
        <w:rPr>
          <w:rFonts w:ascii="Calibri" w:hAnsi="Calibri" w:cs="Calibri"/>
          <w:color w:val="000000"/>
          <w:sz w:val="18"/>
          <w:szCs w:val="18"/>
        </w:rPr>
        <w:t xml:space="preserve"> and </w:t>
      </w:r>
      <w:r>
        <w:rPr>
          <w:rFonts w:ascii="Calibri" w:hAnsi="Calibri" w:cs="Calibri"/>
          <w:color w:val="000000"/>
          <w:sz w:val="18"/>
          <w:szCs w:val="18"/>
        </w:rPr>
        <w:t xml:space="preserve">non-attributable </w:t>
      </w:r>
      <w:r w:rsidRPr="00987D69">
        <w:rPr>
          <w:rFonts w:ascii="Calibri" w:hAnsi="Calibri" w:cs="Calibri"/>
          <w:color w:val="000000"/>
          <w:sz w:val="18"/>
          <w:szCs w:val="18"/>
        </w:rPr>
        <w:t>expenses as a percentage of insurance revenue.</w:t>
      </w:r>
    </w:p>
    <w:p w14:paraId="4617EEBE" w14:textId="77777777" w:rsidR="00DD7247" w:rsidRPr="00987D69" w:rsidRDefault="00DD7247" w:rsidP="00DD7247">
      <w:pPr>
        <w:ind w:right="142"/>
        <w:jc w:val="both"/>
        <w:rPr>
          <w:rFonts w:ascii="Calibri" w:hAnsi="Calibri" w:cs="Calibri"/>
          <w:color w:val="000000"/>
          <w:sz w:val="18"/>
          <w:szCs w:val="18"/>
        </w:rPr>
      </w:pPr>
      <w:r w:rsidRPr="00987D69">
        <w:rPr>
          <w:rFonts w:ascii="Calibri" w:hAnsi="Calibri" w:cs="Calibri"/>
          <w:b/>
          <w:color w:val="000000"/>
          <w:sz w:val="18"/>
          <w:szCs w:val="18"/>
        </w:rPr>
        <w:t>L</w:t>
      </w:r>
      <w:r>
        <w:rPr>
          <w:rFonts w:ascii="Calibri" w:hAnsi="Calibri" w:cs="Calibri"/>
          <w:b/>
          <w:color w:val="000000"/>
          <w:sz w:val="18"/>
          <w:szCs w:val="18"/>
        </w:rPr>
        <w:t>o</w:t>
      </w:r>
      <w:r w:rsidRPr="00987D69">
        <w:rPr>
          <w:rFonts w:ascii="Calibri" w:hAnsi="Calibri" w:cs="Calibri"/>
          <w:b/>
          <w:color w:val="000000"/>
          <w:sz w:val="18"/>
          <w:szCs w:val="18"/>
        </w:rPr>
        <w:t>ss ratio:</w:t>
      </w:r>
      <w:r w:rsidRPr="00987D69">
        <w:rPr>
          <w:rFonts w:ascii="Calibri" w:hAnsi="Calibri" w:cs="Calibri"/>
          <w:color w:val="000000"/>
          <w:sz w:val="18"/>
          <w:szCs w:val="18"/>
        </w:rPr>
        <w:t xml:space="preserve"> Claims incurred net of reinsurance result as a percentage of insurance revenue.</w:t>
      </w:r>
    </w:p>
    <w:p w14:paraId="66690D3C" w14:textId="77777777" w:rsidR="00F2587A" w:rsidRDefault="00F2587A" w:rsidP="00E066A2">
      <w:pPr>
        <w:ind w:right="142"/>
        <w:jc w:val="both"/>
        <w:rPr>
          <w:rFonts w:ascii="Calibri" w:hAnsi="Calibri" w:cs="Calibri"/>
          <w:b/>
          <w:color w:val="000000"/>
          <w:sz w:val="18"/>
          <w:szCs w:val="18"/>
        </w:rPr>
      </w:pPr>
    </w:p>
    <w:p w14:paraId="23EF4EC8" w14:textId="55E5A7F4" w:rsidR="008C4AA0" w:rsidRPr="00593F9F" w:rsidRDefault="00DD7247" w:rsidP="00E066A2">
      <w:pPr>
        <w:ind w:right="142"/>
        <w:jc w:val="both"/>
        <w:rPr>
          <w:rFonts w:asciiTheme="minorHAnsi" w:hAnsiTheme="minorHAnsi" w:cstheme="minorHAnsi"/>
          <w:color w:val="000000"/>
          <w:sz w:val="22"/>
          <w:szCs w:val="22"/>
          <w:highlight w:val="yellow"/>
        </w:rPr>
      </w:pPr>
      <w:r w:rsidRPr="00987D69">
        <w:rPr>
          <w:rFonts w:ascii="Calibri" w:hAnsi="Calibri" w:cs="Calibri"/>
          <w:b/>
          <w:color w:val="000000"/>
          <w:sz w:val="18"/>
          <w:szCs w:val="18"/>
        </w:rPr>
        <w:t>Combined operati</w:t>
      </w:r>
      <w:r>
        <w:rPr>
          <w:rFonts w:ascii="Calibri" w:hAnsi="Calibri" w:cs="Calibri"/>
          <w:b/>
          <w:color w:val="000000"/>
          <w:sz w:val="18"/>
          <w:szCs w:val="18"/>
        </w:rPr>
        <w:t>ng</w:t>
      </w:r>
      <w:r w:rsidRPr="00987D69">
        <w:rPr>
          <w:rFonts w:ascii="Calibri" w:hAnsi="Calibri" w:cs="Calibri"/>
          <w:b/>
          <w:color w:val="000000"/>
          <w:sz w:val="18"/>
          <w:szCs w:val="18"/>
        </w:rPr>
        <w:t xml:space="preserve"> ratio:</w:t>
      </w:r>
      <w:r w:rsidRPr="00987D69">
        <w:rPr>
          <w:rFonts w:ascii="Calibri" w:hAnsi="Calibri" w:cs="Calibri"/>
          <w:color w:val="000000"/>
          <w:sz w:val="18"/>
          <w:szCs w:val="18"/>
        </w:rPr>
        <w:t xml:space="preserve"> the sum of the loss ratio and expense ratio. A combined operating ratio below 100% indicates profitable </w:t>
      </w:r>
      <w:r>
        <w:rPr>
          <w:rFonts w:ascii="Calibri" w:hAnsi="Calibri" w:cs="Calibri"/>
          <w:color w:val="000000"/>
          <w:sz w:val="18"/>
          <w:szCs w:val="18"/>
        </w:rPr>
        <w:t xml:space="preserve">insurance </w:t>
      </w:r>
      <w:r w:rsidRPr="00987D69">
        <w:rPr>
          <w:rFonts w:ascii="Calibri" w:hAnsi="Calibri" w:cs="Calibri"/>
          <w:color w:val="000000"/>
          <w:sz w:val="18"/>
          <w:szCs w:val="18"/>
        </w:rPr>
        <w:t>results. A combined operating ratio over 100% indicates unprofitable results.</w:t>
      </w:r>
    </w:p>
    <w:p w14:paraId="1DE6D4D0" w14:textId="77777777" w:rsidR="00F2587A" w:rsidRDefault="00F2587A" w:rsidP="005B7E84">
      <w:pPr>
        <w:ind w:right="142"/>
        <w:jc w:val="both"/>
        <w:rPr>
          <w:rFonts w:ascii="Calibri" w:hAnsi="Calibri" w:cs="Calibri"/>
          <w:b/>
          <w:color w:val="000000"/>
          <w:sz w:val="18"/>
          <w:szCs w:val="18"/>
        </w:rPr>
      </w:pPr>
    </w:p>
    <w:p w14:paraId="5543C955" w14:textId="6865A138" w:rsidR="005B7E84" w:rsidRPr="00593F9F" w:rsidRDefault="005B7E84" w:rsidP="005B7E84">
      <w:pPr>
        <w:ind w:right="142"/>
        <w:jc w:val="both"/>
        <w:rPr>
          <w:rFonts w:asciiTheme="minorHAnsi" w:hAnsiTheme="minorHAnsi" w:cstheme="minorHAnsi"/>
          <w:color w:val="000000"/>
          <w:sz w:val="22"/>
          <w:szCs w:val="22"/>
          <w:highlight w:val="yellow"/>
        </w:rPr>
      </w:pPr>
      <w:r>
        <w:rPr>
          <w:rFonts w:ascii="Calibri" w:hAnsi="Calibri" w:cs="Calibri"/>
          <w:b/>
          <w:color w:val="000000"/>
          <w:sz w:val="18"/>
          <w:szCs w:val="18"/>
        </w:rPr>
        <w:t>Undiscounted c</w:t>
      </w:r>
      <w:r w:rsidRPr="00987D69">
        <w:rPr>
          <w:rFonts w:ascii="Calibri" w:hAnsi="Calibri" w:cs="Calibri"/>
          <w:b/>
          <w:color w:val="000000"/>
          <w:sz w:val="18"/>
          <w:szCs w:val="18"/>
        </w:rPr>
        <w:t>ombined operati</w:t>
      </w:r>
      <w:r>
        <w:rPr>
          <w:rFonts w:ascii="Calibri" w:hAnsi="Calibri" w:cs="Calibri"/>
          <w:b/>
          <w:color w:val="000000"/>
          <w:sz w:val="18"/>
          <w:szCs w:val="18"/>
        </w:rPr>
        <w:t>ng</w:t>
      </w:r>
      <w:r w:rsidRPr="00987D69">
        <w:rPr>
          <w:rFonts w:ascii="Calibri" w:hAnsi="Calibri" w:cs="Calibri"/>
          <w:b/>
          <w:color w:val="000000"/>
          <w:sz w:val="18"/>
          <w:szCs w:val="18"/>
        </w:rPr>
        <w:t xml:space="preserve"> ratio:</w:t>
      </w:r>
      <w:r w:rsidRPr="00987D69">
        <w:rPr>
          <w:rFonts w:ascii="Calibri" w:hAnsi="Calibri" w:cs="Calibri"/>
          <w:color w:val="000000"/>
          <w:sz w:val="18"/>
          <w:szCs w:val="18"/>
        </w:rPr>
        <w:t xml:space="preserve"> the sum of the </w:t>
      </w:r>
      <w:r>
        <w:rPr>
          <w:rFonts w:ascii="Calibri" w:hAnsi="Calibri" w:cs="Calibri"/>
          <w:color w:val="000000"/>
          <w:sz w:val="18"/>
          <w:szCs w:val="18"/>
        </w:rPr>
        <w:t xml:space="preserve">undiscounted </w:t>
      </w:r>
      <w:r w:rsidRPr="00987D69">
        <w:rPr>
          <w:rFonts w:ascii="Calibri" w:hAnsi="Calibri" w:cs="Calibri"/>
          <w:color w:val="000000"/>
          <w:sz w:val="18"/>
          <w:szCs w:val="18"/>
        </w:rPr>
        <w:t xml:space="preserve">loss ratio and expense ratio. A combined operating ratio below 100% indicates profitable </w:t>
      </w:r>
      <w:r>
        <w:rPr>
          <w:rFonts w:ascii="Calibri" w:hAnsi="Calibri" w:cs="Calibri"/>
          <w:color w:val="000000"/>
          <w:sz w:val="18"/>
          <w:szCs w:val="18"/>
        </w:rPr>
        <w:t xml:space="preserve">insurance </w:t>
      </w:r>
      <w:r w:rsidRPr="00987D69">
        <w:rPr>
          <w:rFonts w:ascii="Calibri" w:hAnsi="Calibri" w:cs="Calibri"/>
          <w:color w:val="000000"/>
          <w:sz w:val="18"/>
          <w:szCs w:val="18"/>
        </w:rPr>
        <w:t>results. A combined operating ratio over 100% indicates unprofitable results.</w:t>
      </w:r>
    </w:p>
    <w:p w14:paraId="0A4C5D44" w14:textId="79269B35" w:rsidR="006D1B29" w:rsidRPr="001D5AED" w:rsidRDefault="006D1B29" w:rsidP="000C033B">
      <w:pPr>
        <w:tabs>
          <w:tab w:val="decimal" w:pos="8460"/>
          <w:tab w:val="decimal" w:pos="10080"/>
          <w:tab w:val="left" w:pos="10293"/>
          <w:tab w:val="left" w:pos="10400"/>
        </w:tabs>
        <w:ind w:right="-7"/>
        <w:rPr>
          <w:rFonts w:asciiTheme="minorHAnsi" w:hAnsiTheme="minorHAnsi" w:cstheme="minorHAnsi"/>
          <w:color w:val="000000"/>
          <w:sz w:val="22"/>
          <w:szCs w:val="22"/>
        </w:rPr>
      </w:pPr>
    </w:p>
    <w:sectPr w:rsidR="006D1B29" w:rsidRPr="001D5AED" w:rsidSect="00DB7D8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8EB3A" w14:textId="77777777" w:rsidR="003C1245" w:rsidRDefault="003C1245" w:rsidP="00E2147B">
      <w:r>
        <w:separator/>
      </w:r>
    </w:p>
  </w:endnote>
  <w:endnote w:type="continuationSeparator" w:id="0">
    <w:p w14:paraId="548E2540" w14:textId="77777777" w:rsidR="003C1245" w:rsidRDefault="003C1245" w:rsidP="00E2147B">
      <w:r>
        <w:continuationSeparator/>
      </w:r>
    </w:p>
  </w:endnote>
  <w:endnote w:type="continuationNotice" w:id="1">
    <w:p w14:paraId="3ACED127" w14:textId="77777777" w:rsidR="003C1245" w:rsidRDefault="003C12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altName w:val="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4D"/>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elvetica 55 Roman">
    <w:altName w:val="Arial"/>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5396847"/>
      <w:docPartObj>
        <w:docPartGallery w:val="Page Numbers (Bottom of Page)"/>
        <w:docPartUnique/>
      </w:docPartObj>
    </w:sdtPr>
    <w:sdtEndPr>
      <w:rPr>
        <w:noProof/>
      </w:rPr>
    </w:sdtEndPr>
    <w:sdtContent>
      <w:p w14:paraId="0C376619" w14:textId="62D84961" w:rsidR="00B25E4C" w:rsidRDefault="00B25E4C">
        <w:pPr>
          <w:pStyle w:val="Footer"/>
          <w:jc w:val="right"/>
        </w:pPr>
        <w:r>
          <w:fldChar w:fldCharType="begin"/>
        </w:r>
        <w:r>
          <w:instrText xml:space="preserve"> PAGE   \* MERGEFORMAT </w:instrText>
        </w:r>
        <w:r>
          <w:fldChar w:fldCharType="separate"/>
        </w:r>
        <w:r w:rsidR="004D7FB5">
          <w:rPr>
            <w:noProof/>
          </w:rPr>
          <w:t>21</w:t>
        </w:r>
        <w:r>
          <w:rPr>
            <w:noProof/>
          </w:rPr>
          <w:fldChar w:fldCharType="end"/>
        </w:r>
      </w:p>
    </w:sdtContent>
  </w:sdt>
  <w:p w14:paraId="44548F2B" w14:textId="77777777" w:rsidR="00B25E4C" w:rsidRDefault="00B25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72D0B" w14:textId="77777777" w:rsidR="003C1245" w:rsidRDefault="003C1245" w:rsidP="00E2147B">
      <w:r>
        <w:separator/>
      </w:r>
    </w:p>
  </w:footnote>
  <w:footnote w:type="continuationSeparator" w:id="0">
    <w:p w14:paraId="56994796" w14:textId="77777777" w:rsidR="003C1245" w:rsidRDefault="003C1245" w:rsidP="00E2147B">
      <w:r>
        <w:continuationSeparator/>
      </w:r>
    </w:p>
  </w:footnote>
  <w:footnote w:type="continuationNotice" w:id="1">
    <w:p w14:paraId="57A92059" w14:textId="77777777" w:rsidR="003C1245" w:rsidRDefault="003C12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42414"/>
    <w:multiLevelType w:val="hybridMultilevel"/>
    <w:tmpl w:val="B142B2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3B5BB3"/>
    <w:multiLevelType w:val="hybridMultilevel"/>
    <w:tmpl w:val="5C9E87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8E5545"/>
    <w:multiLevelType w:val="hybridMultilevel"/>
    <w:tmpl w:val="D7D0BE5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681265"/>
    <w:multiLevelType w:val="hybridMultilevel"/>
    <w:tmpl w:val="D6A079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5E935B1"/>
    <w:multiLevelType w:val="hybridMultilevel"/>
    <w:tmpl w:val="E74610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68D63FC"/>
    <w:multiLevelType w:val="multilevel"/>
    <w:tmpl w:val="FE803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F252BA"/>
    <w:multiLevelType w:val="hybridMultilevel"/>
    <w:tmpl w:val="DDF47B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F3A2CE4"/>
    <w:multiLevelType w:val="hybridMultilevel"/>
    <w:tmpl w:val="1972A11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8" w15:restartNumberingAfterBreak="0">
    <w:nsid w:val="21026EC8"/>
    <w:multiLevelType w:val="multilevel"/>
    <w:tmpl w:val="672C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9D5633"/>
    <w:multiLevelType w:val="hybridMultilevel"/>
    <w:tmpl w:val="3CA4C4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9683160"/>
    <w:multiLevelType w:val="hybridMultilevel"/>
    <w:tmpl w:val="11E01C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9BD6B34"/>
    <w:multiLevelType w:val="hybridMultilevel"/>
    <w:tmpl w:val="080E4CF8"/>
    <w:lvl w:ilvl="0" w:tplc="1CBA7F82">
      <w:start w:val="1"/>
      <w:numFmt w:val="bullet"/>
      <w:lvlText w:val=""/>
      <w:lvlJc w:val="left"/>
      <w:pPr>
        <w:tabs>
          <w:tab w:val="num" w:pos="720"/>
        </w:tabs>
        <w:ind w:left="720" w:hanging="360"/>
      </w:pPr>
      <w:rPr>
        <w:rFonts w:ascii="Wingdings" w:hAnsi="Wingdings" w:hint="default"/>
      </w:rPr>
    </w:lvl>
    <w:lvl w:ilvl="1" w:tplc="11E02C20" w:tentative="1">
      <w:start w:val="1"/>
      <w:numFmt w:val="bullet"/>
      <w:lvlText w:val=""/>
      <w:lvlJc w:val="left"/>
      <w:pPr>
        <w:tabs>
          <w:tab w:val="num" w:pos="1440"/>
        </w:tabs>
        <w:ind w:left="1440" w:hanging="360"/>
      </w:pPr>
      <w:rPr>
        <w:rFonts w:ascii="Wingdings" w:hAnsi="Wingdings" w:hint="default"/>
      </w:rPr>
    </w:lvl>
    <w:lvl w:ilvl="2" w:tplc="183032F2" w:tentative="1">
      <w:start w:val="1"/>
      <w:numFmt w:val="bullet"/>
      <w:lvlText w:val=""/>
      <w:lvlJc w:val="left"/>
      <w:pPr>
        <w:tabs>
          <w:tab w:val="num" w:pos="2160"/>
        </w:tabs>
        <w:ind w:left="2160" w:hanging="360"/>
      </w:pPr>
      <w:rPr>
        <w:rFonts w:ascii="Wingdings" w:hAnsi="Wingdings" w:hint="default"/>
      </w:rPr>
    </w:lvl>
    <w:lvl w:ilvl="3" w:tplc="BF42C066" w:tentative="1">
      <w:start w:val="1"/>
      <w:numFmt w:val="bullet"/>
      <w:lvlText w:val=""/>
      <w:lvlJc w:val="left"/>
      <w:pPr>
        <w:tabs>
          <w:tab w:val="num" w:pos="2880"/>
        </w:tabs>
        <w:ind w:left="2880" w:hanging="360"/>
      </w:pPr>
      <w:rPr>
        <w:rFonts w:ascii="Wingdings" w:hAnsi="Wingdings" w:hint="default"/>
      </w:rPr>
    </w:lvl>
    <w:lvl w:ilvl="4" w:tplc="ACAE2502" w:tentative="1">
      <w:start w:val="1"/>
      <w:numFmt w:val="bullet"/>
      <w:lvlText w:val=""/>
      <w:lvlJc w:val="left"/>
      <w:pPr>
        <w:tabs>
          <w:tab w:val="num" w:pos="3600"/>
        </w:tabs>
        <w:ind w:left="3600" w:hanging="360"/>
      </w:pPr>
      <w:rPr>
        <w:rFonts w:ascii="Wingdings" w:hAnsi="Wingdings" w:hint="default"/>
      </w:rPr>
    </w:lvl>
    <w:lvl w:ilvl="5" w:tplc="0F327652" w:tentative="1">
      <w:start w:val="1"/>
      <w:numFmt w:val="bullet"/>
      <w:lvlText w:val=""/>
      <w:lvlJc w:val="left"/>
      <w:pPr>
        <w:tabs>
          <w:tab w:val="num" w:pos="4320"/>
        </w:tabs>
        <w:ind w:left="4320" w:hanging="360"/>
      </w:pPr>
      <w:rPr>
        <w:rFonts w:ascii="Wingdings" w:hAnsi="Wingdings" w:hint="default"/>
      </w:rPr>
    </w:lvl>
    <w:lvl w:ilvl="6" w:tplc="AE463306" w:tentative="1">
      <w:start w:val="1"/>
      <w:numFmt w:val="bullet"/>
      <w:lvlText w:val=""/>
      <w:lvlJc w:val="left"/>
      <w:pPr>
        <w:tabs>
          <w:tab w:val="num" w:pos="5040"/>
        </w:tabs>
        <w:ind w:left="5040" w:hanging="360"/>
      </w:pPr>
      <w:rPr>
        <w:rFonts w:ascii="Wingdings" w:hAnsi="Wingdings" w:hint="default"/>
      </w:rPr>
    </w:lvl>
    <w:lvl w:ilvl="7" w:tplc="BBBC9482" w:tentative="1">
      <w:start w:val="1"/>
      <w:numFmt w:val="bullet"/>
      <w:lvlText w:val=""/>
      <w:lvlJc w:val="left"/>
      <w:pPr>
        <w:tabs>
          <w:tab w:val="num" w:pos="5760"/>
        </w:tabs>
        <w:ind w:left="5760" w:hanging="360"/>
      </w:pPr>
      <w:rPr>
        <w:rFonts w:ascii="Wingdings" w:hAnsi="Wingdings" w:hint="default"/>
      </w:rPr>
    </w:lvl>
    <w:lvl w:ilvl="8" w:tplc="A4560DA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991E3D"/>
    <w:multiLevelType w:val="hybridMultilevel"/>
    <w:tmpl w:val="9B8A6DD2"/>
    <w:lvl w:ilvl="0" w:tplc="AA0280B4">
      <w:start w:val="1"/>
      <w:numFmt w:val="bullet"/>
      <w:lvlText w:val="•"/>
      <w:lvlJc w:val="left"/>
      <w:pPr>
        <w:tabs>
          <w:tab w:val="num" w:pos="720"/>
        </w:tabs>
        <w:ind w:left="720" w:hanging="360"/>
      </w:pPr>
      <w:rPr>
        <w:rFonts w:ascii="Arial" w:hAnsi="Arial" w:hint="default"/>
      </w:rPr>
    </w:lvl>
    <w:lvl w:ilvl="1" w:tplc="EB18AA04" w:tentative="1">
      <w:start w:val="1"/>
      <w:numFmt w:val="bullet"/>
      <w:lvlText w:val="•"/>
      <w:lvlJc w:val="left"/>
      <w:pPr>
        <w:tabs>
          <w:tab w:val="num" w:pos="1440"/>
        </w:tabs>
        <w:ind w:left="1440" w:hanging="360"/>
      </w:pPr>
      <w:rPr>
        <w:rFonts w:ascii="Arial" w:hAnsi="Arial" w:hint="default"/>
      </w:rPr>
    </w:lvl>
    <w:lvl w:ilvl="2" w:tplc="C74E9B6E" w:tentative="1">
      <w:start w:val="1"/>
      <w:numFmt w:val="bullet"/>
      <w:lvlText w:val="•"/>
      <w:lvlJc w:val="left"/>
      <w:pPr>
        <w:tabs>
          <w:tab w:val="num" w:pos="2160"/>
        </w:tabs>
        <w:ind w:left="2160" w:hanging="360"/>
      </w:pPr>
      <w:rPr>
        <w:rFonts w:ascii="Arial" w:hAnsi="Arial" w:hint="default"/>
      </w:rPr>
    </w:lvl>
    <w:lvl w:ilvl="3" w:tplc="6AFA90DE" w:tentative="1">
      <w:start w:val="1"/>
      <w:numFmt w:val="bullet"/>
      <w:lvlText w:val="•"/>
      <w:lvlJc w:val="left"/>
      <w:pPr>
        <w:tabs>
          <w:tab w:val="num" w:pos="2880"/>
        </w:tabs>
        <w:ind w:left="2880" w:hanging="360"/>
      </w:pPr>
      <w:rPr>
        <w:rFonts w:ascii="Arial" w:hAnsi="Arial" w:hint="default"/>
      </w:rPr>
    </w:lvl>
    <w:lvl w:ilvl="4" w:tplc="0B449E0C" w:tentative="1">
      <w:start w:val="1"/>
      <w:numFmt w:val="bullet"/>
      <w:lvlText w:val="•"/>
      <w:lvlJc w:val="left"/>
      <w:pPr>
        <w:tabs>
          <w:tab w:val="num" w:pos="3600"/>
        </w:tabs>
        <w:ind w:left="3600" w:hanging="360"/>
      </w:pPr>
      <w:rPr>
        <w:rFonts w:ascii="Arial" w:hAnsi="Arial" w:hint="default"/>
      </w:rPr>
    </w:lvl>
    <w:lvl w:ilvl="5" w:tplc="E188CD40" w:tentative="1">
      <w:start w:val="1"/>
      <w:numFmt w:val="bullet"/>
      <w:lvlText w:val="•"/>
      <w:lvlJc w:val="left"/>
      <w:pPr>
        <w:tabs>
          <w:tab w:val="num" w:pos="4320"/>
        </w:tabs>
        <w:ind w:left="4320" w:hanging="360"/>
      </w:pPr>
      <w:rPr>
        <w:rFonts w:ascii="Arial" w:hAnsi="Arial" w:hint="default"/>
      </w:rPr>
    </w:lvl>
    <w:lvl w:ilvl="6" w:tplc="B18A7010" w:tentative="1">
      <w:start w:val="1"/>
      <w:numFmt w:val="bullet"/>
      <w:lvlText w:val="•"/>
      <w:lvlJc w:val="left"/>
      <w:pPr>
        <w:tabs>
          <w:tab w:val="num" w:pos="5040"/>
        </w:tabs>
        <w:ind w:left="5040" w:hanging="360"/>
      </w:pPr>
      <w:rPr>
        <w:rFonts w:ascii="Arial" w:hAnsi="Arial" w:hint="default"/>
      </w:rPr>
    </w:lvl>
    <w:lvl w:ilvl="7" w:tplc="75A0F20E" w:tentative="1">
      <w:start w:val="1"/>
      <w:numFmt w:val="bullet"/>
      <w:lvlText w:val="•"/>
      <w:lvlJc w:val="left"/>
      <w:pPr>
        <w:tabs>
          <w:tab w:val="num" w:pos="5760"/>
        </w:tabs>
        <w:ind w:left="5760" w:hanging="360"/>
      </w:pPr>
      <w:rPr>
        <w:rFonts w:ascii="Arial" w:hAnsi="Arial" w:hint="default"/>
      </w:rPr>
    </w:lvl>
    <w:lvl w:ilvl="8" w:tplc="C47442D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0880B8E"/>
    <w:multiLevelType w:val="hybridMultilevel"/>
    <w:tmpl w:val="D8CEFE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44754C7"/>
    <w:multiLevelType w:val="hybridMultilevel"/>
    <w:tmpl w:val="2B9C6B6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34782DF0"/>
    <w:multiLevelType w:val="hybridMultilevel"/>
    <w:tmpl w:val="316AFA84"/>
    <w:lvl w:ilvl="0" w:tplc="18090001">
      <w:start w:val="1"/>
      <w:numFmt w:val="bullet"/>
      <w:lvlText w:val=""/>
      <w:lvlJc w:val="left"/>
      <w:pPr>
        <w:ind w:left="780" w:hanging="360"/>
      </w:pPr>
      <w:rPr>
        <w:rFonts w:ascii="Symbol" w:hAnsi="Symbol" w:hint="default"/>
      </w:rPr>
    </w:lvl>
    <w:lvl w:ilvl="1" w:tplc="18090003">
      <w:start w:val="1"/>
      <w:numFmt w:val="bullet"/>
      <w:lvlText w:val="o"/>
      <w:lvlJc w:val="left"/>
      <w:pPr>
        <w:ind w:left="1500" w:hanging="360"/>
      </w:pPr>
      <w:rPr>
        <w:rFonts w:ascii="Courier New" w:hAnsi="Courier New" w:cs="Courier New" w:hint="default"/>
      </w:rPr>
    </w:lvl>
    <w:lvl w:ilvl="2" w:tplc="18090005">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6" w15:restartNumberingAfterBreak="0">
    <w:nsid w:val="37322C97"/>
    <w:multiLevelType w:val="hybridMultilevel"/>
    <w:tmpl w:val="597070D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84D30BB"/>
    <w:multiLevelType w:val="hybridMultilevel"/>
    <w:tmpl w:val="6A62A9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AA0495F"/>
    <w:multiLevelType w:val="hybridMultilevel"/>
    <w:tmpl w:val="07B4D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CAA09E1"/>
    <w:multiLevelType w:val="hybridMultilevel"/>
    <w:tmpl w:val="74541CD8"/>
    <w:lvl w:ilvl="0" w:tplc="EF4CBF58">
      <w:start w:val="1"/>
      <w:numFmt w:val="bullet"/>
      <w:lvlText w:val=""/>
      <w:lvlJc w:val="left"/>
      <w:pPr>
        <w:tabs>
          <w:tab w:val="num" w:pos="720"/>
        </w:tabs>
        <w:ind w:left="720" w:hanging="360"/>
      </w:pPr>
      <w:rPr>
        <w:rFonts w:ascii="Wingdings" w:hAnsi="Wingdings" w:hint="default"/>
      </w:rPr>
    </w:lvl>
    <w:lvl w:ilvl="1" w:tplc="1B9CB4B8" w:tentative="1">
      <w:start w:val="1"/>
      <w:numFmt w:val="bullet"/>
      <w:lvlText w:val=""/>
      <w:lvlJc w:val="left"/>
      <w:pPr>
        <w:tabs>
          <w:tab w:val="num" w:pos="1440"/>
        </w:tabs>
        <w:ind w:left="1440" w:hanging="360"/>
      </w:pPr>
      <w:rPr>
        <w:rFonts w:ascii="Wingdings" w:hAnsi="Wingdings" w:hint="default"/>
      </w:rPr>
    </w:lvl>
    <w:lvl w:ilvl="2" w:tplc="AF141EE2" w:tentative="1">
      <w:start w:val="1"/>
      <w:numFmt w:val="bullet"/>
      <w:lvlText w:val=""/>
      <w:lvlJc w:val="left"/>
      <w:pPr>
        <w:tabs>
          <w:tab w:val="num" w:pos="2160"/>
        </w:tabs>
        <w:ind w:left="2160" w:hanging="360"/>
      </w:pPr>
      <w:rPr>
        <w:rFonts w:ascii="Wingdings" w:hAnsi="Wingdings" w:hint="default"/>
      </w:rPr>
    </w:lvl>
    <w:lvl w:ilvl="3" w:tplc="2188B590" w:tentative="1">
      <w:start w:val="1"/>
      <w:numFmt w:val="bullet"/>
      <w:lvlText w:val=""/>
      <w:lvlJc w:val="left"/>
      <w:pPr>
        <w:tabs>
          <w:tab w:val="num" w:pos="2880"/>
        </w:tabs>
        <w:ind w:left="2880" w:hanging="360"/>
      </w:pPr>
      <w:rPr>
        <w:rFonts w:ascii="Wingdings" w:hAnsi="Wingdings" w:hint="default"/>
      </w:rPr>
    </w:lvl>
    <w:lvl w:ilvl="4" w:tplc="0E82CF32" w:tentative="1">
      <w:start w:val="1"/>
      <w:numFmt w:val="bullet"/>
      <w:lvlText w:val=""/>
      <w:lvlJc w:val="left"/>
      <w:pPr>
        <w:tabs>
          <w:tab w:val="num" w:pos="3600"/>
        </w:tabs>
        <w:ind w:left="3600" w:hanging="360"/>
      </w:pPr>
      <w:rPr>
        <w:rFonts w:ascii="Wingdings" w:hAnsi="Wingdings" w:hint="default"/>
      </w:rPr>
    </w:lvl>
    <w:lvl w:ilvl="5" w:tplc="5924314C" w:tentative="1">
      <w:start w:val="1"/>
      <w:numFmt w:val="bullet"/>
      <w:lvlText w:val=""/>
      <w:lvlJc w:val="left"/>
      <w:pPr>
        <w:tabs>
          <w:tab w:val="num" w:pos="4320"/>
        </w:tabs>
        <w:ind w:left="4320" w:hanging="360"/>
      </w:pPr>
      <w:rPr>
        <w:rFonts w:ascii="Wingdings" w:hAnsi="Wingdings" w:hint="default"/>
      </w:rPr>
    </w:lvl>
    <w:lvl w:ilvl="6" w:tplc="B68230E4" w:tentative="1">
      <w:start w:val="1"/>
      <w:numFmt w:val="bullet"/>
      <w:lvlText w:val=""/>
      <w:lvlJc w:val="left"/>
      <w:pPr>
        <w:tabs>
          <w:tab w:val="num" w:pos="5040"/>
        </w:tabs>
        <w:ind w:left="5040" w:hanging="360"/>
      </w:pPr>
      <w:rPr>
        <w:rFonts w:ascii="Wingdings" w:hAnsi="Wingdings" w:hint="default"/>
      </w:rPr>
    </w:lvl>
    <w:lvl w:ilvl="7" w:tplc="124AED14" w:tentative="1">
      <w:start w:val="1"/>
      <w:numFmt w:val="bullet"/>
      <w:lvlText w:val=""/>
      <w:lvlJc w:val="left"/>
      <w:pPr>
        <w:tabs>
          <w:tab w:val="num" w:pos="5760"/>
        </w:tabs>
        <w:ind w:left="5760" w:hanging="360"/>
      </w:pPr>
      <w:rPr>
        <w:rFonts w:ascii="Wingdings" w:hAnsi="Wingdings" w:hint="default"/>
      </w:rPr>
    </w:lvl>
    <w:lvl w:ilvl="8" w:tplc="96664A1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167D98"/>
    <w:multiLevelType w:val="hybridMultilevel"/>
    <w:tmpl w:val="27CE56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3BF3352"/>
    <w:multiLevelType w:val="hybridMultilevel"/>
    <w:tmpl w:val="FB9A0A86"/>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2" w15:restartNumberingAfterBreak="0">
    <w:nsid w:val="4617170B"/>
    <w:multiLevelType w:val="hybridMultilevel"/>
    <w:tmpl w:val="4B0C72E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3" w15:restartNumberingAfterBreak="0">
    <w:nsid w:val="481D43C2"/>
    <w:multiLevelType w:val="multilevel"/>
    <w:tmpl w:val="3ECE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D1295C"/>
    <w:multiLevelType w:val="hybridMultilevel"/>
    <w:tmpl w:val="D3AE3C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D115CB4"/>
    <w:multiLevelType w:val="hybridMultilevel"/>
    <w:tmpl w:val="4DF4E7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772723E"/>
    <w:multiLevelType w:val="hybridMultilevel"/>
    <w:tmpl w:val="F96424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B11645C"/>
    <w:multiLevelType w:val="hybridMultilevel"/>
    <w:tmpl w:val="E55210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B756932"/>
    <w:multiLevelType w:val="hybridMultilevel"/>
    <w:tmpl w:val="D4C4FB5A"/>
    <w:lvl w:ilvl="0" w:tplc="18090001">
      <w:start w:val="1"/>
      <w:numFmt w:val="bullet"/>
      <w:lvlText w:val=""/>
      <w:lvlJc w:val="left"/>
      <w:pPr>
        <w:ind w:left="774" w:hanging="360"/>
      </w:pPr>
      <w:rPr>
        <w:rFonts w:ascii="Symbol" w:hAnsi="Symbol" w:hint="default"/>
      </w:rPr>
    </w:lvl>
    <w:lvl w:ilvl="1" w:tplc="18090003" w:tentative="1">
      <w:start w:val="1"/>
      <w:numFmt w:val="bullet"/>
      <w:lvlText w:val="o"/>
      <w:lvlJc w:val="left"/>
      <w:pPr>
        <w:ind w:left="1494" w:hanging="360"/>
      </w:pPr>
      <w:rPr>
        <w:rFonts w:ascii="Courier New" w:hAnsi="Courier New" w:cs="Courier New" w:hint="default"/>
      </w:rPr>
    </w:lvl>
    <w:lvl w:ilvl="2" w:tplc="18090005" w:tentative="1">
      <w:start w:val="1"/>
      <w:numFmt w:val="bullet"/>
      <w:lvlText w:val=""/>
      <w:lvlJc w:val="left"/>
      <w:pPr>
        <w:ind w:left="2214" w:hanging="360"/>
      </w:pPr>
      <w:rPr>
        <w:rFonts w:ascii="Wingdings" w:hAnsi="Wingdings" w:hint="default"/>
      </w:rPr>
    </w:lvl>
    <w:lvl w:ilvl="3" w:tplc="18090001" w:tentative="1">
      <w:start w:val="1"/>
      <w:numFmt w:val="bullet"/>
      <w:lvlText w:val=""/>
      <w:lvlJc w:val="left"/>
      <w:pPr>
        <w:ind w:left="2934" w:hanging="360"/>
      </w:pPr>
      <w:rPr>
        <w:rFonts w:ascii="Symbol" w:hAnsi="Symbol" w:hint="default"/>
      </w:rPr>
    </w:lvl>
    <w:lvl w:ilvl="4" w:tplc="18090003" w:tentative="1">
      <w:start w:val="1"/>
      <w:numFmt w:val="bullet"/>
      <w:lvlText w:val="o"/>
      <w:lvlJc w:val="left"/>
      <w:pPr>
        <w:ind w:left="3654" w:hanging="360"/>
      </w:pPr>
      <w:rPr>
        <w:rFonts w:ascii="Courier New" w:hAnsi="Courier New" w:cs="Courier New" w:hint="default"/>
      </w:rPr>
    </w:lvl>
    <w:lvl w:ilvl="5" w:tplc="18090005" w:tentative="1">
      <w:start w:val="1"/>
      <w:numFmt w:val="bullet"/>
      <w:lvlText w:val=""/>
      <w:lvlJc w:val="left"/>
      <w:pPr>
        <w:ind w:left="4374" w:hanging="360"/>
      </w:pPr>
      <w:rPr>
        <w:rFonts w:ascii="Wingdings" w:hAnsi="Wingdings" w:hint="default"/>
      </w:rPr>
    </w:lvl>
    <w:lvl w:ilvl="6" w:tplc="18090001" w:tentative="1">
      <w:start w:val="1"/>
      <w:numFmt w:val="bullet"/>
      <w:lvlText w:val=""/>
      <w:lvlJc w:val="left"/>
      <w:pPr>
        <w:ind w:left="5094" w:hanging="360"/>
      </w:pPr>
      <w:rPr>
        <w:rFonts w:ascii="Symbol" w:hAnsi="Symbol" w:hint="default"/>
      </w:rPr>
    </w:lvl>
    <w:lvl w:ilvl="7" w:tplc="18090003" w:tentative="1">
      <w:start w:val="1"/>
      <w:numFmt w:val="bullet"/>
      <w:lvlText w:val="o"/>
      <w:lvlJc w:val="left"/>
      <w:pPr>
        <w:ind w:left="5814" w:hanging="360"/>
      </w:pPr>
      <w:rPr>
        <w:rFonts w:ascii="Courier New" w:hAnsi="Courier New" w:cs="Courier New" w:hint="default"/>
      </w:rPr>
    </w:lvl>
    <w:lvl w:ilvl="8" w:tplc="18090005" w:tentative="1">
      <w:start w:val="1"/>
      <w:numFmt w:val="bullet"/>
      <w:lvlText w:val=""/>
      <w:lvlJc w:val="left"/>
      <w:pPr>
        <w:ind w:left="6534" w:hanging="360"/>
      </w:pPr>
      <w:rPr>
        <w:rFonts w:ascii="Wingdings" w:hAnsi="Wingdings" w:hint="default"/>
      </w:rPr>
    </w:lvl>
  </w:abstractNum>
  <w:abstractNum w:abstractNumId="29" w15:restartNumberingAfterBreak="0">
    <w:nsid w:val="65135EAD"/>
    <w:multiLevelType w:val="hybridMultilevel"/>
    <w:tmpl w:val="BC405F2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0" w15:restartNumberingAfterBreak="0">
    <w:nsid w:val="6EB42BAE"/>
    <w:multiLevelType w:val="multilevel"/>
    <w:tmpl w:val="F042C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545C7B"/>
    <w:multiLevelType w:val="multilevel"/>
    <w:tmpl w:val="2D94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776C63"/>
    <w:multiLevelType w:val="multilevel"/>
    <w:tmpl w:val="E766D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343FAC"/>
    <w:multiLevelType w:val="multilevel"/>
    <w:tmpl w:val="D1A0A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4A7621"/>
    <w:multiLevelType w:val="hybridMultilevel"/>
    <w:tmpl w:val="466E36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420296043">
    <w:abstractNumId w:val="2"/>
  </w:num>
  <w:num w:numId="2" w16cid:durableId="2099403556">
    <w:abstractNumId w:val="10"/>
  </w:num>
  <w:num w:numId="3" w16cid:durableId="591210126">
    <w:abstractNumId w:val="15"/>
  </w:num>
  <w:num w:numId="4" w16cid:durableId="1458374801">
    <w:abstractNumId w:val="26"/>
  </w:num>
  <w:num w:numId="5" w16cid:durableId="605191014">
    <w:abstractNumId w:val="20"/>
  </w:num>
  <w:num w:numId="6" w16cid:durableId="1585720396">
    <w:abstractNumId w:val="3"/>
  </w:num>
  <w:num w:numId="7" w16cid:durableId="1308780394">
    <w:abstractNumId w:val="18"/>
  </w:num>
  <w:num w:numId="8" w16cid:durableId="1571576942">
    <w:abstractNumId w:val="27"/>
  </w:num>
  <w:num w:numId="9" w16cid:durableId="775254763">
    <w:abstractNumId w:val="21"/>
  </w:num>
  <w:num w:numId="10" w16cid:durableId="1124542459">
    <w:abstractNumId w:val="14"/>
  </w:num>
  <w:num w:numId="11" w16cid:durableId="1593198921">
    <w:abstractNumId w:val="4"/>
  </w:num>
  <w:num w:numId="12" w16cid:durableId="2044480681">
    <w:abstractNumId w:val="34"/>
  </w:num>
  <w:num w:numId="13" w16cid:durableId="450513923">
    <w:abstractNumId w:val="17"/>
  </w:num>
  <w:num w:numId="14" w16cid:durableId="2097087964">
    <w:abstractNumId w:val="25"/>
  </w:num>
  <w:num w:numId="15" w16cid:durableId="782841278">
    <w:abstractNumId w:val="28"/>
  </w:num>
  <w:num w:numId="16" w16cid:durableId="1431389114">
    <w:abstractNumId w:val="9"/>
  </w:num>
  <w:num w:numId="17" w16cid:durableId="1523587797">
    <w:abstractNumId w:val="33"/>
  </w:num>
  <w:num w:numId="18" w16cid:durableId="561793007">
    <w:abstractNumId w:val="23"/>
  </w:num>
  <w:num w:numId="19" w16cid:durableId="824712040">
    <w:abstractNumId w:val="8"/>
  </w:num>
  <w:num w:numId="20" w16cid:durableId="17483065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9280475">
    <w:abstractNumId w:val="7"/>
  </w:num>
  <w:num w:numId="22" w16cid:durableId="948656942">
    <w:abstractNumId w:val="24"/>
  </w:num>
  <w:num w:numId="23" w16cid:durableId="531460089">
    <w:abstractNumId w:val="0"/>
  </w:num>
  <w:num w:numId="24" w16cid:durableId="2018385062">
    <w:abstractNumId w:val="13"/>
  </w:num>
  <w:num w:numId="25" w16cid:durableId="1008601993">
    <w:abstractNumId w:val="32"/>
  </w:num>
  <w:num w:numId="26" w16cid:durableId="1338577236">
    <w:abstractNumId w:val="30"/>
  </w:num>
  <w:num w:numId="27" w16cid:durableId="1645550586">
    <w:abstractNumId w:val="31"/>
  </w:num>
  <w:num w:numId="28" w16cid:durableId="722944424">
    <w:abstractNumId w:val="5"/>
  </w:num>
  <w:num w:numId="29" w16cid:durableId="1001854592">
    <w:abstractNumId w:val="11"/>
  </w:num>
  <w:num w:numId="30" w16cid:durableId="1325553003">
    <w:abstractNumId w:val="19"/>
  </w:num>
  <w:num w:numId="31" w16cid:durableId="34545204">
    <w:abstractNumId w:val="16"/>
  </w:num>
  <w:num w:numId="32" w16cid:durableId="1122385087">
    <w:abstractNumId w:val="1"/>
  </w:num>
  <w:num w:numId="33" w16cid:durableId="996809234">
    <w:abstractNumId w:val="12"/>
  </w:num>
  <w:num w:numId="34" w16cid:durableId="1772508532">
    <w:abstractNumId w:val="6"/>
  </w:num>
  <w:num w:numId="35" w16cid:durableId="1086465473">
    <w:abstractNumId w:val="29"/>
  </w:num>
  <w:num w:numId="36" w16cid:durableId="1305543784">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E9E"/>
    <w:rsid w:val="00001AAA"/>
    <w:rsid w:val="00001BD2"/>
    <w:rsid w:val="0000206B"/>
    <w:rsid w:val="0000289B"/>
    <w:rsid w:val="00002C3E"/>
    <w:rsid w:val="00003396"/>
    <w:rsid w:val="00003883"/>
    <w:rsid w:val="00004047"/>
    <w:rsid w:val="000049C8"/>
    <w:rsid w:val="00004A0F"/>
    <w:rsid w:val="00005348"/>
    <w:rsid w:val="00005899"/>
    <w:rsid w:val="00006415"/>
    <w:rsid w:val="00006D32"/>
    <w:rsid w:val="000079C9"/>
    <w:rsid w:val="00007B66"/>
    <w:rsid w:val="00007F6E"/>
    <w:rsid w:val="00010993"/>
    <w:rsid w:val="00010D9F"/>
    <w:rsid w:val="000111BE"/>
    <w:rsid w:val="000146A9"/>
    <w:rsid w:val="00014E65"/>
    <w:rsid w:val="0001517A"/>
    <w:rsid w:val="00015924"/>
    <w:rsid w:val="00016220"/>
    <w:rsid w:val="00017745"/>
    <w:rsid w:val="0002158F"/>
    <w:rsid w:val="00022933"/>
    <w:rsid w:val="00023624"/>
    <w:rsid w:val="0002410D"/>
    <w:rsid w:val="00024DC8"/>
    <w:rsid w:val="0002511C"/>
    <w:rsid w:val="000252FC"/>
    <w:rsid w:val="00027A1E"/>
    <w:rsid w:val="000309C0"/>
    <w:rsid w:val="000312C5"/>
    <w:rsid w:val="00031670"/>
    <w:rsid w:val="000320A6"/>
    <w:rsid w:val="000320EC"/>
    <w:rsid w:val="00033184"/>
    <w:rsid w:val="00033A68"/>
    <w:rsid w:val="000367D9"/>
    <w:rsid w:val="00037298"/>
    <w:rsid w:val="0004012B"/>
    <w:rsid w:val="000401E5"/>
    <w:rsid w:val="00040DA2"/>
    <w:rsid w:val="00041065"/>
    <w:rsid w:val="00041440"/>
    <w:rsid w:val="0004251C"/>
    <w:rsid w:val="00044BC7"/>
    <w:rsid w:val="00044F15"/>
    <w:rsid w:val="00046733"/>
    <w:rsid w:val="000475E4"/>
    <w:rsid w:val="00052227"/>
    <w:rsid w:val="00052A96"/>
    <w:rsid w:val="000531A3"/>
    <w:rsid w:val="00054734"/>
    <w:rsid w:val="00054CC3"/>
    <w:rsid w:val="00055E4F"/>
    <w:rsid w:val="00056551"/>
    <w:rsid w:val="00056ABA"/>
    <w:rsid w:val="00057113"/>
    <w:rsid w:val="00057503"/>
    <w:rsid w:val="00060B53"/>
    <w:rsid w:val="000620AB"/>
    <w:rsid w:val="00062353"/>
    <w:rsid w:val="0006365D"/>
    <w:rsid w:val="00063969"/>
    <w:rsid w:val="000648D3"/>
    <w:rsid w:val="0006598B"/>
    <w:rsid w:val="00066782"/>
    <w:rsid w:val="00066DAE"/>
    <w:rsid w:val="00066F2A"/>
    <w:rsid w:val="000670F5"/>
    <w:rsid w:val="000676DD"/>
    <w:rsid w:val="0006778E"/>
    <w:rsid w:val="0007185C"/>
    <w:rsid w:val="00072BF9"/>
    <w:rsid w:val="00072E85"/>
    <w:rsid w:val="0007344B"/>
    <w:rsid w:val="00074D5F"/>
    <w:rsid w:val="00077724"/>
    <w:rsid w:val="000804FA"/>
    <w:rsid w:val="00080624"/>
    <w:rsid w:val="00080C13"/>
    <w:rsid w:val="00080C1A"/>
    <w:rsid w:val="00083FAA"/>
    <w:rsid w:val="00084529"/>
    <w:rsid w:val="000845A8"/>
    <w:rsid w:val="00084A84"/>
    <w:rsid w:val="00086264"/>
    <w:rsid w:val="000870B3"/>
    <w:rsid w:val="00087603"/>
    <w:rsid w:val="000877F3"/>
    <w:rsid w:val="0009097A"/>
    <w:rsid w:val="000917B8"/>
    <w:rsid w:val="00091D2F"/>
    <w:rsid w:val="00091D55"/>
    <w:rsid w:val="00093E2A"/>
    <w:rsid w:val="00095618"/>
    <w:rsid w:val="00095FFB"/>
    <w:rsid w:val="00097AA5"/>
    <w:rsid w:val="00097FEE"/>
    <w:rsid w:val="000A0C25"/>
    <w:rsid w:val="000A1387"/>
    <w:rsid w:val="000A1966"/>
    <w:rsid w:val="000A516F"/>
    <w:rsid w:val="000A5949"/>
    <w:rsid w:val="000A6AE5"/>
    <w:rsid w:val="000B0751"/>
    <w:rsid w:val="000B11E6"/>
    <w:rsid w:val="000B1801"/>
    <w:rsid w:val="000B2509"/>
    <w:rsid w:val="000B2D13"/>
    <w:rsid w:val="000B3814"/>
    <w:rsid w:val="000B5368"/>
    <w:rsid w:val="000B540D"/>
    <w:rsid w:val="000B55E2"/>
    <w:rsid w:val="000B67CD"/>
    <w:rsid w:val="000B6C34"/>
    <w:rsid w:val="000B7DA8"/>
    <w:rsid w:val="000C00AC"/>
    <w:rsid w:val="000C0260"/>
    <w:rsid w:val="000C033B"/>
    <w:rsid w:val="000C06F5"/>
    <w:rsid w:val="000C15CE"/>
    <w:rsid w:val="000C2A97"/>
    <w:rsid w:val="000C3033"/>
    <w:rsid w:val="000C5125"/>
    <w:rsid w:val="000C5349"/>
    <w:rsid w:val="000C6167"/>
    <w:rsid w:val="000C6440"/>
    <w:rsid w:val="000C67D2"/>
    <w:rsid w:val="000C7AE0"/>
    <w:rsid w:val="000C7F18"/>
    <w:rsid w:val="000D0A67"/>
    <w:rsid w:val="000D0B89"/>
    <w:rsid w:val="000D2C99"/>
    <w:rsid w:val="000D2E49"/>
    <w:rsid w:val="000D3EDE"/>
    <w:rsid w:val="000D3FCE"/>
    <w:rsid w:val="000D4D4C"/>
    <w:rsid w:val="000D5228"/>
    <w:rsid w:val="000D5F43"/>
    <w:rsid w:val="000D5F85"/>
    <w:rsid w:val="000D6E59"/>
    <w:rsid w:val="000E09FD"/>
    <w:rsid w:val="000E0BCD"/>
    <w:rsid w:val="000E3BE4"/>
    <w:rsid w:val="000E521A"/>
    <w:rsid w:val="000E66E4"/>
    <w:rsid w:val="000E7098"/>
    <w:rsid w:val="000E7318"/>
    <w:rsid w:val="000E7B52"/>
    <w:rsid w:val="000F072C"/>
    <w:rsid w:val="000F1326"/>
    <w:rsid w:val="000F13AA"/>
    <w:rsid w:val="000F325D"/>
    <w:rsid w:val="000F3E3F"/>
    <w:rsid w:val="000F3E47"/>
    <w:rsid w:val="000F531F"/>
    <w:rsid w:val="000F7C67"/>
    <w:rsid w:val="0010312A"/>
    <w:rsid w:val="001033D4"/>
    <w:rsid w:val="00103502"/>
    <w:rsid w:val="00104A79"/>
    <w:rsid w:val="00104E90"/>
    <w:rsid w:val="00106123"/>
    <w:rsid w:val="0010661E"/>
    <w:rsid w:val="00106EE1"/>
    <w:rsid w:val="001109C2"/>
    <w:rsid w:val="001114B0"/>
    <w:rsid w:val="00111C57"/>
    <w:rsid w:val="00112840"/>
    <w:rsid w:val="00112A62"/>
    <w:rsid w:val="00113410"/>
    <w:rsid w:val="00115053"/>
    <w:rsid w:val="001166F0"/>
    <w:rsid w:val="001173C5"/>
    <w:rsid w:val="001178E3"/>
    <w:rsid w:val="00117BCF"/>
    <w:rsid w:val="00117CE5"/>
    <w:rsid w:val="00117DC5"/>
    <w:rsid w:val="001229B8"/>
    <w:rsid w:val="00122C26"/>
    <w:rsid w:val="00123930"/>
    <w:rsid w:val="001253DE"/>
    <w:rsid w:val="001257DD"/>
    <w:rsid w:val="001258D7"/>
    <w:rsid w:val="00125AD2"/>
    <w:rsid w:val="0012638C"/>
    <w:rsid w:val="00126A18"/>
    <w:rsid w:val="0013029D"/>
    <w:rsid w:val="00131602"/>
    <w:rsid w:val="00131BCF"/>
    <w:rsid w:val="00132D7D"/>
    <w:rsid w:val="00133805"/>
    <w:rsid w:val="00133B69"/>
    <w:rsid w:val="001345DB"/>
    <w:rsid w:val="001348FD"/>
    <w:rsid w:val="00134D71"/>
    <w:rsid w:val="00134F9F"/>
    <w:rsid w:val="00136DE3"/>
    <w:rsid w:val="0013727F"/>
    <w:rsid w:val="0014025A"/>
    <w:rsid w:val="00140308"/>
    <w:rsid w:val="001405E8"/>
    <w:rsid w:val="00140F08"/>
    <w:rsid w:val="0014166B"/>
    <w:rsid w:val="00141D33"/>
    <w:rsid w:val="0014290F"/>
    <w:rsid w:val="00142FED"/>
    <w:rsid w:val="00143570"/>
    <w:rsid w:val="00144C65"/>
    <w:rsid w:val="00144DF8"/>
    <w:rsid w:val="00145CC1"/>
    <w:rsid w:val="001472BE"/>
    <w:rsid w:val="00147DE9"/>
    <w:rsid w:val="0015073A"/>
    <w:rsid w:val="00150E1F"/>
    <w:rsid w:val="00151BEA"/>
    <w:rsid w:val="00153A29"/>
    <w:rsid w:val="00153CB5"/>
    <w:rsid w:val="001553BA"/>
    <w:rsid w:val="001554C4"/>
    <w:rsid w:val="0015643F"/>
    <w:rsid w:val="00156E46"/>
    <w:rsid w:val="00157331"/>
    <w:rsid w:val="00157748"/>
    <w:rsid w:val="001578E6"/>
    <w:rsid w:val="0016080C"/>
    <w:rsid w:val="00163D7E"/>
    <w:rsid w:val="0016472F"/>
    <w:rsid w:val="00165A39"/>
    <w:rsid w:val="00166BEF"/>
    <w:rsid w:val="00166E79"/>
    <w:rsid w:val="001724A1"/>
    <w:rsid w:val="0017262A"/>
    <w:rsid w:val="0017282F"/>
    <w:rsid w:val="00172EF0"/>
    <w:rsid w:val="0017348F"/>
    <w:rsid w:val="00173D57"/>
    <w:rsid w:val="001740A7"/>
    <w:rsid w:val="0017590C"/>
    <w:rsid w:val="00175E89"/>
    <w:rsid w:val="00180D97"/>
    <w:rsid w:val="001813C4"/>
    <w:rsid w:val="00182FE1"/>
    <w:rsid w:val="00184365"/>
    <w:rsid w:val="00184A0A"/>
    <w:rsid w:val="00184C4A"/>
    <w:rsid w:val="0018643A"/>
    <w:rsid w:val="0018788B"/>
    <w:rsid w:val="00190615"/>
    <w:rsid w:val="0019061A"/>
    <w:rsid w:val="00190992"/>
    <w:rsid w:val="00191546"/>
    <w:rsid w:val="0019167A"/>
    <w:rsid w:val="00191A77"/>
    <w:rsid w:val="0019212A"/>
    <w:rsid w:val="001926D3"/>
    <w:rsid w:val="00192A4A"/>
    <w:rsid w:val="00194278"/>
    <w:rsid w:val="001944B5"/>
    <w:rsid w:val="001944D0"/>
    <w:rsid w:val="0019481A"/>
    <w:rsid w:val="00195B24"/>
    <w:rsid w:val="00195BD2"/>
    <w:rsid w:val="00195DA4"/>
    <w:rsid w:val="00195E03"/>
    <w:rsid w:val="00196769"/>
    <w:rsid w:val="0019686B"/>
    <w:rsid w:val="00196BE0"/>
    <w:rsid w:val="00197776"/>
    <w:rsid w:val="001A030F"/>
    <w:rsid w:val="001A19A1"/>
    <w:rsid w:val="001A22FE"/>
    <w:rsid w:val="001A376F"/>
    <w:rsid w:val="001A37A7"/>
    <w:rsid w:val="001A37DF"/>
    <w:rsid w:val="001A4635"/>
    <w:rsid w:val="001A5147"/>
    <w:rsid w:val="001A54AB"/>
    <w:rsid w:val="001A5B4B"/>
    <w:rsid w:val="001A6311"/>
    <w:rsid w:val="001A6BBF"/>
    <w:rsid w:val="001A7B3B"/>
    <w:rsid w:val="001A7E7F"/>
    <w:rsid w:val="001B00A7"/>
    <w:rsid w:val="001B09F0"/>
    <w:rsid w:val="001B2299"/>
    <w:rsid w:val="001B25BB"/>
    <w:rsid w:val="001B2789"/>
    <w:rsid w:val="001B2A49"/>
    <w:rsid w:val="001B3FC0"/>
    <w:rsid w:val="001B4DD4"/>
    <w:rsid w:val="001B53F8"/>
    <w:rsid w:val="001B5A7B"/>
    <w:rsid w:val="001B7C68"/>
    <w:rsid w:val="001B7EEF"/>
    <w:rsid w:val="001C0B25"/>
    <w:rsid w:val="001C0BC1"/>
    <w:rsid w:val="001C148C"/>
    <w:rsid w:val="001C14C8"/>
    <w:rsid w:val="001C1868"/>
    <w:rsid w:val="001C1F05"/>
    <w:rsid w:val="001C28F4"/>
    <w:rsid w:val="001C4354"/>
    <w:rsid w:val="001C48A9"/>
    <w:rsid w:val="001C5CA6"/>
    <w:rsid w:val="001C61D9"/>
    <w:rsid w:val="001C66DB"/>
    <w:rsid w:val="001C6D77"/>
    <w:rsid w:val="001C71F3"/>
    <w:rsid w:val="001D11FA"/>
    <w:rsid w:val="001D20BB"/>
    <w:rsid w:val="001D2BA2"/>
    <w:rsid w:val="001D4A51"/>
    <w:rsid w:val="001D5143"/>
    <w:rsid w:val="001D5AED"/>
    <w:rsid w:val="001E0094"/>
    <w:rsid w:val="001E0D38"/>
    <w:rsid w:val="001E221B"/>
    <w:rsid w:val="001E2663"/>
    <w:rsid w:val="001E2DA9"/>
    <w:rsid w:val="001E3671"/>
    <w:rsid w:val="001E60CC"/>
    <w:rsid w:val="001E6699"/>
    <w:rsid w:val="001E6A4D"/>
    <w:rsid w:val="001E7055"/>
    <w:rsid w:val="001F264E"/>
    <w:rsid w:val="001F2BD8"/>
    <w:rsid w:val="001F2FE5"/>
    <w:rsid w:val="001F31C0"/>
    <w:rsid w:val="001F3216"/>
    <w:rsid w:val="001F3A97"/>
    <w:rsid w:val="001F3FB1"/>
    <w:rsid w:val="001F4A8D"/>
    <w:rsid w:val="001F4C10"/>
    <w:rsid w:val="001F4C68"/>
    <w:rsid w:val="001F4F51"/>
    <w:rsid w:val="001F698B"/>
    <w:rsid w:val="001F7312"/>
    <w:rsid w:val="002008BE"/>
    <w:rsid w:val="00200ACA"/>
    <w:rsid w:val="00200FA2"/>
    <w:rsid w:val="002010CB"/>
    <w:rsid w:val="00201761"/>
    <w:rsid w:val="002047A8"/>
    <w:rsid w:val="00204AE0"/>
    <w:rsid w:val="00204B74"/>
    <w:rsid w:val="00204F5B"/>
    <w:rsid w:val="0020541D"/>
    <w:rsid w:val="002057BE"/>
    <w:rsid w:val="00206B42"/>
    <w:rsid w:val="00207E7B"/>
    <w:rsid w:val="00210253"/>
    <w:rsid w:val="00210F15"/>
    <w:rsid w:val="002126BC"/>
    <w:rsid w:val="0021370E"/>
    <w:rsid w:val="0021496E"/>
    <w:rsid w:val="002153D3"/>
    <w:rsid w:val="002160DC"/>
    <w:rsid w:val="002162FE"/>
    <w:rsid w:val="00216DBB"/>
    <w:rsid w:val="002202C4"/>
    <w:rsid w:val="0022146D"/>
    <w:rsid w:val="002222AE"/>
    <w:rsid w:val="002240B8"/>
    <w:rsid w:val="00225BDC"/>
    <w:rsid w:val="00225F21"/>
    <w:rsid w:val="00226220"/>
    <w:rsid w:val="002265D2"/>
    <w:rsid w:val="00227612"/>
    <w:rsid w:val="0022786C"/>
    <w:rsid w:val="00231211"/>
    <w:rsid w:val="0023176D"/>
    <w:rsid w:val="00231A57"/>
    <w:rsid w:val="00232523"/>
    <w:rsid w:val="0023346E"/>
    <w:rsid w:val="00233BD3"/>
    <w:rsid w:val="0023525D"/>
    <w:rsid w:val="00235F06"/>
    <w:rsid w:val="00236C45"/>
    <w:rsid w:val="00237C2A"/>
    <w:rsid w:val="00241353"/>
    <w:rsid w:val="002435CB"/>
    <w:rsid w:val="00244E24"/>
    <w:rsid w:val="002451AF"/>
    <w:rsid w:val="002460AD"/>
    <w:rsid w:val="002460C7"/>
    <w:rsid w:val="00246E9C"/>
    <w:rsid w:val="002472E6"/>
    <w:rsid w:val="00250096"/>
    <w:rsid w:val="00252020"/>
    <w:rsid w:val="00252A12"/>
    <w:rsid w:val="002530AB"/>
    <w:rsid w:val="00253844"/>
    <w:rsid w:val="002543C7"/>
    <w:rsid w:val="00254EFC"/>
    <w:rsid w:val="00255028"/>
    <w:rsid w:val="002562B4"/>
    <w:rsid w:val="00256F75"/>
    <w:rsid w:val="00257123"/>
    <w:rsid w:val="0025773E"/>
    <w:rsid w:val="00257FD8"/>
    <w:rsid w:val="002602BE"/>
    <w:rsid w:val="00260580"/>
    <w:rsid w:val="00263032"/>
    <w:rsid w:val="00263F36"/>
    <w:rsid w:val="002641E4"/>
    <w:rsid w:val="002647DC"/>
    <w:rsid w:val="002653B6"/>
    <w:rsid w:val="00266703"/>
    <w:rsid w:val="002669CA"/>
    <w:rsid w:val="00266E68"/>
    <w:rsid w:val="002670DB"/>
    <w:rsid w:val="00272B0C"/>
    <w:rsid w:val="0027328E"/>
    <w:rsid w:val="00273E3F"/>
    <w:rsid w:val="002742F4"/>
    <w:rsid w:val="00274D25"/>
    <w:rsid w:val="00276513"/>
    <w:rsid w:val="0027735C"/>
    <w:rsid w:val="00277FC1"/>
    <w:rsid w:val="00280360"/>
    <w:rsid w:val="0028054D"/>
    <w:rsid w:val="00280A29"/>
    <w:rsid w:val="00280DCE"/>
    <w:rsid w:val="00282072"/>
    <w:rsid w:val="00283508"/>
    <w:rsid w:val="00283A4E"/>
    <w:rsid w:val="00284573"/>
    <w:rsid w:val="002846BA"/>
    <w:rsid w:val="00284BA7"/>
    <w:rsid w:val="002862D4"/>
    <w:rsid w:val="002867DA"/>
    <w:rsid w:val="002868CD"/>
    <w:rsid w:val="00287480"/>
    <w:rsid w:val="00290959"/>
    <w:rsid w:val="002918AA"/>
    <w:rsid w:val="00291E18"/>
    <w:rsid w:val="00293825"/>
    <w:rsid w:val="00293B29"/>
    <w:rsid w:val="002943D0"/>
    <w:rsid w:val="00294A1C"/>
    <w:rsid w:val="00294A74"/>
    <w:rsid w:val="00294D21"/>
    <w:rsid w:val="002950C1"/>
    <w:rsid w:val="002956D6"/>
    <w:rsid w:val="00295BEE"/>
    <w:rsid w:val="002969FC"/>
    <w:rsid w:val="002972F1"/>
    <w:rsid w:val="00297348"/>
    <w:rsid w:val="00297824"/>
    <w:rsid w:val="002A1399"/>
    <w:rsid w:val="002A2748"/>
    <w:rsid w:val="002A3D4B"/>
    <w:rsid w:val="002A4B46"/>
    <w:rsid w:val="002A4E30"/>
    <w:rsid w:val="002A584B"/>
    <w:rsid w:val="002A663F"/>
    <w:rsid w:val="002B1DF6"/>
    <w:rsid w:val="002B2682"/>
    <w:rsid w:val="002B31A5"/>
    <w:rsid w:val="002B3917"/>
    <w:rsid w:val="002B3EF8"/>
    <w:rsid w:val="002B4191"/>
    <w:rsid w:val="002B492A"/>
    <w:rsid w:val="002B4CCB"/>
    <w:rsid w:val="002C1450"/>
    <w:rsid w:val="002C18F2"/>
    <w:rsid w:val="002C1953"/>
    <w:rsid w:val="002C1BB9"/>
    <w:rsid w:val="002C26B8"/>
    <w:rsid w:val="002C2B92"/>
    <w:rsid w:val="002C31EE"/>
    <w:rsid w:val="002C36F3"/>
    <w:rsid w:val="002C3A8E"/>
    <w:rsid w:val="002C4082"/>
    <w:rsid w:val="002C480E"/>
    <w:rsid w:val="002C4F7E"/>
    <w:rsid w:val="002C7528"/>
    <w:rsid w:val="002C7EA3"/>
    <w:rsid w:val="002C7FE1"/>
    <w:rsid w:val="002D0CE5"/>
    <w:rsid w:val="002D32EA"/>
    <w:rsid w:val="002D4093"/>
    <w:rsid w:val="002D42F2"/>
    <w:rsid w:val="002D5D4F"/>
    <w:rsid w:val="002D67C7"/>
    <w:rsid w:val="002D734D"/>
    <w:rsid w:val="002D77D7"/>
    <w:rsid w:val="002E065A"/>
    <w:rsid w:val="002E0794"/>
    <w:rsid w:val="002E0E51"/>
    <w:rsid w:val="002E131C"/>
    <w:rsid w:val="002E261F"/>
    <w:rsid w:val="002E284C"/>
    <w:rsid w:val="002E2F8D"/>
    <w:rsid w:val="002E3967"/>
    <w:rsid w:val="002E43A9"/>
    <w:rsid w:val="002E441D"/>
    <w:rsid w:val="002E55D2"/>
    <w:rsid w:val="002E6706"/>
    <w:rsid w:val="002E78D1"/>
    <w:rsid w:val="002E7E9A"/>
    <w:rsid w:val="002F1F96"/>
    <w:rsid w:val="002F5956"/>
    <w:rsid w:val="002F5BAE"/>
    <w:rsid w:val="002F5C1F"/>
    <w:rsid w:val="002F683C"/>
    <w:rsid w:val="002F771B"/>
    <w:rsid w:val="003004AE"/>
    <w:rsid w:val="003013D8"/>
    <w:rsid w:val="00301499"/>
    <w:rsid w:val="00301B1D"/>
    <w:rsid w:val="00302050"/>
    <w:rsid w:val="003038B1"/>
    <w:rsid w:val="00303B8E"/>
    <w:rsid w:val="0030439A"/>
    <w:rsid w:val="00304732"/>
    <w:rsid w:val="003059D1"/>
    <w:rsid w:val="00305A1A"/>
    <w:rsid w:val="0030621A"/>
    <w:rsid w:val="003067F0"/>
    <w:rsid w:val="00307839"/>
    <w:rsid w:val="003078ED"/>
    <w:rsid w:val="00311426"/>
    <w:rsid w:val="0031165B"/>
    <w:rsid w:val="0031248F"/>
    <w:rsid w:val="003125D2"/>
    <w:rsid w:val="003129C3"/>
    <w:rsid w:val="00312C2C"/>
    <w:rsid w:val="00313E9D"/>
    <w:rsid w:val="0031727E"/>
    <w:rsid w:val="003210FD"/>
    <w:rsid w:val="0032143E"/>
    <w:rsid w:val="00321D3E"/>
    <w:rsid w:val="00322103"/>
    <w:rsid w:val="0032247F"/>
    <w:rsid w:val="0032287F"/>
    <w:rsid w:val="003231A1"/>
    <w:rsid w:val="00323A63"/>
    <w:rsid w:val="00323EFA"/>
    <w:rsid w:val="0032420D"/>
    <w:rsid w:val="00325C75"/>
    <w:rsid w:val="0032662E"/>
    <w:rsid w:val="00326EA3"/>
    <w:rsid w:val="00326ED7"/>
    <w:rsid w:val="00327897"/>
    <w:rsid w:val="00327EA9"/>
    <w:rsid w:val="00330553"/>
    <w:rsid w:val="003307B3"/>
    <w:rsid w:val="00331385"/>
    <w:rsid w:val="00331D68"/>
    <w:rsid w:val="003324FD"/>
    <w:rsid w:val="00332B6A"/>
    <w:rsid w:val="00333002"/>
    <w:rsid w:val="0033328B"/>
    <w:rsid w:val="00335603"/>
    <w:rsid w:val="003363EA"/>
    <w:rsid w:val="00337B39"/>
    <w:rsid w:val="00340FFC"/>
    <w:rsid w:val="00342376"/>
    <w:rsid w:val="00342A2E"/>
    <w:rsid w:val="00343BC9"/>
    <w:rsid w:val="00344CC1"/>
    <w:rsid w:val="00344D9E"/>
    <w:rsid w:val="003456FC"/>
    <w:rsid w:val="00350ACC"/>
    <w:rsid w:val="00351DA1"/>
    <w:rsid w:val="00352573"/>
    <w:rsid w:val="00353376"/>
    <w:rsid w:val="003540B2"/>
    <w:rsid w:val="003541EE"/>
    <w:rsid w:val="00354B98"/>
    <w:rsid w:val="0035582A"/>
    <w:rsid w:val="00356575"/>
    <w:rsid w:val="00356D5B"/>
    <w:rsid w:val="00357A3D"/>
    <w:rsid w:val="00361477"/>
    <w:rsid w:val="00361E74"/>
    <w:rsid w:val="003620C0"/>
    <w:rsid w:val="00363613"/>
    <w:rsid w:val="00363E68"/>
    <w:rsid w:val="003658B8"/>
    <w:rsid w:val="00365E25"/>
    <w:rsid w:val="00366505"/>
    <w:rsid w:val="003679B0"/>
    <w:rsid w:val="00367A3F"/>
    <w:rsid w:val="0037072E"/>
    <w:rsid w:val="0037083A"/>
    <w:rsid w:val="00371096"/>
    <w:rsid w:val="003716E6"/>
    <w:rsid w:val="003717A2"/>
    <w:rsid w:val="003727F5"/>
    <w:rsid w:val="00372DD5"/>
    <w:rsid w:val="00373802"/>
    <w:rsid w:val="00374EC2"/>
    <w:rsid w:val="0037505A"/>
    <w:rsid w:val="00375AAE"/>
    <w:rsid w:val="00375B4E"/>
    <w:rsid w:val="0037658E"/>
    <w:rsid w:val="00376BD6"/>
    <w:rsid w:val="00377CDC"/>
    <w:rsid w:val="0038016B"/>
    <w:rsid w:val="00380D22"/>
    <w:rsid w:val="0038179D"/>
    <w:rsid w:val="00381A58"/>
    <w:rsid w:val="00381CCE"/>
    <w:rsid w:val="0038386E"/>
    <w:rsid w:val="00383E91"/>
    <w:rsid w:val="00384B98"/>
    <w:rsid w:val="003852F4"/>
    <w:rsid w:val="003872F2"/>
    <w:rsid w:val="00390193"/>
    <w:rsid w:val="00390299"/>
    <w:rsid w:val="003929AB"/>
    <w:rsid w:val="00393971"/>
    <w:rsid w:val="00394DF3"/>
    <w:rsid w:val="00397841"/>
    <w:rsid w:val="00397E93"/>
    <w:rsid w:val="00397EB7"/>
    <w:rsid w:val="003A13E6"/>
    <w:rsid w:val="003A1C75"/>
    <w:rsid w:val="003A2812"/>
    <w:rsid w:val="003A2846"/>
    <w:rsid w:val="003A2EA2"/>
    <w:rsid w:val="003A3D1B"/>
    <w:rsid w:val="003A59DE"/>
    <w:rsid w:val="003B120D"/>
    <w:rsid w:val="003B160A"/>
    <w:rsid w:val="003B1A68"/>
    <w:rsid w:val="003B291F"/>
    <w:rsid w:val="003B4F91"/>
    <w:rsid w:val="003B51B5"/>
    <w:rsid w:val="003B58EC"/>
    <w:rsid w:val="003B59D5"/>
    <w:rsid w:val="003B5A99"/>
    <w:rsid w:val="003B5C91"/>
    <w:rsid w:val="003B612A"/>
    <w:rsid w:val="003B6484"/>
    <w:rsid w:val="003B69AD"/>
    <w:rsid w:val="003B6E6B"/>
    <w:rsid w:val="003B770C"/>
    <w:rsid w:val="003C1245"/>
    <w:rsid w:val="003C15A1"/>
    <w:rsid w:val="003C1A44"/>
    <w:rsid w:val="003C1B74"/>
    <w:rsid w:val="003C3205"/>
    <w:rsid w:val="003C3E9A"/>
    <w:rsid w:val="003C5775"/>
    <w:rsid w:val="003C57DE"/>
    <w:rsid w:val="003C5800"/>
    <w:rsid w:val="003C627F"/>
    <w:rsid w:val="003C72F7"/>
    <w:rsid w:val="003C7E53"/>
    <w:rsid w:val="003D0EC7"/>
    <w:rsid w:val="003D155D"/>
    <w:rsid w:val="003D2531"/>
    <w:rsid w:val="003D2677"/>
    <w:rsid w:val="003D2DCB"/>
    <w:rsid w:val="003D2E65"/>
    <w:rsid w:val="003D35AC"/>
    <w:rsid w:val="003D370B"/>
    <w:rsid w:val="003D3905"/>
    <w:rsid w:val="003D45C6"/>
    <w:rsid w:val="003D5647"/>
    <w:rsid w:val="003D71B7"/>
    <w:rsid w:val="003D7FAD"/>
    <w:rsid w:val="003E0286"/>
    <w:rsid w:val="003E090A"/>
    <w:rsid w:val="003E1F30"/>
    <w:rsid w:val="003E252D"/>
    <w:rsid w:val="003E288D"/>
    <w:rsid w:val="003E36DE"/>
    <w:rsid w:val="003E4608"/>
    <w:rsid w:val="003E636B"/>
    <w:rsid w:val="003F0107"/>
    <w:rsid w:val="003F0868"/>
    <w:rsid w:val="003F0FAB"/>
    <w:rsid w:val="003F2ADE"/>
    <w:rsid w:val="003F4164"/>
    <w:rsid w:val="003F43AE"/>
    <w:rsid w:val="003F4E9E"/>
    <w:rsid w:val="003F627A"/>
    <w:rsid w:val="003F6B4C"/>
    <w:rsid w:val="003F6CDA"/>
    <w:rsid w:val="003F6E9B"/>
    <w:rsid w:val="003F731A"/>
    <w:rsid w:val="00400AD0"/>
    <w:rsid w:val="004011AB"/>
    <w:rsid w:val="00402712"/>
    <w:rsid w:val="0040272B"/>
    <w:rsid w:val="00403073"/>
    <w:rsid w:val="00403FB0"/>
    <w:rsid w:val="004050E4"/>
    <w:rsid w:val="0040516F"/>
    <w:rsid w:val="00407C9F"/>
    <w:rsid w:val="0041037A"/>
    <w:rsid w:val="00410999"/>
    <w:rsid w:val="00411391"/>
    <w:rsid w:val="004128A6"/>
    <w:rsid w:val="0041586A"/>
    <w:rsid w:val="00415F4C"/>
    <w:rsid w:val="004166E7"/>
    <w:rsid w:val="0041747E"/>
    <w:rsid w:val="00417836"/>
    <w:rsid w:val="00417A53"/>
    <w:rsid w:val="00421857"/>
    <w:rsid w:val="00421A1F"/>
    <w:rsid w:val="00421AA8"/>
    <w:rsid w:val="004220AC"/>
    <w:rsid w:val="00424B93"/>
    <w:rsid w:val="0042540E"/>
    <w:rsid w:val="004258F5"/>
    <w:rsid w:val="0042650E"/>
    <w:rsid w:val="00426893"/>
    <w:rsid w:val="00430E93"/>
    <w:rsid w:val="00434C41"/>
    <w:rsid w:val="00435C88"/>
    <w:rsid w:val="00436793"/>
    <w:rsid w:val="00437096"/>
    <w:rsid w:val="00437999"/>
    <w:rsid w:val="00440475"/>
    <w:rsid w:val="00440E76"/>
    <w:rsid w:val="00440F6B"/>
    <w:rsid w:val="0044334B"/>
    <w:rsid w:val="0044359A"/>
    <w:rsid w:val="00443D56"/>
    <w:rsid w:val="0044410A"/>
    <w:rsid w:val="00444354"/>
    <w:rsid w:val="00446727"/>
    <w:rsid w:val="004467A7"/>
    <w:rsid w:val="00447006"/>
    <w:rsid w:val="0044789A"/>
    <w:rsid w:val="004509D9"/>
    <w:rsid w:val="00450F32"/>
    <w:rsid w:val="004514BA"/>
    <w:rsid w:val="0045222B"/>
    <w:rsid w:val="00452815"/>
    <w:rsid w:val="00452EB6"/>
    <w:rsid w:val="00453956"/>
    <w:rsid w:val="00455621"/>
    <w:rsid w:val="00455D1F"/>
    <w:rsid w:val="0045666A"/>
    <w:rsid w:val="00456E81"/>
    <w:rsid w:val="004576A3"/>
    <w:rsid w:val="00460AA5"/>
    <w:rsid w:val="00460D52"/>
    <w:rsid w:val="00462268"/>
    <w:rsid w:val="004634F4"/>
    <w:rsid w:val="004635E6"/>
    <w:rsid w:val="00464D0E"/>
    <w:rsid w:val="004660C1"/>
    <w:rsid w:val="004662A9"/>
    <w:rsid w:val="00466E8D"/>
    <w:rsid w:val="00467206"/>
    <w:rsid w:val="004702FE"/>
    <w:rsid w:val="0047113A"/>
    <w:rsid w:val="004717B2"/>
    <w:rsid w:val="00471990"/>
    <w:rsid w:val="004719F3"/>
    <w:rsid w:val="0047258C"/>
    <w:rsid w:val="00472905"/>
    <w:rsid w:val="004738CA"/>
    <w:rsid w:val="00474177"/>
    <w:rsid w:val="00474759"/>
    <w:rsid w:val="00474990"/>
    <w:rsid w:val="00474EB8"/>
    <w:rsid w:val="0047506A"/>
    <w:rsid w:val="00475480"/>
    <w:rsid w:val="0047644C"/>
    <w:rsid w:val="0047677D"/>
    <w:rsid w:val="00481C00"/>
    <w:rsid w:val="00481E2B"/>
    <w:rsid w:val="0048204E"/>
    <w:rsid w:val="004822BC"/>
    <w:rsid w:val="00482A8D"/>
    <w:rsid w:val="00483328"/>
    <w:rsid w:val="004842EE"/>
    <w:rsid w:val="00484724"/>
    <w:rsid w:val="00487394"/>
    <w:rsid w:val="0049040A"/>
    <w:rsid w:val="00490A2F"/>
    <w:rsid w:val="004920B3"/>
    <w:rsid w:val="00492133"/>
    <w:rsid w:val="0049237A"/>
    <w:rsid w:val="00492ED0"/>
    <w:rsid w:val="0049488A"/>
    <w:rsid w:val="004956D0"/>
    <w:rsid w:val="004961A2"/>
    <w:rsid w:val="004969ED"/>
    <w:rsid w:val="00497954"/>
    <w:rsid w:val="004A1A3A"/>
    <w:rsid w:val="004A2962"/>
    <w:rsid w:val="004A2C8E"/>
    <w:rsid w:val="004A3787"/>
    <w:rsid w:val="004A3DC3"/>
    <w:rsid w:val="004A3E8B"/>
    <w:rsid w:val="004A44B2"/>
    <w:rsid w:val="004A48BB"/>
    <w:rsid w:val="004A5ACA"/>
    <w:rsid w:val="004A6C45"/>
    <w:rsid w:val="004A732A"/>
    <w:rsid w:val="004B0BB1"/>
    <w:rsid w:val="004B19BD"/>
    <w:rsid w:val="004B5624"/>
    <w:rsid w:val="004B6BAD"/>
    <w:rsid w:val="004C1112"/>
    <w:rsid w:val="004C1589"/>
    <w:rsid w:val="004C2164"/>
    <w:rsid w:val="004C2222"/>
    <w:rsid w:val="004C4E38"/>
    <w:rsid w:val="004C5B51"/>
    <w:rsid w:val="004C65AA"/>
    <w:rsid w:val="004C6E1E"/>
    <w:rsid w:val="004C6E75"/>
    <w:rsid w:val="004C6EC3"/>
    <w:rsid w:val="004C71CA"/>
    <w:rsid w:val="004C7278"/>
    <w:rsid w:val="004D264D"/>
    <w:rsid w:val="004D2F95"/>
    <w:rsid w:val="004D3008"/>
    <w:rsid w:val="004D33F3"/>
    <w:rsid w:val="004D386E"/>
    <w:rsid w:val="004D3BD0"/>
    <w:rsid w:val="004D3CB1"/>
    <w:rsid w:val="004D3E89"/>
    <w:rsid w:val="004D568A"/>
    <w:rsid w:val="004D7826"/>
    <w:rsid w:val="004D7970"/>
    <w:rsid w:val="004D79B2"/>
    <w:rsid w:val="004D7A26"/>
    <w:rsid w:val="004D7CD7"/>
    <w:rsid w:val="004D7FB5"/>
    <w:rsid w:val="004E0102"/>
    <w:rsid w:val="004E1141"/>
    <w:rsid w:val="004E38BA"/>
    <w:rsid w:val="004E4E11"/>
    <w:rsid w:val="004E522C"/>
    <w:rsid w:val="004E57A6"/>
    <w:rsid w:val="004E6C21"/>
    <w:rsid w:val="004F14D6"/>
    <w:rsid w:val="004F234F"/>
    <w:rsid w:val="004F35CE"/>
    <w:rsid w:val="004F39A4"/>
    <w:rsid w:val="004F40C2"/>
    <w:rsid w:val="004F474E"/>
    <w:rsid w:val="004F50A0"/>
    <w:rsid w:val="004F548F"/>
    <w:rsid w:val="004F5A98"/>
    <w:rsid w:val="004F5EE9"/>
    <w:rsid w:val="004F692A"/>
    <w:rsid w:val="004F6B45"/>
    <w:rsid w:val="004F6D06"/>
    <w:rsid w:val="004F6FC9"/>
    <w:rsid w:val="005000DF"/>
    <w:rsid w:val="00500902"/>
    <w:rsid w:val="00500EA4"/>
    <w:rsid w:val="005012DF"/>
    <w:rsid w:val="00502579"/>
    <w:rsid w:val="0050312C"/>
    <w:rsid w:val="00503442"/>
    <w:rsid w:val="005034F3"/>
    <w:rsid w:val="0050393B"/>
    <w:rsid w:val="00503FC6"/>
    <w:rsid w:val="00507611"/>
    <w:rsid w:val="00507B1C"/>
    <w:rsid w:val="00510FE5"/>
    <w:rsid w:val="00515ED6"/>
    <w:rsid w:val="00516860"/>
    <w:rsid w:val="00517D26"/>
    <w:rsid w:val="005215F0"/>
    <w:rsid w:val="00522EFC"/>
    <w:rsid w:val="005243FA"/>
    <w:rsid w:val="0052462E"/>
    <w:rsid w:val="00524D98"/>
    <w:rsid w:val="00525431"/>
    <w:rsid w:val="005269D7"/>
    <w:rsid w:val="00527FB1"/>
    <w:rsid w:val="00530608"/>
    <w:rsid w:val="005307F9"/>
    <w:rsid w:val="00530F0E"/>
    <w:rsid w:val="0053119C"/>
    <w:rsid w:val="005313AE"/>
    <w:rsid w:val="00531B44"/>
    <w:rsid w:val="00532786"/>
    <w:rsid w:val="00533153"/>
    <w:rsid w:val="005348FA"/>
    <w:rsid w:val="00534B60"/>
    <w:rsid w:val="00534DAA"/>
    <w:rsid w:val="005361DB"/>
    <w:rsid w:val="00536791"/>
    <w:rsid w:val="005370ED"/>
    <w:rsid w:val="005375CA"/>
    <w:rsid w:val="00540147"/>
    <w:rsid w:val="00540709"/>
    <w:rsid w:val="005414CB"/>
    <w:rsid w:val="00541CAF"/>
    <w:rsid w:val="00542666"/>
    <w:rsid w:val="00542767"/>
    <w:rsid w:val="00542A05"/>
    <w:rsid w:val="00545BCD"/>
    <w:rsid w:val="005467AC"/>
    <w:rsid w:val="005468B8"/>
    <w:rsid w:val="005468C9"/>
    <w:rsid w:val="00546AF7"/>
    <w:rsid w:val="0054774A"/>
    <w:rsid w:val="005477AA"/>
    <w:rsid w:val="00547E98"/>
    <w:rsid w:val="0055026A"/>
    <w:rsid w:val="00550447"/>
    <w:rsid w:val="00553241"/>
    <w:rsid w:val="00553612"/>
    <w:rsid w:val="00553998"/>
    <w:rsid w:val="00554156"/>
    <w:rsid w:val="00554599"/>
    <w:rsid w:val="00554638"/>
    <w:rsid w:val="005557D5"/>
    <w:rsid w:val="00555BBD"/>
    <w:rsid w:val="00557459"/>
    <w:rsid w:val="00557B6B"/>
    <w:rsid w:val="00560CAC"/>
    <w:rsid w:val="0056101E"/>
    <w:rsid w:val="00561515"/>
    <w:rsid w:val="00561934"/>
    <w:rsid w:val="00562222"/>
    <w:rsid w:val="00562D04"/>
    <w:rsid w:val="005642D9"/>
    <w:rsid w:val="00565608"/>
    <w:rsid w:val="0056580E"/>
    <w:rsid w:val="00565B77"/>
    <w:rsid w:val="00566220"/>
    <w:rsid w:val="00567FB5"/>
    <w:rsid w:val="005700FC"/>
    <w:rsid w:val="00570D9A"/>
    <w:rsid w:val="00571344"/>
    <w:rsid w:val="00571E07"/>
    <w:rsid w:val="005720D4"/>
    <w:rsid w:val="005727E5"/>
    <w:rsid w:val="00572CAF"/>
    <w:rsid w:val="00572D0E"/>
    <w:rsid w:val="00573379"/>
    <w:rsid w:val="00576402"/>
    <w:rsid w:val="00576902"/>
    <w:rsid w:val="0057744F"/>
    <w:rsid w:val="005776E0"/>
    <w:rsid w:val="00577709"/>
    <w:rsid w:val="0058034C"/>
    <w:rsid w:val="00580443"/>
    <w:rsid w:val="005807C2"/>
    <w:rsid w:val="005811FF"/>
    <w:rsid w:val="00581608"/>
    <w:rsid w:val="005825EF"/>
    <w:rsid w:val="00582652"/>
    <w:rsid w:val="00583448"/>
    <w:rsid w:val="00583C46"/>
    <w:rsid w:val="005842E1"/>
    <w:rsid w:val="0058437D"/>
    <w:rsid w:val="005849AD"/>
    <w:rsid w:val="005854F0"/>
    <w:rsid w:val="00585881"/>
    <w:rsid w:val="00585922"/>
    <w:rsid w:val="0058721A"/>
    <w:rsid w:val="005875B2"/>
    <w:rsid w:val="00593149"/>
    <w:rsid w:val="00593584"/>
    <w:rsid w:val="0059370B"/>
    <w:rsid w:val="00593F9F"/>
    <w:rsid w:val="005951DA"/>
    <w:rsid w:val="00596B81"/>
    <w:rsid w:val="005974E4"/>
    <w:rsid w:val="005976F1"/>
    <w:rsid w:val="005977CA"/>
    <w:rsid w:val="005A0264"/>
    <w:rsid w:val="005A164A"/>
    <w:rsid w:val="005A170B"/>
    <w:rsid w:val="005A1F3C"/>
    <w:rsid w:val="005A23EC"/>
    <w:rsid w:val="005A2769"/>
    <w:rsid w:val="005A57B5"/>
    <w:rsid w:val="005A58D0"/>
    <w:rsid w:val="005A5B52"/>
    <w:rsid w:val="005A5F61"/>
    <w:rsid w:val="005B07CB"/>
    <w:rsid w:val="005B12AE"/>
    <w:rsid w:val="005B26A3"/>
    <w:rsid w:val="005B4510"/>
    <w:rsid w:val="005B476C"/>
    <w:rsid w:val="005B4791"/>
    <w:rsid w:val="005B49BB"/>
    <w:rsid w:val="005B5F82"/>
    <w:rsid w:val="005B69B0"/>
    <w:rsid w:val="005B6D5B"/>
    <w:rsid w:val="005B7E84"/>
    <w:rsid w:val="005C1780"/>
    <w:rsid w:val="005C2BAE"/>
    <w:rsid w:val="005C4080"/>
    <w:rsid w:val="005C51E4"/>
    <w:rsid w:val="005C53A6"/>
    <w:rsid w:val="005C6E16"/>
    <w:rsid w:val="005D16E4"/>
    <w:rsid w:val="005D4220"/>
    <w:rsid w:val="005D4461"/>
    <w:rsid w:val="005D458C"/>
    <w:rsid w:val="005D5B79"/>
    <w:rsid w:val="005E13CC"/>
    <w:rsid w:val="005E14F0"/>
    <w:rsid w:val="005E2266"/>
    <w:rsid w:val="005E282C"/>
    <w:rsid w:val="005E2F7F"/>
    <w:rsid w:val="005E3F39"/>
    <w:rsid w:val="005E47DC"/>
    <w:rsid w:val="005E636D"/>
    <w:rsid w:val="005E6536"/>
    <w:rsid w:val="005E7D60"/>
    <w:rsid w:val="005F1559"/>
    <w:rsid w:val="005F1C03"/>
    <w:rsid w:val="005F3B03"/>
    <w:rsid w:val="005F4B69"/>
    <w:rsid w:val="005F5239"/>
    <w:rsid w:val="005F5A63"/>
    <w:rsid w:val="005F64CD"/>
    <w:rsid w:val="005F677F"/>
    <w:rsid w:val="005F69A6"/>
    <w:rsid w:val="005F6F16"/>
    <w:rsid w:val="005F7C28"/>
    <w:rsid w:val="006014FE"/>
    <w:rsid w:val="006027A4"/>
    <w:rsid w:val="00604ECD"/>
    <w:rsid w:val="006058C0"/>
    <w:rsid w:val="00605C19"/>
    <w:rsid w:val="00605E6C"/>
    <w:rsid w:val="00606019"/>
    <w:rsid w:val="00606145"/>
    <w:rsid w:val="00606ACC"/>
    <w:rsid w:val="00607753"/>
    <w:rsid w:val="006105DB"/>
    <w:rsid w:val="00612F1E"/>
    <w:rsid w:val="00613E43"/>
    <w:rsid w:val="00615BCE"/>
    <w:rsid w:val="00615E62"/>
    <w:rsid w:val="006162B7"/>
    <w:rsid w:val="00617604"/>
    <w:rsid w:val="00617E6A"/>
    <w:rsid w:val="00623A7C"/>
    <w:rsid w:val="00624077"/>
    <w:rsid w:val="00624C6E"/>
    <w:rsid w:val="00625081"/>
    <w:rsid w:val="00625645"/>
    <w:rsid w:val="00625781"/>
    <w:rsid w:val="00625A2B"/>
    <w:rsid w:val="006266A5"/>
    <w:rsid w:val="006271C7"/>
    <w:rsid w:val="00627A08"/>
    <w:rsid w:val="00630453"/>
    <w:rsid w:val="00630803"/>
    <w:rsid w:val="006311A5"/>
    <w:rsid w:val="0063154E"/>
    <w:rsid w:val="0063156C"/>
    <w:rsid w:val="006315A3"/>
    <w:rsid w:val="006318DB"/>
    <w:rsid w:val="00631BDB"/>
    <w:rsid w:val="00631FCC"/>
    <w:rsid w:val="00633001"/>
    <w:rsid w:val="00634186"/>
    <w:rsid w:val="006344F7"/>
    <w:rsid w:val="00635D88"/>
    <w:rsid w:val="00636FEA"/>
    <w:rsid w:val="00640664"/>
    <w:rsid w:val="00640BA8"/>
    <w:rsid w:val="006416FE"/>
    <w:rsid w:val="00641E79"/>
    <w:rsid w:val="00642DA0"/>
    <w:rsid w:val="006430CB"/>
    <w:rsid w:val="00643B6C"/>
    <w:rsid w:val="00643F6B"/>
    <w:rsid w:val="00644684"/>
    <w:rsid w:val="00644E36"/>
    <w:rsid w:val="006470BB"/>
    <w:rsid w:val="0064795A"/>
    <w:rsid w:val="00647D6F"/>
    <w:rsid w:val="006506C8"/>
    <w:rsid w:val="00651E74"/>
    <w:rsid w:val="0065364E"/>
    <w:rsid w:val="006560D7"/>
    <w:rsid w:val="00657C89"/>
    <w:rsid w:val="00660D88"/>
    <w:rsid w:val="006614C8"/>
    <w:rsid w:val="00661F37"/>
    <w:rsid w:val="00663118"/>
    <w:rsid w:val="0066377B"/>
    <w:rsid w:val="0066457C"/>
    <w:rsid w:val="00667171"/>
    <w:rsid w:val="00667302"/>
    <w:rsid w:val="006679B1"/>
    <w:rsid w:val="0067083E"/>
    <w:rsid w:val="00670E46"/>
    <w:rsid w:val="00670FFC"/>
    <w:rsid w:val="0067141B"/>
    <w:rsid w:val="00671853"/>
    <w:rsid w:val="00671CB5"/>
    <w:rsid w:val="00671E20"/>
    <w:rsid w:val="006733B8"/>
    <w:rsid w:val="006738DC"/>
    <w:rsid w:val="0067468F"/>
    <w:rsid w:val="00674DC4"/>
    <w:rsid w:val="00674E52"/>
    <w:rsid w:val="00675369"/>
    <w:rsid w:val="0067582D"/>
    <w:rsid w:val="00675BA3"/>
    <w:rsid w:val="00675E4F"/>
    <w:rsid w:val="0068143F"/>
    <w:rsid w:val="00681997"/>
    <w:rsid w:val="006848B2"/>
    <w:rsid w:val="00684B57"/>
    <w:rsid w:val="00684EC5"/>
    <w:rsid w:val="0068667B"/>
    <w:rsid w:val="00686868"/>
    <w:rsid w:val="00687A7B"/>
    <w:rsid w:val="00687AD6"/>
    <w:rsid w:val="00687BA3"/>
    <w:rsid w:val="0069084D"/>
    <w:rsid w:val="00690902"/>
    <w:rsid w:val="00690B93"/>
    <w:rsid w:val="00691869"/>
    <w:rsid w:val="00692AA0"/>
    <w:rsid w:val="00692BB0"/>
    <w:rsid w:val="00693DFB"/>
    <w:rsid w:val="00694B0B"/>
    <w:rsid w:val="00694B83"/>
    <w:rsid w:val="00695297"/>
    <w:rsid w:val="0069573F"/>
    <w:rsid w:val="006957AD"/>
    <w:rsid w:val="00695B54"/>
    <w:rsid w:val="00695F92"/>
    <w:rsid w:val="00695FC9"/>
    <w:rsid w:val="00696BDC"/>
    <w:rsid w:val="00696C1C"/>
    <w:rsid w:val="006973FE"/>
    <w:rsid w:val="006979CE"/>
    <w:rsid w:val="006A05B3"/>
    <w:rsid w:val="006A0758"/>
    <w:rsid w:val="006A0B83"/>
    <w:rsid w:val="006A2F0B"/>
    <w:rsid w:val="006A31CB"/>
    <w:rsid w:val="006A34F7"/>
    <w:rsid w:val="006A3D2E"/>
    <w:rsid w:val="006A43D4"/>
    <w:rsid w:val="006A511C"/>
    <w:rsid w:val="006A5E27"/>
    <w:rsid w:val="006A6042"/>
    <w:rsid w:val="006A61DD"/>
    <w:rsid w:val="006A6B81"/>
    <w:rsid w:val="006A70D8"/>
    <w:rsid w:val="006A72D1"/>
    <w:rsid w:val="006A78B3"/>
    <w:rsid w:val="006A7B3B"/>
    <w:rsid w:val="006A7CBA"/>
    <w:rsid w:val="006B110D"/>
    <w:rsid w:val="006B1FE7"/>
    <w:rsid w:val="006B20DC"/>
    <w:rsid w:val="006B4125"/>
    <w:rsid w:val="006B7840"/>
    <w:rsid w:val="006C0281"/>
    <w:rsid w:val="006C09B4"/>
    <w:rsid w:val="006C14CD"/>
    <w:rsid w:val="006C2D8A"/>
    <w:rsid w:val="006C3E0B"/>
    <w:rsid w:val="006C4612"/>
    <w:rsid w:val="006C524B"/>
    <w:rsid w:val="006C5309"/>
    <w:rsid w:val="006C6109"/>
    <w:rsid w:val="006C720F"/>
    <w:rsid w:val="006C78F0"/>
    <w:rsid w:val="006D0025"/>
    <w:rsid w:val="006D0BC5"/>
    <w:rsid w:val="006D0F24"/>
    <w:rsid w:val="006D11A4"/>
    <w:rsid w:val="006D1B29"/>
    <w:rsid w:val="006D30E1"/>
    <w:rsid w:val="006D339D"/>
    <w:rsid w:val="006D45EB"/>
    <w:rsid w:val="006E0750"/>
    <w:rsid w:val="006E1C55"/>
    <w:rsid w:val="006E2026"/>
    <w:rsid w:val="006E2A63"/>
    <w:rsid w:val="006E2AE5"/>
    <w:rsid w:val="006E2EE4"/>
    <w:rsid w:val="006E47A7"/>
    <w:rsid w:val="006E53B9"/>
    <w:rsid w:val="006E5567"/>
    <w:rsid w:val="006E75F1"/>
    <w:rsid w:val="006E7C54"/>
    <w:rsid w:val="006F03B2"/>
    <w:rsid w:val="006F162C"/>
    <w:rsid w:val="006F1975"/>
    <w:rsid w:val="006F2087"/>
    <w:rsid w:val="006F40DB"/>
    <w:rsid w:val="006F491B"/>
    <w:rsid w:val="006F4D74"/>
    <w:rsid w:val="006F5793"/>
    <w:rsid w:val="006F6C7B"/>
    <w:rsid w:val="006F7152"/>
    <w:rsid w:val="006F7244"/>
    <w:rsid w:val="006F7CED"/>
    <w:rsid w:val="00702A3B"/>
    <w:rsid w:val="007047BF"/>
    <w:rsid w:val="00706E94"/>
    <w:rsid w:val="00706FAB"/>
    <w:rsid w:val="007075DE"/>
    <w:rsid w:val="00707839"/>
    <w:rsid w:val="00707845"/>
    <w:rsid w:val="00707EFC"/>
    <w:rsid w:val="00707F29"/>
    <w:rsid w:val="00710192"/>
    <w:rsid w:val="00711890"/>
    <w:rsid w:val="00712C54"/>
    <w:rsid w:val="0071526C"/>
    <w:rsid w:val="007158ED"/>
    <w:rsid w:val="00715E51"/>
    <w:rsid w:val="007164A3"/>
    <w:rsid w:val="00716755"/>
    <w:rsid w:val="00720AF6"/>
    <w:rsid w:val="00721AA2"/>
    <w:rsid w:val="00722E4E"/>
    <w:rsid w:val="007243C2"/>
    <w:rsid w:val="00724CE6"/>
    <w:rsid w:val="00725965"/>
    <w:rsid w:val="00726337"/>
    <w:rsid w:val="0072640D"/>
    <w:rsid w:val="00726CCE"/>
    <w:rsid w:val="00730563"/>
    <w:rsid w:val="007309BD"/>
    <w:rsid w:val="00730C04"/>
    <w:rsid w:val="00731344"/>
    <w:rsid w:val="007334D4"/>
    <w:rsid w:val="00733BF3"/>
    <w:rsid w:val="00734778"/>
    <w:rsid w:val="00735C36"/>
    <w:rsid w:val="00735C44"/>
    <w:rsid w:val="007367E3"/>
    <w:rsid w:val="0073706E"/>
    <w:rsid w:val="007374F8"/>
    <w:rsid w:val="00740258"/>
    <w:rsid w:val="00740926"/>
    <w:rsid w:val="00740E90"/>
    <w:rsid w:val="0074118B"/>
    <w:rsid w:val="00741493"/>
    <w:rsid w:val="00741880"/>
    <w:rsid w:val="007445F7"/>
    <w:rsid w:val="0074591B"/>
    <w:rsid w:val="007464A7"/>
    <w:rsid w:val="007464BA"/>
    <w:rsid w:val="0074666E"/>
    <w:rsid w:val="00746C70"/>
    <w:rsid w:val="007471C6"/>
    <w:rsid w:val="007473BE"/>
    <w:rsid w:val="007475D0"/>
    <w:rsid w:val="00751251"/>
    <w:rsid w:val="00752022"/>
    <w:rsid w:val="007522EA"/>
    <w:rsid w:val="00752480"/>
    <w:rsid w:val="00752711"/>
    <w:rsid w:val="0075367C"/>
    <w:rsid w:val="00754369"/>
    <w:rsid w:val="00755FDE"/>
    <w:rsid w:val="007573AA"/>
    <w:rsid w:val="00757E4A"/>
    <w:rsid w:val="00760843"/>
    <w:rsid w:val="00762C46"/>
    <w:rsid w:val="007636BA"/>
    <w:rsid w:val="00764919"/>
    <w:rsid w:val="007655DE"/>
    <w:rsid w:val="0077014D"/>
    <w:rsid w:val="00770F4F"/>
    <w:rsid w:val="007723C3"/>
    <w:rsid w:val="007729B5"/>
    <w:rsid w:val="00773CE8"/>
    <w:rsid w:val="007748C2"/>
    <w:rsid w:val="0077661B"/>
    <w:rsid w:val="00776B4E"/>
    <w:rsid w:val="00776CBB"/>
    <w:rsid w:val="00777302"/>
    <w:rsid w:val="00783B8C"/>
    <w:rsid w:val="00784174"/>
    <w:rsid w:val="00784772"/>
    <w:rsid w:val="00786A4B"/>
    <w:rsid w:val="0079123A"/>
    <w:rsid w:val="0079297B"/>
    <w:rsid w:val="007932C4"/>
    <w:rsid w:val="007947E8"/>
    <w:rsid w:val="007953CB"/>
    <w:rsid w:val="007956ED"/>
    <w:rsid w:val="007957C7"/>
    <w:rsid w:val="00795EB0"/>
    <w:rsid w:val="0079657D"/>
    <w:rsid w:val="007A033A"/>
    <w:rsid w:val="007A04E7"/>
    <w:rsid w:val="007A0850"/>
    <w:rsid w:val="007A0A2D"/>
    <w:rsid w:val="007A131E"/>
    <w:rsid w:val="007A1875"/>
    <w:rsid w:val="007A2632"/>
    <w:rsid w:val="007A2798"/>
    <w:rsid w:val="007A30C5"/>
    <w:rsid w:val="007A4135"/>
    <w:rsid w:val="007A42BF"/>
    <w:rsid w:val="007A433B"/>
    <w:rsid w:val="007B0A5B"/>
    <w:rsid w:val="007B16C9"/>
    <w:rsid w:val="007B1743"/>
    <w:rsid w:val="007B2855"/>
    <w:rsid w:val="007B308B"/>
    <w:rsid w:val="007B31C4"/>
    <w:rsid w:val="007B3D8D"/>
    <w:rsid w:val="007B3E1B"/>
    <w:rsid w:val="007B4E3D"/>
    <w:rsid w:val="007B50A0"/>
    <w:rsid w:val="007B629D"/>
    <w:rsid w:val="007B6EF7"/>
    <w:rsid w:val="007B75A3"/>
    <w:rsid w:val="007B76DF"/>
    <w:rsid w:val="007C0B9A"/>
    <w:rsid w:val="007C0BF9"/>
    <w:rsid w:val="007C18DE"/>
    <w:rsid w:val="007C1E1A"/>
    <w:rsid w:val="007C1FE1"/>
    <w:rsid w:val="007C308D"/>
    <w:rsid w:val="007C43DE"/>
    <w:rsid w:val="007C4CC1"/>
    <w:rsid w:val="007C5D9E"/>
    <w:rsid w:val="007C6225"/>
    <w:rsid w:val="007C6630"/>
    <w:rsid w:val="007D0114"/>
    <w:rsid w:val="007D0D6F"/>
    <w:rsid w:val="007D0F70"/>
    <w:rsid w:val="007D14EB"/>
    <w:rsid w:val="007D249E"/>
    <w:rsid w:val="007D3BF0"/>
    <w:rsid w:val="007D3CDA"/>
    <w:rsid w:val="007D3F79"/>
    <w:rsid w:val="007D5707"/>
    <w:rsid w:val="007D5709"/>
    <w:rsid w:val="007D5F70"/>
    <w:rsid w:val="007D678D"/>
    <w:rsid w:val="007D68D4"/>
    <w:rsid w:val="007D70EE"/>
    <w:rsid w:val="007D744E"/>
    <w:rsid w:val="007D7C1C"/>
    <w:rsid w:val="007E03CA"/>
    <w:rsid w:val="007E0AC9"/>
    <w:rsid w:val="007E0D43"/>
    <w:rsid w:val="007E2598"/>
    <w:rsid w:val="007E2830"/>
    <w:rsid w:val="007E4F8E"/>
    <w:rsid w:val="007E7A93"/>
    <w:rsid w:val="007F057B"/>
    <w:rsid w:val="007F152D"/>
    <w:rsid w:val="007F2119"/>
    <w:rsid w:val="007F3671"/>
    <w:rsid w:val="007F3F7D"/>
    <w:rsid w:val="007F4DE8"/>
    <w:rsid w:val="007F4F2A"/>
    <w:rsid w:val="007F4F55"/>
    <w:rsid w:val="007F52D5"/>
    <w:rsid w:val="007F5558"/>
    <w:rsid w:val="007F65D2"/>
    <w:rsid w:val="008003B0"/>
    <w:rsid w:val="00802C4C"/>
    <w:rsid w:val="00803F1A"/>
    <w:rsid w:val="0080445D"/>
    <w:rsid w:val="008059B5"/>
    <w:rsid w:val="00805B22"/>
    <w:rsid w:val="0080722A"/>
    <w:rsid w:val="00810B45"/>
    <w:rsid w:val="008131DB"/>
    <w:rsid w:val="00813D18"/>
    <w:rsid w:val="00814B50"/>
    <w:rsid w:val="00815770"/>
    <w:rsid w:val="00815F07"/>
    <w:rsid w:val="00816274"/>
    <w:rsid w:val="00816E23"/>
    <w:rsid w:val="008173A2"/>
    <w:rsid w:val="00817B3E"/>
    <w:rsid w:val="008200D0"/>
    <w:rsid w:val="00821115"/>
    <w:rsid w:val="00823B92"/>
    <w:rsid w:val="008248FF"/>
    <w:rsid w:val="0082506D"/>
    <w:rsid w:val="00825314"/>
    <w:rsid w:val="00825415"/>
    <w:rsid w:val="00825914"/>
    <w:rsid w:val="0082773E"/>
    <w:rsid w:val="00830584"/>
    <w:rsid w:val="00831BC3"/>
    <w:rsid w:val="00832D97"/>
    <w:rsid w:val="00833F88"/>
    <w:rsid w:val="008347F4"/>
    <w:rsid w:val="00835D02"/>
    <w:rsid w:val="0083603A"/>
    <w:rsid w:val="0083798F"/>
    <w:rsid w:val="00840E68"/>
    <w:rsid w:val="0084270E"/>
    <w:rsid w:val="008448B2"/>
    <w:rsid w:val="0084505D"/>
    <w:rsid w:val="00846A69"/>
    <w:rsid w:val="00847141"/>
    <w:rsid w:val="00847522"/>
    <w:rsid w:val="00847A66"/>
    <w:rsid w:val="00847A87"/>
    <w:rsid w:val="00847AC0"/>
    <w:rsid w:val="00850499"/>
    <w:rsid w:val="00851BA1"/>
    <w:rsid w:val="008525BC"/>
    <w:rsid w:val="00852762"/>
    <w:rsid w:val="008533D3"/>
    <w:rsid w:val="008540C7"/>
    <w:rsid w:val="008562F2"/>
    <w:rsid w:val="00856586"/>
    <w:rsid w:val="00860BA3"/>
    <w:rsid w:val="008620CD"/>
    <w:rsid w:val="00863BC1"/>
    <w:rsid w:val="00864484"/>
    <w:rsid w:val="008650B9"/>
    <w:rsid w:val="00865940"/>
    <w:rsid w:val="00865E25"/>
    <w:rsid w:val="008661A4"/>
    <w:rsid w:val="008664E3"/>
    <w:rsid w:val="00866B4A"/>
    <w:rsid w:val="00867766"/>
    <w:rsid w:val="008701B5"/>
    <w:rsid w:val="00871AA1"/>
    <w:rsid w:val="00871E34"/>
    <w:rsid w:val="00872EE5"/>
    <w:rsid w:val="00874749"/>
    <w:rsid w:val="008753DA"/>
    <w:rsid w:val="00877522"/>
    <w:rsid w:val="00880036"/>
    <w:rsid w:val="0088054E"/>
    <w:rsid w:val="00880F27"/>
    <w:rsid w:val="008812AE"/>
    <w:rsid w:val="00882F61"/>
    <w:rsid w:val="0088406D"/>
    <w:rsid w:val="008848A0"/>
    <w:rsid w:val="0088538A"/>
    <w:rsid w:val="00885FF6"/>
    <w:rsid w:val="008862DB"/>
    <w:rsid w:val="00886468"/>
    <w:rsid w:val="00887797"/>
    <w:rsid w:val="00887D7F"/>
    <w:rsid w:val="00887F69"/>
    <w:rsid w:val="00891547"/>
    <w:rsid w:val="00891686"/>
    <w:rsid w:val="00892683"/>
    <w:rsid w:val="00892B38"/>
    <w:rsid w:val="008934D7"/>
    <w:rsid w:val="00893909"/>
    <w:rsid w:val="0089520A"/>
    <w:rsid w:val="00895B39"/>
    <w:rsid w:val="00895D66"/>
    <w:rsid w:val="00896177"/>
    <w:rsid w:val="008979C7"/>
    <w:rsid w:val="00897D32"/>
    <w:rsid w:val="008A15AE"/>
    <w:rsid w:val="008A1FFE"/>
    <w:rsid w:val="008A25B1"/>
    <w:rsid w:val="008A2799"/>
    <w:rsid w:val="008A27E1"/>
    <w:rsid w:val="008A288B"/>
    <w:rsid w:val="008A2E05"/>
    <w:rsid w:val="008A45EF"/>
    <w:rsid w:val="008A476A"/>
    <w:rsid w:val="008A4E66"/>
    <w:rsid w:val="008A5768"/>
    <w:rsid w:val="008A5F08"/>
    <w:rsid w:val="008A6222"/>
    <w:rsid w:val="008A622C"/>
    <w:rsid w:val="008A645C"/>
    <w:rsid w:val="008A64B0"/>
    <w:rsid w:val="008A76B6"/>
    <w:rsid w:val="008B043B"/>
    <w:rsid w:val="008B16CC"/>
    <w:rsid w:val="008B17BE"/>
    <w:rsid w:val="008B1DC0"/>
    <w:rsid w:val="008B2C1D"/>
    <w:rsid w:val="008B2C89"/>
    <w:rsid w:val="008B41ED"/>
    <w:rsid w:val="008B4325"/>
    <w:rsid w:val="008B474A"/>
    <w:rsid w:val="008B4C87"/>
    <w:rsid w:val="008B4E6D"/>
    <w:rsid w:val="008B5447"/>
    <w:rsid w:val="008B6288"/>
    <w:rsid w:val="008C0A74"/>
    <w:rsid w:val="008C1046"/>
    <w:rsid w:val="008C12E6"/>
    <w:rsid w:val="008C2E22"/>
    <w:rsid w:val="008C3295"/>
    <w:rsid w:val="008C3992"/>
    <w:rsid w:val="008C3EE4"/>
    <w:rsid w:val="008C3FEE"/>
    <w:rsid w:val="008C4817"/>
    <w:rsid w:val="008C4AA0"/>
    <w:rsid w:val="008C7FDA"/>
    <w:rsid w:val="008D0149"/>
    <w:rsid w:val="008D06C2"/>
    <w:rsid w:val="008D0BBB"/>
    <w:rsid w:val="008D246F"/>
    <w:rsid w:val="008D249F"/>
    <w:rsid w:val="008D2D17"/>
    <w:rsid w:val="008D3482"/>
    <w:rsid w:val="008D3689"/>
    <w:rsid w:val="008D3ECD"/>
    <w:rsid w:val="008D465B"/>
    <w:rsid w:val="008D6828"/>
    <w:rsid w:val="008D698A"/>
    <w:rsid w:val="008E1F38"/>
    <w:rsid w:val="008E3F8C"/>
    <w:rsid w:val="008E4B1A"/>
    <w:rsid w:val="008E5DCA"/>
    <w:rsid w:val="008E6F3F"/>
    <w:rsid w:val="008F0739"/>
    <w:rsid w:val="008F0A83"/>
    <w:rsid w:val="008F0E74"/>
    <w:rsid w:val="008F16EE"/>
    <w:rsid w:val="008F1D8E"/>
    <w:rsid w:val="008F2A6B"/>
    <w:rsid w:val="008F4238"/>
    <w:rsid w:val="008F6409"/>
    <w:rsid w:val="008F7FB6"/>
    <w:rsid w:val="00901CBA"/>
    <w:rsid w:val="00902336"/>
    <w:rsid w:val="00902861"/>
    <w:rsid w:val="00903AD5"/>
    <w:rsid w:val="00903EF9"/>
    <w:rsid w:val="00904255"/>
    <w:rsid w:val="0090438D"/>
    <w:rsid w:val="0090678B"/>
    <w:rsid w:val="0091018D"/>
    <w:rsid w:val="0091063E"/>
    <w:rsid w:val="009109E8"/>
    <w:rsid w:val="00911A7F"/>
    <w:rsid w:val="00911AB2"/>
    <w:rsid w:val="00911DD3"/>
    <w:rsid w:val="009120C8"/>
    <w:rsid w:val="00914325"/>
    <w:rsid w:val="009153E2"/>
    <w:rsid w:val="00915B6D"/>
    <w:rsid w:val="00915FB3"/>
    <w:rsid w:val="0091717F"/>
    <w:rsid w:val="0091743F"/>
    <w:rsid w:val="00917B48"/>
    <w:rsid w:val="00920DB2"/>
    <w:rsid w:val="00922A59"/>
    <w:rsid w:val="00923F6E"/>
    <w:rsid w:val="00925630"/>
    <w:rsid w:val="00926B3F"/>
    <w:rsid w:val="0092737D"/>
    <w:rsid w:val="009308AB"/>
    <w:rsid w:val="00932C40"/>
    <w:rsid w:val="00933382"/>
    <w:rsid w:val="00933B6E"/>
    <w:rsid w:val="009341AE"/>
    <w:rsid w:val="00936071"/>
    <w:rsid w:val="00937303"/>
    <w:rsid w:val="00937305"/>
    <w:rsid w:val="00940BB7"/>
    <w:rsid w:val="00941FED"/>
    <w:rsid w:val="00942390"/>
    <w:rsid w:val="00942B1B"/>
    <w:rsid w:val="00942EBF"/>
    <w:rsid w:val="00945FCB"/>
    <w:rsid w:val="0095014F"/>
    <w:rsid w:val="00951707"/>
    <w:rsid w:val="00951E9C"/>
    <w:rsid w:val="00952726"/>
    <w:rsid w:val="00953A93"/>
    <w:rsid w:val="00954667"/>
    <w:rsid w:val="0095482D"/>
    <w:rsid w:val="00954848"/>
    <w:rsid w:val="00954DC7"/>
    <w:rsid w:val="009553E9"/>
    <w:rsid w:val="00955484"/>
    <w:rsid w:val="00955A1C"/>
    <w:rsid w:val="00957C52"/>
    <w:rsid w:val="00960BC4"/>
    <w:rsid w:val="00960D53"/>
    <w:rsid w:val="00961904"/>
    <w:rsid w:val="00962871"/>
    <w:rsid w:val="00962C0A"/>
    <w:rsid w:val="00963559"/>
    <w:rsid w:val="00963833"/>
    <w:rsid w:val="00963E00"/>
    <w:rsid w:val="00964648"/>
    <w:rsid w:val="0096521C"/>
    <w:rsid w:val="009659C8"/>
    <w:rsid w:val="00967538"/>
    <w:rsid w:val="00967574"/>
    <w:rsid w:val="00967602"/>
    <w:rsid w:val="00971D7C"/>
    <w:rsid w:val="00971E5F"/>
    <w:rsid w:val="00973646"/>
    <w:rsid w:val="00973D3B"/>
    <w:rsid w:val="009748B5"/>
    <w:rsid w:val="00974D35"/>
    <w:rsid w:val="009751CE"/>
    <w:rsid w:val="0097639C"/>
    <w:rsid w:val="0097698C"/>
    <w:rsid w:val="00977045"/>
    <w:rsid w:val="009772B1"/>
    <w:rsid w:val="00977AC3"/>
    <w:rsid w:val="00980E78"/>
    <w:rsid w:val="00984C97"/>
    <w:rsid w:val="009857D1"/>
    <w:rsid w:val="0098761E"/>
    <w:rsid w:val="00991BF3"/>
    <w:rsid w:val="00991C75"/>
    <w:rsid w:val="00991D00"/>
    <w:rsid w:val="00993D4B"/>
    <w:rsid w:val="00993E3A"/>
    <w:rsid w:val="00993EC5"/>
    <w:rsid w:val="00994B13"/>
    <w:rsid w:val="00994C26"/>
    <w:rsid w:val="0099669B"/>
    <w:rsid w:val="009977A1"/>
    <w:rsid w:val="00997BAB"/>
    <w:rsid w:val="009A0312"/>
    <w:rsid w:val="009A13A0"/>
    <w:rsid w:val="009A1C01"/>
    <w:rsid w:val="009A2B5A"/>
    <w:rsid w:val="009A2C7B"/>
    <w:rsid w:val="009A7760"/>
    <w:rsid w:val="009B0AE5"/>
    <w:rsid w:val="009B2253"/>
    <w:rsid w:val="009B2B79"/>
    <w:rsid w:val="009B2C0A"/>
    <w:rsid w:val="009B2C9C"/>
    <w:rsid w:val="009B3795"/>
    <w:rsid w:val="009B3832"/>
    <w:rsid w:val="009B3A79"/>
    <w:rsid w:val="009B40EB"/>
    <w:rsid w:val="009B69D2"/>
    <w:rsid w:val="009C0297"/>
    <w:rsid w:val="009C0D5A"/>
    <w:rsid w:val="009C115A"/>
    <w:rsid w:val="009C1C62"/>
    <w:rsid w:val="009C21A6"/>
    <w:rsid w:val="009C2857"/>
    <w:rsid w:val="009C44BE"/>
    <w:rsid w:val="009C5204"/>
    <w:rsid w:val="009C558D"/>
    <w:rsid w:val="009C59CC"/>
    <w:rsid w:val="009C5A99"/>
    <w:rsid w:val="009C7DE8"/>
    <w:rsid w:val="009C7F33"/>
    <w:rsid w:val="009D0054"/>
    <w:rsid w:val="009D1048"/>
    <w:rsid w:val="009D2A2B"/>
    <w:rsid w:val="009D4072"/>
    <w:rsid w:val="009D41CF"/>
    <w:rsid w:val="009D4365"/>
    <w:rsid w:val="009D4AA7"/>
    <w:rsid w:val="009D5A13"/>
    <w:rsid w:val="009E06C1"/>
    <w:rsid w:val="009E091E"/>
    <w:rsid w:val="009E1260"/>
    <w:rsid w:val="009E18A7"/>
    <w:rsid w:val="009E2549"/>
    <w:rsid w:val="009E3C06"/>
    <w:rsid w:val="009E40D0"/>
    <w:rsid w:val="009E48B1"/>
    <w:rsid w:val="009E4B70"/>
    <w:rsid w:val="009E4EA2"/>
    <w:rsid w:val="009E7188"/>
    <w:rsid w:val="009F02A8"/>
    <w:rsid w:val="009F05C5"/>
    <w:rsid w:val="009F23BE"/>
    <w:rsid w:val="009F3270"/>
    <w:rsid w:val="009F3811"/>
    <w:rsid w:val="009F3964"/>
    <w:rsid w:val="009F3D86"/>
    <w:rsid w:val="009F3EF7"/>
    <w:rsid w:val="009F5F4A"/>
    <w:rsid w:val="009F629B"/>
    <w:rsid w:val="009F65E5"/>
    <w:rsid w:val="00A00BE4"/>
    <w:rsid w:val="00A0342D"/>
    <w:rsid w:val="00A03A5D"/>
    <w:rsid w:val="00A03CA0"/>
    <w:rsid w:val="00A04C78"/>
    <w:rsid w:val="00A06132"/>
    <w:rsid w:val="00A06ECC"/>
    <w:rsid w:val="00A07539"/>
    <w:rsid w:val="00A075A8"/>
    <w:rsid w:val="00A1026E"/>
    <w:rsid w:val="00A10605"/>
    <w:rsid w:val="00A10EC6"/>
    <w:rsid w:val="00A117EF"/>
    <w:rsid w:val="00A12FCB"/>
    <w:rsid w:val="00A1498A"/>
    <w:rsid w:val="00A15525"/>
    <w:rsid w:val="00A1715C"/>
    <w:rsid w:val="00A17B2E"/>
    <w:rsid w:val="00A2002B"/>
    <w:rsid w:val="00A2200F"/>
    <w:rsid w:val="00A23B7A"/>
    <w:rsid w:val="00A241B4"/>
    <w:rsid w:val="00A325D8"/>
    <w:rsid w:val="00A342E6"/>
    <w:rsid w:val="00A344E4"/>
    <w:rsid w:val="00A3494E"/>
    <w:rsid w:val="00A35382"/>
    <w:rsid w:val="00A35799"/>
    <w:rsid w:val="00A35954"/>
    <w:rsid w:val="00A35F1C"/>
    <w:rsid w:val="00A37B09"/>
    <w:rsid w:val="00A404C9"/>
    <w:rsid w:val="00A41064"/>
    <w:rsid w:val="00A43411"/>
    <w:rsid w:val="00A437D8"/>
    <w:rsid w:val="00A4556F"/>
    <w:rsid w:val="00A455EE"/>
    <w:rsid w:val="00A470BF"/>
    <w:rsid w:val="00A47DFD"/>
    <w:rsid w:val="00A50188"/>
    <w:rsid w:val="00A50442"/>
    <w:rsid w:val="00A52563"/>
    <w:rsid w:val="00A53399"/>
    <w:rsid w:val="00A54C0D"/>
    <w:rsid w:val="00A54D04"/>
    <w:rsid w:val="00A5626B"/>
    <w:rsid w:val="00A564C0"/>
    <w:rsid w:val="00A56EDB"/>
    <w:rsid w:val="00A6193B"/>
    <w:rsid w:val="00A619ED"/>
    <w:rsid w:val="00A61B99"/>
    <w:rsid w:val="00A621F3"/>
    <w:rsid w:val="00A63497"/>
    <w:rsid w:val="00A64C2B"/>
    <w:rsid w:val="00A6553B"/>
    <w:rsid w:val="00A65C70"/>
    <w:rsid w:val="00A66977"/>
    <w:rsid w:val="00A67DCF"/>
    <w:rsid w:val="00A718EF"/>
    <w:rsid w:val="00A71C43"/>
    <w:rsid w:val="00A721E0"/>
    <w:rsid w:val="00A72803"/>
    <w:rsid w:val="00A738CE"/>
    <w:rsid w:val="00A76460"/>
    <w:rsid w:val="00A77AC4"/>
    <w:rsid w:val="00A77CA9"/>
    <w:rsid w:val="00A8014B"/>
    <w:rsid w:val="00A807BC"/>
    <w:rsid w:val="00A80CED"/>
    <w:rsid w:val="00A8281B"/>
    <w:rsid w:val="00A84054"/>
    <w:rsid w:val="00A84473"/>
    <w:rsid w:val="00A85C9A"/>
    <w:rsid w:val="00A86952"/>
    <w:rsid w:val="00A86BB4"/>
    <w:rsid w:val="00A87EF1"/>
    <w:rsid w:val="00A901AE"/>
    <w:rsid w:val="00A903EC"/>
    <w:rsid w:val="00A90492"/>
    <w:rsid w:val="00A90760"/>
    <w:rsid w:val="00A90B7F"/>
    <w:rsid w:val="00A9172E"/>
    <w:rsid w:val="00A91B4A"/>
    <w:rsid w:val="00A91FDC"/>
    <w:rsid w:val="00A92224"/>
    <w:rsid w:val="00A934D2"/>
    <w:rsid w:val="00A93CBC"/>
    <w:rsid w:val="00A94863"/>
    <w:rsid w:val="00A949F1"/>
    <w:rsid w:val="00A95A0D"/>
    <w:rsid w:val="00A96F47"/>
    <w:rsid w:val="00A97399"/>
    <w:rsid w:val="00A97605"/>
    <w:rsid w:val="00A976BA"/>
    <w:rsid w:val="00A97B3A"/>
    <w:rsid w:val="00AA0DE9"/>
    <w:rsid w:val="00AA1B63"/>
    <w:rsid w:val="00AA234C"/>
    <w:rsid w:val="00AA265F"/>
    <w:rsid w:val="00AA4065"/>
    <w:rsid w:val="00AA6F20"/>
    <w:rsid w:val="00AB0B5C"/>
    <w:rsid w:val="00AB1D79"/>
    <w:rsid w:val="00AB297D"/>
    <w:rsid w:val="00AB2AE2"/>
    <w:rsid w:val="00AB2CEA"/>
    <w:rsid w:val="00AB5F6E"/>
    <w:rsid w:val="00AB643F"/>
    <w:rsid w:val="00AC044A"/>
    <w:rsid w:val="00AC1381"/>
    <w:rsid w:val="00AC1BD3"/>
    <w:rsid w:val="00AC2946"/>
    <w:rsid w:val="00AC5FE1"/>
    <w:rsid w:val="00AC7086"/>
    <w:rsid w:val="00AC70A3"/>
    <w:rsid w:val="00AC7106"/>
    <w:rsid w:val="00AC7EE1"/>
    <w:rsid w:val="00AD1347"/>
    <w:rsid w:val="00AD16E6"/>
    <w:rsid w:val="00AD279C"/>
    <w:rsid w:val="00AD3371"/>
    <w:rsid w:val="00AD357A"/>
    <w:rsid w:val="00AD4009"/>
    <w:rsid w:val="00AD48FF"/>
    <w:rsid w:val="00AD6214"/>
    <w:rsid w:val="00AD64AB"/>
    <w:rsid w:val="00AD722A"/>
    <w:rsid w:val="00AE1744"/>
    <w:rsid w:val="00AE2E3C"/>
    <w:rsid w:val="00AE32FB"/>
    <w:rsid w:val="00AE3747"/>
    <w:rsid w:val="00AE40B2"/>
    <w:rsid w:val="00AE41A2"/>
    <w:rsid w:val="00AE4A23"/>
    <w:rsid w:val="00AE523B"/>
    <w:rsid w:val="00AE5C32"/>
    <w:rsid w:val="00AE68BD"/>
    <w:rsid w:val="00AE6DB2"/>
    <w:rsid w:val="00AE770D"/>
    <w:rsid w:val="00AE7B05"/>
    <w:rsid w:val="00AF0633"/>
    <w:rsid w:val="00AF1095"/>
    <w:rsid w:val="00AF180F"/>
    <w:rsid w:val="00AF2D33"/>
    <w:rsid w:val="00AF3F07"/>
    <w:rsid w:val="00AF4A17"/>
    <w:rsid w:val="00AF4E9B"/>
    <w:rsid w:val="00AF51AC"/>
    <w:rsid w:val="00AF53E4"/>
    <w:rsid w:val="00AF5EE3"/>
    <w:rsid w:val="00AF690E"/>
    <w:rsid w:val="00AF719D"/>
    <w:rsid w:val="00AF7D14"/>
    <w:rsid w:val="00B013AF"/>
    <w:rsid w:val="00B017F6"/>
    <w:rsid w:val="00B019A1"/>
    <w:rsid w:val="00B01F8E"/>
    <w:rsid w:val="00B02724"/>
    <w:rsid w:val="00B04784"/>
    <w:rsid w:val="00B04A90"/>
    <w:rsid w:val="00B04F28"/>
    <w:rsid w:val="00B05217"/>
    <w:rsid w:val="00B05D66"/>
    <w:rsid w:val="00B06725"/>
    <w:rsid w:val="00B06844"/>
    <w:rsid w:val="00B07161"/>
    <w:rsid w:val="00B10F63"/>
    <w:rsid w:val="00B12850"/>
    <w:rsid w:val="00B14E86"/>
    <w:rsid w:val="00B14EE8"/>
    <w:rsid w:val="00B15C64"/>
    <w:rsid w:val="00B16857"/>
    <w:rsid w:val="00B16ED7"/>
    <w:rsid w:val="00B20A1A"/>
    <w:rsid w:val="00B2219D"/>
    <w:rsid w:val="00B2228B"/>
    <w:rsid w:val="00B22383"/>
    <w:rsid w:val="00B2411D"/>
    <w:rsid w:val="00B24A74"/>
    <w:rsid w:val="00B25E4C"/>
    <w:rsid w:val="00B26DE0"/>
    <w:rsid w:val="00B303CC"/>
    <w:rsid w:val="00B3213B"/>
    <w:rsid w:val="00B32402"/>
    <w:rsid w:val="00B3244C"/>
    <w:rsid w:val="00B32E8F"/>
    <w:rsid w:val="00B32F7E"/>
    <w:rsid w:val="00B3464E"/>
    <w:rsid w:val="00B34B32"/>
    <w:rsid w:val="00B350B6"/>
    <w:rsid w:val="00B3522C"/>
    <w:rsid w:val="00B35371"/>
    <w:rsid w:val="00B35377"/>
    <w:rsid w:val="00B35BAF"/>
    <w:rsid w:val="00B4013F"/>
    <w:rsid w:val="00B403AE"/>
    <w:rsid w:val="00B41283"/>
    <w:rsid w:val="00B412F2"/>
    <w:rsid w:val="00B41D28"/>
    <w:rsid w:val="00B42086"/>
    <w:rsid w:val="00B42C5F"/>
    <w:rsid w:val="00B43B0D"/>
    <w:rsid w:val="00B43C3E"/>
    <w:rsid w:val="00B43E83"/>
    <w:rsid w:val="00B43EA6"/>
    <w:rsid w:val="00B43FD8"/>
    <w:rsid w:val="00B4462C"/>
    <w:rsid w:val="00B44B5B"/>
    <w:rsid w:val="00B4586F"/>
    <w:rsid w:val="00B45B25"/>
    <w:rsid w:val="00B503D0"/>
    <w:rsid w:val="00B50C73"/>
    <w:rsid w:val="00B50C7C"/>
    <w:rsid w:val="00B51A0F"/>
    <w:rsid w:val="00B5269C"/>
    <w:rsid w:val="00B54A9F"/>
    <w:rsid w:val="00B56102"/>
    <w:rsid w:val="00B56738"/>
    <w:rsid w:val="00B56869"/>
    <w:rsid w:val="00B56DBE"/>
    <w:rsid w:val="00B56F13"/>
    <w:rsid w:val="00B57E64"/>
    <w:rsid w:val="00B6085C"/>
    <w:rsid w:val="00B61264"/>
    <w:rsid w:val="00B618EF"/>
    <w:rsid w:val="00B62EB9"/>
    <w:rsid w:val="00B6325A"/>
    <w:rsid w:val="00B64A1A"/>
    <w:rsid w:val="00B65C24"/>
    <w:rsid w:val="00B67175"/>
    <w:rsid w:val="00B70011"/>
    <w:rsid w:val="00B71326"/>
    <w:rsid w:val="00B71C5C"/>
    <w:rsid w:val="00B71E48"/>
    <w:rsid w:val="00B720AD"/>
    <w:rsid w:val="00B729DA"/>
    <w:rsid w:val="00B733B5"/>
    <w:rsid w:val="00B7389F"/>
    <w:rsid w:val="00B73EF1"/>
    <w:rsid w:val="00B73F08"/>
    <w:rsid w:val="00B75F7E"/>
    <w:rsid w:val="00B76955"/>
    <w:rsid w:val="00B77727"/>
    <w:rsid w:val="00B7783C"/>
    <w:rsid w:val="00B77D54"/>
    <w:rsid w:val="00B81B1C"/>
    <w:rsid w:val="00B81F9F"/>
    <w:rsid w:val="00B835C9"/>
    <w:rsid w:val="00B83F99"/>
    <w:rsid w:val="00B87354"/>
    <w:rsid w:val="00B87A9B"/>
    <w:rsid w:val="00B87E67"/>
    <w:rsid w:val="00B904B9"/>
    <w:rsid w:val="00B91B8A"/>
    <w:rsid w:val="00B93105"/>
    <w:rsid w:val="00B93135"/>
    <w:rsid w:val="00B9397F"/>
    <w:rsid w:val="00B94C5D"/>
    <w:rsid w:val="00B94CA5"/>
    <w:rsid w:val="00B956FD"/>
    <w:rsid w:val="00B965BF"/>
    <w:rsid w:val="00B96B1F"/>
    <w:rsid w:val="00B97261"/>
    <w:rsid w:val="00BA035B"/>
    <w:rsid w:val="00BA0A74"/>
    <w:rsid w:val="00BA0E09"/>
    <w:rsid w:val="00BA1FF8"/>
    <w:rsid w:val="00BA2EF5"/>
    <w:rsid w:val="00BA32C4"/>
    <w:rsid w:val="00BA35BC"/>
    <w:rsid w:val="00BA3BE2"/>
    <w:rsid w:val="00BA3C6C"/>
    <w:rsid w:val="00BA3D18"/>
    <w:rsid w:val="00BA425F"/>
    <w:rsid w:val="00BA4F6C"/>
    <w:rsid w:val="00BA505D"/>
    <w:rsid w:val="00BA5158"/>
    <w:rsid w:val="00BA5BC9"/>
    <w:rsid w:val="00BA66B1"/>
    <w:rsid w:val="00BA73B0"/>
    <w:rsid w:val="00BA7445"/>
    <w:rsid w:val="00BB0881"/>
    <w:rsid w:val="00BB0B3B"/>
    <w:rsid w:val="00BB0F39"/>
    <w:rsid w:val="00BB1F0F"/>
    <w:rsid w:val="00BB680D"/>
    <w:rsid w:val="00BB6849"/>
    <w:rsid w:val="00BB6902"/>
    <w:rsid w:val="00BB6BF8"/>
    <w:rsid w:val="00BC1441"/>
    <w:rsid w:val="00BC1871"/>
    <w:rsid w:val="00BC19EC"/>
    <w:rsid w:val="00BC1E7A"/>
    <w:rsid w:val="00BC2809"/>
    <w:rsid w:val="00BC2B1B"/>
    <w:rsid w:val="00BC2E35"/>
    <w:rsid w:val="00BC4B5B"/>
    <w:rsid w:val="00BD006E"/>
    <w:rsid w:val="00BD08C0"/>
    <w:rsid w:val="00BD35A5"/>
    <w:rsid w:val="00BD443F"/>
    <w:rsid w:val="00BD5CFC"/>
    <w:rsid w:val="00BD7F9F"/>
    <w:rsid w:val="00BE0616"/>
    <w:rsid w:val="00BE0C26"/>
    <w:rsid w:val="00BE3BAE"/>
    <w:rsid w:val="00BE3DC7"/>
    <w:rsid w:val="00BE3FF7"/>
    <w:rsid w:val="00BE43BA"/>
    <w:rsid w:val="00BE4E58"/>
    <w:rsid w:val="00BE5A1C"/>
    <w:rsid w:val="00BE6073"/>
    <w:rsid w:val="00BE6172"/>
    <w:rsid w:val="00BE64C0"/>
    <w:rsid w:val="00BF1685"/>
    <w:rsid w:val="00BF1C0D"/>
    <w:rsid w:val="00BF1F51"/>
    <w:rsid w:val="00BF24E5"/>
    <w:rsid w:val="00BF26C6"/>
    <w:rsid w:val="00BF3978"/>
    <w:rsid w:val="00BF51FB"/>
    <w:rsid w:val="00BF54F9"/>
    <w:rsid w:val="00BF62E0"/>
    <w:rsid w:val="00BF6877"/>
    <w:rsid w:val="00C00F4D"/>
    <w:rsid w:val="00C012AE"/>
    <w:rsid w:val="00C02DA1"/>
    <w:rsid w:val="00C04283"/>
    <w:rsid w:val="00C04EE6"/>
    <w:rsid w:val="00C05228"/>
    <w:rsid w:val="00C07758"/>
    <w:rsid w:val="00C100EC"/>
    <w:rsid w:val="00C101A8"/>
    <w:rsid w:val="00C10382"/>
    <w:rsid w:val="00C112B9"/>
    <w:rsid w:val="00C12E43"/>
    <w:rsid w:val="00C14444"/>
    <w:rsid w:val="00C145F3"/>
    <w:rsid w:val="00C14E28"/>
    <w:rsid w:val="00C15F97"/>
    <w:rsid w:val="00C16B4C"/>
    <w:rsid w:val="00C16EEB"/>
    <w:rsid w:val="00C20A8D"/>
    <w:rsid w:val="00C21FAA"/>
    <w:rsid w:val="00C221E1"/>
    <w:rsid w:val="00C2254C"/>
    <w:rsid w:val="00C22B53"/>
    <w:rsid w:val="00C25824"/>
    <w:rsid w:val="00C25829"/>
    <w:rsid w:val="00C25BE2"/>
    <w:rsid w:val="00C301BA"/>
    <w:rsid w:val="00C3118C"/>
    <w:rsid w:val="00C331A3"/>
    <w:rsid w:val="00C337CF"/>
    <w:rsid w:val="00C33A8F"/>
    <w:rsid w:val="00C33F6D"/>
    <w:rsid w:val="00C3588B"/>
    <w:rsid w:val="00C35A47"/>
    <w:rsid w:val="00C36A81"/>
    <w:rsid w:val="00C373CB"/>
    <w:rsid w:val="00C37403"/>
    <w:rsid w:val="00C37993"/>
    <w:rsid w:val="00C40932"/>
    <w:rsid w:val="00C40A02"/>
    <w:rsid w:val="00C40C83"/>
    <w:rsid w:val="00C41FC5"/>
    <w:rsid w:val="00C42CB8"/>
    <w:rsid w:val="00C42E44"/>
    <w:rsid w:val="00C462B1"/>
    <w:rsid w:val="00C46ABA"/>
    <w:rsid w:val="00C46D8B"/>
    <w:rsid w:val="00C47413"/>
    <w:rsid w:val="00C5016E"/>
    <w:rsid w:val="00C50964"/>
    <w:rsid w:val="00C50DCF"/>
    <w:rsid w:val="00C512AF"/>
    <w:rsid w:val="00C5426B"/>
    <w:rsid w:val="00C54B2F"/>
    <w:rsid w:val="00C56B1D"/>
    <w:rsid w:val="00C57561"/>
    <w:rsid w:val="00C577B1"/>
    <w:rsid w:val="00C5797B"/>
    <w:rsid w:val="00C60224"/>
    <w:rsid w:val="00C63708"/>
    <w:rsid w:val="00C63DD3"/>
    <w:rsid w:val="00C64325"/>
    <w:rsid w:val="00C64AB2"/>
    <w:rsid w:val="00C64ACA"/>
    <w:rsid w:val="00C6501A"/>
    <w:rsid w:val="00C65877"/>
    <w:rsid w:val="00C65A93"/>
    <w:rsid w:val="00C66C1D"/>
    <w:rsid w:val="00C67F7C"/>
    <w:rsid w:val="00C70998"/>
    <w:rsid w:val="00C71FCA"/>
    <w:rsid w:val="00C73F97"/>
    <w:rsid w:val="00C7621F"/>
    <w:rsid w:val="00C769B8"/>
    <w:rsid w:val="00C76D7F"/>
    <w:rsid w:val="00C77047"/>
    <w:rsid w:val="00C8156D"/>
    <w:rsid w:val="00C81BDC"/>
    <w:rsid w:val="00C81CAA"/>
    <w:rsid w:val="00C82166"/>
    <w:rsid w:val="00C8289A"/>
    <w:rsid w:val="00C8339E"/>
    <w:rsid w:val="00C83656"/>
    <w:rsid w:val="00C83D28"/>
    <w:rsid w:val="00C84936"/>
    <w:rsid w:val="00C86631"/>
    <w:rsid w:val="00C8797E"/>
    <w:rsid w:val="00C87A3C"/>
    <w:rsid w:val="00C901C3"/>
    <w:rsid w:val="00C91034"/>
    <w:rsid w:val="00C91B57"/>
    <w:rsid w:val="00C91D49"/>
    <w:rsid w:val="00C93698"/>
    <w:rsid w:val="00C949D1"/>
    <w:rsid w:val="00C9505B"/>
    <w:rsid w:val="00C953E8"/>
    <w:rsid w:val="00C966FF"/>
    <w:rsid w:val="00C96786"/>
    <w:rsid w:val="00C96E39"/>
    <w:rsid w:val="00C97967"/>
    <w:rsid w:val="00C979D8"/>
    <w:rsid w:val="00C97ACA"/>
    <w:rsid w:val="00CA056D"/>
    <w:rsid w:val="00CA17BC"/>
    <w:rsid w:val="00CA183F"/>
    <w:rsid w:val="00CA232F"/>
    <w:rsid w:val="00CA58C6"/>
    <w:rsid w:val="00CA65EB"/>
    <w:rsid w:val="00CA7350"/>
    <w:rsid w:val="00CA751E"/>
    <w:rsid w:val="00CB06BF"/>
    <w:rsid w:val="00CB0948"/>
    <w:rsid w:val="00CB3BCA"/>
    <w:rsid w:val="00CB5612"/>
    <w:rsid w:val="00CB628B"/>
    <w:rsid w:val="00CC0289"/>
    <w:rsid w:val="00CC04A3"/>
    <w:rsid w:val="00CC1950"/>
    <w:rsid w:val="00CC2395"/>
    <w:rsid w:val="00CC31F7"/>
    <w:rsid w:val="00CC3E02"/>
    <w:rsid w:val="00CC410F"/>
    <w:rsid w:val="00CC6309"/>
    <w:rsid w:val="00CC7A81"/>
    <w:rsid w:val="00CD1CC6"/>
    <w:rsid w:val="00CD2EED"/>
    <w:rsid w:val="00CD3200"/>
    <w:rsid w:val="00CD392B"/>
    <w:rsid w:val="00CD448F"/>
    <w:rsid w:val="00CD4AFC"/>
    <w:rsid w:val="00CD5312"/>
    <w:rsid w:val="00CD6F06"/>
    <w:rsid w:val="00CD7313"/>
    <w:rsid w:val="00CD760D"/>
    <w:rsid w:val="00CD792F"/>
    <w:rsid w:val="00CD7DE2"/>
    <w:rsid w:val="00CE0005"/>
    <w:rsid w:val="00CE00DF"/>
    <w:rsid w:val="00CE0F5D"/>
    <w:rsid w:val="00CE21EC"/>
    <w:rsid w:val="00CE330A"/>
    <w:rsid w:val="00CE4BC2"/>
    <w:rsid w:val="00CE5000"/>
    <w:rsid w:val="00CE5FCA"/>
    <w:rsid w:val="00CF1B77"/>
    <w:rsid w:val="00CF415F"/>
    <w:rsid w:val="00CF444A"/>
    <w:rsid w:val="00CF4EBA"/>
    <w:rsid w:val="00CF6410"/>
    <w:rsid w:val="00CF7A31"/>
    <w:rsid w:val="00D00890"/>
    <w:rsid w:val="00D021D8"/>
    <w:rsid w:val="00D0226E"/>
    <w:rsid w:val="00D03337"/>
    <w:rsid w:val="00D03707"/>
    <w:rsid w:val="00D04213"/>
    <w:rsid w:val="00D04251"/>
    <w:rsid w:val="00D05F71"/>
    <w:rsid w:val="00D100E8"/>
    <w:rsid w:val="00D1071C"/>
    <w:rsid w:val="00D11215"/>
    <w:rsid w:val="00D11BC3"/>
    <w:rsid w:val="00D11C84"/>
    <w:rsid w:val="00D12241"/>
    <w:rsid w:val="00D127CC"/>
    <w:rsid w:val="00D12EE5"/>
    <w:rsid w:val="00D13260"/>
    <w:rsid w:val="00D13C3F"/>
    <w:rsid w:val="00D15419"/>
    <w:rsid w:val="00D156EB"/>
    <w:rsid w:val="00D167C7"/>
    <w:rsid w:val="00D17BAD"/>
    <w:rsid w:val="00D21168"/>
    <w:rsid w:val="00D21BD5"/>
    <w:rsid w:val="00D2278B"/>
    <w:rsid w:val="00D22DE0"/>
    <w:rsid w:val="00D22F32"/>
    <w:rsid w:val="00D233C6"/>
    <w:rsid w:val="00D233F2"/>
    <w:rsid w:val="00D2581D"/>
    <w:rsid w:val="00D25954"/>
    <w:rsid w:val="00D25CB0"/>
    <w:rsid w:val="00D2608A"/>
    <w:rsid w:val="00D27066"/>
    <w:rsid w:val="00D3045C"/>
    <w:rsid w:val="00D30CEC"/>
    <w:rsid w:val="00D30D5C"/>
    <w:rsid w:val="00D31298"/>
    <w:rsid w:val="00D3148A"/>
    <w:rsid w:val="00D329C4"/>
    <w:rsid w:val="00D3480E"/>
    <w:rsid w:val="00D34B0C"/>
    <w:rsid w:val="00D36DD2"/>
    <w:rsid w:val="00D375EC"/>
    <w:rsid w:val="00D3785D"/>
    <w:rsid w:val="00D37C40"/>
    <w:rsid w:val="00D403C9"/>
    <w:rsid w:val="00D41C12"/>
    <w:rsid w:val="00D42526"/>
    <w:rsid w:val="00D42C1B"/>
    <w:rsid w:val="00D42C20"/>
    <w:rsid w:val="00D435E0"/>
    <w:rsid w:val="00D4373E"/>
    <w:rsid w:val="00D4417B"/>
    <w:rsid w:val="00D44DC1"/>
    <w:rsid w:val="00D44F0D"/>
    <w:rsid w:val="00D45B48"/>
    <w:rsid w:val="00D460A8"/>
    <w:rsid w:val="00D46567"/>
    <w:rsid w:val="00D470B3"/>
    <w:rsid w:val="00D52076"/>
    <w:rsid w:val="00D52625"/>
    <w:rsid w:val="00D5270B"/>
    <w:rsid w:val="00D52902"/>
    <w:rsid w:val="00D52E28"/>
    <w:rsid w:val="00D54292"/>
    <w:rsid w:val="00D542B8"/>
    <w:rsid w:val="00D55575"/>
    <w:rsid w:val="00D5638B"/>
    <w:rsid w:val="00D573C5"/>
    <w:rsid w:val="00D61287"/>
    <w:rsid w:val="00D619DB"/>
    <w:rsid w:val="00D61C30"/>
    <w:rsid w:val="00D62608"/>
    <w:rsid w:val="00D62A08"/>
    <w:rsid w:val="00D63B41"/>
    <w:rsid w:val="00D64BD1"/>
    <w:rsid w:val="00D64BE7"/>
    <w:rsid w:val="00D6552D"/>
    <w:rsid w:val="00D66451"/>
    <w:rsid w:val="00D66E3C"/>
    <w:rsid w:val="00D70E07"/>
    <w:rsid w:val="00D71A07"/>
    <w:rsid w:val="00D71DFE"/>
    <w:rsid w:val="00D73689"/>
    <w:rsid w:val="00D741D5"/>
    <w:rsid w:val="00D7445B"/>
    <w:rsid w:val="00D74D5D"/>
    <w:rsid w:val="00D772C9"/>
    <w:rsid w:val="00D774A3"/>
    <w:rsid w:val="00D77666"/>
    <w:rsid w:val="00D8092C"/>
    <w:rsid w:val="00D80DD9"/>
    <w:rsid w:val="00D80E9C"/>
    <w:rsid w:val="00D82418"/>
    <w:rsid w:val="00D83C4F"/>
    <w:rsid w:val="00D845E0"/>
    <w:rsid w:val="00D84961"/>
    <w:rsid w:val="00D85D08"/>
    <w:rsid w:val="00D85FCD"/>
    <w:rsid w:val="00D87A27"/>
    <w:rsid w:val="00D87A61"/>
    <w:rsid w:val="00D90FA0"/>
    <w:rsid w:val="00D91F31"/>
    <w:rsid w:val="00D92022"/>
    <w:rsid w:val="00D924A5"/>
    <w:rsid w:val="00D9433E"/>
    <w:rsid w:val="00D94E9C"/>
    <w:rsid w:val="00D95585"/>
    <w:rsid w:val="00D955A3"/>
    <w:rsid w:val="00D970DC"/>
    <w:rsid w:val="00D979A8"/>
    <w:rsid w:val="00DA0146"/>
    <w:rsid w:val="00DA07C7"/>
    <w:rsid w:val="00DA0ACD"/>
    <w:rsid w:val="00DA1595"/>
    <w:rsid w:val="00DA1BDB"/>
    <w:rsid w:val="00DA1DA0"/>
    <w:rsid w:val="00DA3594"/>
    <w:rsid w:val="00DA3CB4"/>
    <w:rsid w:val="00DA3CE9"/>
    <w:rsid w:val="00DA3FC4"/>
    <w:rsid w:val="00DA6447"/>
    <w:rsid w:val="00DB0A72"/>
    <w:rsid w:val="00DB0AB8"/>
    <w:rsid w:val="00DB0B27"/>
    <w:rsid w:val="00DB18AC"/>
    <w:rsid w:val="00DB288C"/>
    <w:rsid w:val="00DB2FD4"/>
    <w:rsid w:val="00DB351D"/>
    <w:rsid w:val="00DB4F14"/>
    <w:rsid w:val="00DB7152"/>
    <w:rsid w:val="00DB723F"/>
    <w:rsid w:val="00DB7847"/>
    <w:rsid w:val="00DB7D80"/>
    <w:rsid w:val="00DC0ED1"/>
    <w:rsid w:val="00DC2C85"/>
    <w:rsid w:val="00DC2CC8"/>
    <w:rsid w:val="00DC36A0"/>
    <w:rsid w:val="00DC3E91"/>
    <w:rsid w:val="00DC4190"/>
    <w:rsid w:val="00DC5DC1"/>
    <w:rsid w:val="00DC6151"/>
    <w:rsid w:val="00DC6478"/>
    <w:rsid w:val="00DC6E6A"/>
    <w:rsid w:val="00DD09D1"/>
    <w:rsid w:val="00DD10C4"/>
    <w:rsid w:val="00DD1668"/>
    <w:rsid w:val="00DD2F09"/>
    <w:rsid w:val="00DD331C"/>
    <w:rsid w:val="00DD3B7B"/>
    <w:rsid w:val="00DD4288"/>
    <w:rsid w:val="00DD5FCC"/>
    <w:rsid w:val="00DD6DBC"/>
    <w:rsid w:val="00DD7247"/>
    <w:rsid w:val="00DD7F7A"/>
    <w:rsid w:val="00DE0C98"/>
    <w:rsid w:val="00DE4FC6"/>
    <w:rsid w:val="00DE5DD1"/>
    <w:rsid w:val="00DE68CB"/>
    <w:rsid w:val="00DE72A8"/>
    <w:rsid w:val="00DF0109"/>
    <w:rsid w:val="00DF26C5"/>
    <w:rsid w:val="00DF3F5D"/>
    <w:rsid w:val="00DF577A"/>
    <w:rsid w:val="00DF6426"/>
    <w:rsid w:val="00DF6FB9"/>
    <w:rsid w:val="00E0161D"/>
    <w:rsid w:val="00E016F2"/>
    <w:rsid w:val="00E0176B"/>
    <w:rsid w:val="00E020B8"/>
    <w:rsid w:val="00E02BE3"/>
    <w:rsid w:val="00E03000"/>
    <w:rsid w:val="00E03CA7"/>
    <w:rsid w:val="00E04163"/>
    <w:rsid w:val="00E05402"/>
    <w:rsid w:val="00E066A2"/>
    <w:rsid w:val="00E06888"/>
    <w:rsid w:val="00E07FCC"/>
    <w:rsid w:val="00E10F2F"/>
    <w:rsid w:val="00E14497"/>
    <w:rsid w:val="00E1512E"/>
    <w:rsid w:val="00E15CF4"/>
    <w:rsid w:val="00E16138"/>
    <w:rsid w:val="00E166A9"/>
    <w:rsid w:val="00E17098"/>
    <w:rsid w:val="00E179D9"/>
    <w:rsid w:val="00E201B7"/>
    <w:rsid w:val="00E20DFB"/>
    <w:rsid w:val="00E20EBC"/>
    <w:rsid w:val="00E2147B"/>
    <w:rsid w:val="00E2216F"/>
    <w:rsid w:val="00E23765"/>
    <w:rsid w:val="00E23FAA"/>
    <w:rsid w:val="00E24964"/>
    <w:rsid w:val="00E24CCA"/>
    <w:rsid w:val="00E26F91"/>
    <w:rsid w:val="00E31743"/>
    <w:rsid w:val="00E31D02"/>
    <w:rsid w:val="00E32F3C"/>
    <w:rsid w:val="00E33B6F"/>
    <w:rsid w:val="00E34EB8"/>
    <w:rsid w:val="00E3545A"/>
    <w:rsid w:val="00E355A0"/>
    <w:rsid w:val="00E37811"/>
    <w:rsid w:val="00E41C44"/>
    <w:rsid w:val="00E41F54"/>
    <w:rsid w:val="00E42B0B"/>
    <w:rsid w:val="00E43602"/>
    <w:rsid w:val="00E43B9B"/>
    <w:rsid w:val="00E43BB5"/>
    <w:rsid w:val="00E46D45"/>
    <w:rsid w:val="00E46D81"/>
    <w:rsid w:val="00E502A0"/>
    <w:rsid w:val="00E50907"/>
    <w:rsid w:val="00E50AF4"/>
    <w:rsid w:val="00E50BF6"/>
    <w:rsid w:val="00E5121D"/>
    <w:rsid w:val="00E51C36"/>
    <w:rsid w:val="00E52B49"/>
    <w:rsid w:val="00E54135"/>
    <w:rsid w:val="00E54218"/>
    <w:rsid w:val="00E549F1"/>
    <w:rsid w:val="00E55C40"/>
    <w:rsid w:val="00E55E55"/>
    <w:rsid w:val="00E563F6"/>
    <w:rsid w:val="00E56C26"/>
    <w:rsid w:val="00E56E40"/>
    <w:rsid w:val="00E60ED0"/>
    <w:rsid w:val="00E62BA3"/>
    <w:rsid w:val="00E62CC5"/>
    <w:rsid w:val="00E62DEC"/>
    <w:rsid w:val="00E63465"/>
    <w:rsid w:val="00E635F9"/>
    <w:rsid w:val="00E639FD"/>
    <w:rsid w:val="00E6542A"/>
    <w:rsid w:val="00E70075"/>
    <w:rsid w:val="00E701A2"/>
    <w:rsid w:val="00E71728"/>
    <w:rsid w:val="00E72AAA"/>
    <w:rsid w:val="00E74B79"/>
    <w:rsid w:val="00E74DDF"/>
    <w:rsid w:val="00E75C6E"/>
    <w:rsid w:val="00E75F2B"/>
    <w:rsid w:val="00E80155"/>
    <w:rsid w:val="00E80A6D"/>
    <w:rsid w:val="00E8150C"/>
    <w:rsid w:val="00E82CCE"/>
    <w:rsid w:val="00E82D35"/>
    <w:rsid w:val="00E83177"/>
    <w:rsid w:val="00E8393F"/>
    <w:rsid w:val="00E85953"/>
    <w:rsid w:val="00E85D2D"/>
    <w:rsid w:val="00E862C3"/>
    <w:rsid w:val="00E865CC"/>
    <w:rsid w:val="00E87C3C"/>
    <w:rsid w:val="00E90690"/>
    <w:rsid w:val="00E9260E"/>
    <w:rsid w:val="00E932D7"/>
    <w:rsid w:val="00E935EE"/>
    <w:rsid w:val="00E93DF4"/>
    <w:rsid w:val="00E947A1"/>
    <w:rsid w:val="00E950A0"/>
    <w:rsid w:val="00E9534D"/>
    <w:rsid w:val="00E97AB8"/>
    <w:rsid w:val="00E97D66"/>
    <w:rsid w:val="00EA0472"/>
    <w:rsid w:val="00EA0F0F"/>
    <w:rsid w:val="00EA1E67"/>
    <w:rsid w:val="00EA2B7E"/>
    <w:rsid w:val="00EA3EA8"/>
    <w:rsid w:val="00EA402D"/>
    <w:rsid w:val="00EA4AA5"/>
    <w:rsid w:val="00EA4D7C"/>
    <w:rsid w:val="00EA6113"/>
    <w:rsid w:val="00EA6A2A"/>
    <w:rsid w:val="00EA7480"/>
    <w:rsid w:val="00EA79CE"/>
    <w:rsid w:val="00EA7C2C"/>
    <w:rsid w:val="00EA7E92"/>
    <w:rsid w:val="00EB08D8"/>
    <w:rsid w:val="00EB141D"/>
    <w:rsid w:val="00EB1431"/>
    <w:rsid w:val="00EB1DDB"/>
    <w:rsid w:val="00EB2488"/>
    <w:rsid w:val="00EB26F8"/>
    <w:rsid w:val="00EB2975"/>
    <w:rsid w:val="00EB3937"/>
    <w:rsid w:val="00EB39FD"/>
    <w:rsid w:val="00EB3FCC"/>
    <w:rsid w:val="00EB4229"/>
    <w:rsid w:val="00EB4AC5"/>
    <w:rsid w:val="00EB71D9"/>
    <w:rsid w:val="00EB7450"/>
    <w:rsid w:val="00EC0217"/>
    <w:rsid w:val="00EC0AF1"/>
    <w:rsid w:val="00EC0DE4"/>
    <w:rsid w:val="00EC40DA"/>
    <w:rsid w:val="00EC45AB"/>
    <w:rsid w:val="00EC4BBC"/>
    <w:rsid w:val="00EC645C"/>
    <w:rsid w:val="00EC64A6"/>
    <w:rsid w:val="00EC6543"/>
    <w:rsid w:val="00EC696C"/>
    <w:rsid w:val="00EC69F3"/>
    <w:rsid w:val="00EC6A6E"/>
    <w:rsid w:val="00EC7165"/>
    <w:rsid w:val="00ED173B"/>
    <w:rsid w:val="00ED2905"/>
    <w:rsid w:val="00ED41E3"/>
    <w:rsid w:val="00ED42E3"/>
    <w:rsid w:val="00ED4B5F"/>
    <w:rsid w:val="00ED664D"/>
    <w:rsid w:val="00ED6ACA"/>
    <w:rsid w:val="00ED7140"/>
    <w:rsid w:val="00ED74F9"/>
    <w:rsid w:val="00ED7AFB"/>
    <w:rsid w:val="00EE10BC"/>
    <w:rsid w:val="00EE2533"/>
    <w:rsid w:val="00EE25DA"/>
    <w:rsid w:val="00EE2BE4"/>
    <w:rsid w:val="00EE372A"/>
    <w:rsid w:val="00EE3793"/>
    <w:rsid w:val="00EE42AB"/>
    <w:rsid w:val="00EE4F8A"/>
    <w:rsid w:val="00EE5E0F"/>
    <w:rsid w:val="00EE6E26"/>
    <w:rsid w:val="00EE6F6B"/>
    <w:rsid w:val="00EE74E8"/>
    <w:rsid w:val="00EE7ABA"/>
    <w:rsid w:val="00EE7CB3"/>
    <w:rsid w:val="00EF0B5B"/>
    <w:rsid w:val="00EF154C"/>
    <w:rsid w:val="00EF1B23"/>
    <w:rsid w:val="00EF2B8F"/>
    <w:rsid w:val="00EF35F1"/>
    <w:rsid w:val="00EF4942"/>
    <w:rsid w:val="00EF4BCB"/>
    <w:rsid w:val="00EF600A"/>
    <w:rsid w:val="00F00DCD"/>
    <w:rsid w:val="00F00E44"/>
    <w:rsid w:val="00F02C0F"/>
    <w:rsid w:val="00F030FC"/>
    <w:rsid w:val="00F0346E"/>
    <w:rsid w:val="00F05A79"/>
    <w:rsid w:val="00F07CF8"/>
    <w:rsid w:val="00F10740"/>
    <w:rsid w:val="00F10955"/>
    <w:rsid w:val="00F12747"/>
    <w:rsid w:val="00F13780"/>
    <w:rsid w:val="00F1503F"/>
    <w:rsid w:val="00F15E82"/>
    <w:rsid w:val="00F16DC0"/>
    <w:rsid w:val="00F16E59"/>
    <w:rsid w:val="00F17312"/>
    <w:rsid w:val="00F2210A"/>
    <w:rsid w:val="00F2467B"/>
    <w:rsid w:val="00F253C5"/>
    <w:rsid w:val="00F2587A"/>
    <w:rsid w:val="00F263A5"/>
    <w:rsid w:val="00F27CA6"/>
    <w:rsid w:val="00F30503"/>
    <w:rsid w:val="00F30DF9"/>
    <w:rsid w:val="00F30DFC"/>
    <w:rsid w:val="00F31427"/>
    <w:rsid w:val="00F3199E"/>
    <w:rsid w:val="00F3216E"/>
    <w:rsid w:val="00F32A38"/>
    <w:rsid w:val="00F32C47"/>
    <w:rsid w:val="00F33F10"/>
    <w:rsid w:val="00F340D3"/>
    <w:rsid w:val="00F360EC"/>
    <w:rsid w:val="00F36D96"/>
    <w:rsid w:val="00F37820"/>
    <w:rsid w:val="00F379C1"/>
    <w:rsid w:val="00F40C2B"/>
    <w:rsid w:val="00F40C31"/>
    <w:rsid w:val="00F40CFF"/>
    <w:rsid w:val="00F42A88"/>
    <w:rsid w:val="00F430C0"/>
    <w:rsid w:val="00F43F55"/>
    <w:rsid w:val="00F44160"/>
    <w:rsid w:val="00F44584"/>
    <w:rsid w:val="00F4570B"/>
    <w:rsid w:val="00F468FA"/>
    <w:rsid w:val="00F47530"/>
    <w:rsid w:val="00F4753C"/>
    <w:rsid w:val="00F505B1"/>
    <w:rsid w:val="00F50CE2"/>
    <w:rsid w:val="00F51027"/>
    <w:rsid w:val="00F52185"/>
    <w:rsid w:val="00F527A4"/>
    <w:rsid w:val="00F52C70"/>
    <w:rsid w:val="00F52D95"/>
    <w:rsid w:val="00F537C1"/>
    <w:rsid w:val="00F5385B"/>
    <w:rsid w:val="00F552D0"/>
    <w:rsid w:val="00F55364"/>
    <w:rsid w:val="00F55681"/>
    <w:rsid w:val="00F5627D"/>
    <w:rsid w:val="00F567A5"/>
    <w:rsid w:val="00F60593"/>
    <w:rsid w:val="00F6343F"/>
    <w:rsid w:val="00F642DD"/>
    <w:rsid w:val="00F6517A"/>
    <w:rsid w:val="00F66709"/>
    <w:rsid w:val="00F67945"/>
    <w:rsid w:val="00F67E50"/>
    <w:rsid w:val="00F7062C"/>
    <w:rsid w:val="00F7070C"/>
    <w:rsid w:val="00F71DF2"/>
    <w:rsid w:val="00F72546"/>
    <w:rsid w:val="00F737A1"/>
    <w:rsid w:val="00F743BF"/>
    <w:rsid w:val="00F755F3"/>
    <w:rsid w:val="00F758B7"/>
    <w:rsid w:val="00F75995"/>
    <w:rsid w:val="00F76ADD"/>
    <w:rsid w:val="00F76C47"/>
    <w:rsid w:val="00F76FC5"/>
    <w:rsid w:val="00F77154"/>
    <w:rsid w:val="00F7759C"/>
    <w:rsid w:val="00F77ABF"/>
    <w:rsid w:val="00F808DB"/>
    <w:rsid w:val="00F821C3"/>
    <w:rsid w:val="00F82288"/>
    <w:rsid w:val="00F842E7"/>
    <w:rsid w:val="00F85F43"/>
    <w:rsid w:val="00F8600F"/>
    <w:rsid w:val="00F86580"/>
    <w:rsid w:val="00F8684A"/>
    <w:rsid w:val="00F86C01"/>
    <w:rsid w:val="00F871BF"/>
    <w:rsid w:val="00F87898"/>
    <w:rsid w:val="00F90F42"/>
    <w:rsid w:val="00F91078"/>
    <w:rsid w:val="00F9107E"/>
    <w:rsid w:val="00F9212A"/>
    <w:rsid w:val="00F923DC"/>
    <w:rsid w:val="00F9312F"/>
    <w:rsid w:val="00F942B3"/>
    <w:rsid w:val="00F951DC"/>
    <w:rsid w:val="00F95EF1"/>
    <w:rsid w:val="00FA1318"/>
    <w:rsid w:val="00FA2666"/>
    <w:rsid w:val="00FA303E"/>
    <w:rsid w:val="00FA435A"/>
    <w:rsid w:val="00FA5EBC"/>
    <w:rsid w:val="00FA6091"/>
    <w:rsid w:val="00FA7248"/>
    <w:rsid w:val="00FA78DD"/>
    <w:rsid w:val="00FA7D26"/>
    <w:rsid w:val="00FB05D9"/>
    <w:rsid w:val="00FB0C81"/>
    <w:rsid w:val="00FB109B"/>
    <w:rsid w:val="00FB14A6"/>
    <w:rsid w:val="00FB290D"/>
    <w:rsid w:val="00FB7820"/>
    <w:rsid w:val="00FC03B2"/>
    <w:rsid w:val="00FC0687"/>
    <w:rsid w:val="00FC0D18"/>
    <w:rsid w:val="00FC10BD"/>
    <w:rsid w:val="00FC2BCE"/>
    <w:rsid w:val="00FC3279"/>
    <w:rsid w:val="00FC3F0D"/>
    <w:rsid w:val="00FC47FE"/>
    <w:rsid w:val="00FC52E6"/>
    <w:rsid w:val="00FC64FC"/>
    <w:rsid w:val="00FC6516"/>
    <w:rsid w:val="00FC6D10"/>
    <w:rsid w:val="00FC7BF4"/>
    <w:rsid w:val="00FC7CCF"/>
    <w:rsid w:val="00FD0FAC"/>
    <w:rsid w:val="00FD0FF5"/>
    <w:rsid w:val="00FD1A24"/>
    <w:rsid w:val="00FD207C"/>
    <w:rsid w:val="00FD3D7D"/>
    <w:rsid w:val="00FD41E1"/>
    <w:rsid w:val="00FD54D6"/>
    <w:rsid w:val="00FD5695"/>
    <w:rsid w:val="00FE02D8"/>
    <w:rsid w:val="00FE0E27"/>
    <w:rsid w:val="00FE1BE0"/>
    <w:rsid w:val="00FE23C4"/>
    <w:rsid w:val="00FE23CD"/>
    <w:rsid w:val="00FE2417"/>
    <w:rsid w:val="00FE2551"/>
    <w:rsid w:val="00FE26F2"/>
    <w:rsid w:val="00FE28E8"/>
    <w:rsid w:val="00FE32C2"/>
    <w:rsid w:val="00FE3600"/>
    <w:rsid w:val="00FE3B71"/>
    <w:rsid w:val="00FE77BE"/>
    <w:rsid w:val="00FE7820"/>
    <w:rsid w:val="00FF0BD2"/>
    <w:rsid w:val="00FF1D8C"/>
    <w:rsid w:val="00FF269F"/>
    <w:rsid w:val="00FF31D3"/>
    <w:rsid w:val="00FF4851"/>
    <w:rsid w:val="00FF5DE1"/>
    <w:rsid w:val="00FF60B4"/>
    <w:rsid w:val="00FF6476"/>
    <w:rsid w:val="00FF7AB0"/>
    <w:rsid w:val="00FF7F1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ED966"/>
  <w15:docId w15:val="{E9955FAE-83D8-4169-A499-5E3BAF9CB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D45"/>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AB1D79"/>
    <w:pPr>
      <w:keepNext/>
      <w:tabs>
        <w:tab w:val="right" w:pos="8460"/>
      </w:tabs>
      <w:outlineLvl w:val="0"/>
    </w:pPr>
    <w:rPr>
      <w:rFonts w:ascii="Courier New" w:hAnsi="Courier New"/>
      <w:b/>
    </w:rPr>
  </w:style>
  <w:style w:type="paragraph" w:styleId="Heading2">
    <w:name w:val="heading 2"/>
    <w:basedOn w:val="Normal"/>
    <w:next w:val="Normal"/>
    <w:link w:val="Heading2Char"/>
    <w:qFormat/>
    <w:rsid w:val="00AB1D79"/>
    <w:pPr>
      <w:keepNext/>
      <w:jc w:val="both"/>
      <w:outlineLvl w:val="1"/>
    </w:pPr>
    <w:rPr>
      <w:rFonts w:ascii="Courier New" w:hAnsi="Courier New"/>
      <w:b/>
    </w:rPr>
  </w:style>
  <w:style w:type="paragraph" w:styleId="Heading3">
    <w:name w:val="heading 3"/>
    <w:basedOn w:val="Normal"/>
    <w:next w:val="Normal"/>
    <w:link w:val="Heading3Char"/>
    <w:qFormat/>
    <w:rsid w:val="00AB1D79"/>
    <w:pPr>
      <w:keepNext/>
      <w:ind w:right="571"/>
      <w:jc w:val="both"/>
      <w:outlineLvl w:val="2"/>
    </w:pPr>
    <w:rPr>
      <w:rFonts w:ascii="Courier New" w:hAnsi="Courier New"/>
      <w:b/>
    </w:rPr>
  </w:style>
  <w:style w:type="paragraph" w:styleId="Heading4">
    <w:name w:val="heading 4"/>
    <w:basedOn w:val="Normal"/>
    <w:next w:val="Normal"/>
    <w:link w:val="Heading4Char"/>
    <w:qFormat/>
    <w:rsid w:val="00AB1D79"/>
    <w:pPr>
      <w:keepNext/>
      <w:tabs>
        <w:tab w:val="right" w:pos="8080"/>
        <w:tab w:val="right" w:pos="10080"/>
      </w:tabs>
      <w:ind w:left="270"/>
      <w:outlineLvl w:val="3"/>
    </w:pPr>
    <w:rPr>
      <w:rFonts w:ascii="Courier New" w:hAnsi="Courier New"/>
      <w:b/>
      <w:sz w:val="18"/>
    </w:rPr>
  </w:style>
  <w:style w:type="paragraph" w:styleId="Heading5">
    <w:name w:val="heading 5"/>
    <w:basedOn w:val="Normal"/>
    <w:next w:val="Normal"/>
    <w:link w:val="Heading5Char"/>
    <w:qFormat/>
    <w:rsid w:val="00AB1D79"/>
    <w:pPr>
      <w:keepNext/>
      <w:ind w:right="732"/>
      <w:jc w:val="both"/>
      <w:outlineLvl w:val="4"/>
    </w:pPr>
    <w:rPr>
      <w:rFonts w:ascii="Courier New" w:hAnsi="Courier New"/>
      <w:b/>
    </w:rPr>
  </w:style>
  <w:style w:type="paragraph" w:styleId="Heading6">
    <w:name w:val="heading 6"/>
    <w:basedOn w:val="Normal"/>
    <w:next w:val="Normal"/>
    <w:link w:val="Heading6Char"/>
    <w:qFormat/>
    <w:rsid w:val="00AB1D79"/>
    <w:pPr>
      <w:keepNext/>
      <w:ind w:right="732"/>
      <w:outlineLvl w:val="5"/>
    </w:pPr>
    <w:rPr>
      <w:rFonts w:ascii="Courier New" w:hAnsi="Courier New"/>
      <w:b/>
    </w:rPr>
  </w:style>
  <w:style w:type="paragraph" w:styleId="Heading7">
    <w:name w:val="heading 7"/>
    <w:basedOn w:val="Normal"/>
    <w:next w:val="Normal"/>
    <w:link w:val="Heading7Char"/>
    <w:qFormat/>
    <w:rsid w:val="00AB1D79"/>
    <w:pPr>
      <w:keepNext/>
      <w:tabs>
        <w:tab w:val="decimal" w:pos="8460"/>
        <w:tab w:val="decimal" w:pos="10080"/>
      </w:tabs>
      <w:ind w:left="720"/>
      <w:outlineLvl w:val="6"/>
    </w:pPr>
    <w:rPr>
      <w:rFonts w:ascii="Courier New" w:hAnsi="Courier New"/>
      <w:b/>
      <w:sz w:val="18"/>
    </w:rPr>
  </w:style>
  <w:style w:type="paragraph" w:styleId="Heading8">
    <w:name w:val="heading 8"/>
    <w:basedOn w:val="Normal"/>
    <w:next w:val="Normal"/>
    <w:link w:val="Heading8Char"/>
    <w:qFormat/>
    <w:rsid w:val="00AB1D79"/>
    <w:pPr>
      <w:keepNext/>
      <w:ind w:right="1095"/>
      <w:jc w:val="both"/>
      <w:outlineLvl w:val="7"/>
    </w:pPr>
    <w:rPr>
      <w:rFonts w:ascii="Courier New" w:hAnsi="Courier New"/>
      <w:b/>
    </w:rPr>
  </w:style>
  <w:style w:type="paragraph" w:styleId="Heading9">
    <w:name w:val="heading 9"/>
    <w:basedOn w:val="Normal"/>
    <w:next w:val="Normal"/>
    <w:link w:val="Heading9Char"/>
    <w:qFormat/>
    <w:rsid w:val="00AB1D79"/>
    <w:pPr>
      <w:keepNext/>
      <w:ind w:left="284" w:hanging="284"/>
      <w:outlineLvl w:val="8"/>
    </w:pPr>
    <w:rPr>
      <w:rFonts w:ascii="Courier New" w:hAnsi="Courier New"/>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F4E9E"/>
    <w:pPr>
      <w:spacing w:after="0" w:line="240" w:lineRule="auto"/>
    </w:pPr>
    <w:rPr>
      <w:lang w:val="en-US"/>
    </w:rPr>
  </w:style>
  <w:style w:type="character" w:styleId="Hyperlink">
    <w:name w:val="Hyperlink"/>
    <w:basedOn w:val="DefaultParagraphFont"/>
    <w:unhideWhenUsed/>
    <w:rsid w:val="003F4E9E"/>
    <w:rPr>
      <w:color w:val="0000FF" w:themeColor="hyperlink"/>
      <w:u w:val="single"/>
    </w:rPr>
  </w:style>
  <w:style w:type="paragraph" w:customStyle="1" w:styleId="po">
    <w:name w:val="po"/>
    <w:basedOn w:val="Normal"/>
    <w:rsid w:val="003F4E9E"/>
    <w:pPr>
      <w:spacing w:before="100" w:beforeAutospacing="1" w:after="100" w:afterAutospacing="1"/>
    </w:pPr>
    <w:rPr>
      <w:sz w:val="24"/>
      <w:szCs w:val="24"/>
      <w:lang w:eastAsia="en-GB"/>
    </w:rPr>
  </w:style>
  <w:style w:type="paragraph" w:styleId="ListParagraph">
    <w:name w:val="List Paragraph"/>
    <w:basedOn w:val="Normal"/>
    <w:link w:val="ListParagraphChar"/>
    <w:uiPriority w:val="34"/>
    <w:qFormat/>
    <w:rsid w:val="003F4E9E"/>
    <w:pPr>
      <w:spacing w:before="120" w:after="120"/>
      <w:ind w:left="720"/>
      <w:contextualSpacing/>
    </w:pPr>
    <w:rPr>
      <w:rFonts w:ascii="Gill Sans MT" w:eastAsiaTheme="minorHAnsi" w:hAnsi="Gill Sans MT" w:cstheme="minorBidi"/>
      <w:sz w:val="22"/>
      <w:szCs w:val="22"/>
    </w:rPr>
  </w:style>
  <w:style w:type="character" w:customStyle="1" w:styleId="ListParagraphChar">
    <w:name w:val="List Paragraph Char"/>
    <w:basedOn w:val="DefaultParagraphFont"/>
    <w:link w:val="ListParagraph"/>
    <w:uiPriority w:val="34"/>
    <w:locked/>
    <w:rsid w:val="003F4E9E"/>
    <w:rPr>
      <w:rFonts w:ascii="Gill Sans MT" w:hAnsi="Gill Sans MT"/>
      <w:lang w:val="en-GB"/>
    </w:rPr>
  </w:style>
  <w:style w:type="character" w:styleId="CommentReference">
    <w:name w:val="annotation reference"/>
    <w:basedOn w:val="DefaultParagraphFont"/>
    <w:uiPriority w:val="99"/>
    <w:semiHidden/>
    <w:unhideWhenUsed/>
    <w:rsid w:val="0092737D"/>
    <w:rPr>
      <w:sz w:val="16"/>
      <w:szCs w:val="16"/>
    </w:rPr>
  </w:style>
  <w:style w:type="paragraph" w:styleId="CommentText">
    <w:name w:val="annotation text"/>
    <w:basedOn w:val="Normal"/>
    <w:link w:val="CommentTextChar"/>
    <w:uiPriority w:val="99"/>
    <w:unhideWhenUsed/>
    <w:rsid w:val="0092737D"/>
  </w:style>
  <w:style w:type="character" w:customStyle="1" w:styleId="CommentTextChar">
    <w:name w:val="Comment Text Char"/>
    <w:basedOn w:val="DefaultParagraphFont"/>
    <w:link w:val="CommentText"/>
    <w:uiPriority w:val="99"/>
    <w:rsid w:val="0092737D"/>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unhideWhenUsed/>
    <w:rsid w:val="0092737D"/>
    <w:rPr>
      <w:b/>
      <w:bCs/>
    </w:rPr>
  </w:style>
  <w:style w:type="character" w:customStyle="1" w:styleId="CommentSubjectChar">
    <w:name w:val="Comment Subject Char"/>
    <w:basedOn w:val="CommentTextChar"/>
    <w:link w:val="CommentSubject"/>
    <w:semiHidden/>
    <w:rsid w:val="0092737D"/>
    <w:rPr>
      <w:rFonts w:ascii="Times New Roman" w:eastAsia="Times New Roman" w:hAnsi="Times New Roman" w:cs="Times New Roman"/>
      <w:b/>
      <w:bCs/>
      <w:sz w:val="20"/>
      <w:szCs w:val="20"/>
      <w:lang w:val="en-GB"/>
    </w:rPr>
  </w:style>
  <w:style w:type="paragraph" w:styleId="BalloonText">
    <w:name w:val="Balloon Text"/>
    <w:basedOn w:val="Normal"/>
    <w:link w:val="BalloonTextChar"/>
    <w:semiHidden/>
    <w:unhideWhenUsed/>
    <w:rsid w:val="0092737D"/>
    <w:rPr>
      <w:rFonts w:ascii="Tahoma" w:hAnsi="Tahoma" w:cs="Tahoma"/>
      <w:sz w:val="16"/>
      <w:szCs w:val="16"/>
    </w:rPr>
  </w:style>
  <w:style w:type="character" w:customStyle="1" w:styleId="BalloonTextChar">
    <w:name w:val="Balloon Text Char"/>
    <w:basedOn w:val="DefaultParagraphFont"/>
    <w:link w:val="BalloonText"/>
    <w:semiHidden/>
    <w:rsid w:val="0092737D"/>
    <w:rPr>
      <w:rFonts w:ascii="Tahoma" w:eastAsia="Times New Roman" w:hAnsi="Tahoma" w:cs="Tahoma"/>
      <w:sz w:val="16"/>
      <w:szCs w:val="16"/>
      <w:lang w:val="en-GB"/>
    </w:rPr>
  </w:style>
  <w:style w:type="character" w:customStyle="1" w:styleId="Heading1Char">
    <w:name w:val="Heading 1 Char"/>
    <w:basedOn w:val="DefaultParagraphFont"/>
    <w:link w:val="Heading1"/>
    <w:rsid w:val="00AB1D79"/>
    <w:rPr>
      <w:rFonts w:ascii="Courier New" w:eastAsia="Times New Roman" w:hAnsi="Courier New" w:cs="Times New Roman"/>
      <w:b/>
      <w:sz w:val="20"/>
      <w:szCs w:val="20"/>
      <w:lang w:val="en-GB"/>
    </w:rPr>
  </w:style>
  <w:style w:type="character" w:customStyle="1" w:styleId="Heading2Char">
    <w:name w:val="Heading 2 Char"/>
    <w:basedOn w:val="DefaultParagraphFont"/>
    <w:link w:val="Heading2"/>
    <w:rsid w:val="00AB1D79"/>
    <w:rPr>
      <w:rFonts w:ascii="Courier New" w:eastAsia="Times New Roman" w:hAnsi="Courier New" w:cs="Times New Roman"/>
      <w:b/>
      <w:sz w:val="20"/>
      <w:szCs w:val="20"/>
      <w:lang w:val="en-GB"/>
    </w:rPr>
  </w:style>
  <w:style w:type="character" w:customStyle="1" w:styleId="Heading3Char">
    <w:name w:val="Heading 3 Char"/>
    <w:basedOn w:val="DefaultParagraphFont"/>
    <w:link w:val="Heading3"/>
    <w:rsid w:val="00AB1D79"/>
    <w:rPr>
      <w:rFonts w:ascii="Courier New" w:eastAsia="Times New Roman" w:hAnsi="Courier New" w:cs="Times New Roman"/>
      <w:b/>
      <w:sz w:val="20"/>
      <w:szCs w:val="20"/>
      <w:lang w:val="en-GB"/>
    </w:rPr>
  </w:style>
  <w:style w:type="character" w:customStyle="1" w:styleId="Heading4Char">
    <w:name w:val="Heading 4 Char"/>
    <w:basedOn w:val="DefaultParagraphFont"/>
    <w:link w:val="Heading4"/>
    <w:rsid w:val="00AB1D79"/>
    <w:rPr>
      <w:rFonts w:ascii="Courier New" w:eastAsia="Times New Roman" w:hAnsi="Courier New" w:cs="Times New Roman"/>
      <w:b/>
      <w:sz w:val="18"/>
      <w:szCs w:val="20"/>
      <w:lang w:val="en-GB"/>
    </w:rPr>
  </w:style>
  <w:style w:type="character" w:customStyle="1" w:styleId="Heading5Char">
    <w:name w:val="Heading 5 Char"/>
    <w:basedOn w:val="DefaultParagraphFont"/>
    <w:link w:val="Heading5"/>
    <w:rsid w:val="00AB1D79"/>
    <w:rPr>
      <w:rFonts w:ascii="Courier New" w:eastAsia="Times New Roman" w:hAnsi="Courier New" w:cs="Times New Roman"/>
      <w:b/>
      <w:sz w:val="20"/>
      <w:szCs w:val="20"/>
      <w:lang w:val="en-GB"/>
    </w:rPr>
  </w:style>
  <w:style w:type="character" w:customStyle="1" w:styleId="Heading6Char">
    <w:name w:val="Heading 6 Char"/>
    <w:basedOn w:val="DefaultParagraphFont"/>
    <w:link w:val="Heading6"/>
    <w:rsid w:val="00AB1D79"/>
    <w:rPr>
      <w:rFonts w:ascii="Courier New" w:eastAsia="Times New Roman" w:hAnsi="Courier New" w:cs="Times New Roman"/>
      <w:b/>
      <w:sz w:val="20"/>
      <w:szCs w:val="20"/>
      <w:lang w:val="en-GB"/>
    </w:rPr>
  </w:style>
  <w:style w:type="character" w:customStyle="1" w:styleId="Heading7Char">
    <w:name w:val="Heading 7 Char"/>
    <w:basedOn w:val="DefaultParagraphFont"/>
    <w:link w:val="Heading7"/>
    <w:rsid w:val="00AB1D79"/>
    <w:rPr>
      <w:rFonts w:ascii="Courier New" w:eastAsia="Times New Roman" w:hAnsi="Courier New" w:cs="Times New Roman"/>
      <w:b/>
      <w:sz w:val="18"/>
      <w:szCs w:val="20"/>
      <w:lang w:val="en-GB"/>
    </w:rPr>
  </w:style>
  <w:style w:type="character" w:customStyle="1" w:styleId="Heading8Char">
    <w:name w:val="Heading 8 Char"/>
    <w:basedOn w:val="DefaultParagraphFont"/>
    <w:link w:val="Heading8"/>
    <w:rsid w:val="00AB1D79"/>
    <w:rPr>
      <w:rFonts w:ascii="Courier New" w:eastAsia="Times New Roman" w:hAnsi="Courier New" w:cs="Times New Roman"/>
      <w:b/>
      <w:sz w:val="20"/>
      <w:szCs w:val="20"/>
      <w:lang w:val="en-GB"/>
    </w:rPr>
  </w:style>
  <w:style w:type="character" w:customStyle="1" w:styleId="Heading9Char">
    <w:name w:val="Heading 9 Char"/>
    <w:basedOn w:val="DefaultParagraphFont"/>
    <w:link w:val="Heading9"/>
    <w:rsid w:val="00AB1D79"/>
    <w:rPr>
      <w:rFonts w:ascii="Courier New" w:eastAsia="Times New Roman" w:hAnsi="Courier New" w:cs="Times New Roman"/>
      <w:b/>
      <w:sz w:val="18"/>
      <w:szCs w:val="20"/>
      <w:lang w:val="en-GB"/>
    </w:rPr>
  </w:style>
  <w:style w:type="paragraph" w:styleId="Footer">
    <w:name w:val="footer"/>
    <w:basedOn w:val="Normal"/>
    <w:link w:val="FooterChar"/>
    <w:uiPriority w:val="99"/>
    <w:rsid w:val="00AB1D79"/>
    <w:pPr>
      <w:tabs>
        <w:tab w:val="center" w:pos="4153"/>
        <w:tab w:val="right" w:pos="8306"/>
      </w:tabs>
    </w:pPr>
    <w:rPr>
      <w:rFonts w:ascii="MS Sans Serif" w:hAnsi="MS Sans Serif"/>
      <w:lang w:val="en-US"/>
    </w:rPr>
  </w:style>
  <w:style w:type="character" w:customStyle="1" w:styleId="FooterChar">
    <w:name w:val="Footer Char"/>
    <w:basedOn w:val="DefaultParagraphFont"/>
    <w:link w:val="Footer"/>
    <w:uiPriority w:val="99"/>
    <w:rsid w:val="00AB1D79"/>
    <w:rPr>
      <w:rFonts w:ascii="MS Sans Serif" w:eastAsia="Times New Roman" w:hAnsi="MS Sans Serif" w:cs="Times New Roman"/>
      <w:sz w:val="20"/>
      <w:szCs w:val="20"/>
      <w:lang w:val="en-US"/>
    </w:rPr>
  </w:style>
  <w:style w:type="character" w:styleId="PageNumber">
    <w:name w:val="page number"/>
    <w:basedOn w:val="DefaultParagraphFont"/>
    <w:rsid w:val="00AB1D79"/>
  </w:style>
  <w:style w:type="paragraph" w:styleId="BlockText">
    <w:name w:val="Block Text"/>
    <w:basedOn w:val="Normal"/>
    <w:rsid w:val="00AB1D79"/>
    <w:pPr>
      <w:ind w:left="426" w:right="732"/>
      <w:jc w:val="both"/>
    </w:pPr>
    <w:rPr>
      <w:rFonts w:ascii="Courier New" w:hAnsi="Courier New"/>
    </w:rPr>
  </w:style>
  <w:style w:type="paragraph" w:styleId="BodyText">
    <w:name w:val="Body Text"/>
    <w:basedOn w:val="Normal"/>
    <w:link w:val="BodyTextChar"/>
    <w:rsid w:val="00AB1D79"/>
    <w:pPr>
      <w:ind w:right="562"/>
      <w:jc w:val="both"/>
    </w:pPr>
    <w:rPr>
      <w:rFonts w:ascii="Courier New" w:hAnsi="Courier New"/>
    </w:rPr>
  </w:style>
  <w:style w:type="character" w:customStyle="1" w:styleId="BodyTextChar">
    <w:name w:val="Body Text Char"/>
    <w:basedOn w:val="DefaultParagraphFont"/>
    <w:link w:val="BodyText"/>
    <w:rsid w:val="00AB1D79"/>
    <w:rPr>
      <w:rFonts w:ascii="Courier New" w:eastAsia="Times New Roman" w:hAnsi="Courier New" w:cs="Times New Roman"/>
      <w:sz w:val="20"/>
      <w:szCs w:val="20"/>
      <w:lang w:val="en-GB"/>
    </w:rPr>
  </w:style>
  <w:style w:type="paragraph" w:styleId="BodyTextIndent">
    <w:name w:val="Body Text Indent"/>
    <w:basedOn w:val="Normal"/>
    <w:link w:val="BodyTextIndentChar"/>
    <w:rsid w:val="00AB1D79"/>
    <w:pPr>
      <w:tabs>
        <w:tab w:val="left" w:pos="2552"/>
        <w:tab w:val="right" w:pos="4680"/>
        <w:tab w:val="right" w:pos="6120"/>
        <w:tab w:val="left" w:pos="7088"/>
        <w:tab w:val="left" w:pos="8931"/>
      </w:tabs>
      <w:ind w:firstLine="284"/>
    </w:pPr>
    <w:rPr>
      <w:rFonts w:ascii="Courier New" w:hAnsi="Courier New"/>
    </w:rPr>
  </w:style>
  <w:style w:type="character" w:customStyle="1" w:styleId="BodyTextIndentChar">
    <w:name w:val="Body Text Indent Char"/>
    <w:basedOn w:val="DefaultParagraphFont"/>
    <w:link w:val="BodyTextIndent"/>
    <w:rsid w:val="00AB1D79"/>
    <w:rPr>
      <w:rFonts w:ascii="Courier New" w:eastAsia="Times New Roman" w:hAnsi="Courier New" w:cs="Times New Roman"/>
      <w:sz w:val="20"/>
      <w:szCs w:val="20"/>
      <w:lang w:val="en-GB"/>
    </w:rPr>
  </w:style>
  <w:style w:type="paragraph" w:styleId="BodyText2">
    <w:name w:val="Body Text 2"/>
    <w:basedOn w:val="Normal"/>
    <w:link w:val="BodyText2Char"/>
    <w:rsid w:val="00AB1D79"/>
    <w:pPr>
      <w:ind w:right="732"/>
      <w:jc w:val="both"/>
    </w:pPr>
    <w:rPr>
      <w:rFonts w:ascii="Courier New" w:hAnsi="Courier New"/>
    </w:rPr>
  </w:style>
  <w:style w:type="character" w:customStyle="1" w:styleId="BodyText2Char">
    <w:name w:val="Body Text 2 Char"/>
    <w:basedOn w:val="DefaultParagraphFont"/>
    <w:link w:val="BodyText2"/>
    <w:rsid w:val="00AB1D79"/>
    <w:rPr>
      <w:rFonts w:ascii="Courier New" w:eastAsia="Times New Roman" w:hAnsi="Courier New" w:cs="Times New Roman"/>
      <w:sz w:val="20"/>
      <w:szCs w:val="20"/>
      <w:lang w:val="en-GB"/>
    </w:rPr>
  </w:style>
  <w:style w:type="paragraph" w:styleId="BodyText3">
    <w:name w:val="Body Text 3"/>
    <w:basedOn w:val="Normal"/>
    <w:link w:val="BodyText3Char"/>
    <w:rsid w:val="00AB1D79"/>
    <w:pPr>
      <w:ind w:right="528"/>
      <w:jc w:val="both"/>
    </w:pPr>
    <w:rPr>
      <w:rFonts w:ascii="Courier New" w:hAnsi="Courier New"/>
      <w:sz w:val="19"/>
    </w:rPr>
  </w:style>
  <w:style w:type="character" w:customStyle="1" w:styleId="BodyText3Char">
    <w:name w:val="Body Text 3 Char"/>
    <w:basedOn w:val="DefaultParagraphFont"/>
    <w:link w:val="BodyText3"/>
    <w:rsid w:val="00AB1D79"/>
    <w:rPr>
      <w:rFonts w:ascii="Courier New" w:eastAsia="Times New Roman" w:hAnsi="Courier New" w:cs="Times New Roman"/>
      <w:sz w:val="19"/>
      <w:szCs w:val="20"/>
      <w:lang w:val="en-GB"/>
    </w:rPr>
  </w:style>
  <w:style w:type="paragraph" w:styleId="BodyTextIndent2">
    <w:name w:val="Body Text Indent 2"/>
    <w:basedOn w:val="Normal"/>
    <w:link w:val="BodyTextIndent2Char"/>
    <w:rsid w:val="00AB1D79"/>
    <w:pPr>
      <w:tabs>
        <w:tab w:val="decimal" w:pos="8460"/>
        <w:tab w:val="decimal" w:pos="10080"/>
      </w:tabs>
      <w:ind w:left="567"/>
    </w:pPr>
    <w:rPr>
      <w:rFonts w:ascii="Courier New" w:hAnsi="Courier New"/>
      <w:sz w:val="18"/>
    </w:rPr>
  </w:style>
  <w:style w:type="character" w:customStyle="1" w:styleId="BodyTextIndent2Char">
    <w:name w:val="Body Text Indent 2 Char"/>
    <w:basedOn w:val="DefaultParagraphFont"/>
    <w:link w:val="BodyTextIndent2"/>
    <w:rsid w:val="00AB1D79"/>
    <w:rPr>
      <w:rFonts w:ascii="Courier New" w:eastAsia="Times New Roman" w:hAnsi="Courier New" w:cs="Times New Roman"/>
      <w:sz w:val="18"/>
      <w:szCs w:val="20"/>
      <w:lang w:val="en-GB"/>
    </w:rPr>
  </w:style>
  <w:style w:type="paragraph" w:styleId="BodyTextIndent3">
    <w:name w:val="Body Text Indent 3"/>
    <w:basedOn w:val="Normal"/>
    <w:link w:val="BodyTextIndent3Char"/>
    <w:rsid w:val="00AB1D79"/>
    <w:pPr>
      <w:tabs>
        <w:tab w:val="decimal" w:pos="6394"/>
        <w:tab w:val="decimal" w:pos="7560"/>
        <w:tab w:val="decimal" w:pos="8827"/>
        <w:tab w:val="decimal" w:pos="10348"/>
      </w:tabs>
      <w:ind w:left="180"/>
    </w:pPr>
    <w:rPr>
      <w:rFonts w:ascii="Courier New" w:hAnsi="Courier New"/>
      <w:sz w:val="18"/>
    </w:rPr>
  </w:style>
  <w:style w:type="character" w:customStyle="1" w:styleId="BodyTextIndent3Char">
    <w:name w:val="Body Text Indent 3 Char"/>
    <w:basedOn w:val="DefaultParagraphFont"/>
    <w:link w:val="BodyTextIndent3"/>
    <w:rsid w:val="00AB1D79"/>
    <w:rPr>
      <w:rFonts w:ascii="Courier New" w:eastAsia="Times New Roman" w:hAnsi="Courier New" w:cs="Times New Roman"/>
      <w:sz w:val="18"/>
      <w:szCs w:val="20"/>
      <w:lang w:val="en-GB"/>
    </w:rPr>
  </w:style>
  <w:style w:type="paragraph" w:styleId="Title">
    <w:name w:val="Title"/>
    <w:basedOn w:val="Normal"/>
    <w:link w:val="TitleChar"/>
    <w:qFormat/>
    <w:rsid w:val="00AB1D79"/>
    <w:pPr>
      <w:jc w:val="center"/>
    </w:pPr>
    <w:rPr>
      <w:b/>
      <w:sz w:val="24"/>
      <w:u w:val="single"/>
    </w:rPr>
  </w:style>
  <w:style w:type="character" w:customStyle="1" w:styleId="TitleChar">
    <w:name w:val="Title Char"/>
    <w:basedOn w:val="DefaultParagraphFont"/>
    <w:link w:val="Title"/>
    <w:rsid w:val="00AB1D79"/>
    <w:rPr>
      <w:rFonts w:ascii="Times New Roman" w:eastAsia="Times New Roman" w:hAnsi="Times New Roman" w:cs="Times New Roman"/>
      <w:b/>
      <w:sz w:val="24"/>
      <w:szCs w:val="20"/>
      <w:u w:val="single"/>
      <w:lang w:val="en-GB"/>
    </w:rPr>
  </w:style>
  <w:style w:type="paragraph" w:customStyle="1" w:styleId="Subject">
    <w:name w:val="Subject"/>
    <w:basedOn w:val="Normal"/>
    <w:rsid w:val="00AB1D79"/>
    <w:pPr>
      <w:spacing w:after="240"/>
    </w:pPr>
    <w:rPr>
      <w:rFonts w:ascii="Times New Roman Bold" w:hAnsi="Times New Roman Bold"/>
      <w:b/>
      <w:sz w:val="22"/>
      <w:lang w:val="en-IE"/>
    </w:rPr>
  </w:style>
  <w:style w:type="paragraph" w:customStyle="1" w:styleId="Summary">
    <w:name w:val="Summary"/>
    <w:basedOn w:val="Normal"/>
    <w:rsid w:val="00AB1D79"/>
    <w:pPr>
      <w:jc w:val="both"/>
    </w:pPr>
    <w:rPr>
      <w:rFonts w:ascii="Arial" w:hAnsi="Arial"/>
      <w:b/>
      <w:sz w:val="22"/>
    </w:rPr>
  </w:style>
  <w:style w:type="paragraph" w:styleId="HTMLPreformatted">
    <w:name w:val="HTML Preformatted"/>
    <w:basedOn w:val="Normal"/>
    <w:link w:val="HTMLPreformattedChar"/>
    <w:rsid w:val="00AB1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rsid w:val="00AB1D79"/>
    <w:rPr>
      <w:rFonts w:ascii="Courier New" w:eastAsia="Times New Roman" w:hAnsi="Courier New" w:cs="Courier New"/>
      <w:sz w:val="20"/>
      <w:szCs w:val="20"/>
      <w:lang w:val="en-US"/>
    </w:rPr>
  </w:style>
  <w:style w:type="table" w:styleId="TableGrid">
    <w:name w:val="Table Grid"/>
    <w:basedOn w:val="TableNormal"/>
    <w:uiPriority w:val="39"/>
    <w:rsid w:val="00AB1D7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B1D79"/>
    <w:rPr>
      <w:b/>
      <w:bCs/>
    </w:rPr>
  </w:style>
  <w:style w:type="paragraph" w:styleId="Header">
    <w:name w:val="header"/>
    <w:basedOn w:val="Normal"/>
    <w:link w:val="HeaderChar"/>
    <w:rsid w:val="00AB1D79"/>
    <w:pPr>
      <w:tabs>
        <w:tab w:val="center" w:pos="4320"/>
        <w:tab w:val="right" w:pos="8640"/>
      </w:tabs>
    </w:pPr>
  </w:style>
  <w:style w:type="character" w:customStyle="1" w:styleId="HeaderChar">
    <w:name w:val="Header Char"/>
    <w:basedOn w:val="DefaultParagraphFont"/>
    <w:link w:val="Header"/>
    <w:rsid w:val="00AB1D79"/>
    <w:rPr>
      <w:rFonts w:ascii="Times New Roman" w:eastAsia="Times New Roman" w:hAnsi="Times New Roman" w:cs="Times New Roman"/>
      <w:sz w:val="20"/>
      <w:szCs w:val="20"/>
      <w:lang w:val="en-GB"/>
    </w:rPr>
  </w:style>
  <w:style w:type="paragraph" w:customStyle="1" w:styleId="Default">
    <w:name w:val="Default"/>
    <w:rsid w:val="00AB1D79"/>
    <w:pPr>
      <w:autoSpaceDE w:val="0"/>
      <w:autoSpaceDN w:val="0"/>
      <w:adjustRightInd w:val="0"/>
      <w:spacing w:after="0" w:line="240" w:lineRule="auto"/>
    </w:pPr>
    <w:rPr>
      <w:rFonts w:ascii="Helvetica 55 Roman" w:eastAsia="Times New Roman" w:hAnsi="Helvetica 55 Roman" w:cs="Helvetica 55 Roman"/>
      <w:color w:val="000000"/>
      <w:sz w:val="24"/>
      <w:szCs w:val="24"/>
      <w:lang w:val="en-US"/>
    </w:rPr>
  </w:style>
  <w:style w:type="paragraph" w:customStyle="1" w:styleId="Pa0">
    <w:name w:val="Pa0"/>
    <w:basedOn w:val="Default"/>
    <w:next w:val="Default"/>
    <w:rsid w:val="00AB1D79"/>
    <w:pPr>
      <w:spacing w:line="221" w:lineRule="atLeast"/>
    </w:pPr>
    <w:rPr>
      <w:rFonts w:cs="Times New Roman"/>
      <w:color w:val="auto"/>
    </w:rPr>
  </w:style>
  <w:style w:type="character" w:customStyle="1" w:styleId="A0">
    <w:name w:val="A0"/>
    <w:rsid w:val="00AB1D79"/>
    <w:rPr>
      <w:rFonts w:cs="Helvetica 55 Roman"/>
      <w:color w:val="221E1F"/>
      <w:sz w:val="20"/>
      <w:szCs w:val="20"/>
    </w:rPr>
  </w:style>
  <w:style w:type="paragraph" w:customStyle="1" w:styleId="Bodycopyheader1">
    <w:name w:val="Body copy header 1"/>
    <w:basedOn w:val="Normal"/>
    <w:rsid w:val="00AB1D79"/>
    <w:pPr>
      <w:spacing w:before="20" w:line="210" w:lineRule="exact"/>
    </w:pPr>
    <w:rPr>
      <w:rFonts w:ascii="Arial" w:eastAsia="PMingLiU" w:hAnsi="Arial" w:cs="Arial"/>
      <w:b/>
      <w:color w:val="000000"/>
      <w:sz w:val="17"/>
      <w:szCs w:val="17"/>
      <w:lang w:val="en-US"/>
    </w:rPr>
  </w:style>
  <w:style w:type="paragraph" w:customStyle="1" w:styleId="Bodycopy">
    <w:name w:val="Body copy"/>
    <w:rsid w:val="00AB1D79"/>
    <w:pPr>
      <w:spacing w:before="20" w:after="0" w:line="210" w:lineRule="exact"/>
    </w:pPr>
    <w:rPr>
      <w:rFonts w:ascii="Arial" w:eastAsia="PMingLiU" w:hAnsi="Arial" w:cs="Arial"/>
      <w:color w:val="000000"/>
      <w:sz w:val="17"/>
      <w:szCs w:val="17"/>
      <w:lang w:val="en-US"/>
    </w:rPr>
  </w:style>
  <w:style w:type="paragraph" w:customStyle="1" w:styleId="sourceref">
    <w:name w:val="source ref"/>
    <w:basedOn w:val="Normal"/>
    <w:rsid w:val="00AB1D79"/>
    <w:pPr>
      <w:spacing w:before="40" w:line="190" w:lineRule="exact"/>
    </w:pPr>
    <w:rPr>
      <w:rFonts w:ascii="Arial" w:eastAsia="PMingLiU" w:hAnsi="Arial" w:cs="Courier New"/>
      <w:color w:val="003399"/>
      <w:sz w:val="15"/>
      <w:szCs w:val="15"/>
      <w:lang w:val="en-AU"/>
    </w:rPr>
  </w:style>
  <w:style w:type="paragraph" w:customStyle="1" w:styleId="Pa1">
    <w:name w:val="Pa1"/>
    <w:basedOn w:val="Normal"/>
    <w:next w:val="Normal"/>
    <w:rsid w:val="00AB1D79"/>
    <w:pPr>
      <w:autoSpaceDE w:val="0"/>
      <w:autoSpaceDN w:val="0"/>
      <w:adjustRightInd w:val="0"/>
      <w:spacing w:line="241" w:lineRule="atLeast"/>
    </w:pPr>
    <w:rPr>
      <w:rFonts w:ascii="Times" w:hAnsi="Times"/>
      <w:sz w:val="24"/>
      <w:szCs w:val="24"/>
      <w:lang w:val="en-US"/>
    </w:rPr>
  </w:style>
  <w:style w:type="character" w:customStyle="1" w:styleId="A2">
    <w:name w:val="A2"/>
    <w:rsid w:val="00AB1D79"/>
    <w:rPr>
      <w:rFonts w:cs="Times"/>
      <w:color w:val="000000"/>
      <w:sz w:val="20"/>
      <w:szCs w:val="20"/>
    </w:rPr>
  </w:style>
  <w:style w:type="table" w:customStyle="1" w:styleId="LightList-Accent11">
    <w:name w:val="Light List - Accent 11"/>
    <w:basedOn w:val="TableNormal"/>
    <w:uiPriority w:val="61"/>
    <w:rsid w:val="00AB1D79"/>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1">
    <w:name w:val="Light Shading - Accent 11"/>
    <w:basedOn w:val="TableNormal"/>
    <w:uiPriority w:val="60"/>
    <w:rsid w:val="00AB1D79"/>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bq">
    <w:name w:val="bq"/>
    <w:basedOn w:val="Normal"/>
    <w:rsid w:val="00AB1D79"/>
    <w:pPr>
      <w:spacing w:before="100" w:beforeAutospacing="1" w:after="100" w:afterAutospacing="1"/>
    </w:pPr>
    <w:rPr>
      <w:sz w:val="24"/>
      <w:szCs w:val="24"/>
      <w:lang w:val="en-IE" w:eastAsia="en-IE"/>
    </w:rPr>
  </w:style>
  <w:style w:type="paragraph" w:customStyle="1" w:styleId="an">
    <w:name w:val="an"/>
    <w:basedOn w:val="Normal"/>
    <w:rsid w:val="00AB1D79"/>
    <w:pPr>
      <w:spacing w:before="100" w:beforeAutospacing="1" w:after="100" w:afterAutospacing="1"/>
    </w:pPr>
    <w:rPr>
      <w:sz w:val="24"/>
      <w:szCs w:val="24"/>
      <w:lang w:val="en-IE" w:eastAsia="en-IE"/>
    </w:rPr>
  </w:style>
  <w:style w:type="paragraph" w:customStyle="1" w:styleId="um">
    <w:name w:val="um"/>
    <w:basedOn w:val="Normal"/>
    <w:rsid w:val="00AB1D79"/>
    <w:pPr>
      <w:spacing w:before="100" w:beforeAutospacing="1" w:after="100" w:afterAutospacing="1"/>
    </w:pPr>
    <w:rPr>
      <w:sz w:val="24"/>
      <w:szCs w:val="24"/>
      <w:lang w:val="en-IE" w:eastAsia="en-IE"/>
    </w:rPr>
  </w:style>
  <w:style w:type="table" w:customStyle="1" w:styleId="LightShading-Accent111">
    <w:name w:val="Light Shading - Accent 111"/>
    <w:basedOn w:val="TableNormal"/>
    <w:next w:val="LightShading-Accent1"/>
    <w:uiPriority w:val="60"/>
    <w:rsid w:val="00AB1D79"/>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1">
    <w:name w:val="Light List - Accent 111"/>
    <w:basedOn w:val="TableNormal"/>
    <w:next w:val="LightList-Accent1"/>
    <w:uiPriority w:val="61"/>
    <w:rsid w:val="00AB1D79"/>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2">
    <w:name w:val="Light Shading - Accent 12"/>
    <w:basedOn w:val="TableNormal"/>
    <w:next w:val="LightShading-Accent1"/>
    <w:uiPriority w:val="60"/>
    <w:rsid w:val="00AB1D79"/>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apple-converted-space">
    <w:name w:val="apple-converted-space"/>
    <w:rsid w:val="00AB1D79"/>
  </w:style>
  <w:style w:type="character" w:customStyle="1" w:styleId="be">
    <w:name w:val="be"/>
    <w:rsid w:val="00AB1D79"/>
  </w:style>
  <w:style w:type="table" w:customStyle="1" w:styleId="TableGrid1">
    <w:name w:val="Table Grid1"/>
    <w:basedOn w:val="TableNormal"/>
    <w:next w:val="TableGrid"/>
    <w:uiPriority w:val="59"/>
    <w:rsid w:val="00AB1D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B1D79"/>
    <w:pPr>
      <w:spacing w:after="0" w:line="240" w:lineRule="auto"/>
    </w:pPr>
    <w:rPr>
      <w:rFonts w:ascii="Times New Roman" w:eastAsia="Times New Roman" w:hAnsi="Times New Roman" w:cs="Times New Roman"/>
      <w:sz w:val="20"/>
      <w:szCs w:val="20"/>
      <w:lang w:val="en-GB"/>
    </w:rPr>
  </w:style>
  <w:style w:type="table" w:styleId="LightShading-Accent1">
    <w:name w:val="Light Shading Accent 1"/>
    <w:basedOn w:val="TableNormal"/>
    <w:uiPriority w:val="60"/>
    <w:rsid w:val="00AB1D7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AB1D7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9C0297"/>
    <w:pPr>
      <w:spacing w:before="100" w:beforeAutospacing="1" w:after="100" w:afterAutospacing="1"/>
    </w:pPr>
    <w:rPr>
      <w:rFonts w:eastAsiaTheme="minorHAnsi"/>
      <w:sz w:val="24"/>
      <w:szCs w:val="24"/>
      <w:lang w:val="en-IE" w:eastAsia="en-IE"/>
    </w:rPr>
  </w:style>
  <w:style w:type="character" w:styleId="Emphasis">
    <w:name w:val="Emphasis"/>
    <w:basedOn w:val="DefaultParagraphFont"/>
    <w:uiPriority w:val="20"/>
    <w:qFormat/>
    <w:rsid w:val="004514BA"/>
    <w:rPr>
      <w:i/>
      <w:iCs/>
    </w:rPr>
  </w:style>
  <w:style w:type="paragraph" w:customStyle="1" w:styleId="ar">
    <w:name w:val="ar"/>
    <w:basedOn w:val="Normal"/>
    <w:rsid w:val="000049C8"/>
    <w:pPr>
      <w:spacing w:before="100" w:beforeAutospacing="1" w:after="100" w:afterAutospacing="1"/>
    </w:pPr>
    <w:rPr>
      <w:rFonts w:eastAsiaTheme="minorHAnsi"/>
      <w:sz w:val="24"/>
      <w:szCs w:val="24"/>
      <w:lang w:val="en-IE" w:eastAsia="en-IE"/>
    </w:rPr>
  </w:style>
  <w:style w:type="character" w:customStyle="1" w:styleId="as">
    <w:name w:val="as"/>
    <w:basedOn w:val="DefaultParagraphFont"/>
    <w:rsid w:val="000049C8"/>
  </w:style>
  <w:style w:type="paragraph" w:customStyle="1" w:styleId="noname">
    <w:name w:val="no_name"/>
    <w:basedOn w:val="Normal"/>
    <w:rsid w:val="00A90760"/>
    <w:pPr>
      <w:spacing w:before="100" w:beforeAutospacing="1" w:after="100" w:afterAutospacing="1"/>
    </w:pPr>
    <w:rPr>
      <w:sz w:val="24"/>
      <w:szCs w:val="24"/>
      <w:lang w:val="en-IE" w:eastAsia="en-IE"/>
    </w:rPr>
  </w:style>
  <w:style w:type="paragraph" w:customStyle="1" w:styleId="pf0">
    <w:name w:val="pf0"/>
    <w:basedOn w:val="Normal"/>
    <w:rsid w:val="00046733"/>
    <w:pPr>
      <w:spacing w:before="100" w:beforeAutospacing="1" w:after="100" w:afterAutospacing="1"/>
    </w:pPr>
    <w:rPr>
      <w:sz w:val="24"/>
      <w:szCs w:val="24"/>
      <w:lang w:val="en-IE" w:eastAsia="en-IE"/>
    </w:rPr>
  </w:style>
  <w:style w:type="character" w:customStyle="1" w:styleId="cf01">
    <w:name w:val="cf01"/>
    <w:basedOn w:val="DefaultParagraphFont"/>
    <w:rsid w:val="00046733"/>
    <w:rPr>
      <w:rFonts w:ascii="Segoe UI" w:hAnsi="Segoe UI" w:cs="Segoe UI" w:hint="default"/>
      <w:sz w:val="18"/>
      <w:szCs w:val="18"/>
    </w:rPr>
  </w:style>
  <w:style w:type="character" w:customStyle="1" w:styleId="NoSpacingChar">
    <w:name w:val="No Spacing Char"/>
    <w:basedOn w:val="DefaultParagraphFont"/>
    <w:link w:val="NoSpacing"/>
    <w:uiPriority w:val="1"/>
    <w:locked/>
    <w:rsid w:val="0019686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2339">
      <w:bodyDiv w:val="1"/>
      <w:marLeft w:val="0"/>
      <w:marRight w:val="0"/>
      <w:marTop w:val="0"/>
      <w:marBottom w:val="0"/>
      <w:divBdr>
        <w:top w:val="none" w:sz="0" w:space="0" w:color="auto"/>
        <w:left w:val="none" w:sz="0" w:space="0" w:color="auto"/>
        <w:bottom w:val="none" w:sz="0" w:space="0" w:color="auto"/>
        <w:right w:val="none" w:sz="0" w:space="0" w:color="auto"/>
      </w:divBdr>
    </w:div>
    <w:div w:id="43215904">
      <w:bodyDiv w:val="1"/>
      <w:marLeft w:val="0"/>
      <w:marRight w:val="0"/>
      <w:marTop w:val="0"/>
      <w:marBottom w:val="0"/>
      <w:divBdr>
        <w:top w:val="none" w:sz="0" w:space="0" w:color="auto"/>
        <w:left w:val="none" w:sz="0" w:space="0" w:color="auto"/>
        <w:bottom w:val="none" w:sz="0" w:space="0" w:color="auto"/>
        <w:right w:val="none" w:sz="0" w:space="0" w:color="auto"/>
      </w:divBdr>
    </w:div>
    <w:div w:id="168983077">
      <w:bodyDiv w:val="1"/>
      <w:marLeft w:val="0"/>
      <w:marRight w:val="0"/>
      <w:marTop w:val="0"/>
      <w:marBottom w:val="0"/>
      <w:divBdr>
        <w:top w:val="none" w:sz="0" w:space="0" w:color="auto"/>
        <w:left w:val="none" w:sz="0" w:space="0" w:color="auto"/>
        <w:bottom w:val="none" w:sz="0" w:space="0" w:color="auto"/>
        <w:right w:val="none" w:sz="0" w:space="0" w:color="auto"/>
      </w:divBdr>
      <w:divsChild>
        <w:div w:id="246966493">
          <w:marLeft w:val="274"/>
          <w:marRight w:val="0"/>
          <w:marTop w:val="0"/>
          <w:marBottom w:val="120"/>
          <w:divBdr>
            <w:top w:val="none" w:sz="0" w:space="0" w:color="auto"/>
            <w:left w:val="none" w:sz="0" w:space="0" w:color="auto"/>
            <w:bottom w:val="none" w:sz="0" w:space="0" w:color="auto"/>
            <w:right w:val="none" w:sz="0" w:space="0" w:color="auto"/>
          </w:divBdr>
        </w:div>
      </w:divsChild>
    </w:div>
    <w:div w:id="211699137">
      <w:bodyDiv w:val="1"/>
      <w:marLeft w:val="0"/>
      <w:marRight w:val="0"/>
      <w:marTop w:val="0"/>
      <w:marBottom w:val="0"/>
      <w:divBdr>
        <w:top w:val="none" w:sz="0" w:space="0" w:color="auto"/>
        <w:left w:val="none" w:sz="0" w:space="0" w:color="auto"/>
        <w:bottom w:val="none" w:sz="0" w:space="0" w:color="auto"/>
        <w:right w:val="none" w:sz="0" w:space="0" w:color="auto"/>
      </w:divBdr>
    </w:div>
    <w:div w:id="227807889">
      <w:bodyDiv w:val="1"/>
      <w:marLeft w:val="0"/>
      <w:marRight w:val="0"/>
      <w:marTop w:val="0"/>
      <w:marBottom w:val="0"/>
      <w:divBdr>
        <w:top w:val="none" w:sz="0" w:space="0" w:color="auto"/>
        <w:left w:val="none" w:sz="0" w:space="0" w:color="auto"/>
        <w:bottom w:val="none" w:sz="0" w:space="0" w:color="auto"/>
        <w:right w:val="none" w:sz="0" w:space="0" w:color="auto"/>
      </w:divBdr>
    </w:div>
    <w:div w:id="286930107">
      <w:bodyDiv w:val="1"/>
      <w:marLeft w:val="0"/>
      <w:marRight w:val="0"/>
      <w:marTop w:val="0"/>
      <w:marBottom w:val="0"/>
      <w:divBdr>
        <w:top w:val="none" w:sz="0" w:space="0" w:color="auto"/>
        <w:left w:val="none" w:sz="0" w:space="0" w:color="auto"/>
        <w:bottom w:val="none" w:sz="0" w:space="0" w:color="auto"/>
        <w:right w:val="none" w:sz="0" w:space="0" w:color="auto"/>
      </w:divBdr>
    </w:div>
    <w:div w:id="292752619">
      <w:bodyDiv w:val="1"/>
      <w:marLeft w:val="0"/>
      <w:marRight w:val="0"/>
      <w:marTop w:val="0"/>
      <w:marBottom w:val="0"/>
      <w:divBdr>
        <w:top w:val="none" w:sz="0" w:space="0" w:color="auto"/>
        <w:left w:val="none" w:sz="0" w:space="0" w:color="auto"/>
        <w:bottom w:val="none" w:sz="0" w:space="0" w:color="auto"/>
        <w:right w:val="none" w:sz="0" w:space="0" w:color="auto"/>
      </w:divBdr>
    </w:div>
    <w:div w:id="306672457">
      <w:bodyDiv w:val="1"/>
      <w:marLeft w:val="0"/>
      <w:marRight w:val="0"/>
      <w:marTop w:val="0"/>
      <w:marBottom w:val="0"/>
      <w:divBdr>
        <w:top w:val="none" w:sz="0" w:space="0" w:color="auto"/>
        <w:left w:val="none" w:sz="0" w:space="0" w:color="auto"/>
        <w:bottom w:val="none" w:sz="0" w:space="0" w:color="auto"/>
        <w:right w:val="none" w:sz="0" w:space="0" w:color="auto"/>
      </w:divBdr>
    </w:div>
    <w:div w:id="316224856">
      <w:bodyDiv w:val="1"/>
      <w:marLeft w:val="0"/>
      <w:marRight w:val="0"/>
      <w:marTop w:val="0"/>
      <w:marBottom w:val="0"/>
      <w:divBdr>
        <w:top w:val="none" w:sz="0" w:space="0" w:color="auto"/>
        <w:left w:val="none" w:sz="0" w:space="0" w:color="auto"/>
        <w:bottom w:val="none" w:sz="0" w:space="0" w:color="auto"/>
        <w:right w:val="none" w:sz="0" w:space="0" w:color="auto"/>
      </w:divBdr>
    </w:div>
    <w:div w:id="321347611">
      <w:bodyDiv w:val="1"/>
      <w:marLeft w:val="0"/>
      <w:marRight w:val="0"/>
      <w:marTop w:val="0"/>
      <w:marBottom w:val="0"/>
      <w:divBdr>
        <w:top w:val="none" w:sz="0" w:space="0" w:color="auto"/>
        <w:left w:val="none" w:sz="0" w:space="0" w:color="auto"/>
        <w:bottom w:val="none" w:sz="0" w:space="0" w:color="auto"/>
        <w:right w:val="none" w:sz="0" w:space="0" w:color="auto"/>
      </w:divBdr>
    </w:div>
    <w:div w:id="388774219">
      <w:bodyDiv w:val="1"/>
      <w:marLeft w:val="0"/>
      <w:marRight w:val="0"/>
      <w:marTop w:val="0"/>
      <w:marBottom w:val="0"/>
      <w:divBdr>
        <w:top w:val="none" w:sz="0" w:space="0" w:color="auto"/>
        <w:left w:val="none" w:sz="0" w:space="0" w:color="auto"/>
        <w:bottom w:val="none" w:sz="0" w:space="0" w:color="auto"/>
        <w:right w:val="none" w:sz="0" w:space="0" w:color="auto"/>
      </w:divBdr>
    </w:div>
    <w:div w:id="393624057">
      <w:bodyDiv w:val="1"/>
      <w:marLeft w:val="0"/>
      <w:marRight w:val="0"/>
      <w:marTop w:val="0"/>
      <w:marBottom w:val="0"/>
      <w:divBdr>
        <w:top w:val="none" w:sz="0" w:space="0" w:color="auto"/>
        <w:left w:val="none" w:sz="0" w:space="0" w:color="auto"/>
        <w:bottom w:val="none" w:sz="0" w:space="0" w:color="auto"/>
        <w:right w:val="none" w:sz="0" w:space="0" w:color="auto"/>
      </w:divBdr>
    </w:div>
    <w:div w:id="394934521">
      <w:bodyDiv w:val="1"/>
      <w:marLeft w:val="0"/>
      <w:marRight w:val="0"/>
      <w:marTop w:val="0"/>
      <w:marBottom w:val="0"/>
      <w:divBdr>
        <w:top w:val="none" w:sz="0" w:space="0" w:color="auto"/>
        <w:left w:val="none" w:sz="0" w:space="0" w:color="auto"/>
        <w:bottom w:val="none" w:sz="0" w:space="0" w:color="auto"/>
        <w:right w:val="none" w:sz="0" w:space="0" w:color="auto"/>
      </w:divBdr>
    </w:div>
    <w:div w:id="400442347">
      <w:bodyDiv w:val="1"/>
      <w:marLeft w:val="0"/>
      <w:marRight w:val="0"/>
      <w:marTop w:val="0"/>
      <w:marBottom w:val="0"/>
      <w:divBdr>
        <w:top w:val="none" w:sz="0" w:space="0" w:color="auto"/>
        <w:left w:val="none" w:sz="0" w:space="0" w:color="auto"/>
        <w:bottom w:val="none" w:sz="0" w:space="0" w:color="auto"/>
        <w:right w:val="none" w:sz="0" w:space="0" w:color="auto"/>
      </w:divBdr>
    </w:div>
    <w:div w:id="401607557">
      <w:bodyDiv w:val="1"/>
      <w:marLeft w:val="0"/>
      <w:marRight w:val="0"/>
      <w:marTop w:val="0"/>
      <w:marBottom w:val="0"/>
      <w:divBdr>
        <w:top w:val="none" w:sz="0" w:space="0" w:color="auto"/>
        <w:left w:val="none" w:sz="0" w:space="0" w:color="auto"/>
        <w:bottom w:val="none" w:sz="0" w:space="0" w:color="auto"/>
        <w:right w:val="none" w:sz="0" w:space="0" w:color="auto"/>
      </w:divBdr>
    </w:div>
    <w:div w:id="433356587">
      <w:bodyDiv w:val="1"/>
      <w:marLeft w:val="0"/>
      <w:marRight w:val="0"/>
      <w:marTop w:val="0"/>
      <w:marBottom w:val="0"/>
      <w:divBdr>
        <w:top w:val="none" w:sz="0" w:space="0" w:color="auto"/>
        <w:left w:val="none" w:sz="0" w:space="0" w:color="auto"/>
        <w:bottom w:val="none" w:sz="0" w:space="0" w:color="auto"/>
        <w:right w:val="none" w:sz="0" w:space="0" w:color="auto"/>
      </w:divBdr>
    </w:div>
    <w:div w:id="452139936">
      <w:bodyDiv w:val="1"/>
      <w:marLeft w:val="0"/>
      <w:marRight w:val="0"/>
      <w:marTop w:val="0"/>
      <w:marBottom w:val="0"/>
      <w:divBdr>
        <w:top w:val="none" w:sz="0" w:space="0" w:color="auto"/>
        <w:left w:val="none" w:sz="0" w:space="0" w:color="auto"/>
        <w:bottom w:val="none" w:sz="0" w:space="0" w:color="auto"/>
        <w:right w:val="none" w:sz="0" w:space="0" w:color="auto"/>
      </w:divBdr>
    </w:div>
    <w:div w:id="478958793">
      <w:bodyDiv w:val="1"/>
      <w:marLeft w:val="0"/>
      <w:marRight w:val="0"/>
      <w:marTop w:val="0"/>
      <w:marBottom w:val="0"/>
      <w:divBdr>
        <w:top w:val="none" w:sz="0" w:space="0" w:color="auto"/>
        <w:left w:val="none" w:sz="0" w:space="0" w:color="auto"/>
        <w:bottom w:val="none" w:sz="0" w:space="0" w:color="auto"/>
        <w:right w:val="none" w:sz="0" w:space="0" w:color="auto"/>
      </w:divBdr>
    </w:div>
    <w:div w:id="487793830">
      <w:bodyDiv w:val="1"/>
      <w:marLeft w:val="0"/>
      <w:marRight w:val="0"/>
      <w:marTop w:val="0"/>
      <w:marBottom w:val="0"/>
      <w:divBdr>
        <w:top w:val="none" w:sz="0" w:space="0" w:color="auto"/>
        <w:left w:val="none" w:sz="0" w:space="0" w:color="auto"/>
        <w:bottom w:val="none" w:sz="0" w:space="0" w:color="auto"/>
        <w:right w:val="none" w:sz="0" w:space="0" w:color="auto"/>
      </w:divBdr>
      <w:divsChild>
        <w:div w:id="379944466">
          <w:marLeft w:val="158"/>
          <w:marRight w:val="0"/>
          <w:marTop w:val="0"/>
          <w:marBottom w:val="360"/>
          <w:divBdr>
            <w:top w:val="none" w:sz="0" w:space="0" w:color="auto"/>
            <w:left w:val="none" w:sz="0" w:space="0" w:color="auto"/>
            <w:bottom w:val="none" w:sz="0" w:space="0" w:color="auto"/>
            <w:right w:val="none" w:sz="0" w:space="0" w:color="auto"/>
          </w:divBdr>
        </w:div>
      </w:divsChild>
    </w:div>
    <w:div w:id="488833213">
      <w:bodyDiv w:val="1"/>
      <w:marLeft w:val="0"/>
      <w:marRight w:val="0"/>
      <w:marTop w:val="0"/>
      <w:marBottom w:val="0"/>
      <w:divBdr>
        <w:top w:val="none" w:sz="0" w:space="0" w:color="auto"/>
        <w:left w:val="none" w:sz="0" w:space="0" w:color="auto"/>
        <w:bottom w:val="none" w:sz="0" w:space="0" w:color="auto"/>
        <w:right w:val="none" w:sz="0" w:space="0" w:color="auto"/>
      </w:divBdr>
    </w:div>
    <w:div w:id="522669238">
      <w:bodyDiv w:val="1"/>
      <w:marLeft w:val="0"/>
      <w:marRight w:val="0"/>
      <w:marTop w:val="0"/>
      <w:marBottom w:val="0"/>
      <w:divBdr>
        <w:top w:val="none" w:sz="0" w:space="0" w:color="auto"/>
        <w:left w:val="none" w:sz="0" w:space="0" w:color="auto"/>
        <w:bottom w:val="none" w:sz="0" w:space="0" w:color="auto"/>
        <w:right w:val="none" w:sz="0" w:space="0" w:color="auto"/>
      </w:divBdr>
    </w:div>
    <w:div w:id="529992948">
      <w:bodyDiv w:val="1"/>
      <w:marLeft w:val="0"/>
      <w:marRight w:val="0"/>
      <w:marTop w:val="0"/>
      <w:marBottom w:val="0"/>
      <w:divBdr>
        <w:top w:val="none" w:sz="0" w:space="0" w:color="auto"/>
        <w:left w:val="none" w:sz="0" w:space="0" w:color="auto"/>
        <w:bottom w:val="none" w:sz="0" w:space="0" w:color="auto"/>
        <w:right w:val="none" w:sz="0" w:space="0" w:color="auto"/>
      </w:divBdr>
    </w:div>
    <w:div w:id="533422714">
      <w:bodyDiv w:val="1"/>
      <w:marLeft w:val="0"/>
      <w:marRight w:val="0"/>
      <w:marTop w:val="0"/>
      <w:marBottom w:val="0"/>
      <w:divBdr>
        <w:top w:val="none" w:sz="0" w:space="0" w:color="auto"/>
        <w:left w:val="none" w:sz="0" w:space="0" w:color="auto"/>
        <w:bottom w:val="none" w:sz="0" w:space="0" w:color="auto"/>
        <w:right w:val="none" w:sz="0" w:space="0" w:color="auto"/>
      </w:divBdr>
    </w:div>
    <w:div w:id="667514782">
      <w:bodyDiv w:val="1"/>
      <w:marLeft w:val="0"/>
      <w:marRight w:val="0"/>
      <w:marTop w:val="0"/>
      <w:marBottom w:val="0"/>
      <w:divBdr>
        <w:top w:val="none" w:sz="0" w:space="0" w:color="auto"/>
        <w:left w:val="none" w:sz="0" w:space="0" w:color="auto"/>
        <w:bottom w:val="none" w:sz="0" w:space="0" w:color="auto"/>
        <w:right w:val="none" w:sz="0" w:space="0" w:color="auto"/>
      </w:divBdr>
    </w:div>
    <w:div w:id="675889601">
      <w:bodyDiv w:val="1"/>
      <w:marLeft w:val="0"/>
      <w:marRight w:val="0"/>
      <w:marTop w:val="0"/>
      <w:marBottom w:val="0"/>
      <w:divBdr>
        <w:top w:val="none" w:sz="0" w:space="0" w:color="auto"/>
        <w:left w:val="none" w:sz="0" w:space="0" w:color="auto"/>
        <w:bottom w:val="none" w:sz="0" w:space="0" w:color="auto"/>
        <w:right w:val="none" w:sz="0" w:space="0" w:color="auto"/>
      </w:divBdr>
    </w:div>
    <w:div w:id="775952826">
      <w:bodyDiv w:val="1"/>
      <w:marLeft w:val="0"/>
      <w:marRight w:val="0"/>
      <w:marTop w:val="0"/>
      <w:marBottom w:val="0"/>
      <w:divBdr>
        <w:top w:val="none" w:sz="0" w:space="0" w:color="auto"/>
        <w:left w:val="none" w:sz="0" w:space="0" w:color="auto"/>
        <w:bottom w:val="none" w:sz="0" w:space="0" w:color="auto"/>
        <w:right w:val="none" w:sz="0" w:space="0" w:color="auto"/>
      </w:divBdr>
    </w:div>
    <w:div w:id="785925948">
      <w:bodyDiv w:val="1"/>
      <w:marLeft w:val="0"/>
      <w:marRight w:val="0"/>
      <w:marTop w:val="0"/>
      <w:marBottom w:val="0"/>
      <w:divBdr>
        <w:top w:val="none" w:sz="0" w:space="0" w:color="auto"/>
        <w:left w:val="none" w:sz="0" w:space="0" w:color="auto"/>
        <w:bottom w:val="none" w:sz="0" w:space="0" w:color="auto"/>
        <w:right w:val="none" w:sz="0" w:space="0" w:color="auto"/>
      </w:divBdr>
    </w:div>
    <w:div w:id="816848584">
      <w:bodyDiv w:val="1"/>
      <w:marLeft w:val="0"/>
      <w:marRight w:val="0"/>
      <w:marTop w:val="0"/>
      <w:marBottom w:val="0"/>
      <w:divBdr>
        <w:top w:val="none" w:sz="0" w:space="0" w:color="auto"/>
        <w:left w:val="none" w:sz="0" w:space="0" w:color="auto"/>
        <w:bottom w:val="none" w:sz="0" w:space="0" w:color="auto"/>
        <w:right w:val="none" w:sz="0" w:space="0" w:color="auto"/>
      </w:divBdr>
      <w:divsChild>
        <w:div w:id="1216354100">
          <w:marLeft w:val="274"/>
          <w:marRight w:val="0"/>
          <w:marTop w:val="0"/>
          <w:marBottom w:val="240"/>
          <w:divBdr>
            <w:top w:val="none" w:sz="0" w:space="0" w:color="auto"/>
            <w:left w:val="none" w:sz="0" w:space="0" w:color="auto"/>
            <w:bottom w:val="none" w:sz="0" w:space="0" w:color="auto"/>
            <w:right w:val="none" w:sz="0" w:space="0" w:color="auto"/>
          </w:divBdr>
        </w:div>
      </w:divsChild>
    </w:div>
    <w:div w:id="818031897">
      <w:bodyDiv w:val="1"/>
      <w:marLeft w:val="0"/>
      <w:marRight w:val="0"/>
      <w:marTop w:val="0"/>
      <w:marBottom w:val="0"/>
      <w:divBdr>
        <w:top w:val="none" w:sz="0" w:space="0" w:color="auto"/>
        <w:left w:val="none" w:sz="0" w:space="0" w:color="auto"/>
        <w:bottom w:val="none" w:sz="0" w:space="0" w:color="auto"/>
        <w:right w:val="none" w:sz="0" w:space="0" w:color="auto"/>
      </w:divBdr>
    </w:div>
    <w:div w:id="851841964">
      <w:bodyDiv w:val="1"/>
      <w:marLeft w:val="0"/>
      <w:marRight w:val="0"/>
      <w:marTop w:val="0"/>
      <w:marBottom w:val="0"/>
      <w:divBdr>
        <w:top w:val="none" w:sz="0" w:space="0" w:color="auto"/>
        <w:left w:val="none" w:sz="0" w:space="0" w:color="auto"/>
        <w:bottom w:val="none" w:sz="0" w:space="0" w:color="auto"/>
        <w:right w:val="none" w:sz="0" w:space="0" w:color="auto"/>
      </w:divBdr>
    </w:div>
    <w:div w:id="872305552">
      <w:bodyDiv w:val="1"/>
      <w:marLeft w:val="0"/>
      <w:marRight w:val="0"/>
      <w:marTop w:val="0"/>
      <w:marBottom w:val="0"/>
      <w:divBdr>
        <w:top w:val="none" w:sz="0" w:space="0" w:color="auto"/>
        <w:left w:val="none" w:sz="0" w:space="0" w:color="auto"/>
        <w:bottom w:val="none" w:sz="0" w:space="0" w:color="auto"/>
        <w:right w:val="none" w:sz="0" w:space="0" w:color="auto"/>
      </w:divBdr>
    </w:div>
    <w:div w:id="913927883">
      <w:bodyDiv w:val="1"/>
      <w:marLeft w:val="0"/>
      <w:marRight w:val="0"/>
      <w:marTop w:val="0"/>
      <w:marBottom w:val="0"/>
      <w:divBdr>
        <w:top w:val="none" w:sz="0" w:space="0" w:color="auto"/>
        <w:left w:val="none" w:sz="0" w:space="0" w:color="auto"/>
        <w:bottom w:val="none" w:sz="0" w:space="0" w:color="auto"/>
        <w:right w:val="none" w:sz="0" w:space="0" w:color="auto"/>
      </w:divBdr>
    </w:div>
    <w:div w:id="935753963">
      <w:bodyDiv w:val="1"/>
      <w:marLeft w:val="0"/>
      <w:marRight w:val="0"/>
      <w:marTop w:val="0"/>
      <w:marBottom w:val="0"/>
      <w:divBdr>
        <w:top w:val="none" w:sz="0" w:space="0" w:color="auto"/>
        <w:left w:val="none" w:sz="0" w:space="0" w:color="auto"/>
        <w:bottom w:val="none" w:sz="0" w:space="0" w:color="auto"/>
        <w:right w:val="none" w:sz="0" w:space="0" w:color="auto"/>
      </w:divBdr>
    </w:div>
    <w:div w:id="972783260">
      <w:bodyDiv w:val="1"/>
      <w:marLeft w:val="0"/>
      <w:marRight w:val="0"/>
      <w:marTop w:val="0"/>
      <w:marBottom w:val="0"/>
      <w:divBdr>
        <w:top w:val="none" w:sz="0" w:space="0" w:color="auto"/>
        <w:left w:val="none" w:sz="0" w:space="0" w:color="auto"/>
        <w:bottom w:val="none" w:sz="0" w:space="0" w:color="auto"/>
        <w:right w:val="none" w:sz="0" w:space="0" w:color="auto"/>
      </w:divBdr>
    </w:div>
    <w:div w:id="1024794733">
      <w:bodyDiv w:val="1"/>
      <w:marLeft w:val="0"/>
      <w:marRight w:val="0"/>
      <w:marTop w:val="0"/>
      <w:marBottom w:val="0"/>
      <w:divBdr>
        <w:top w:val="none" w:sz="0" w:space="0" w:color="auto"/>
        <w:left w:val="none" w:sz="0" w:space="0" w:color="auto"/>
        <w:bottom w:val="none" w:sz="0" w:space="0" w:color="auto"/>
        <w:right w:val="none" w:sz="0" w:space="0" w:color="auto"/>
      </w:divBdr>
    </w:div>
    <w:div w:id="1090275194">
      <w:bodyDiv w:val="1"/>
      <w:marLeft w:val="0"/>
      <w:marRight w:val="0"/>
      <w:marTop w:val="0"/>
      <w:marBottom w:val="0"/>
      <w:divBdr>
        <w:top w:val="none" w:sz="0" w:space="0" w:color="auto"/>
        <w:left w:val="none" w:sz="0" w:space="0" w:color="auto"/>
        <w:bottom w:val="none" w:sz="0" w:space="0" w:color="auto"/>
        <w:right w:val="none" w:sz="0" w:space="0" w:color="auto"/>
      </w:divBdr>
    </w:div>
    <w:div w:id="1169249223">
      <w:bodyDiv w:val="1"/>
      <w:marLeft w:val="0"/>
      <w:marRight w:val="0"/>
      <w:marTop w:val="0"/>
      <w:marBottom w:val="0"/>
      <w:divBdr>
        <w:top w:val="none" w:sz="0" w:space="0" w:color="auto"/>
        <w:left w:val="none" w:sz="0" w:space="0" w:color="auto"/>
        <w:bottom w:val="none" w:sz="0" w:space="0" w:color="auto"/>
        <w:right w:val="none" w:sz="0" w:space="0" w:color="auto"/>
      </w:divBdr>
    </w:div>
    <w:div w:id="1175657604">
      <w:bodyDiv w:val="1"/>
      <w:marLeft w:val="0"/>
      <w:marRight w:val="0"/>
      <w:marTop w:val="0"/>
      <w:marBottom w:val="0"/>
      <w:divBdr>
        <w:top w:val="none" w:sz="0" w:space="0" w:color="auto"/>
        <w:left w:val="none" w:sz="0" w:space="0" w:color="auto"/>
        <w:bottom w:val="none" w:sz="0" w:space="0" w:color="auto"/>
        <w:right w:val="none" w:sz="0" w:space="0" w:color="auto"/>
      </w:divBdr>
      <w:divsChild>
        <w:div w:id="2141997069">
          <w:marLeft w:val="547"/>
          <w:marRight w:val="0"/>
          <w:marTop w:val="67"/>
          <w:marBottom w:val="0"/>
          <w:divBdr>
            <w:top w:val="none" w:sz="0" w:space="0" w:color="auto"/>
            <w:left w:val="none" w:sz="0" w:space="0" w:color="auto"/>
            <w:bottom w:val="none" w:sz="0" w:space="0" w:color="auto"/>
            <w:right w:val="none" w:sz="0" w:space="0" w:color="auto"/>
          </w:divBdr>
        </w:div>
      </w:divsChild>
    </w:div>
    <w:div w:id="1192449626">
      <w:bodyDiv w:val="1"/>
      <w:marLeft w:val="0"/>
      <w:marRight w:val="0"/>
      <w:marTop w:val="0"/>
      <w:marBottom w:val="0"/>
      <w:divBdr>
        <w:top w:val="none" w:sz="0" w:space="0" w:color="auto"/>
        <w:left w:val="none" w:sz="0" w:space="0" w:color="auto"/>
        <w:bottom w:val="none" w:sz="0" w:space="0" w:color="auto"/>
        <w:right w:val="none" w:sz="0" w:space="0" w:color="auto"/>
      </w:divBdr>
    </w:div>
    <w:div w:id="1196887973">
      <w:bodyDiv w:val="1"/>
      <w:marLeft w:val="0"/>
      <w:marRight w:val="0"/>
      <w:marTop w:val="0"/>
      <w:marBottom w:val="0"/>
      <w:divBdr>
        <w:top w:val="none" w:sz="0" w:space="0" w:color="auto"/>
        <w:left w:val="none" w:sz="0" w:space="0" w:color="auto"/>
        <w:bottom w:val="none" w:sz="0" w:space="0" w:color="auto"/>
        <w:right w:val="none" w:sz="0" w:space="0" w:color="auto"/>
      </w:divBdr>
    </w:div>
    <w:div w:id="1220628279">
      <w:bodyDiv w:val="1"/>
      <w:marLeft w:val="0"/>
      <w:marRight w:val="0"/>
      <w:marTop w:val="0"/>
      <w:marBottom w:val="0"/>
      <w:divBdr>
        <w:top w:val="none" w:sz="0" w:space="0" w:color="auto"/>
        <w:left w:val="none" w:sz="0" w:space="0" w:color="auto"/>
        <w:bottom w:val="none" w:sz="0" w:space="0" w:color="auto"/>
        <w:right w:val="none" w:sz="0" w:space="0" w:color="auto"/>
      </w:divBdr>
    </w:div>
    <w:div w:id="1272780402">
      <w:bodyDiv w:val="1"/>
      <w:marLeft w:val="0"/>
      <w:marRight w:val="0"/>
      <w:marTop w:val="0"/>
      <w:marBottom w:val="0"/>
      <w:divBdr>
        <w:top w:val="none" w:sz="0" w:space="0" w:color="auto"/>
        <w:left w:val="none" w:sz="0" w:space="0" w:color="auto"/>
        <w:bottom w:val="none" w:sz="0" w:space="0" w:color="auto"/>
        <w:right w:val="none" w:sz="0" w:space="0" w:color="auto"/>
      </w:divBdr>
    </w:div>
    <w:div w:id="1365323010">
      <w:bodyDiv w:val="1"/>
      <w:marLeft w:val="0"/>
      <w:marRight w:val="0"/>
      <w:marTop w:val="0"/>
      <w:marBottom w:val="0"/>
      <w:divBdr>
        <w:top w:val="none" w:sz="0" w:space="0" w:color="auto"/>
        <w:left w:val="none" w:sz="0" w:space="0" w:color="auto"/>
        <w:bottom w:val="none" w:sz="0" w:space="0" w:color="auto"/>
        <w:right w:val="none" w:sz="0" w:space="0" w:color="auto"/>
      </w:divBdr>
    </w:div>
    <w:div w:id="1411345300">
      <w:bodyDiv w:val="1"/>
      <w:marLeft w:val="0"/>
      <w:marRight w:val="0"/>
      <w:marTop w:val="0"/>
      <w:marBottom w:val="0"/>
      <w:divBdr>
        <w:top w:val="none" w:sz="0" w:space="0" w:color="auto"/>
        <w:left w:val="none" w:sz="0" w:space="0" w:color="auto"/>
        <w:bottom w:val="none" w:sz="0" w:space="0" w:color="auto"/>
        <w:right w:val="none" w:sz="0" w:space="0" w:color="auto"/>
      </w:divBdr>
    </w:div>
    <w:div w:id="1417631646">
      <w:bodyDiv w:val="1"/>
      <w:marLeft w:val="0"/>
      <w:marRight w:val="0"/>
      <w:marTop w:val="0"/>
      <w:marBottom w:val="0"/>
      <w:divBdr>
        <w:top w:val="none" w:sz="0" w:space="0" w:color="auto"/>
        <w:left w:val="none" w:sz="0" w:space="0" w:color="auto"/>
        <w:bottom w:val="none" w:sz="0" w:space="0" w:color="auto"/>
        <w:right w:val="none" w:sz="0" w:space="0" w:color="auto"/>
      </w:divBdr>
    </w:div>
    <w:div w:id="1445419338">
      <w:bodyDiv w:val="1"/>
      <w:marLeft w:val="0"/>
      <w:marRight w:val="0"/>
      <w:marTop w:val="0"/>
      <w:marBottom w:val="0"/>
      <w:divBdr>
        <w:top w:val="none" w:sz="0" w:space="0" w:color="auto"/>
        <w:left w:val="none" w:sz="0" w:space="0" w:color="auto"/>
        <w:bottom w:val="none" w:sz="0" w:space="0" w:color="auto"/>
        <w:right w:val="none" w:sz="0" w:space="0" w:color="auto"/>
      </w:divBdr>
    </w:div>
    <w:div w:id="1465542366">
      <w:bodyDiv w:val="1"/>
      <w:marLeft w:val="0"/>
      <w:marRight w:val="0"/>
      <w:marTop w:val="0"/>
      <w:marBottom w:val="0"/>
      <w:divBdr>
        <w:top w:val="none" w:sz="0" w:space="0" w:color="auto"/>
        <w:left w:val="none" w:sz="0" w:space="0" w:color="auto"/>
        <w:bottom w:val="none" w:sz="0" w:space="0" w:color="auto"/>
        <w:right w:val="none" w:sz="0" w:space="0" w:color="auto"/>
      </w:divBdr>
    </w:div>
    <w:div w:id="1507793322">
      <w:bodyDiv w:val="1"/>
      <w:marLeft w:val="0"/>
      <w:marRight w:val="0"/>
      <w:marTop w:val="0"/>
      <w:marBottom w:val="0"/>
      <w:divBdr>
        <w:top w:val="none" w:sz="0" w:space="0" w:color="auto"/>
        <w:left w:val="none" w:sz="0" w:space="0" w:color="auto"/>
        <w:bottom w:val="none" w:sz="0" w:space="0" w:color="auto"/>
        <w:right w:val="none" w:sz="0" w:space="0" w:color="auto"/>
      </w:divBdr>
    </w:div>
    <w:div w:id="1508835585">
      <w:bodyDiv w:val="1"/>
      <w:marLeft w:val="0"/>
      <w:marRight w:val="0"/>
      <w:marTop w:val="0"/>
      <w:marBottom w:val="0"/>
      <w:divBdr>
        <w:top w:val="none" w:sz="0" w:space="0" w:color="auto"/>
        <w:left w:val="none" w:sz="0" w:space="0" w:color="auto"/>
        <w:bottom w:val="none" w:sz="0" w:space="0" w:color="auto"/>
        <w:right w:val="none" w:sz="0" w:space="0" w:color="auto"/>
      </w:divBdr>
      <w:divsChild>
        <w:div w:id="411314588">
          <w:marLeft w:val="0"/>
          <w:marRight w:val="0"/>
          <w:marTop w:val="0"/>
          <w:marBottom w:val="0"/>
          <w:divBdr>
            <w:top w:val="none" w:sz="0" w:space="0" w:color="auto"/>
            <w:left w:val="none" w:sz="0" w:space="0" w:color="auto"/>
            <w:bottom w:val="none" w:sz="0" w:space="0" w:color="auto"/>
            <w:right w:val="none" w:sz="0" w:space="0" w:color="auto"/>
          </w:divBdr>
        </w:div>
      </w:divsChild>
    </w:div>
    <w:div w:id="1556089051">
      <w:bodyDiv w:val="1"/>
      <w:marLeft w:val="0"/>
      <w:marRight w:val="0"/>
      <w:marTop w:val="0"/>
      <w:marBottom w:val="0"/>
      <w:divBdr>
        <w:top w:val="none" w:sz="0" w:space="0" w:color="auto"/>
        <w:left w:val="none" w:sz="0" w:space="0" w:color="auto"/>
        <w:bottom w:val="none" w:sz="0" w:space="0" w:color="auto"/>
        <w:right w:val="none" w:sz="0" w:space="0" w:color="auto"/>
      </w:divBdr>
    </w:div>
    <w:div w:id="1575042604">
      <w:bodyDiv w:val="1"/>
      <w:marLeft w:val="0"/>
      <w:marRight w:val="0"/>
      <w:marTop w:val="0"/>
      <w:marBottom w:val="0"/>
      <w:divBdr>
        <w:top w:val="none" w:sz="0" w:space="0" w:color="auto"/>
        <w:left w:val="none" w:sz="0" w:space="0" w:color="auto"/>
        <w:bottom w:val="none" w:sz="0" w:space="0" w:color="auto"/>
        <w:right w:val="none" w:sz="0" w:space="0" w:color="auto"/>
      </w:divBdr>
    </w:div>
    <w:div w:id="1623271387">
      <w:bodyDiv w:val="1"/>
      <w:marLeft w:val="0"/>
      <w:marRight w:val="0"/>
      <w:marTop w:val="0"/>
      <w:marBottom w:val="0"/>
      <w:divBdr>
        <w:top w:val="none" w:sz="0" w:space="0" w:color="auto"/>
        <w:left w:val="none" w:sz="0" w:space="0" w:color="auto"/>
        <w:bottom w:val="none" w:sz="0" w:space="0" w:color="auto"/>
        <w:right w:val="none" w:sz="0" w:space="0" w:color="auto"/>
      </w:divBdr>
    </w:div>
    <w:div w:id="1632436769">
      <w:bodyDiv w:val="1"/>
      <w:marLeft w:val="0"/>
      <w:marRight w:val="0"/>
      <w:marTop w:val="0"/>
      <w:marBottom w:val="0"/>
      <w:divBdr>
        <w:top w:val="none" w:sz="0" w:space="0" w:color="auto"/>
        <w:left w:val="none" w:sz="0" w:space="0" w:color="auto"/>
        <w:bottom w:val="none" w:sz="0" w:space="0" w:color="auto"/>
        <w:right w:val="none" w:sz="0" w:space="0" w:color="auto"/>
      </w:divBdr>
    </w:div>
    <w:div w:id="1657297457">
      <w:bodyDiv w:val="1"/>
      <w:marLeft w:val="0"/>
      <w:marRight w:val="0"/>
      <w:marTop w:val="0"/>
      <w:marBottom w:val="0"/>
      <w:divBdr>
        <w:top w:val="none" w:sz="0" w:space="0" w:color="auto"/>
        <w:left w:val="none" w:sz="0" w:space="0" w:color="auto"/>
        <w:bottom w:val="none" w:sz="0" w:space="0" w:color="auto"/>
        <w:right w:val="none" w:sz="0" w:space="0" w:color="auto"/>
      </w:divBdr>
    </w:div>
    <w:div w:id="1673068791">
      <w:bodyDiv w:val="1"/>
      <w:marLeft w:val="0"/>
      <w:marRight w:val="0"/>
      <w:marTop w:val="0"/>
      <w:marBottom w:val="0"/>
      <w:divBdr>
        <w:top w:val="none" w:sz="0" w:space="0" w:color="auto"/>
        <w:left w:val="none" w:sz="0" w:space="0" w:color="auto"/>
        <w:bottom w:val="none" w:sz="0" w:space="0" w:color="auto"/>
        <w:right w:val="none" w:sz="0" w:space="0" w:color="auto"/>
      </w:divBdr>
    </w:div>
    <w:div w:id="1748840947">
      <w:bodyDiv w:val="1"/>
      <w:marLeft w:val="0"/>
      <w:marRight w:val="0"/>
      <w:marTop w:val="0"/>
      <w:marBottom w:val="0"/>
      <w:divBdr>
        <w:top w:val="none" w:sz="0" w:space="0" w:color="auto"/>
        <w:left w:val="none" w:sz="0" w:space="0" w:color="auto"/>
        <w:bottom w:val="none" w:sz="0" w:space="0" w:color="auto"/>
        <w:right w:val="none" w:sz="0" w:space="0" w:color="auto"/>
      </w:divBdr>
    </w:div>
    <w:div w:id="1784500067">
      <w:bodyDiv w:val="1"/>
      <w:marLeft w:val="0"/>
      <w:marRight w:val="0"/>
      <w:marTop w:val="0"/>
      <w:marBottom w:val="0"/>
      <w:divBdr>
        <w:top w:val="none" w:sz="0" w:space="0" w:color="auto"/>
        <w:left w:val="none" w:sz="0" w:space="0" w:color="auto"/>
        <w:bottom w:val="none" w:sz="0" w:space="0" w:color="auto"/>
        <w:right w:val="none" w:sz="0" w:space="0" w:color="auto"/>
      </w:divBdr>
    </w:div>
    <w:div w:id="1796942664">
      <w:bodyDiv w:val="1"/>
      <w:marLeft w:val="0"/>
      <w:marRight w:val="0"/>
      <w:marTop w:val="0"/>
      <w:marBottom w:val="0"/>
      <w:divBdr>
        <w:top w:val="none" w:sz="0" w:space="0" w:color="auto"/>
        <w:left w:val="none" w:sz="0" w:space="0" w:color="auto"/>
        <w:bottom w:val="none" w:sz="0" w:space="0" w:color="auto"/>
        <w:right w:val="none" w:sz="0" w:space="0" w:color="auto"/>
      </w:divBdr>
    </w:div>
    <w:div w:id="1928072798">
      <w:bodyDiv w:val="1"/>
      <w:marLeft w:val="0"/>
      <w:marRight w:val="0"/>
      <w:marTop w:val="0"/>
      <w:marBottom w:val="0"/>
      <w:divBdr>
        <w:top w:val="none" w:sz="0" w:space="0" w:color="auto"/>
        <w:left w:val="none" w:sz="0" w:space="0" w:color="auto"/>
        <w:bottom w:val="none" w:sz="0" w:space="0" w:color="auto"/>
        <w:right w:val="none" w:sz="0" w:space="0" w:color="auto"/>
      </w:divBdr>
    </w:div>
    <w:div w:id="1951014503">
      <w:bodyDiv w:val="1"/>
      <w:marLeft w:val="0"/>
      <w:marRight w:val="0"/>
      <w:marTop w:val="0"/>
      <w:marBottom w:val="0"/>
      <w:divBdr>
        <w:top w:val="none" w:sz="0" w:space="0" w:color="auto"/>
        <w:left w:val="none" w:sz="0" w:space="0" w:color="auto"/>
        <w:bottom w:val="none" w:sz="0" w:space="0" w:color="auto"/>
        <w:right w:val="none" w:sz="0" w:space="0" w:color="auto"/>
      </w:divBdr>
    </w:div>
    <w:div w:id="2025083570">
      <w:bodyDiv w:val="1"/>
      <w:marLeft w:val="0"/>
      <w:marRight w:val="0"/>
      <w:marTop w:val="0"/>
      <w:marBottom w:val="0"/>
      <w:divBdr>
        <w:top w:val="none" w:sz="0" w:space="0" w:color="auto"/>
        <w:left w:val="none" w:sz="0" w:space="0" w:color="auto"/>
        <w:bottom w:val="none" w:sz="0" w:space="0" w:color="auto"/>
        <w:right w:val="none" w:sz="0" w:space="0" w:color="auto"/>
      </w:divBdr>
    </w:div>
    <w:div w:id="2048024237">
      <w:bodyDiv w:val="1"/>
      <w:marLeft w:val="0"/>
      <w:marRight w:val="0"/>
      <w:marTop w:val="0"/>
      <w:marBottom w:val="0"/>
      <w:divBdr>
        <w:top w:val="none" w:sz="0" w:space="0" w:color="auto"/>
        <w:left w:val="none" w:sz="0" w:space="0" w:color="auto"/>
        <w:bottom w:val="none" w:sz="0" w:space="0" w:color="auto"/>
        <w:right w:val="none" w:sz="0" w:space="0" w:color="auto"/>
      </w:divBdr>
    </w:div>
    <w:div w:id="2081757023">
      <w:bodyDiv w:val="1"/>
      <w:marLeft w:val="0"/>
      <w:marRight w:val="0"/>
      <w:marTop w:val="0"/>
      <w:marBottom w:val="0"/>
      <w:divBdr>
        <w:top w:val="none" w:sz="0" w:space="0" w:color="auto"/>
        <w:left w:val="none" w:sz="0" w:space="0" w:color="auto"/>
        <w:bottom w:val="none" w:sz="0" w:space="0" w:color="auto"/>
        <w:right w:val="none" w:sz="0" w:space="0" w:color="auto"/>
      </w:divBdr>
      <w:divsChild>
        <w:div w:id="150953296">
          <w:marLeft w:val="0"/>
          <w:marRight w:val="0"/>
          <w:marTop w:val="0"/>
          <w:marBottom w:val="0"/>
          <w:divBdr>
            <w:top w:val="none" w:sz="0" w:space="0" w:color="auto"/>
            <w:left w:val="none" w:sz="0" w:space="0" w:color="auto"/>
            <w:bottom w:val="none" w:sz="0" w:space="0" w:color="auto"/>
            <w:right w:val="none" w:sz="0" w:space="0" w:color="auto"/>
          </w:divBdr>
        </w:div>
      </w:divsChild>
    </w:div>
    <w:div w:id="2123572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bdgroup.com/"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2024-03-08T07:04:46+00:00</DateReceived>
    <TaxCatchAll xmlns="801a3cf6-255d-4ff5-98fe-b4415afa84b5" xsi:nil="true"/>
  </documentManagement>
</p:properties>
</file>

<file path=customXml/itemProps1.xml><?xml version="1.0" encoding="utf-8"?>
<ds:datastoreItem xmlns:ds="http://schemas.openxmlformats.org/officeDocument/2006/customXml" ds:itemID="{0E269C4D-4C54-4DD0-BA7D-674E0DECAC19}">
  <ds:schemaRefs>
    <ds:schemaRef ds:uri="http://schemas.openxmlformats.org/officeDocument/2006/bibliography"/>
  </ds:schemaRefs>
</ds:datastoreItem>
</file>

<file path=customXml/itemProps2.xml><?xml version="1.0" encoding="utf-8"?>
<ds:datastoreItem xmlns:ds="http://schemas.openxmlformats.org/officeDocument/2006/customXml" ds:itemID="{E3EFE9BF-CA1D-4582-8106-68FD50E1E402}"/>
</file>

<file path=customXml/itemProps3.xml><?xml version="1.0" encoding="utf-8"?>
<ds:datastoreItem xmlns:ds="http://schemas.openxmlformats.org/officeDocument/2006/customXml" ds:itemID="{1BC4163B-28EC-467C-9F6B-B34D13ED5381}"/>
</file>

<file path=customXml/itemProps4.xml><?xml version="1.0" encoding="utf-8"?>
<ds:datastoreItem xmlns:ds="http://schemas.openxmlformats.org/officeDocument/2006/customXml" ds:itemID="{0689BA63-4E08-455E-8AC2-94924CE71557}"/>
</file>

<file path=docProps/app.xml><?xml version="1.0" encoding="utf-8"?>
<Properties xmlns="http://schemas.openxmlformats.org/officeDocument/2006/extended-properties" xmlns:vt="http://schemas.openxmlformats.org/officeDocument/2006/docPropsVTypes">
  <Template>Normal</Template>
  <TotalTime>1</TotalTime>
  <Pages>26</Pages>
  <Words>8974</Words>
  <Characters>51152</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FBD Insurance PLC</Company>
  <LinksUpToDate>false</LinksUpToDate>
  <CharactersWithSpaces>60006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Walsh</dc:creator>
  <cp:keywords/>
  <dc:description/>
  <cp:lastModifiedBy>Natalie Walsh</cp:lastModifiedBy>
  <cp:revision>2</cp:revision>
  <cp:lastPrinted>2024-02-20T08:52:00Z</cp:lastPrinted>
  <dcterms:created xsi:type="dcterms:W3CDTF">2024-03-07T13:58:00Z</dcterms:created>
  <dcterms:modified xsi:type="dcterms:W3CDTF">2024-03-07T13:58:00Z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