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1A433" w14:textId="77777777" w:rsidR="00A344E5" w:rsidRDefault="00A344E5" w:rsidP="00B069C4">
      <w:pPr>
        <w:spacing w:after="0" w:line="253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344E5">
        <w:rPr>
          <w:rFonts w:ascii="Arial" w:hAnsi="Arial" w:cs="Arial"/>
          <w:b/>
          <w:bCs/>
          <w:color w:val="000000"/>
          <w:sz w:val="20"/>
          <w:szCs w:val="20"/>
        </w:rPr>
        <w:t xml:space="preserve">FBD HOLDINGS PLC </w:t>
      </w:r>
    </w:p>
    <w:p w14:paraId="100421C9" w14:textId="4A220EA6" w:rsidR="00B069C4" w:rsidRPr="00265586" w:rsidRDefault="00B069C4" w:rsidP="00A344E5">
      <w:pPr>
        <w:spacing w:after="0" w:line="253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990D81E" w14:textId="7DA8AAB9" w:rsidR="00B069C4" w:rsidRDefault="00F22512" w:rsidP="00B069C4">
      <w:pPr>
        <w:spacing w:after="0" w:line="253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F22512">
        <w:rPr>
          <w:rFonts w:ascii="Arial" w:hAnsi="Arial" w:cs="Arial"/>
          <w:b/>
          <w:bCs/>
          <w:color w:val="000000"/>
          <w:sz w:val="20"/>
          <w:szCs w:val="20"/>
        </w:rPr>
        <w:t>Transactions in Own Shares</w:t>
      </w:r>
    </w:p>
    <w:p w14:paraId="7054F65B" w14:textId="067BED8F" w:rsidR="001F2ED8" w:rsidRDefault="001F2ED8" w:rsidP="00B069C4">
      <w:pPr>
        <w:spacing w:after="0" w:line="253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EA756FC" w14:textId="6FAD5F08" w:rsidR="00F22512" w:rsidRPr="00F22512" w:rsidRDefault="00F22512" w:rsidP="00C42818">
      <w:pPr>
        <w:spacing w:after="0" w:line="25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A344E5">
        <w:rPr>
          <w:rFonts w:ascii="Arial" w:hAnsi="Arial" w:cs="Arial"/>
          <w:color w:val="000000"/>
          <w:sz w:val="20"/>
          <w:szCs w:val="20"/>
        </w:rPr>
        <w:t xml:space="preserve">FBD Holdings plc ("FBD" or the "Company") </w:t>
      </w:r>
      <w:r w:rsidRPr="00F22512">
        <w:rPr>
          <w:rFonts w:ascii="Arial" w:hAnsi="Arial" w:cs="Arial"/>
          <w:color w:val="000000"/>
          <w:sz w:val="20"/>
          <w:szCs w:val="20"/>
        </w:rPr>
        <w:t xml:space="preserve">announces today that, acting through its corporate broker, </w:t>
      </w:r>
      <w:r>
        <w:rPr>
          <w:rFonts w:ascii="Arial" w:hAnsi="Arial" w:cs="Arial"/>
          <w:color w:val="000000"/>
          <w:sz w:val="20"/>
          <w:szCs w:val="20"/>
        </w:rPr>
        <w:t>J&amp;E Davy</w:t>
      </w:r>
      <w:r w:rsidR="00AC1F84">
        <w:rPr>
          <w:rFonts w:ascii="Arial" w:hAnsi="Arial" w:cs="Arial"/>
          <w:color w:val="000000"/>
          <w:sz w:val="20"/>
          <w:szCs w:val="20"/>
        </w:rPr>
        <w:t xml:space="preserve">, </w:t>
      </w:r>
      <w:r w:rsidRPr="00F22512">
        <w:rPr>
          <w:rFonts w:ascii="Arial" w:hAnsi="Arial" w:cs="Arial"/>
          <w:color w:val="000000"/>
          <w:sz w:val="20"/>
          <w:szCs w:val="20"/>
        </w:rPr>
        <w:t xml:space="preserve">it has purchased </w:t>
      </w:r>
      <w:r w:rsidR="008218FE" w:rsidRPr="008218FE">
        <w:rPr>
          <w:rFonts w:ascii="Arial" w:hAnsi="Arial" w:cs="Arial"/>
          <w:color w:val="000000"/>
          <w:sz w:val="20"/>
          <w:szCs w:val="20"/>
        </w:rPr>
        <w:t>316,200</w:t>
      </w:r>
      <w:r w:rsidRPr="00F22512">
        <w:rPr>
          <w:rFonts w:ascii="Arial" w:hAnsi="Arial" w:cs="Arial"/>
          <w:color w:val="000000"/>
          <w:sz w:val="20"/>
          <w:szCs w:val="20"/>
        </w:rPr>
        <w:t xml:space="preserve"> ordinary shares of €0.</w:t>
      </w:r>
      <w:r>
        <w:rPr>
          <w:rFonts w:ascii="Arial" w:hAnsi="Arial" w:cs="Arial"/>
          <w:color w:val="000000"/>
          <w:sz w:val="20"/>
          <w:szCs w:val="20"/>
        </w:rPr>
        <w:t>60</w:t>
      </w:r>
      <w:r w:rsidRPr="00F22512">
        <w:rPr>
          <w:rFonts w:ascii="Arial" w:hAnsi="Arial" w:cs="Arial"/>
          <w:color w:val="000000"/>
          <w:sz w:val="20"/>
          <w:szCs w:val="20"/>
        </w:rPr>
        <w:t xml:space="preserve"> each in the issued share capital of the Company (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F22512">
        <w:rPr>
          <w:rFonts w:ascii="Arial" w:hAnsi="Arial" w:cs="Arial"/>
          <w:color w:val="000000"/>
          <w:sz w:val="20"/>
          <w:szCs w:val="20"/>
        </w:rPr>
        <w:t>Ordinary Shares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F22512">
        <w:rPr>
          <w:rFonts w:ascii="Arial" w:hAnsi="Arial" w:cs="Arial"/>
          <w:color w:val="000000"/>
          <w:sz w:val="20"/>
          <w:szCs w:val="20"/>
        </w:rPr>
        <w:t>) at €</w:t>
      </w:r>
      <w:r w:rsidR="008218FE">
        <w:rPr>
          <w:rFonts w:ascii="Arial" w:hAnsi="Arial" w:cs="Arial"/>
          <w:color w:val="000000"/>
          <w:sz w:val="20"/>
          <w:szCs w:val="20"/>
        </w:rPr>
        <w:t>12.65</w:t>
      </w:r>
      <w:r w:rsidRPr="00F22512">
        <w:rPr>
          <w:rFonts w:ascii="Arial" w:hAnsi="Arial" w:cs="Arial"/>
          <w:color w:val="000000"/>
          <w:sz w:val="20"/>
          <w:szCs w:val="20"/>
        </w:rPr>
        <w:t xml:space="preserve"> per share for cancellation.</w:t>
      </w:r>
    </w:p>
    <w:p w14:paraId="204FC087" w14:textId="77777777" w:rsidR="00F22512" w:rsidRPr="00F22512" w:rsidRDefault="00F22512" w:rsidP="00C42818">
      <w:pPr>
        <w:spacing w:after="0" w:line="253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2C50047F" w14:textId="54905F21" w:rsidR="00F22512" w:rsidRDefault="00F22512" w:rsidP="00C42818">
      <w:pPr>
        <w:spacing w:after="0" w:line="253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F22512">
        <w:rPr>
          <w:rFonts w:ascii="Arial" w:hAnsi="Arial" w:cs="Arial"/>
          <w:color w:val="000000"/>
          <w:sz w:val="20"/>
          <w:szCs w:val="20"/>
        </w:rPr>
        <w:t xml:space="preserve">This purchase was made pursuant to the authority granted by shareholders at the Annual General Meeting of the Company held on </w:t>
      </w:r>
      <w:r w:rsidR="00AC1F84">
        <w:rPr>
          <w:rFonts w:ascii="Arial" w:hAnsi="Arial" w:cs="Arial"/>
          <w:color w:val="000000"/>
          <w:sz w:val="20"/>
          <w:szCs w:val="20"/>
        </w:rPr>
        <w:t>11</w:t>
      </w:r>
      <w:r w:rsidRPr="00F22512">
        <w:rPr>
          <w:rFonts w:ascii="Arial" w:hAnsi="Arial" w:cs="Arial"/>
          <w:color w:val="000000"/>
          <w:sz w:val="20"/>
          <w:szCs w:val="20"/>
        </w:rPr>
        <w:t xml:space="preserve"> Ma</w:t>
      </w:r>
      <w:r>
        <w:rPr>
          <w:rFonts w:ascii="Arial" w:hAnsi="Arial" w:cs="Arial"/>
          <w:color w:val="000000"/>
          <w:sz w:val="20"/>
          <w:szCs w:val="20"/>
        </w:rPr>
        <w:t>y</w:t>
      </w:r>
      <w:r w:rsidRPr="00F22512">
        <w:rPr>
          <w:rFonts w:ascii="Arial" w:hAnsi="Arial" w:cs="Arial"/>
          <w:color w:val="000000"/>
          <w:sz w:val="20"/>
          <w:szCs w:val="20"/>
        </w:rPr>
        <w:t xml:space="preserve"> 2023.</w:t>
      </w:r>
    </w:p>
    <w:p w14:paraId="3176846E" w14:textId="77777777" w:rsidR="00AC1F84" w:rsidRDefault="00AC1F84" w:rsidP="00AC1F84">
      <w:pPr>
        <w:spacing w:after="0" w:line="253" w:lineRule="atLeast"/>
        <w:rPr>
          <w:rFonts w:ascii="Arial" w:hAnsi="Arial" w:cs="Arial"/>
          <w:color w:val="000000"/>
          <w:sz w:val="20"/>
          <w:szCs w:val="20"/>
        </w:rPr>
      </w:pPr>
    </w:p>
    <w:p w14:paraId="2A1B1C3E" w14:textId="3A20E141" w:rsidR="00FB08B2" w:rsidRPr="008A5912" w:rsidRDefault="00FB08B2" w:rsidP="00FB08B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30A6D">
        <w:rPr>
          <w:rFonts w:ascii="Arial" w:hAnsi="Arial" w:cs="Arial"/>
          <w:sz w:val="20"/>
          <w:szCs w:val="20"/>
          <w:lang w:val="en-US"/>
        </w:rPr>
        <w:t xml:space="preserve">The number of ordinary shares held in </w:t>
      </w:r>
      <w:r w:rsidRPr="008A5912">
        <w:rPr>
          <w:rFonts w:ascii="Arial" w:hAnsi="Arial" w:cs="Arial"/>
          <w:sz w:val="20"/>
          <w:szCs w:val="20"/>
          <w:lang w:val="en-US"/>
        </w:rPr>
        <w:t>treasury by</w:t>
      </w:r>
      <w:r w:rsidR="00906EBE">
        <w:rPr>
          <w:rFonts w:ascii="Arial" w:hAnsi="Arial" w:cs="Arial"/>
          <w:sz w:val="20"/>
          <w:szCs w:val="20"/>
          <w:lang w:val="en-US"/>
        </w:rPr>
        <w:t xml:space="preserve"> the Company i</w:t>
      </w:r>
      <w:r w:rsidRPr="008A5912">
        <w:rPr>
          <w:rFonts w:ascii="Arial" w:hAnsi="Arial" w:cs="Arial"/>
          <w:sz w:val="20"/>
          <w:szCs w:val="20"/>
          <w:lang w:val="en-US"/>
        </w:rPr>
        <w:t>s 164,005.  These treasury shares are not taken into consideration in relation to the payment of dividends and voting at shareholder meetings.</w:t>
      </w:r>
    </w:p>
    <w:p w14:paraId="5FB48E11" w14:textId="77777777" w:rsidR="00FB08B2" w:rsidRPr="00F22512" w:rsidRDefault="00FB08B2" w:rsidP="00AC1F84">
      <w:pPr>
        <w:spacing w:after="0" w:line="253" w:lineRule="atLeast"/>
        <w:rPr>
          <w:rFonts w:ascii="Arial" w:hAnsi="Arial" w:cs="Arial"/>
          <w:color w:val="000000"/>
          <w:sz w:val="20"/>
          <w:szCs w:val="20"/>
        </w:rPr>
      </w:pPr>
    </w:p>
    <w:p w14:paraId="2AC347C7" w14:textId="2A3E52A3" w:rsidR="00AC1F84" w:rsidRDefault="00AC1F84" w:rsidP="00AC1F84">
      <w:pPr>
        <w:spacing w:after="0" w:line="253" w:lineRule="atLeast"/>
        <w:rPr>
          <w:rFonts w:ascii="Arial" w:hAnsi="Arial" w:cs="Arial"/>
          <w:color w:val="000000"/>
          <w:sz w:val="20"/>
          <w:szCs w:val="20"/>
        </w:rPr>
      </w:pPr>
      <w:r w:rsidRPr="00F22512">
        <w:rPr>
          <w:rFonts w:ascii="Arial" w:hAnsi="Arial" w:cs="Arial"/>
          <w:color w:val="000000"/>
          <w:sz w:val="20"/>
          <w:szCs w:val="20"/>
        </w:rPr>
        <w:t>Following the above</w:t>
      </w:r>
      <w:r w:rsidR="003A6D64">
        <w:rPr>
          <w:rFonts w:ascii="Arial" w:hAnsi="Arial" w:cs="Arial"/>
          <w:color w:val="000000"/>
          <w:sz w:val="20"/>
          <w:szCs w:val="20"/>
        </w:rPr>
        <w:t xml:space="preserve"> repurchase</w:t>
      </w:r>
      <w:r w:rsidRPr="00F22512">
        <w:rPr>
          <w:rFonts w:ascii="Arial" w:hAnsi="Arial" w:cs="Arial"/>
          <w:color w:val="000000"/>
          <w:sz w:val="20"/>
          <w:szCs w:val="20"/>
        </w:rPr>
        <w:t xml:space="preserve">, the total number of </w:t>
      </w:r>
      <w:r w:rsidRPr="00AC1F84">
        <w:rPr>
          <w:rFonts w:ascii="Arial" w:hAnsi="Arial" w:cs="Arial"/>
          <w:color w:val="000000"/>
          <w:sz w:val="20"/>
          <w:szCs w:val="20"/>
        </w:rPr>
        <w:t xml:space="preserve">voting rights </w:t>
      </w:r>
      <w:r>
        <w:rPr>
          <w:rFonts w:ascii="Arial" w:hAnsi="Arial" w:cs="Arial"/>
          <w:color w:val="000000"/>
          <w:sz w:val="20"/>
          <w:szCs w:val="20"/>
        </w:rPr>
        <w:t xml:space="preserve">will be </w:t>
      </w:r>
      <w:r w:rsidR="00FB08B2">
        <w:rPr>
          <w:rFonts w:ascii="Arial" w:hAnsi="Arial" w:cs="Arial"/>
          <w:color w:val="000000"/>
          <w:sz w:val="20"/>
          <w:szCs w:val="20"/>
        </w:rPr>
        <w:t xml:space="preserve">40,413,059 and excludes treasury shares.  </w:t>
      </w:r>
    </w:p>
    <w:p w14:paraId="38887DBA" w14:textId="77777777" w:rsidR="001F2ED8" w:rsidRDefault="001F2ED8" w:rsidP="00E504E9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4AA8DD1" w14:textId="1B4B7306" w:rsidR="00B069C4" w:rsidRPr="00265586" w:rsidRDefault="00B069C4" w:rsidP="00E504E9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65586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14:paraId="283B0779" w14:textId="76E8A739" w:rsidR="001F2ED8" w:rsidRPr="001F2ED8" w:rsidRDefault="001F2ED8" w:rsidP="00E504E9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1F2ED8">
        <w:rPr>
          <w:rFonts w:ascii="Arial" w:hAnsi="Arial" w:cs="Arial"/>
          <w:b/>
          <w:bCs/>
          <w:color w:val="000000"/>
          <w:sz w:val="20"/>
          <w:szCs w:val="20"/>
        </w:rPr>
        <w:t>FBD Holdings plc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F2ED8">
        <w:rPr>
          <w:rFonts w:ascii="Arial" w:hAnsi="Arial" w:cs="Arial"/>
          <w:b/>
          <w:bCs/>
          <w:color w:val="000000"/>
          <w:sz w:val="20"/>
          <w:szCs w:val="20"/>
        </w:rPr>
        <w:t>Telephone</w:t>
      </w:r>
    </w:p>
    <w:p w14:paraId="7B9A8166" w14:textId="77777777" w:rsidR="001F2ED8" w:rsidRPr="001F2ED8" w:rsidRDefault="001F2ED8" w:rsidP="00E504E9">
      <w:pPr>
        <w:spacing w:after="0"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178E85C" w14:textId="16000EFB" w:rsidR="00B069C4" w:rsidRPr="001F2ED8" w:rsidRDefault="001F2ED8" w:rsidP="00E504E9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1F2ED8">
        <w:rPr>
          <w:rFonts w:ascii="Arial" w:hAnsi="Arial" w:cs="Arial"/>
          <w:color w:val="000000"/>
          <w:sz w:val="20"/>
          <w:szCs w:val="20"/>
        </w:rPr>
        <w:t>Nadine Conlon, Company Secretary</w:t>
      </w:r>
      <w:r w:rsidRPr="001F2ED8">
        <w:rPr>
          <w:rFonts w:ascii="Arial" w:hAnsi="Arial" w:cs="Arial"/>
          <w:color w:val="000000"/>
          <w:sz w:val="20"/>
          <w:szCs w:val="20"/>
        </w:rPr>
        <w:tab/>
      </w:r>
      <w:r w:rsidRPr="001F2ED8">
        <w:rPr>
          <w:rFonts w:ascii="Arial" w:hAnsi="Arial" w:cs="Arial"/>
          <w:color w:val="000000"/>
          <w:sz w:val="20"/>
          <w:szCs w:val="20"/>
        </w:rPr>
        <w:tab/>
      </w:r>
      <w:r w:rsidRPr="001F2ED8">
        <w:rPr>
          <w:rFonts w:ascii="Arial" w:hAnsi="Arial" w:cs="Arial"/>
          <w:color w:val="000000"/>
          <w:sz w:val="20"/>
          <w:szCs w:val="20"/>
        </w:rPr>
        <w:tab/>
        <w:t>00353 87 3844435</w:t>
      </w:r>
    </w:p>
    <w:p w14:paraId="5676EEA2" w14:textId="77777777" w:rsidR="00B069C4" w:rsidRPr="00265586" w:rsidRDefault="00B069C4" w:rsidP="00E504E9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3D41588F" w14:textId="77777777" w:rsidR="00B069C4" w:rsidRDefault="00B069C4" w:rsidP="00E504E9">
      <w:pPr>
        <w:spacing w:after="0" w:line="240" w:lineRule="auto"/>
        <w:jc w:val="both"/>
        <w:rPr>
          <w:rFonts w:ascii="Arial" w:hAnsi="Arial" w:cs="Arial"/>
          <w:b/>
          <w:bCs/>
          <w:color w:val="212721"/>
          <w:sz w:val="20"/>
          <w:szCs w:val="20"/>
        </w:rPr>
      </w:pPr>
    </w:p>
    <w:p w14:paraId="34F73B30" w14:textId="77777777" w:rsidR="001F2ED8" w:rsidRPr="001F2ED8" w:rsidRDefault="001F2ED8" w:rsidP="00E504E9">
      <w:pPr>
        <w:spacing w:after="0" w:line="240" w:lineRule="auto"/>
        <w:contextualSpacing/>
        <w:rPr>
          <w:rFonts w:ascii="Arial" w:hAnsi="Arial" w:cs="Arial"/>
          <w:b/>
          <w:bCs/>
          <w:color w:val="212721"/>
          <w:sz w:val="20"/>
          <w:szCs w:val="20"/>
        </w:rPr>
      </w:pPr>
      <w:r w:rsidRPr="001F2ED8">
        <w:rPr>
          <w:rFonts w:ascii="Arial" w:hAnsi="Arial" w:cs="Arial"/>
          <w:b/>
          <w:bCs/>
          <w:color w:val="212721"/>
          <w:sz w:val="20"/>
          <w:szCs w:val="20"/>
        </w:rPr>
        <w:t>About FBD Holdings plc</w:t>
      </w:r>
    </w:p>
    <w:p w14:paraId="0BA65EC8" w14:textId="77777777" w:rsidR="001F2ED8" w:rsidRPr="001F2ED8" w:rsidRDefault="001F2ED8" w:rsidP="00E504E9">
      <w:pPr>
        <w:spacing w:after="0" w:line="240" w:lineRule="auto"/>
        <w:contextualSpacing/>
        <w:rPr>
          <w:rFonts w:ascii="Arial" w:hAnsi="Arial" w:cs="Arial"/>
          <w:b/>
          <w:bCs/>
          <w:color w:val="212721"/>
          <w:sz w:val="20"/>
          <w:szCs w:val="20"/>
        </w:rPr>
      </w:pPr>
    </w:p>
    <w:p w14:paraId="088ED6EE" w14:textId="77777777" w:rsidR="001F2ED8" w:rsidRPr="001F2ED8" w:rsidRDefault="001F2ED8" w:rsidP="00E504E9">
      <w:pPr>
        <w:spacing w:after="0" w:line="240" w:lineRule="auto"/>
        <w:contextualSpacing/>
        <w:rPr>
          <w:rFonts w:ascii="Arial" w:hAnsi="Arial" w:cs="Arial"/>
          <w:color w:val="212721"/>
          <w:sz w:val="20"/>
          <w:szCs w:val="20"/>
        </w:rPr>
      </w:pPr>
      <w:r w:rsidRPr="001F2ED8">
        <w:rPr>
          <w:rFonts w:ascii="Arial" w:hAnsi="Arial" w:cs="Arial"/>
          <w:color w:val="212721"/>
          <w:sz w:val="20"/>
          <w:szCs w:val="20"/>
        </w:rPr>
        <w:t>FBD is one of Ireland's largest property and casualty insurers looking after the insurance needs of farmers, private individuals and business owners.</w:t>
      </w:r>
    </w:p>
    <w:p w14:paraId="323BF351" w14:textId="42B40881" w:rsidR="001F2ED8" w:rsidRPr="001F2ED8" w:rsidRDefault="001F2ED8" w:rsidP="00E504E9">
      <w:pPr>
        <w:spacing w:after="0" w:line="240" w:lineRule="auto"/>
        <w:contextualSpacing/>
        <w:rPr>
          <w:rFonts w:ascii="Arial" w:hAnsi="Arial" w:cs="Arial"/>
          <w:color w:val="212721"/>
          <w:sz w:val="20"/>
          <w:szCs w:val="20"/>
        </w:rPr>
      </w:pPr>
      <w:r w:rsidRPr="001F2ED8">
        <w:rPr>
          <w:rFonts w:ascii="Arial" w:hAnsi="Arial" w:cs="Arial"/>
          <w:color w:val="212721"/>
          <w:sz w:val="20"/>
          <w:szCs w:val="20"/>
        </w:rPr>
        <w:t xml:space="preserve"> </w:t>
      </w:r>
    </w:p>
    <w:p w14:paraId="40F241F2" w14:textId="6F420D02" w:rsidR="001F2ED8" w:rsidRDefault="001F2ED8" w:rsidP="00E504E9">
      <w:pPr>
        <w:spacing w:after="0" w:line="240" w:lineRule="auto"/>
        <w:contextualSpacing/>
        <w:rPr>
          <w:rFonts w:ascii="Arial" w:hAnsi="Arial" w:cs="Arial"/>
          <w:color w:val="212721"/>
          <w:sz w:val="20"/>
          <w:szCs w:val="20"/>
        </w:rPr>
      </w:pPr>
      <w:r w:rsidRPr="001F2ED8">
        <w:rPr>
          <w:rFonts w:ascii="Arial" w:hAnsi="Arial" w:cs="Arial"/>
          <w:color w:val="212721"/>
          <w:sz w:val="20"/>
          <w:szCs w:val="20"/>
        </w:rPr>
        <w:t xml:space="preserve">The following details relate to FBD's ordinary shares of </w:t>
      </w:r>
      <w:r w:rsidR="00E82A71">
        <w:rPr>
          <w:rFonts w:ascii="Arial" w:hAnsi="Arial" w:cs="Arial"/>
          <w:color w:val="212721"/>
          <w:sz w:val="20"/>
          <w:szCs w:val="20"/>
        </w:rPr>
        <w:t>€0.60</w:t>
      </w:r>
      <w:r w:rsidRPr="001F2ED8">
        <w:rPr>
          <w:rFonts w:ascii="Arial" w:hAnsi="Arial" w:cs="Arial"/>
          <w:color w:val="212721"/>
          <w:sz w:val="20"/>
          <w:szCs w:val="20"/>
        </w:rPr>
        <w:t xml:space="preserve"> each which are publicly traded:</w:t>
      </w:r>
    </w:p>
    <w:p w14:paraId="53F9E5A2" w14:textId="77777777" w:rsidR="00422C70" w:rsidRPr="001F2ED8" w:rsidRDefault="00422C70" w:rsidP="00E504E9">
      <w:pPr>
        <w:spacing w:after="0" w:line="240" w:lineRule="auto"/>
        <w:contextualSpacing/>
        <w:rPr>
          <w:rFonts w:ascii="Arial" w:hAnsi="Arial" w:cs="Arial"/>
          <w:color w:val="212721"/>
          <w:sz w:val="20"/>
          <w:szCs w:val="20"/>
        </w:rPr>
      </w:pPr>
    </w:p>
    <w:p w14:paraId="2C7CF714" w14:textId="520992C7" w:rsidR="001F2ED8" w:rsidRDefault="001F2ED8" w:rsidP="00E504E9">
      <w:pPr>
        <w:spacing w:after="0" w:line="240" w:lineRule="auto"/>
        <w:contextualSpacing/>
        <w:rPr>
          <w:rFonts w:ascii="Arial" w:hAnsi="Arial" w:cs="Arial"/>
          <w:b/>
          <w:bCs/>
          <w:color w:val="212721"/>
          <w:sz w:val="20"/>
          <w:szCs w:val="20"/>
        </w:rPr>
      </w:pPr>
      <w:r w:rsidRPr="001F2ED8">
        <w:rPr>
          <w:rFonts w:ascii="Arial" w:hAnsi="Arial" w:cs="Arial"/>
          <w:b/>
          <w:bCs/>
          <w:color w:val="212721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22C70" w14:paraId="75F646B8" w14:textId="77777777" w:rsidTr="00422C70">
        <w:tc>
          <w:tcPr>
            <w:tcW w:w="3116" w:type="dxa"/>
          </w:tcPr>
          <w:p w14:paraId="45D58F64" w14:textId="78B9B27A" w:rsidR="00422C70" w:rsidRDefault="00422C70" w:rsidP="00E504E9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  <w:t>Listing</w:t>
            </w:r>
            <w:r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  <w:tab/>
            </w:r>
          </w:p>
        </w:tc>
        <w:tc>
          <w:tcPr>
            <w:tcW w:w="3117" w:type="dxa"/>
          </w:tcPr>
          <w:p w14:paraId="2CEADAED" w14:textId="372BC926" w:rsidR="00422C70" w:rsidRDefault="00422C70" w:rsidP="00E504E9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>Euronext Dublin</w:t>
            </w:r>
          </w:p>
        </w:tc>
        <w:tc>
          <w:tcPr>
            <w:tcW w:w="3117" w:type="dxa"/>
          </w:tcPr>
          <w:p w14:paraId="3191BA16" w14:textId="33F506B7" w:rsidR="00422C70" w:rsidRDefault="00FB08B2" w:rsidP="00422C70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  <w:r>
              <w:rPr>
                <w:rFonts w:ascii="Arial" w:hAnsi="Arial" w:cs="Arial"/>
                <w:color w:val="212721"/>
                <w:sz w:val="20"/>
                <w:szCs w:val="20"/>
              </w:rPr>
              <w:t>Financial Conduct Authority</w:t>
            </w:r>
          </w:p>
          <w:p w14:paraId="48DD89A4" w14:textId="77777777" w:rsidR="00422C70" w:rsidRDefault="00422C70" w:rsidP="00E504E9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</w:p>
        </w:tc>
      </w:tr>
      <w:tr w:rsidR="00422C70" w14:paraId="7A06EBF0" w14:textId="77777777" w:rsidTr="00422C70">
        <w:tc>
          <w:tcPr>
            <w:tcW w:w="3116" w:type="dxa"/>
          </w:tcPr>
          <w:p w14:paraId="04040180" w14:textId="21238709" w:rsidR="00422C70" w:rsidRDefault="00422C70" w:rsidP="00E504E9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  <w:t>Listing Category</w:t>
            </w:r>
          </w:p>
        </w:tc>
        <w:tc>
          <w:tcPr>
            <w:tcW w:w="3117" w:type="dxa"/>
          </w:tcPr>
          <w:p w14:paraId="28BA3A55" w14:textId="398704EA" w:rsidR="00422C70" w:rsidRDefault="00422C70" w:rsidP="00E504E9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>Primary</w:t>
            </w: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ab/>
            </w:r>
          </w:p>
        </w:tc>
        <w:tc>
          <w:tcPr>
            <w:tcW w:w="3117" w:type="dxa"/>
          </w:tcPr>
          <w:p w14:paraId="6A48981A" w14:textId="77777777" w:rsidR="00422C70" w:rsidRDefault="00422C70" w:rsidP="00422C70">
            <w:pPr>
              <w:contextualSpacing/>
              <w:rPr>
                <w:rFonts w:ascii="Arial" w:hAnsi="Arial" w:cs="Arial"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>Premium (Equity)</w:t>
            </w:r>
          </w:p>
          <w:p w14:paraId="0B5C9684" w14:textId="77777777" w:rsidR="00422C70" w:rsidRDefault="00422C70" w:rsidP="00E504E9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</w:p>
        </w:tc>
      </w:tr>
      <w:tr w:rsidR="00422C70" w14:paraId="2F17E195" w14:textId="77777777" w:rsidTr="00422C70">
        <w:tc>
          <w:tcPr>
            <w:tcW w:w="3116" w:type="dxa"/>
          </w:tcPr>
          <w:p w14:paraId="43851265" w14:textId="77777777" w:rsidR="00422C70" w:rsidRDefault="00422C70" w:rsidP="00E504E9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  <w:t>Trading Venue</w:t>
            </w:r>
          </w:p>
          <w:p w14:paraId="55E9CB74" w14:textId="0CFC3B8C" w:rsidR="00422C70" w:rsidRPr="001F2ED8" w:rsidRDefault="00422C70" w:rsidP="00E504E9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</w:p>
        </w:tc>
        <w:tc>
          <w:tcPr>
            <w:tcW w:w="3117" w:type="dxa"/>
          </w:tcPr>
          <w:p w14:paraId="052F0C5E" w14:textId="7D62F7AE" w:rsidR="00422C70" w:rsidRPr="001F2ED8" w:rsidRDefault="00422C70" w:rsidP="00E504E9">
            <w:pPr>
              <w:contextualSpacing/>
              <w:rPr>
                <w:rFonts w:ascii="Arial" w:hAnsi="Arial" w:cs="Arial"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>Euronext Dublin</w:t>
            </w:r>
          </w:p>
        </w:tc>
        <w:tc>
          <w:tcPr>
            <w:tcW w:w="3117" w:type="dxa"/>
          </w:tcPr>
          <w:p w14:paraId="78FA22D9" w14:textId="18FAA43B" w:rsidR="00422C70" w:rsidRPr="001F2ED8" w:rsidRDefault="00422C70" w:rsidP="00422C70">
            <w:pPr>
              <w:contextualSpacing/>
              <w:rPr>
                <w:rFonts w:ascii="Arial" w:hAnsi="Arial" w:cs="Arial"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>London Stock Exchange</w:t>
            </w:r>
          </w:p>
        </w:tc>
      </w:tr>
      <w:tr w:rsidR="00422C70" w14:paraId="579512BA" w14:textId="77777777" w:rsidTr="00422C70">
        <w:tc>
          <w:tcPr>
            <w:tcW w:w="3116" w:type="dxa"/>
          </w:tcPr>
          <w:p w14:paraId="05B67955" w14:textId="77777777" w:rsidR="00422C70" w:rsidRDefault="00422C70" w:rsidP="00E504E9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  <w:t>Market</w:t>
            </w:r>
          </w:p>
          <w:p w14:paraId="7BCCE090" w14:textId="2A39C7E6" w:rsidR="00422C70" w:rsidRPr="001F2ED8" w:rsidRDefault="00422C70" w:rsidP="00E504E9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DCFEC32" w14:textId="5F00731E" w:rsidR="00422C70" w:rsidRPr="001F2ED8" w:rsidRDefault="00422C70" w:rsidP="00E504E9">
            <w:pPr>
              <w:contextualSpacing/>
              <w:rPr>
                <w:rFonts w:ascii="Arial" w:hAnsi="Arial" w:cs="Arial"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>Main Securities Market</w:t>
            </w:r>
          </w:p>
        </w:tc>
        <w:tc>
          <w:tcPr>
            <w:tcW w:w="3117" w:type="dxa"/>
          </w:tcPr>
          <w:p w14:paraId="2CA52BFB" w14:textId="64E40E8C" w:rsidR="00422C70" w:rsidRPr="001F2ED8" w:rsidRDefault="00422C70" w:rsidP="00422C70">
            <w:pPr>
              <w:contextualSpacing/>
              <w:rPr>
                <w:rFonts w:ascii="Arial" w:hAnsi="Arial" w:cs="Arial"/>
                <w:color w:val="212721"/>
                <w:sz w:val="20"/>
                <w:szCs w:val="20"/>
              </w:rPr>
            </w:pPr>
            <w:r>
              <w:rPr>
                <w:rFonts w:ascii="Arial" w:hAnsi="Arial" w:cs="Arial"/>
                <w:color w:val="212721"/>
                <w:sz w:val="20"/>
                <w:szCs w:val="20"/>
              </w:rPr>
              <w:t>Main Market</w:t>
            </w:r>
          </w:p>
        </w:tc>
      </w:tr>
      <w:tr w:rsidR="00422C70" w14:paraId="17E0E83A" w14:textId="77777777" w:rsidTr="00422C70">
        <w:tc>
          <w:tcPr>
            <w:tcW w:w="3116" w:type="dxa"/>
          </w:tcPr>
          <w:p w14:paraId="146B72ED" w14:textId="5C6CE777" w:rsidR="00422C70" w:rsidRPr="001F2ED8" w:rsidRDefault="00422C70" w:rsidP="00E504E9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  <w:t>ISIN</w:t>
            </w:r>
            <w:r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  <w:tab/>
            </w:r>
          </w:p>
        </w:tc>
        <w:tc>
          <w:tcPr>
            <w:tcW w:w="3117" w:type="dxa"/>
          </w:tcPr>
          <w:p w14:paraId="7924A04C" w14:textId="2A213E90" w:rsidR="00422C70" w:rsidRPr="001F2ED8" w:rsidRDefault="00422C70" w:rsidP="00E504E9">
            <w:pPr>
              <w:contextualSpacing/>
              <w:rPr>
                <w:rFonts w:ascii="Arial" w:hAnsi="Arial" w:cs="Arial"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>IE0003290289</w:t>
            </w: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ab/>
            </w:r>
          </w:p>
        </w:tc>
        <w:tc>
          <w:tcPr>
            <w:tcW w:w="3117" w:type="dxa"/>
          </w:tcPr>
          <w:p w14:paraId="2A0F65A7" w14:textId="77777777" w:rsidR="00422C70" w:rsidRDefault="00422C70" w:rsidP="00422C70">
            <w:pPr>
              <w:contextualSpacing/>
              <w:rPr>
                <w:rFonts w:ascii="Arial" w:hAnsi="Arial" w:cs="Arial"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>IE0003290289</w:t>
            </w:r>
          </w:p>
          <w:p w14:paraId="0D267847" w14:textId="77777777" w:rsidR="00422C70" w:rsidRDefault="00422C70" w:rsidP="00422C70">
            <w:pPr>
              <w:contextualSpacing/>
              <w:rPr>
                <w:rFonts w:ascii="Arial" w:hAnsi="Arial" w:cs="Arial"/>
                <w:color w:val="212721"/>
                <w:sz w:val="20"/>
                <w:szCs w:val="20"/>
              </w:rPr>
            </w:pPr>
          </w:p>
        </w:tc>
      </w:tr>
      <w:tr w:rsidR="00422C70" w14:paraId="2A0410D0" w14:textId="77777777" w:rsidTr="00422C70">
        <w:tc>
          <w:tcPr>
            <w:tcW w:w="3116" w:type="dxa"/>
          </w:tcPr>
          <w:p w14:paraId="285401E8" w14:textId="5334ACE4" w:rsidR="00422C70" w:rsidRPr="001F2ED8" w:rsidRDefault="00422C70" w:rsidP="00E504E9">
            <w:pPr>
              <w:contextualSpacing/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  <w:t>Ticker</w:t>
            </w:r>
            <w:r>
              <w:rPr>
                <w:rFonts w:ascii="Arial" w:hAnsi="Arial" w:cs="Arial"/>
                <w:b/>
                <w:bCs/>
                <w:color w:val="212721"/>
                <w:sz w:val="20"/>
                <w:szCs w:val="20"/>
              </w:rPr>
              <w:tab/>
            </w:r>
          </w:p>
        </w:tc>
        <w:tc>
          <w:tcPr>
            <w:tcW w:w="3117" w:type="dxa"/>
          </w:tcPr>
          <w:p w14:paraId="39D9E577" w14:textId="78A9845B" w:rsidR="00422C70" w:rsidRPr="001F2ED8" w:rsidRDefault="00422C70" w:rsidP="00E504E9">
            <w:pPr>
              <w:contextualSpacing/>
              <w:rPr>
                <w:rFonts w:ascii="Arial" w:hAnsi="Arial" w:cs="Arial"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>FBD.I or EG7.IR</w:t>
            </w:r>
          </w:p>
        </w:tc>
        <w:tc>
          <w:tcPr>
            <w:tcW w:w="3117" w:type="dxa"/>
          </w:tcPr>
          <w:p w14:paraId="7744EB4E" w14:textId="7CFA3918" w:rsidR="00422C70" w:rsidRPr="001F2ED8" w:rsidRDefault="00422C70" w:rsidP="00422C70">
            <w:pPr>
              <w:contextualSpacing/>
              <w:rPr>
                <w:rFonts w:ascii="Arial" w:hAnsi="Arial" w:cs="Arial"/>
                <w:color w:val="212721"/>
                <w:sz w:val="20"/>
                <w:szCs w:val="20"/>
              </w:rPr>
            </w:pPr>
            <w:r w:rsidRPr="001F2ED8">
              <w:rPr>
                <w:rFonts w:ascii="Arial" w:hAnsi="Arial" w:cs="Arial"/>
                <w:color w:val="212721"/>
                <w:sz w:val="20"/>
                <w:szCs w:val="20"/>
              </w:rPr>
              <w:t>FBH.L</w:t>
            </w:r>
          </w:p>
        </w:tc>
      </w:tr>
    </w:tbl>
    <w:p w14:paraId="1BFED309" w14:textId="743C274E" w:rsidR="00F84A9E" w:rsidRDefault="00F84A9E" w:rsidP="00E504E9">
      <w:pPr>
        <w:spacing w:after="0" w:line="240" w:lineRule="auto"/>
        <w:contextualSpacing/>
        <w:rPr>
          <w:rFonts w:ascii="Arial" w:hAnsi="Arial" w:cs="Arial"/>
          <w:b/>
          <w:bCs/>
          <w:color w:val="212721"/>
          <w:sz w:val="20"/>
          <w:szCs w:val="20"/>
        </w:rPr>
      </w:pPr>
    </w:p>
    <w:p w14:paraId="2C740E8D" w14:textId="0701E886" w:rsidR="00F84A9E" w:rsidRDefault="00F84A9E" w:rsidP="00E504E9">
      <w:pPr>
        <w:spacing w:after="0" w:line="240" w:lineRule="auto"/>
        <w:contextualSpacing/>
        <w:rPr>
          <w:rFonts w:ascii="Arial" w:hAnsi="Arial" w:cs="Arial"/>
          <w:b/>
          <w:bCs/>
          <w:color w:val="212721"/>
          <w:sz w:val="20"/>
          <w:szCs w:val="20"/>
        </w:rPr>
      </w:pPr>
      <w:r>
        <w:rPr>
          <w:rFonts w:ascii="Arial" w:hAnsi="Arial" w:cs="Arial"/>
          <w:b/>
          <w:bCs/>
          <w:color w:val="212721"/>
          <w:sz w:val="20"/>
          <w:szCs w:val="20"/>
        </w:rPr>
        <w:tab/>
      </w:r>
      <w:r>
        <w:rPr>
          <w:rFonts w:ascii="Arial" w:hAnsi="Arial" w:cs="Arial"/>
          <w:color w:val="212721"/>
          <w:sz w:val="20"/>
          <w:szCs w:val="20"/>
        </w:rPr>
        <w:tab/>
      </w:r>
      <w:r>
        <w:rPr>
          <w:rFonts w:ascii="Arial" w:hAnsi="Arial" w:cs="Arial"/>
          <w:color w:val="212721"/>
          <w:sz w:val="20"/>
          <w:szCs w:val="20"/>
        </w:rPr>
        <w:tab/>
        <w:t xml:space="preserve"> </w:t>
      </w:r>
      <w:r>
        <w:rPr>
          <w:rFonts w:ascii="Arial" w:hAnsi="Arial" w:cs="Arial"/>
          <w:b/>
          <w:bCs/>
          <w:color w:val="212721"/>
          <w:sz w:val="20"/>
          <w:szCs w:val="20"/>
        </w:rPr>
        <w:tab/>
      </w:r>
      <w:r>
        <w:rPr>
          <w:rFonts w:ascii="Arial" w:hAnsi="Arial" w:cs="Arial"/>
          <w:b/>
          <w:bCs/>
          <w:color w:val="212721"/>
          <w:sz w:val="20"/>
          <w:szCs w:val="20"/>
        </w:rPr>
        <w:tab/>
      </w:r>
      <w:r>
        <w:rPr>
          <w:rFonts w:ascii="Arial" w:hAnsi="Arial" w:cs="Arial"/>
          <w:color w:val="212721"/>
          <w:sz w:val="20"/>
          <w:szCs w:val="20"/>
        </w:rPr>
        <w:tab/>
      </w:r>
      <w:r>
        <w:rPr>
          <w:rFonts w:ascii="Arial" w:hAnsi="Arial" w:cs="Arial"/>
          <w:color w:val="212721"/>
          <w:sz w:val="20"/>
          <w:szCs w:val="20"/>
        </w:rPr>
        <w:tab/>
      </w:r>
    </w:p>
    <w:p w14:paraId="6472FFC0" w14:textId="77777777" w:rsidR="00F84A9E" w:rsidRPr="001F2ED8" w:rsidRDefault="00F84A9E" w:rsidP="00E504E9">
      <w:pPr>
        <w:spacing w:after="0" w:line="240" w:lineRule="auto"/>
        <w:contextualSpacing/>
        <w:rPr>
          <w:rFonts w:ascii="Arial" w:hAnsi="Arial" w:cs="Arial"/>
          <w:b/>
          <w:bCs/>
          <w:color w:val="212721"/>
          <w:sz w:val="20"/>
          <w:szCs w:val="20"/>
        </w:rPr>
      </w:pPr>
    </w:p>
    <w:p w14:paraId="2F9CB768" w14:textId="77777777" w:rsidR="001F2ED8" w:rsidRPr="001F2ED8" w:rsidRDefault="001F2ED8" w:rsidP="00E504E9">
      <w:pPr>
        <w:spacing w:after="0" w:line="240" w:lineRule="auto"/>
        <w:contextualSpacing/>
        <w:rPr>
          <w:rFonts w:ascii="Arial" w:hAnsi="Arial" w:cs="Arial"/>
          <w:b/>
          <w:bCs/>
          <w:color w:val="212721"/>
          <w:sz w:val="20"/>
          <w:szCs w:val="20"/>
        </w:rPr>
      </w:pPr>
    </w:p>
    <w:p w14:paraId="49C97060" w14:textId="7F1CDCF9" w:rsidR="001F2ED8" w:rsidRPr="001F2ED8" w:rsidRDefault="001F2ED8" w:rsidP="00E504E9">
      <w:pPr>
        <w:spacing w:after="0" w:line="240" w:lineRule="auto"/>
        <w:contextualSpacing/>
        <w:rPr>
          <w:rFonts w:ascii="Arial" w:hAnsi="Arial" w:cs="Arial"/>
          <w:color w:val="212721"/>
          <w:sz w:val="20"/>
          <w:szCs w:val="20"/>
        </w:rPr>
      </w:pPr>
      <w:r w:rsidRPr="001F2ED8">
        <w:rPr>
          <w:rFonts w:ascii="Arial" w:hAnsi="Arial" w:cs="Arial"/>
          <w:b/>
          <w:bCs/>
          <w:color w:val="212721"/>
          <w:sz w:val="20"/>
          <w:szCs w:val="20"/>
        </w:rPr>
        <w:t xml:space="preserve"> </w:t>
      </w:r>
    </w:p>
    <w:p w14:paraId="33C89CE5" w14:textId="11564175" w:rsidR="001F2ED8" w:rsidRPr="001F2ED8" w:rsidRDefault="001F2ED8" w:rsidP="00E504E9">
      <w:pPr>
        <w:spacing w:after="0" w:line="240" w:lineRule="auto"/>
        <w:contextualSpacing/>
        <w:jc w:val="center"/>
        <w:rPr>
          <w:rFonts w:ascii="Arial" w:hAnsi="Arial" w:cs="Arial"/>
          <w:color w:val="212721"/>
          <w:sz w:val="20"/>
          <w:szCs w:val="20"/>
        </w:rPr>
      </w:pPr>
      <w:r w:rsidRPr="001F2ED8">
        <w:rPr>
          <w:rFonts w:ascii="Arial" w:hAnsi="Arial" w:cs="Arial"/>
          <w:color w:val="212721"/>
          <w:sz w:val="20"/>
          <w:szCs w:val="20"/>
        </w:rPr>
        <w:t>FBD Holdings plc, FBD House, Bluebell, Dublin 12</w:t>
      </w:r>
    </w:p>
    <w:p w14:paraId="328C8C71" w14:textId="3237DB74" w:rsidR="00B069C4" w:rsidRPr="001F2ED8" w:rsidRDefault="001F2ED8" w:rsidP="00E504E9">
      <w:pPr>
        <w:spacing w:after="0" w:line="240" w:lineRule="auto"/>
        <w:contextualSpacing/>
        <w:jc w:val="center"/>
        <w:rPr>
          <w:rFonts w:ascii="Arial" w:hAnsi="Arial" w:cs="Arial"/>
          <w:color w:val="000000"/>
        </w:rPr>
      </w:pPr>
      <w:r w:rsidRPr="001F2ED8">
        <w:rPr>
          <w:rFonts w:ascii="Arial" w:hAnsi="Arial" w:cs="Arial"/>
          <w:color w:val="212721"/>
          <w:sz w:val="20"/>
          <w:szCs w:val="20"/>
        </w:rPr>
        <w:t>Registered in Dublin, Ireland Registered Number 135882</w:t>
      </w:r>
    </w:p>
    <w:p w14:paraId="063B2988" w14:textId="77777777" w:rsidR="00265586" w:rsidRPr="00265586" w:rsidRDefault="00265586" w:rsidP="00E504E9">
      <w:pPr>
        <w:spacing w:after="0" w:line="240" w:lineRule="auto"/>
        <w:contextualSpacing/>
        <w:rPr>
          <w:rFonts w:ascii="Arial" w:hAnsi="Arial" w:cs="Arial"/>
          <w:color w:val="000000"/>
        </w:rPr>
      </w:pPr>
    </w:p>
    <w:sectPr w:rsidR="00265586" w:rsidRPr="002655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9A174" w14:textId="77777777" w:rsidR="006F4009" w:rsidRDefault="006F4009" w:rsidP="0092567C">
      <w:pPr>
        <w:spacing w:after="0" w:line="240" w:lineRule="auto"/>
      </w:pPr>
      <w:r>
        <w:separator/>
      </w:r>
    </w:p>
  </w:endnote>
  <w:endnote w:type="continuationSeparator" w:id="0">
    <w:p w14:paraId="1078BAD9" w14:textId="77777777" w:rsidR="006F4009" w:rsidRDefault="006F4009" w:rsidP="0092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C8EAD" w14:textId="77777777" w:rsidR="0092567C" w:rsidRDefault="009256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EDBB0" w14:textId="77777777" w:rsidR="0092567C" w:rsidRDefault="009256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790DA" w14:textId="77777777" w:rsidR="0092567C" w:rsidRDefault="00925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57291" w14:textId="77777777" w:rsidR="006F4009" w:rsidRDefault="006F4009" w:rsidP="0092567C">
      <w:pPr>
        <w:spacing w:after="0" w:line="240" w:lineRule="auto"/>
      </w:pPr>
      <w:r>
        <w:separator/>
      </w:r>
    </w:p>
  </w:footnote>
  <w:footnote w:type="continuationSeparator" w:id="0">
    <w:p w14:paraId="1BA9ACE0" w14:textId="77777777" w:rsidR="006F4009" w:rsidRDefault="006F4009" w:rsidP="00925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43B35" w14:textId="77777777" w:rsidR="0092567C" w:rsidRDefault="009256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CF75" w14:textId="77777777" w:rsidR="0092567C" w:rsidRDefault="009256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429B6" w14:textId="77777777" w:rsidR="0092567C" w:rsidRDefault="009256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2C1837"/>
    <w:rsid w:val="000457DD"/>
    <w:rsid w:val="00155265"/>
    <w:rsid w:val="001818E1"/>
    <w:rsid w:val="001F2ED8"/>
    <w:rsid w:val="0022641A"/>
    <w:rsid w:val="00265586"/>
    <w:rsid w:val="002C1837"/>
    <w:rsid w:val="002C7093"/>
    <w:rsid w:val="00324017"/>
    <w:rsid w:val="00337B5B"/>
    <w:rsid w:val="003A39D8"/>
    <w:rsid w:val="003A6D64"/>
    <w:rsid w:val="00422C70"/>
    <w:rsid w:val="00430CDE"/>
    <w:rsid w:val="004C4D73"/>
    <w:rsid w:val="004F3EA1"/>
    <w:rsid w:val="00531278"/>
    <w:rsid w:val="005E0AF3"/>
    <w:rsid w:val="0060428B"/>
    <w:rsid w:val="006F4009"/>
    <w:rsid w:val="007B3C8F"/>
    <w:rsid w:val="007D6BFD"/>
    <w:rsid w:val="008218FE"/>
    <w:rsid w:val="008C3F77"/>
    <w:rsid w:val="008F4467"/>
    <w:rsid w:val="00906EBE"/>
    <w:rsid w:val="0092567C"/>
    <w:rsid w:val="00936744"/>
    <w:rsid w:val="00955407"/>
    <w:rsid w:val="00982356"/>
    <w:rsid w:val="009D7974"/>
    <w:rsid w:val="00A344E5"/>
    <w:rsid w:val="00A36BEC"/>
    <w:rsid w:val="00A418C3"/>
    <w:rsid w:val="00A45A5E"/>
    <w:rsid w:val="00A67E76"/>
    <w:rsid w:val="00AB09C4"/>
    <w:rsid w:val="00AC1F84"/>
    <w:rsid w:val="00B069C4"/>
    <w:rsid w:val="00C1155F"/>
    <w:rsid w:val="00C275B1"/>
    <w:rsid w:val="00C34666"/>
    <w:rsid w:val="00C42818"/>
    <w:rsid w:val="00C710BD"/>
    <w:rsid w:val="00C77C48"/>
    <w:rsid w:val="00C82277"/>
    <w:rsid w:val="00CC42D8"/>
    <w:rsid w:val="00CD2242"/>
    <w:rsid w:val="00E504E9"/>
    <w:rsid w:val="00E82A71"/>
    <w:rsid w:val="00F179E3"/>
    <w:rsid w:val="00F22512"/>
    <w:rsid w:val="00F27974"/>
    <w:rsid w:val="00F37806"/>
    <w:rsid w:val="00F84A9E"/>
    <w:rsid w:val="00FA12C6"/>
    <w:rsid w:val="00FA422C"/>
    <w:rsid w:val="00FB08B2"/>
    <w:rsid w:val="00FC3A9D"/>
    <w:rsid w:val="00FE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E6B26B"/>
  <w14:defaultImageDpi w14:val="0"/>
  <w15:docId w15:val="{554BA38A-7942-4395-A65F-1122F70D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j">
    <w:name w:val="dj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g">
    <w:name w:val="dg"/>
    <w:rsid w:val="002C1837"/>
  </w:style>
  <w:style w:type="paragraph" w:customStyle="1" w:styleId="dk">
    <w:name w:val="dk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f">
    <w:name w:val="df"/>
    <w:rsid w:val="002C1837"/>
  </w:style>
  <w:style w:type="paragraph" w:customStyle="1" w:styleId="dl">
    <w:name w:val="dl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c">
    <w:name w:val="dc"/>
    <w:rsid w:val="002C1837"/>
  </w:style>
  <w:style w:type="character" w:customStyle="1" w:styleId="dd">
    <w:name w:val="dd"/>
    <w:rsid w:val="002C1837"/>
  </w:style>
  <w:style w:type="character" w:customStyle="1" w:styleId="da">
    <w:name w:val="da"/>
    <w:rsid w:val="002C1837"/>
  </w:style>
  <w:style w:type="paragraph" w:customStyle="1" w:styleId="dn">
    <w:name w:val="dn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">
    <w:name w:val="do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p">
    <w:name w:val="dp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m">
    <w:name w:val="cm"/>
    <w:rsid w:val="002C1837"/>
  </w:style>
  <w:style w:type="paragraph" w:customStyle="1" w:styleId="dq">
    <w:name w:val="dq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r">
    <w:name w:val="dr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s">
    <w:name w:val="ds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u">
    <w:name w:val="du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v">
    <w:name w:val="dv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z">
    <w:name w:val="bz"/>
    <w:rsid w:val="002C1837"/>
  </w:style>
  <w:style w:type="paragraph" w:customStyle="1" w:styleId="dw">
    <w:name w:val="dw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x">
    <w:name w:val="dx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y">
    <w:name w:val="dy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k">
    <w:name w:val="k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v">
    <w:name w:val="bv"/>
    <w:rsid w:val="002C1837"/>
  </w:style>
  <w:style w:type="paragraph" w:customStyle="1" w:styleId="ea">
    <w:name w:val="ea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u">
    <w:name w:val="bu"/>
    <w:rsid w:val="002C1837"/>
  </w:style>
  <w:style w:type="paragraph" w:customStyle="1" w:styleId="eb">
    <w:name w:val="eb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c">
    <w:name w:val="ec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p">
    <w:name w:val="bp"/>
    <w:rsid w:val="002C1837"/>
  </w:style>
  <w:style w:type="paragraph" w:customStyle="1" w:styleId="ed">
    <w:name w:val="ed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a"/>
    <w:basedOn w:val="Normal"/>
    <w:rsid w:val="002C18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56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2567C"/>
    <w:rPr>
      <w:rFonts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unhideWhenUsed/>
    <w:rsid w:val="009256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2567C"/>
    <w:rPr>
      <w:rFonts w:cs="Times New Roman"/>
      <w:lang w:val="en-IE" w:eastAsia="en-IE"/>
    </w:rPr>
  </w:style>
  <w:style w:type="character" w:customStyle="1" w:styleId="cs">
    <w:name w:val="cs"/>
    <w:rsid w:val="00265586"/>
  </w:style>
  <w:style w:type="paragraph" w:customStyle="1" w:styleId="dh">
    <w:name w:val="dh"/>
    <w:basedOn w:val="Normal"/>
    <w:rsid w:val="00265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22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552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2069">
          <w:marLeft w:val="0"/>
          <w:marRight w:val="5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2024-03-12T07:16:19+00:00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4E393A64-BC68-4EEB-9226-611416BBA6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036AE9-36CD-4A68-819E-76FA96B8F015}"/>
</file>

<file path=customXml/itemProps3.xml><?xml version="1.0" encoding="utf-8"?>
<ds:datastoreItem xmlns:ds="http://schemas.openxmlformats.org/officeDocument/2006/customXml" ds:itemID="{54A96F26-BB1D-46F2-B158-9DAE8AC5AE69}"/>
</file>

<file path=customXml/itemProps4.xml><?xml version="1.0" encoding="utf-8"?>
<ds:datastoreItem xmlns:ds="http://schemas.openxmlformats.org/officeDocument/2006/customXml" ds:itemID="{5BB79090-D1AF-45CF-A79E-FD76FA0903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Dearbhla Gallagher</dc:creator>
  <cp:keywords/>
  <dc:description/>
  <cp:lastModifiedBy>Brian Garrahy</cp:lastModifiedBy>
  <cp:revision>3</cp:revision>
  <dcterms:created xsi:type="dcterms:W3CDTF">2024-03-11T15:19:00Z</dcterms:created>
  <dcterms:modified xsi:type="dcterms:W3CDTF">2024-03-11T17:24:00Z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