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070E5" w14:textId="77777777" w:rsidR="00D307FA" w:rsidRPr="00D307FA" w:rsidRDefault="00662747" w:rsidP="00D307FA">
      <w:pPr>
        <w:spacing w:after="0" w:line="240" w:lineRule="auto"/>
        <w:jc w:val="both"/>
        <w:rPr>
          <w:rFonts w:cs="Arial"/>
          <w:sz w:val="24"/>
          <w:szCs w:val="24"/>
          <w:lang w:val="en-US"/>
        </w:rPr>
      </w:pPr>
      <w:r>
        <w:rPr>
          <w:rFonts w:cs="Arial"/>
          <w:b/>
          <w:bCs/>
          <w:color w:val="000000"/>
          <w:sz w:val="24"/>
          <w:szCs w:val="24"/>
          <w:lang w:val="en-US"/>
        </w:rPr>
        <w:t>F</w:t>
      </w:r>
      <w:r w:rsidR="00D307FA" w:rsidRPr="00341B52">
        <w:rPr>
          <w:rFonts w:cs="Arial"/>
          <w:b/>
          <w:bCs/>
          <w:color w:val="000000"/>
          <w:sz w:val="24"/>
          <w:szCs w:val="24"/>
          <w:lang w:val="en-US"/>
        </w:rPr>
        <w:t>BD Holdings plc</w:t>
      </w:r>
    </w:p>
    <w:p w14:paraId="04A7D3D7" w14:textId="77777777" w:rsidR="00D307FA" w:rsidRPr="00C00D45" w:rsidRDefault="00867D0A" w:rsidP="00D307FA">
      <w:pPr>
        <w:spacing w:after="0" w:line="240" w:lineRule="auto"/>
        <w:jc w:val="both"/>
        <w:rPr>
          <w:rFonts w:cs="Arial"/>
          <w:sz w:val="24"/>
          <w:szCs w:val="24"/>
          <w:lang w:val="en-US"/>
        </w:rPr>
      </w:pPr>
      <w:r>
        <w:rPr>
          <w:rStyle w:val="aq"/>
          <w:rFonts w:cs="Arial"/>
          <w:b/>
          <w:bCs/>
          <w:color w:val="000000"/>
          <w:sz w:val="24"/>
          <w:szCs w:val="24"/>
        </w:rPr>
        <w:t>Chief Executive Officer’s</w:t>
      </w:r>
      <w:r w:rsidR="00C00D45" w:rsidRPr="00C00D45">
        <w:rPr>
          <w:rStyle w:val="aq"/>
          <w:rFonts w:cs="Arial"/>
          <w:b/>
          <w:bCs/>
          <w:color w:val="000000"/>
          <w:sz w:val="24"/>
          <w:szCs w:val="24"/>
        </w:rPr>
        <w:t xml:space="preserve"> Address to the Annual General Meeting</w:t>
      </w:r>
    </w:p>
    <w:p w14:paraId="35769FFF" w14:textId="6E8595E3" w:rsidR="00D307FA" w:rsidRPr="00D307FA" w:rsidRDefault="00D300F4" w:rsidP="00D307FA">
      <w:pPr>
        <w:spacing w:after="0" w:line="240" w:lineRule="auto"/>
        <w:jc w:val="both"/>
        <w:rPr>
          <w:rFonts w:cs="Arial"/>
          <w:sz w:val="24"/>
          <w:szCs w:val="24"/>
          <w:lang w:val="en-US"/>
        </w:rPr>
      </w:pPr>
      <w:r>
        <w:rPr>
          <w:rFonts w:cs="Arial"/>
          <w:b/>
          <w:bCs/>
          <w:color w:val="000000"/>
          <w:sz w:val="24"/>
          <w:szCs w:val="24"/>
          <w:lang w:val="en-US"/>
        </w:rPr>
        <w:t>9</w:t>
      </w:r>
      <w:r w:rsidR="00363F64" w:rsidRPr="00363F64">
        <w:rPr>
          <w:rFonts w:cs="Arial"/>
          <w:b/>
          <w:bCs/>
          <w:color w:val="000000"/>
          <w:sz w:val="24"/>
          <w:szCs w:val="24"/>
          <w:vertAlign w:val="superscript"/>
          <w:lang w:val="en-US"/>
        </w:rPr>
        <w:t>th</w:t>
      </w:r>
      <w:r w:rsidR="00363F64">
        <w:rPr>
          <w:rFonts w:cs="Arial"/>
          <w:b/>
          <w:bCs/>
          <w:color w:val="000000"/>
          <w:sz w:val="24"/>
          <w:szCs w:val="24"/>
          <w:lang w:val="en-US"/>
        </w:rPr>
        <w:t xml:space="preserve"> May 202</w:t>
      </w:r>
      <w:r w:rsidR="00D52FEF">
        <w:rPr>
          <w:rFonts w:cs="Arial"/>
          <w:b/>
          <w:bCs/>
          <w:color w:val="000000"/>
          <w:sz w:val="24"/>
          <w:szCs w:val="24"/>
          <w:lang w:val="en-US"/>
        </w:rPr>
        <w:t>4</w:t>
      </w:r>
    </w:p>
    <w:p w14:paraId="22E4B8A7" w14:textId="77777777" w:rsidR="00D307FA" w:rsidRPr="00D307FA" w:rsidRDefault="00D307FA" w:rsidP="00D307FA">
      <w:pPr>
        <w:spacing w:after="0" w:line="240" w:lineRule="auto"/>
        <w:jc w:val="both"/>
        <w:rPr>
          <w:rFonts w:cs="Arial"/>
          <w:sz w:val="24"/>
          <w:szCs w:val="24"/>
          <w:lang w:val="en-US"/>
        </w:rPr>
      </w:pPr>
    </w:p>
    <w:p w14:paraId="3B8CAF4B" w14:textId="77777777" w:rsidR="00C00D45" w:rsidRDefault="00C00D45" w:rsidP="00C32EB3">
      <w:pPr>
        <w:pStyle w:val="NoSpacing"/>
        <w:jc w:val="both"/>
        <w:rPr>
          <w:rStyle w:val="an"/>
          <w:rFonts w:cs="Arial"/>
          <w:color w:val="000000"/>
          <w:sz w:val="24"/>
          <w:szCs w:val="24"/>
        </w:rPr>
      </w:pPr>
      <w:r w:rsidRPr="00C00D45">
        <w:rPr>
          <w:rStyle w:val="an"/>
          <w:rFonts w:cs="Arial"/>
          <w:color w:val="000000"/>
          <w:sz w:val="24"/>
          <w:szCs w:val="24"/>
        </w:rPr>
        <w:t xml:space="preserve">In the course of his address to shareholders at the Annual General Meeting today, the </w:t>
      </w:r>
      <w:r w:rsidR="00867D0A">
        <w:rPr>
          <w:rStyle w:val="an"/>
          <w:rFonts w:cs="Arial"/>
          <w:color w:val="000000"/>
          <w:sz w:val="24"/>
          <w:szCs w:val="24"/>
        </w:rPr>
        <w:t>Chief Executive Officer</w:t>
      </w:r>
      <w:r w:rsidRPr="00C00D45">
        <w:rPr>
          <w:rStyle w:val="an"/>
          <w:rFonts w:cs="Arial"/>
          <w:color w:val="000000"/>
          <w:sz w:val="24"/>
          <w:szCs w:val="24"/>
        </w:rPr>
        <w:t xml:space="preserve">, Mr. </w:t>
      </w:r>
      <w:r w:rsidR="00867D0A">
        <w:rPr>
          <w:rStyle w:val="an"/>
          <w:rFonts w:cs="Arial"/>
          <w:color w:val="000000"/>
          <w:sz w:val="24"/>
          <w:szCs w:val="24"/>
        </w:rPr>
        <w:t xml:space="preserve">Tomás </w:t>
      </w:r>
      <w:r w:rsidR="0025218C">
        <w:rPr>
          <w:rStyle w:val="an"/>
          <w:rFonts w:cs="Arial"/>
          <w:color w:val="000000"/>
          <w:sz w:val="24"/>
          <w:szCs w:val="24"/>
        </w:rPr>
        <w:t xml:space="preserve">Ó </w:t>
      </w:r>
      <w:r w:rsidR="00867D0A">
        <w:rPr>
          <w:rStyle w:val="an"/>
          <w:rFonts w:cs="Arial"/>
          <w:color w:val="000000"/>
          <w:sz w:val="24"/>
          <w:szCs w:val="24"/>
        </w:rPr>
        <w:t>Midheach</w:t>
      </w:r>
      <w:r w:rsidRPr="00C00D45">
        <w:rPr>
          <w:rStyle w:val="an"/>
          <w:rFonts w:cs="Arial"/>
          <w:color w:val="000000"/>
          <w:sz w:val="24"/>
          <w:szCs w:val="24"/>
        </w:rPr>
        <w:t>, will make the following statement on current trading:</w:t>
      </w:r>
    </w:p>
    <w:p w14:paraId="1F2D94CF" w14:textId="77777777" w:rsidR="00C00D45" w:rsidRDefault="00C00D45" w:rsidP="00C32EB3">
      <w:pPr>
        <w:pStyle w:val="NoSpacing"/>
        <w:jc w:val="both"/>
        <w:rPr>
          <w:rStyle w:val="an"/>
          <w:rFonts w:ascii="Arial" w:hAnsi="Arial" w:cs="Arial"/>
          <w:color w:val="000000"/>
          <w:sz w:val="20"/>
          <w:szCs w:val="20"/>
        </w:rPr>
      </w:pPr>
    </w:p>
    <w:p w14:paraId="6EA21053" w14:textId="619D1237" w:rsidR="000C7424" w:rsidRDefault="00C00D45" w:rsidP="000C7424">
      <w:pPr>
        <w:pStyle w:val="NoSpacing"/>
        <w:jc w:val="both"/>
        <w:rPr>
          <w:rFonts w:ascii="Calibri" w:hAnsi="Calibri"/>
          <w:sz w:val="24"/>
          <w:szCs w:val="24"/>
          <w:lang w:val="en-IE"/>
        </w:rPr>
      </w:pPr>
      <w:r>
        <w:rPr>
          <w:rFonts w:eastAsia="Times New Roman" w:cs="Arial"/>
          <w:color w:val="000000"/>
          <w:sz w:val="24"/>
          <w:szCs w:val="24"/>
        </w:rPr>
        <w:t>“</w:t>
      </w:r>
      <w:r w:rsidR="00D8328C">
        <w:rPr>
          <w:rFonts w:eastAsia="Times New Roman" w:cs="Arial"/>
          <w:color w:val="000000"/>
          <w:sz w:val="24"/>
          <w:szCs w:val="24"/>
        </w:rPr>
        <w:t xml:space="preserve">FBD’s 2024 trading performance to date has been solid, although we have been impacted by </w:t>
      </w:r>
      <w:r w:rsidR="00FA4E7B">
        <w:rPr>
          <w:rFonts w:eastAsia="Times New Roman" w:cs="Arial"/>
          <w:color w:val="000000"/>
          <w:sz w:val="24"/>
          <w:szCs w:val="24"/>
        </w:rPr>
        <w:t>storms</w:t>
      </w:r>
      <w:r w:rsidR="00FA5107">
        <w:rPr>
          <w:rFonts w:eastAsia="Times New Roman" w:cs="Arial"/>
          <w:color w:val="000000"/>
          <w:sz w:val="24"/>
          <w:szCs w:val="24"/>
        </w:rPr>
        <w:t>,</w:t>
      </w:r>
      <w:r w:rsidR="00FA4E7B">
        <w:rPr>
          <w:rFonts w:eastAsia="Times New Roman" w:cs="Arial"/>
          <w:color w:val="000000"/>
          <w:sz w:val="24"/>
          <w:szCs w:val="24"/>
        </w:rPr>
        <w:t xml:space="preserve"> in particular </w:t>
      </w:r>
      <w:r w:rsidR="00D8328C">
        <w:rPr>
          <w:rFonts w:eastAsia="Times New Roman" w:cs="Arial"/>
          <w:color w:val="000000"/>
          <w:sz w:val="24"/>
          <w:szCs w:val="24"/>
        </w:rPr>
        <w:t>Storm Isha.</w:t>
      </w:r>
      <w:r w:rsidR="00702EF9">
        <w:rPr>
          <w:rFonts w:eastAsia="Times New Roman" w:cs="Arial"/>
          <w:color w:val="000000"/>
          <w:sz w:val="24"/>
          <w:szCs w:val="24"/>
        </w:rPr>
        <w:t xml:space="preserve"> We continue to work closely with our affected customers to compensate them for the damage caused to their homes, farms and businesses.</w:t>
      </w:r>
      <w:r w:rsidR="00D8328C">
        <w:rPr>
          <w:rFonts w:eastAsia="Times New Roman" w:cs="Arial"/>
          <w:color w:val="000000"/>
          <w:sz w:val="24"/>
          <w:szCs w:val="24"/>
        </w:rPr>
        <w:t xml:space="preserve"> </w:t>
      </w:r>
    </w:p>
    <w:p w14:paraId="7CB5CA51" w14:textId="77777777" w:rsidR="000C7424" w:rsidRDefault="000C7424" w:rsidP="000C7424">
      <w:pPr>
        <w:pStyle w:val="NoSpacing"/>
        <w:jc w:val="both"/>
        <w:rPr>
          <w:rFonts w:eastAsia="Times New Roman" w:cs="Arial"/>
          <w:color w:val="000000"/>
          <w:sz w:val="24"/>
          <w:szCs w:val="24"/>
        </w:rPr>
      </w:pPr>
    </w:p>
    <w:p w14:paraId="038A7844" w14:textId="50BDE18A" w:rsidR="004469EC" w:rsidRPr="00D300F4" w:rsidRDefault="000C7424" w:rsidP="000C7424">
      <w:pPr>
        <w:pStyle w:val="NoSpacing"/>
        <w:jc w:val="both"/>
        <w:rPr>
          <w:rFonts w:eastAsia="Times New Roman" w:cs="Arial"/>
          <w:color w:val="000000"/>
          <w:sz w:val="24"/>
          <w:szCs w:val="24"/>
        </w:rPr>
      </w:pPr>
      <w:r>
        <w:rPr>
          <w:rFonts w:eastAsia="Times New Roman" w:cs="Arial"/>
          <w:color w:val="000000"/>
          <w:sz w:val="24"/>
          <w:szCs w:val="24"/>
        </w:rPr>
        <w:t>T</w:t>
      </w:r>
      <w:r w:rsidR="00D8328C">
        <w:rPr>
          <w:rFonts w:eastAsia="Times New Roman" w:cs="Arial"/>
          <w:color w:val="000000"/>
          <w:sz w:val="24"/>
          <w:szCs w:val="24"/>
        </w:rPr>
        <w:t>he underlying underwriting profitability of the business continues to be sound, despite continued inflation in property and motor damage claims</w:t>
      </w:r>
      <w:r w:rsidR="00702EF9">
        <w:rPr>
          <w:rFonts w:eastAsia="Times New Roman" w:cs="Arial"/>
          <w:color w:val="000000"/>
          <w:sz w:val="24"/>
          <w:szCs w:val="24"/>
        </w:rPr>
        <w:t xml:space="preserve">. We welcome the certainty brought by the recent Supreme Court ruling relating to Personal Injury Guidelines (Delaney v Injuries </w:t>
      </w:r>
      <w:r w:rsidR="00FA4E7B">
        <w:rPr>
          <w:rFonts w:eastAsia="Times New Roman" w:cs="Arial"/>
          <w:color w:val="000000"/>
          <w:sz w:val="24"/>
          <w:szCs w:val="24"/>
        </w:rPr>
        <w:t xml:space="preserve">Resolution </w:t>
      </w:r>
      <w:r w:rsidR="00702EF9">
        <w:rPr>
          <w:rFonts w:eastAsia="Times New Roman" w:cs="Arial"/>
          <w:color w:val="000000"/>
          <w:sz w:val="24"/>
          <w:szCs w:val="24"/>
        </w:rPr>
        <w:t xml:space="preserve">Board), which reaffirms our assumptions regarding the </w:t>
      </w:r>
      <w:r w:rsidR="00EE15E8">
        <w:rPr>
          <w:rFonts w:eastAsia="Times New Roman" w:cs="Arial"/>
          <w:color w:val="000000"/>
          <w:sz w:val="24"/>
          <w:szCs w:val="24"/>
        </w:rPr>
        <w:t xml:space="preserve">reducing </w:t>
      </w:r>
      <w:r w:rsidR="00702EF9">
        <w:rPr>
          <w:rFonts w:eastAsia="Times New Roman" w:cs="Arial"/>
          <w:color w:val="000000"/>
          <w:sz w:val="24"/>
          <w:szCs w:val="24"/>
        </w:rPr>
        <w:t>cost of injury claims.</w:t>
      </w:r>
    </w:p>
    <w:p w14:paraId="058DDD34" w14:textId="77777777" w:rsidR="00623E5A" w:rsidRDefault="00623E5A" w:rsidP="00B74710">
      <w:pPr>
        <w:pStyle w:val="NoSpacing"/>
        <w:jc w:val="both"/>
        <w:rPr>
          <w:rFonts w:eastAsia="Times New Roman" w:cs="Arial"/>
          <w:color w:val="000000"/>
          <w:sz w:val="24"/>
          <w:szCs w:val="24"/>
        </w:rPr>
      </w:pPr>
    </w:p>
    <w:p w14:paraId="775C17DC" w14:textId="47429C5F" w:rsidR="003F5193" w:rsidRDefault="00363F64" w:rsidP="00B74710">
      <w:pPr>
        <w:pStyle w:val="NoSpacing"/>
        <w:jc w:val="both"/>
        <w:rPr>
          <w:rFonts w:ascii="Calibri" w:hAnsi="Calibri" w:cs="Calibri"/>
          <w:color w:val="000000"/>
          <w:sz w:val="24"/>
          <w:szCs w:val="24"/>
        </w:rPr>
      </w:pPr>
      <w:r>
        <w:rPr>
          <w:rFonts w:ascii="Calibri" w:hAnsi="Calibri"/>
          <w:sz w:val="24"/>
          <w:szCs w:val="24"/>
          <w:lang w:val="en-IE"/>
        </w:rPr>
        <w:t xml:space="preserve">We continue to </w:t>
      </w:r>
      <w:r w:rsidR="004762DB">
        <w:rPr>
          <w:rFonts w:ascii="Calibri" w:hAnsi="Calibri"/>
          <w:sz w:val="24"/>
          <w:szCs w:val="24"/>
          <w:lang w:val="en-IE"/>
        </w:rPr>
        <w:t xml:space="preserve">see </w:t>
      </w:r>
      <w:r>
        <w:rPr>
          <w:rFonts w:ascii="Calibri" w:hAnsi="Calibri"/>
          <w:sz w:val="24"/>
          <w:szCs w:val="24"/>
          <w:lang w:val="en-IE"/>
        </w:rPr>
        <w:t>grow</w:t>
      </w:r>
      <w:r w:rsidR="004762DB">
        <w:rPr>
          <w:rFonts w:ascii="Calibri" w:hAnsi="Calibri"/>
          <w:sz w:val="24"/>
          <w:szCs w:val="24"/>
          <w:lang w:val="en-IE"/>
        </w:rPr>
        <w:t>th in</w:t>
      </w:r>
      <w:r>
        <w:rPr>
          <w:rFonts w:ascii="Calibri" w:hAnsi="Calibri"/>
          <w:sz w:val="24"/>
          <w:szCs w:val="24"/>
          <w:lang w:val="en-IE"/>
        </w:rPr>
        <w:t xml:space="preserve"> </w:t>
      </w:r>
      <w:r w:rsidR="003F5193">
        <w:rPr>
          <w:rFonts w:ascii="Calibri" w:hAnsi="Calibri"/>
          <w:sz w:val="24"/>
          <w:szCs w:val="24"/>
          <w:lang w:val="en-IE"/>
        </w:rPr>
        <w:t xml:space="preserve">Gross Written Premium (GWP) </w:t>
      </w:r>
      <w:r w:rsidR="00632AB1">
        <w:rPr>
          <w:rFonts w:ascii="Calibri" w:hAnsi="Calibri"/>
          <w:sz w:val="24"/>
          <w:szCs w:val="24"/>
          <w:lang w:val="en-IE"/>
        </w:rPr>
        <w:t xml:space="preserve">which </w:t>
      </w:r>
      <w:r w:rsidR="003F5193">
        <w:rPr>
          <w:rFonts w:ascii="Calibri" w:hAnsi="Calibri"/>
          <w:sz w:val="24"/>
          <w:szCs w:val="24"/>
          <w:lang w:val="en-IE"/>
        </w:rPr>
        <w:t xml:space="preserve">has increased by approximately </w:t>
      </w:r>
      <w:r w:rsidR="00D52FEF">
        <w:rPr>
          <w:rFonts w:ascii="Calibri" w:hAnsi="Calibri"/>
          <w:sz w:val="24"/>
          <w:szCs w:val="24"/>
          <w:lang w:val="en-IE"/>
        </w:rPr>
        <w:t>9</w:t>
      </w:r>
      <w:r w:rsidR="003F5193">
        <w:rPr>
          <w:rFonts w:ascii="Calibri" w:hAnsi="Calibri"/>
          <w:sz w:val="24"/>
          <w:szCs w:val="24"/>
          <w:lang w:val="en-IE"/>
        </w:rPr>
        <w:t xml:space="preserve">% compared to the same period </w:t>
      </w:r>
      <w:r w:rsidR="0025218C">
        <w:rPr>
          <w:rFonts w:ascii="Calibri" w:hAnsi="Calibri"/>
          <w:sz w:val="24"/>
          <w:szCs w:val="24"/>
          <w:lang w:val="en-IE"/>
        </w:rPr>
        <w:t>in</w:t>
      </w:r>
      <w:r w:rsidR="003F5193">
        <w:rPr>
          <w:rFonts w:ascii="Calibri" w:hAnsi="Calibri"/>
          <w:sz w:val="24"/>
          <w:szCs w:val="24"/>
          <w:lang w:val="en-IE"/>
        </w:rPr>
        <w:t xml:space="preserve"> 202</w:t>
      </w:r>
      <w:r w:rsidR="00D52FEF">
        <w:rPr>
          <w:rFonts w:ascii="Calibri" w:hAnsi="Calibri"/>
          <w:sz w:val="24"/>
          <w:szCs w:val="24"/>
          <w:lang w:val="en-IE"/>
        </w:rPr>
        <w:t>3</w:t>
      </w:r>
      <w:r w:rsidR="003F5193">
        <w:rPr>
          <w:rFonts w:ascii="Calibri" w:hAnsi="Calibri"/>
          <w:sz w:val="24"/>
          <w:szCs w:val="24"/>
          <w:lang w:val="en-IE"/>
        </w:rPr>
        <w:t xml:space="preserve">. </w:t>
      </w:r>
      <w:r w:rsidR="004762DB">
        <w:rPr>
          <w:rFonts w:ascii="Calibri" w:hAnsi="Calibri"/>
          <w:sz w:val="24"/>
          <w:szCs w:val="24"/>
          <w:lang w:val="en-IE"/>
        </w:rPr>
        <w:t>The growth in premium has come from increased new business policies written</w:t>
      </w:r>
      <w:r w:rsidR="00FA4E7B">
        <w:rPr>
          <w:rFonts w:ascii="Calibri" w:hAnsi="Calibri"/>
          <w:sz w:val="24"/>
          <w:szCs w:val="24"/>
          <w:lang w:val="en-IE"/>
        </w:rPr>
        <w:t xml:space="preserve"> </w:t>
      </w:r>
      <w:r w:rsidR="00FA4E7B" w:rsidRPr="00FE2A82">
        <w:rPr>
          <w:rFonts w:ascii="Calibri" w:hAnsi="Calibri"/>
          <w:sz w:val="24"/>
          <w:szCs w:val="24"/>
          <w:lang w:val="en-IE"/>
        </w:rPr>
        <w:t>in Business, Retail and in particular Farm. We maintain strong retention of our existing customer base while simultaneously growing in policy count.</w:t>
      </w:r>
      <w:r w:rsidR="00210A3E">
        <w:rPr>
          <w:rFonts w:ascii="Calibri" w:hAnsi="Calibri"/>
          <w:sz w:val="24"/>
          <w:szCs w:val="24"/>
          <w:lang w:val="en-IE"/>
        </w:rPr>
        <w:t xml:space="preserve"> </w:t>
      </w:r>
      <w:r w:rsidR="00FE2A82" w:rsidRPr="00FE2A82">
        <w:rPr>
          <w:rFonts w:ascii="Calibri" w:hAnsi="Calibri"/>
          <w:sz w:val="24"/>
          <w:szCs w:val="24"/>
          <w:lang w:val="en-IE"/>
        </w:rPr>
        <w:t xml:space="preserve">Our key focus is </w:t>
      </w:r>
      <w:r w:rsidR="00FE2A82" w:rsidRPr="00210A3E">
        <w:rPr>
          <w:rFonts w:ascii="Calibri" w:hAnsi="Calibri" w:cs="Calibri"/>
          <w:color w:val="000000"/>
          <w:sz w:val="24"/>
          <w:szCs w:val="24"/>
        </w:rPr>
        <w:t xml:space="preserve">meeting the needs of our customers through the provision of a </w:t>
      </w:r>
      <w:proofErr w:type="spellStart"/>
      <w:r w:rsidR="00FE2A82" w:rsidRPr="00210A3E">
        <w:rPr>
          <w:rFonts w:ascii="Calibri" w:hAnsi="Calibri" w:cs="Calibri"/>
          <w:color w:val="000000"/>
          <w:sz w:val="24"/>
          <w:szCs w:val="24"/>
        </w:rPr>
        <w:t>personalised</w:t>
      </w:r>
      <w:proofErr w:type="spellEnd"/>
      <w:r w:rsidR="00FE2A82" w:rsidRPr="00210A3E">
        <w:rPr>
          <w:rFonts w:ascii="Calibri" w:hAnsi="Calibri" w:cs="Calibri"/>
          <w:color w:val="000000"/>
          <w:sz w:val="24"/>
          <w:szCs w:val="24"/>
        </w:rPr>
        <w:t xml:space="preserve"> service nationwide. </w:t>
      </w:r>
    </w:p>
    <w:p w14:paraId="7EB07CB9" w14:textId="77777777" w:rsidR="00210A3E" w:rsidRDefault="00210A3E" w:rsidP="00B74710">
      <w:pPr>
        <w:pStyle w:val="NoSpacing"/>
        <w:jc w:val="both"/>
        <w:rPr>
          <w:rFonts w:ascii="Calibri" w:hAnsi="Calibri"/>
          <w:sz w:val="24"/>
          <w:szCs w:val="24"/>
          <w:lang w:val="en-IE"/>
        </w:rPr>
      </w:pPr>
    </w:p>
    <w:p w14:paraId="58D2E967" w14:textId="4D5EBA0F" w:rsidR="00D300F4" w:rsidRPr="00210A3E" w:rsidRDefault="00210A3E" w:rsidP="00D300F4">
      <w:pPr>
        <w:rPr>
          <w:rFonts w:ascii="Calibri" w:hAnsi="Calibri"/>
          <w:sz w:val="24"/>
          <w:szCs w:val="24"/>
          <w:lang w:val="en-IE"/>
        </w:rPr>
      </w:pPr>
      <w:r>
        <w:rPr>
          <w:rFonts w:ascii="Calibri" w:hAnsi="Calibri"/>
          <w:sz w:val="24"/>
          <w:szCs w:val="24"/>
          <w:lang w:val="en-IE"/>
        </w:rPr>
        <w:t xml:space="preserve">Investment return through the </w:t>
      </w:r>
      <w:r w:rsidR="00DE2C6B">
        <w:rPr>
          <w:rFonts w:ascii="Calibri" w:hAnsi="Calibri"/>
          <w:sz w:val="24"/>
          <w:szCs w:val="24"/>
          <w:lang w:val="en-IE"/>
        </w:rPr>
        <w:t>I</w:t>
      </w:r>
      <w:r>
        <w:rPr>
          <w:rFonts w:ascii="Calibri" w:hAnsi="Calibri"/>
          <w:sz w:val="24"/>
          <w:szCs w:val="24"/>
          <w:lang w:val="en-IE"/>
        </w:rPr>
        <w:t xml:space="preserve">ncome </w:t>
      </w:r>
      <w:r w:rsidR="00DE2C6B">
        <w:rPr>
          <w:rFonts w:ascii="Calibri" w:hAnsi="Calibri"/>
          <w:sz w:val="24"/>
          <w:szCs w:val="24"/>
          <w:lang w:val="en-IE"/>
        </w:rPr>
        <w:t>S</w:t>
      </w:r>
      <w:r>
        <w:rPr>
          <w:rFonts w:ascii="Calibri" w:hAnsi="Calibri"/>
          <w:sz w:val="24"/>
          <w:szCs w:val="24"/>
          <w:lang w:val="en-IE"/>
        </w:rPr>
        <w:t>tatement has been positive in the year to date,</w:t>
      </w:r>
      <w:r w:rsidR="00702EF9" w:rsidRPr="00210A3E">
        <w:rPr>
          <w:rFonts w:ascii="Calibri" w:hAnsi="Calibri"/>
          <w:sz w:val="24"/>
          <w:szCs w:val="24"/>
          <w:lang w:val="en-IE"/>
        </w:rPr>
        <w:t xml:space="preserve"> reflecting higher </w:t>
      </w:r>
      <w:r w:rsidR="001542B8" w:rsidRPr="00210A3E">
        <w:rPr>
          <w:rFonts w:ascii="Calibri" w:hAnsi="Calibri"/>
          <w:sz w:val="24"/>
          <w:szCs w:val="24"/>
          <w:lang w:val="en-IE"/>
        </w:rPr>
        <w:t xml:space="preserve">income on reinvestment of the bond portfolios </w:t>
      </w:r>
      <w:r w:rsidR="000C7424" w:rsidRPr="00210A3E">
        <w:rPr>
          <w:rFonts w:ascii="Calibri" w:hAnsi="Calibri"/>
          <w:sz w:val="24"/>
          <w:szCs w:val="24"/>
          <w:lang w:val="en-IE"/>
        </w:rPr>
        <w:t>and</w:t>
      </w:r>
      <w:r w:rsidR="001542B8" w:rsidRPr="00210A3E">
        <w:rPr>
          <w:rFonts w:ascii="Calibri" w:hAnsi="Calibri"/>
          <w:sz w:val="24"/>
          <w:szCs w:val="24"/>
          <w:lang w:val="en-IE"/>
        </w:rPr>
        <w:t xml:space="preserve"> </w:t>
      </w:r>
      <w:r w:rsidR="00FA5107">
        <w:rPr>
          <w:rFonts w:ascii="Calibri" w:hAnsi="Calibri"/>
          <w:sz w:val="24"/>
          <w:szCs w:val="24"/>
          <w:lang w:val="en-IE"/>
        </w:rPr>
        <w:t>positive</w:t>
      </w:r>
      <w:r w:rsidR="001542B8" w:rsidRPr="00210A3E">
        <w:rPr>
          <w:rFonts w:ascii="Calibri" w:hAnsi="Calibri"/>
          <w:sz w:val="24"/>
          <w:szCs w:val="24"/>
          <w:lang w:val="en-IE"/>
        </w:rPr>
        <w:t xml:space="preserve"> performance in the equity markets. This has been offset by negative Other Comprehensive Income arising from volatility in the mark to market value of the bond portfolio.</w:t>
      </w:r>
      <w:r w:rsidR="005D3C91" w:rsidRPr="00210A3E">
        <w:rPr>
          <w:rFonts w:ascii="Calibri" w:hAnsi="Calibri"/>
          <w:sz w:val="24"/>
          <w:szCs w:val="24"/>
          <w:lang w:val="en-IE"/>
        </w:rPr>
        <w:t xml:space="preserve"> </w:t>
      </w:r>
    </w:p>
    <w:p w14:paraId="230C59F2" w14:textId="4D75664E" w:rsidR="003F5193" w:rsidRDefault="00DA4861" w:rsidP="00B74710">
      <w:pPr>
        <w:pStyle w:val="NoSpacing"/>
        <w:jc w:val="both"/>
        <w:rPr>
          <w:rFonts w:ascii="Calibri" w:hAnsi="Calibri"/>
          <w:sz w:val="24"/>
          <w:szCs w:val="24"/>
          <w:lang w:val="en-IE"/>
        </w:rPr>
      </w:pPr>
      <w:r>
        <w:rPr>
          <w:rFonts w:ascii="Calibri" w:hAnsi="Calibri"/>
          <w:sz w:val="24"/>
          <w:szCs w:val="24"/>
          <w:lang w:val="en-IE"/>
        </w:rPr>
        <w:t xml:space="preserve">FBD remains a strongly capitalised business with a Solvency Capital Ratio in excess of our stated risk appetite.  We will continue to engage with our </w:t>
      </w:r>
      <w:r w:rsidR="005F3683">
        <w:rPr>
          <w:rFonts w:ascii="Calibri" w:hAnsi="Calibri"/>
          <w:sz w:val="24"/>
          <w:szCs w:val="24"/>
          <w:lang w:val="en-IE"/>
        </w:rPr>
        <w:t>stakeholders</w:t>
      </w:r>
      <w:r>
        <w:rPr>
          <w:rFonts w:ascii="Calibri" w:hAnsi="Calibri"/>
          <w:sz w:val="24"/>
          <w:szCs w:val="24"/>
          <w:lang w:val="en-IE"/>
        </w:rPr>
        <w:t xml:space="preserve"> and to monitor our capital position with the intention of moving closer to target capital</w:t>
      </w:r>
      <w:r w:rsidR="008B514B">
        <w:rPr>
          <w:rFonts w:ascii="Calibri" w:hAnsi="Calibri"/>
          <w:sz w:val="24"/>
          <w:szCs w:val="24"/>
          <w:lang w:val="en-IE"/>
        </w:rPr>
        <w:t xml:space="preserve"> levels</w:t>
      </w:r>
      <w:r w:rsidR="000C7424">
        <w:rPr>
          <w:rFonts w:ascii="Calibri" w:hAnsi="Calibri"/>
          <w:sz w:val="24"/>
          <w:szCs w:val="24"/>
          <w:lang w:val="en-IE"/>
        </w:rPr>
        <w:t xml:space="preserve">, while </w:t>
      </w:r>
      <w:r w:rsidR="0097687C">
        <w:rPr>
          <w:rFonts w:ascii="Calibri" w:hAnsi="Calibri"/>
          <w:sz w:val="24"/>
          <w:szCs w:val="24"/>
          <w:lang w:val="en-IE"/>
        </w:rPr>
        <w:t>preserving the sustainability of</w:t>
      </w:r>
      <w:r w:rsidR="000C7424">
        <w:rPr>
          <w:rFonts w:ascii="Calibri" w:hAnsi="Calibri"/>
          <w:sz w:val="24"/>
          <w:szCs w:val="24"/>
          <w:lang w:val="en-IE"/>
        </w:rPr>
        <w:t xml:space="preserve"> </w:t>
      </w:r>
      <w:r w:rsidR="0097687C">
        <w:rPr>
          <w:rFonts w:ascii="Calibri" w:hAnsi="Calibri"/>
          <w:sz w:val="24"/>
          <w:szCs w:val="24"/>
          <w:lang w:val="en-IE"/>
        </w:rPr>
        <w:t xml:space="preserve">our </w:t>
      </w:r>
      <w:r w:rsidR="000C7424">
        <w:rPr>
          <w:rFonts w:ascii="Calibri" w:hAnsi="Calibri"/>
          <w:sz w:val="24"/>
          <w:szCs w:val="24"/>
          <w:lang w:val="en-IE"/>
        </w:rPr>
        <w:t>annual ordinary dividend and maintaining a robust capital position for our growing business</w:t>
      </w:r>
      <w:r>
        <w:rPr>
          <w:rFonts w:ascii="Calibri" w:hAnsi="Calibri"/>
          <w:sz w:val="24"/>
          <w:szCs w:val="24"/>
          <w:lang w:val="en-IE"/>
        </w:rPr>
        <w:t>.</w:t>
      </w:r>
      <w:r w:rsidR="00363F64">
        <w:rPr>
          <w:rFonts w:ascii="Calibri" w:hAnsi="Calibri"/>
          <w:sz w:val="24"/>
          <w:szCs w:val="24"/>
          <w:lang w:val="en-IE"/>
        </w:rPr>
        <w:t xml:space="preserve"> </w:t>
      </w:r>
    </w:p>
    <w:p w14:paraId="462BE0DB" w14:textId="77777777" w:rsidR="00B74710" w:rsidRDefault="00B74710" w:rsidP="00B74710">
      <w:pPr>
        <w:pStyle w:val="NoSpacing"/>
        <w:jc w:val="both"/>
        <w:rPr>
          <w:rFonts w:ascii="Calibri" w:hAnsi="Calibri"/>
          <w:sz w:val="24"/>
          <w:szCs w:val="24"/>
          <w:lang w:val="en-IE"/>
        </w:rPr>
      </w:pPr>
    </w:p>
    <w:p w14:paraId="1C5DFA3E" w14:textId="0E81BCCD" w:rsidR="00355334" w:rsidRPr="00B74710" w:rsidRDefault="00B74710" w:rsidP="00355334">
      <w:pPr>
        <w:pStyle w:val="NoSpacing"/>
        <w:jc w:val="both"/>
        <w:rPr>
          <w:rFonts w:ascii="Calibri" w:hAnsi="Calibri"/>
          <w:sz w:val="24"/>
          <w:szCs w:val="24"/>
          <w:lang w:val="en-IE"/>
        </w:rPr>
      </w:pPr>
      <w:r>
        <w:rPr>
          <w:rFonts w:ascii="Calibri" w:hAnsi="Calibri"/>
          <w:sz w:val="24"/>
          <w:szCs w:val="24"/>
          <w:lang w:val="en-IE"/>
        </w:rPr>
        <w:t xml:space="preserve">Overall, </w:t>
      </w:r>
      <w:r w:rsidR="007E6F36">
        <w:rPr>
          <w:rFonts w:ascii="Calibri" w:hAnsi="Calibri"/>
          <w:sz w:val="24"/>
          <w:szCs w:val="24"/>
          <w:lang w:val="en-IE"/>
        </w:rPr>
        <w:t>w</w:t>
      </w:r>
      <w:r>
        <w:rPr>
          <w:rFonts w:ascii="Calibri" w:hAnsi="Calibri"/>
          <w:sz w:val="24"/>
          <w:szCs w:val="24"/>
          <w:lang w:val="en-IE"/>
        </w:rPr>
        <w:t>e remain confident in the underlying profitability, future growth prospects</w:t>
      </w:r>
      <w:r w:rsidR="00D300F4">
        <w:rPr>
          <w:rFonts w:ascii="Calibri" w:hAnsi="Calibri"/>
          <w:sz w:val="24"/>
          <w:szCs w:val="24"/>
          <w:lang w:val="en-IE"/>
        </w:rPr>
        <w:t xml:space="preserve"> and </w:t>
      </w:r>
      <w:r>
        <w:rPr>
          <w:rFonts w:ascii="Calibri" w:hAnsi="Calibri"/>
          <w:sz w:val="24"/>
          <w:szCs w:val="24"/>
          <w:lang w:val="en-IE"/>
        </w:rPr>
        <w:t>capital strength of the business</w:t>
      </w:r>
      <w:r w:rsidR="004E7842" w:rsidRPr="004E7842">
        <w:rPr>
          <w:rFonts w:ascii="Calibri" w:hAnsi="Calibri"/>
          <w:sz w:val="24"/>
          <w:szCs w:val="24"/>
          <w:lang w:val="en-IE"/>
        </w:rPr>
        <w:t xml:space="preserve"> </w:t>
      </w:r>
      <w:r w:rsidR="004E7842">
        <w:rPr>
          <w:rFonts w:ascii="Calibri" w:hAnsi="Calibri"/>
          <w:sz w:val="24"/>
          <w:szCs w:val="24"/>
          <w:lang w:val="en-IE"/>
        </w:rPr>
        <w:t>as well as our continued ability to deliver value for both customer and shareholders</w:t>
      </w:r>
      <w:r w:rsidR="00D300F4">
        <w:rPr>
          <w:rFonts w:ascii="Calibri" w:hAnsi="Calibri"/>
          <w:sz w:val="24"/>
          <w:szCs w:val="24"/>
          <w:lang w:val="en-IE"/>
        </w:rPr>
        <w:t>”.</w:t>
      </w:r>
      <w:r w:rsidR="00FA4E7B">
        <w:rPr>
          <w:rFonts w:ascii="Calibri" w:hAnsi="Calibri"/>
          <w:sz w:val="24"/>
          <w:szCs w:val="24"/>
          <w:lang w:val="en-IE"/>
        </w:rPr>
        <w:t xml:space="preserve"> </w:t>
      </w:r>
    </w:p>
    <w:p w14:paraId="5C55D757" w14:textId="77777777" w:rsidR="00A137EB" w:rsidRDefault="00A137EB" w:rsidP="00355334">
      <w:pPr>
        <w:pStyle w:val="NoSpacing"/>
        <w:jc w:val="both"/>
        <w:rPr>
          <w:rFonts w:eastAsia="Times New Roman" w:cs="Arial"/>
          <w:color w:val="000000"/>
          <w:sz w:val="24"/>
          <w:szCs w:val="24"/>
        </w:rPr>
      </w:pPr>
    </w:p>
    <w:tbl>
      <w:tblPr>
        <w:tblW w:w="9645" w:type="dxa"/>
        <w:tblInd w:w="-34" w:type="dxa"/>
        <w:tblCellMar>
          <w:left w:w="0" w:type="dxa"/>
          <w:right w:w="0" w:type="dxa"/>
        </w:tblCellMar>
        <w:tblLook w:val="04A0" w:firstRow="1" w:lastRow="0" w:firstColumn="1" w:lastColumn="0" w:noHBand="0" w:noVBand="1"/>
      </w:tblPr>
      <w:tblGrid>
        <w:gridCol w:w="6238"/>
        <w:gridCol w:w="3407"/>
      </w:tblGrid>
      <w:tr w:rsidR="00D307FA" w:rsidRPr="00D307FA" w14:paraId="6190FF78" w14:textId="77777777" w:rsidTr="00341B52">
        <w:tc>
          <w:tcPr>
            <w:tcW w:w="6238" w:type="dxa"/>
            <w:tcMar>
              <w:top w:w="0" w:type="dxa"/>
              <w:left w:w="108" w:type="dxa"/>
              <w:bottom w:w="0" w:type="dxa"/>
              <w:right w:w="108" w:type="dxa"/>
            </w:tcMar>
            <w:hideMark/>
          </w:tcPr>
          <w:p w14:paraId="643314FF" w14:textId="77777777" w:rsidR="00D307FA" w:rsidRPr="00D307FA" w:rsidRDefault="00D307FA" w:rsidP="001F56D4">
            <w:pPr>
              <w:spacing w:after="0" w:line="240" w:lineRule="auto"/>
              <w:ind w:left="142" w:hanging="108"/>
              <w:rPr>
                <w:rFonts w:cs="Arial"/>
                <w:b/>
                <w:sz w:val="24"/>
                <w:szCs w:val="24"/>
                <w:lang w:val="en-US"/>
              </w:rPr>
            </w:pPr>
            <w:r w:rsidRPr="00D307FA">
              <w:rPr>
                <w:rFonts w:cs="Arial"/>
                <w:b/>
                <w:sz w:val="24"/>
                <w:szCs w:val="24"/>
                <w:lang w:val="en-US"/>
              </w:rPr>
              <w:t>Enquiries</w:t>
            </w:r>
          </w:p>
        </w:tc>
        <w:tc>
          <w:tcPr>
            <w:tcW w:w="3407" w:type="dxa"/>
            <w:tcMar>
              <w:top w:w="0" w:type="dxa"/>
              <w:left w:w="108" w:type="dxa"/>
              <w:bottom w:w="0" w:type="dxa"/>
              <w:right w:w="108" w:type="dxa"/>
            </w:tcMar>
            <w:hideMark/>
          </w:tcPr>
          <w:p w14:paraId="16B96629" w14:textId="77777777" w:rsidR="00D307FA" w:rsidRPr="00D307FA" w:rsidRDefault="00D307FA" w:rsidP="00D307FA">
            <w:pPr>
              <w:spacing w:after="0" w:line="240" w:lineRule="auto"/>
              <w:ind w:left="142"/>
              <w:rPr>
                <w:rFonts w:cs="Arial"/>
                <w:b/>
                <w:sz w:val="24"/>
                <w:szCs w:val="24"/>
                <w:lang w:val="en-US"/>
              </w:rPr>
            </w:pPr>
            <w:r w:rsidRPr="00D307FA">
              <w:rPr>
                <w:rFonts w:cs="Arial"/>
                <w:b/>
                <w:sz w:val="24"/>
                <w:szCs w:val="24"/>
                <w:lang w:val="en-US"/>
              </w:rPr>
              <w:t>Telephone</w:t>
            </w:r>
          </w:p>
        </w:tc>
      </w:tr>
      <w:tr w:rsidR="00D307FA" w:rsidRPr="00D307FA" w14:paraId="1725E763" w14:textId="77777777" w:rsidTr="00341B52">
        <w:tc>
          <w:tcPr>
            <w:tcW w:w="6238" w:type="dxa"/>
            <w:tcMar>
              <w:top w:w="0" w:type="dxa"/>
              <w:left w:w="108" w:type="dxa"/>
              <w:bottom w:w="0" w:type="dxa"/>
              <w:right w:w="108" w:type="dxa"/>
            </w:tcMar>
            <w:hideMark/>
          </w:tcPr>
          <w:p w14:paraId="12A590DD" w14:textId="77777777" w:rsidR="00D307FA" w:rsidRPr="00D307FA" w:rsidRDefault="00D307FA" w:rsidP="00D307FA">
            <w:pPr>
              <w:spacing w:after="0" w:line="240" w:lineRule="auto"/>
              <w:ind w:left="142"/>
              <w:rPr>
                <w:rFonts w:cs="Arial"/>
                <w:sz w:val="24"/>
                <w:szCs w:val="24"/>
                <w:lang w:val="en-US"/>
              </w:rPr>
            </w:pPr>
          </w:p>
        </w:tc>
        <w:tc>
          <w:tcPr>
            <w:tcW w:w="3407" w:type="dxa"/>
            <w:tcMar>
              <w:top w:w="0" w:type="dxa"/>
              <w:left w:w="108" w:type="dxa"/>
              <w:bottom w:w="0" w:type="dxa"/>
              <w:right w:w="108" w:type="dxa"/>
            </w:tcMar>
            <w:hideMark/>
          </w:tcPr>
          <w:p w14:paraId="74B321D5" w14:textId="77777777" w:rsidR="00D307FA" w:rsidRPr="00D307FA" w:rsidRDefault="00D307FA" w:rsidP="00D307FA">
            <w:pPr>
              <w:spacing w:after="0" w:line="240" w:lineRule="auto"/>
              <w:ind w:left="142"/>
              <w:rPr>
                <w:rFonts w:cs="Arial"/>
                <w:sz w:val="24"/>
                <w:szCs w:val="24"/>
                <w:lang w:val="en-US"/>
              </w:rPr>
            </w:pPr>
          </w:p>
        </w:tc>
      </w:tr>
      <w:tr w:rsidR="00D307FA" w:rsidRPr="00D307FA" w14:paraId="3539FDA4" w14:textId="77777777" w:rsidTr="00341B52">
        <w:tc>
          <w:tcPr>
            <w:tcW w:w="6238" w:type="dxa"/>
            <w:tcMar>
              <w:top w:w="0" w:type="dxa"/>
              <w:left w:w="108" w:type="dxa"/>
              <w:bottom w:w="0" w:type="dxa"/>
              <w:right w:w="108" w:type="dxa"/>
            </w:tcMar>
            <w:hideMark/>
          </w:tcPr>
          <w:p w14:paraId="242A6FF2" w14:textId="77777777" w:rsidR="00D307FA" w:rsidRPr="00D307FA" w:rsidRDefault="00D307FA" w:rsidP="001F56D4">
            <w:pPr>
              <w:spacing w:after="0" w:line="240" w:lineRule="auto"/>
              <w:ind w:left="142" w:hanging="142"/>
              <w:rPr>
                <w:rFonts w:cs="Arial"/>
                <w:b/>
                <w:sz w:val="24"/>
                <w:szCs w:val="24"/>
                <w:lang w:val="en-US"/>
              </w:rPr>
            </w:pPr>
          </w:p>
          <w:p w14:paraId="0B156C7C" w14:textId="77777777" w:rsidR="00D307FA" w:rsidRPr="00D307FA" w:rsidRDefault="00D307FA" w:rsidP="001F56D4">
            <w:pPr>
              <w:spacing w:after="0" w:line="240" w:lineRule="auto"/>
              <w:ind w:left="142" w:hanging="142"/>
              <w:rPr>
                <w:rFonts w:cs="Arial"/>
                <w:b/>
                <w:sz w:val="24"/>
                <w:szCs w:val="24"/>
                <w:lang w:val="en-US"/>
              </w:rPr>
            </w:pPr>
            <w:r w:rsidRPr="00D307FA">
              <w:rPr>
                <w:rFonts w:cs="Arial"/>
                <w:b/>
                <w:sz w:val="24"/>
                <w:szCs w:val="24"/>
                <w:lang w:val="en-US"/>
              </w:rPr>
              <w:t>FBD Holdings plc</w:t>
            </w:r>
          </w:p>
        </w:tc>
        <w:tc>
          <w:tcPr>
            <w:tcW w:w="3407" w:type="dxa"/>
            <w:tcMar>
              <w:top w:w="0" w:type="dxa"/>
              <w:left w:w="108" w:type="dxa"/>
              <w:bottom w:w="0" w:type="dxa"/>
              <w:right w:w="108" w:type="dxa"/>
            </w:tcMar>
            <w:hideMark/>
          </w:tcPr>
          <w:p w14:paraId="4FEF9528" w14:textId="77777777" w:rsidR="00D307FA" w:rsidRPr="00D307FA" w:rsidRDefault="00D307FA" w:rsidP="001F56D4">
            <w:pPr>
              <w:spacing w:after="0" w:line="240" w:lineRule="auto"/>
              <w:ind w:left="142" w:hanging="142"/>
              <w:rPr>
                <w:rFonts w:cs="Arial"/>
                <w:sz w:val="24"/>
                <w:szCs w:val="24"/>
                <w:lang w:val="en-US"/>
              </w:rPr>
            </w:pPr>
          </w:p>
        </w:tc>
      </w:tr>
      <w:tr w:rsidR="00D307FA" w:rsidRPr="00D307FA" w14:paraId="646C2E03" w14:textId="77777777" w:rsidTr="00341B52">
        <w:tc>
          <w:tcPr>
            <w:tcW w:w="6238" w:type="dxa"/>
            <w:tcMar>
              <w:top w:w="0" w:type="dxa"/>
              <w:left w:w="108" w:type="dxa"/>
              <w:bottom w:w="0" w:type="dxa"/>
              <w:right w:w="108" w:type="dxa"/>
            </w:tcMar>
            <w:hideMark/>
          </w:tcPr>
          <w:p w14:paraId="0CC45BD1" w14:textId="748A2C66" w:rsidR="00D307FA" w:rsidRPr="00D307FA" w:rsidRDefault="00B02C61" w:rsidP="004B052D">
            <w:pPr>
              <w:spacing w:after="0" w:line="240" w:lineRule="auto"/>
              <w:ind w:left="142" w:hanging="142"/>
              <w:rPr>
                <w:rFonts w:cs="Arial"/>
                <w:sz w:val="24"/>
                <w:szCs w:val="24"/>
                <w:lang w:val="en-US"/>
              </w:rPr>
            </w:pPr>
            <w:r>
              <w:rPr>
                <w:rFonts w:cs="Arial"/>
                <w:sz w:val="24"/>
                <w:szCs w:val="24"/>
                <w:lang w:val="en-US"/>
              </w:rPr>
              <w:t>Fiona Meegan</w:t>
            </w:r>
            <w:r w:rsidR="00D307FA" w:rsidRPr="00D307FA">
              <w:rPr>
                <w:rFonts w:cs="Arial"/>
                <w:sz w:val="24"/>
                <w:szCs w:val="24"/>
                <w:lang w:val="en-US"/>
              </w:rPr>
              <w:t xml:space="preserve">, </w:t>
            </w:r>
            <w:r w:rsidR="004B052D">
              <w:rPr>
                <w:rFonts w:cs="Arial"/>
                <w:sz w:val="24"/>
                <w:szCs w:val="24"/>
                <w:lang w:val="en-US"/>
              </w:rPr>
              <w:t>Investor Relations</w:t>
            </w:r>
          </w:p>
        </w:tc>
        <w:tc>
          <w:tcPr>
            <w:tcW w:w="3407" w:type="dxa"/>
            <w:tcMar>
              <w:top w:w="0" w:type="dxa"/>
              <w:left w:w="108" w:type="dxa"/>
              <w:bottom w:w="0" w:type="dxa"/>
              <w:right w:w="108" w:type="dxa"/>
            </w:tcMar>
            <w:hideMark/>
          </w:tcPr>
          <w:p w14:paraId="64030F3B" w14:textId="52D873BF" w:rsidR="00D307FA" w:rsidRPr="00D307FA" w:rsidRDefault="001750E2" w:rsidP="001750E2">
            <w:pPr>
              <w:spacing w:after="0" w:line="240" w:lineRule="auto"/>
              <w:ind w:left="142" w:hanging="142"/>
              <w:rPr>
                <w:rFonts w:cs="Arial"/>
                <w:sz w:val="24"/>
                <w:szCs w:val="24"/>
                <w:lang w:val="en-US"/>
              </w:rPr>
            </w:pPr>
            <w:r>
              <w:rPr>
                <w:rFonts w:cs="Arial"/>
                <w:sz w:val="24"/>
                <w:szCs w:val="24"/>
                <w:lang w:val="en-US"/>
              </w:rPr>
              <w:t xml:space="preserve">+353 </w:t>
            </w:r>
            <w:r w:rsidR="00B02C61">
              <w:rPr>
                <w:rFonts w:cs="Arial"/>
                <w:sz w:val="24"/>
                <w:szCs w:val="24"/>
                <w:lang w:val="en-US"/>
              </w:rPr>
              <w:t>1 419 4885</w:t>
            </w:r>
          </w:p>
        </w:tc>
      </w:tr>
      <w:tr w:rsidR="00D307FA" w:rsidRPr="00D307FA" w14:paraId="38A373F7" w14:textId="77777777" w:rsidTr="00341B52">
        <w:tc>
          <w:tcPr>
            <w:tcW w:w="6238" w:type="dxa"/>
            <w:tcMar>
              <w:top w:w="0" w:type="dxa"/>
              <w:left w:w="108" w:type="dxa"/>
              <w:bottom w:w="0" w:type="dxa"/>
              <w:right w:w="108" w:type="dxa"/>
            </w:tcMar>
            <w:hideMark/>
          </w:tcPr>
          <w:p w14:paraId="252E124B" w14:textId="77777777" w:rsidR="00D307FA" w:rsidRPr="00D307FA" w:rsidRDefault="00D307FA" w:rsidP="001F56D4">
            <w:pPr>
              <w:spacing w:after="0" w:line="240" w:lineRule="auto"/>
              <w:ind w:left="142" w:hanging="142"/>
              <w:rPr>
                <w:rFonts w:cs="Arial"/>
                <w:b/>
                <w:sz w:val="24"/>
                <w:szCs w:val="24"/>
                <w:lang w:val="en-US"/>
              </w:rPr>
            </w:pPr>
          </w:p>
          <w:p w14:paraId="73807B9E" w14:textId="77777777" w:rsidR="00D307FA" w:rsidRPr="00D307FA" w:rsidRDefault="00033C6D" w:rsidP="00033C6D">
            <w:pPr>
              <w:spacing w:after="0" w:line="240" w:lineRule="auto"/>
              <w:ind w:left="142" w:hanging="142"/>
              <w:rPr>
                <w:rFonts w:cs="Arial"/>
                <w:b/>
                <w:sz w:val="24"/>
                <w:szCs w:val="24"/>
                <w:lang w:val="en-US"/>
              </w:rPr>
            </w:pPr>
            <w:r>
              <w:rPr>
                <w:rFonts w:cs="Arial"/>
                <w:b/>
                <w:sz w:val="24"/>
                <w:szCs w:val="24"/>
                <w:lang w:val="en-US"/>
              </w:rPr>
              <w:t>Drury Communications</w:t>
            </w:r>
          </w:p>
        </w:tc>
        <w:tc>
          <w:tcPr>
            <w:tcW w:w="3407" w:type="dxa"/>
            <w:tcMar>
              <w:top w:w="0" w:type="dxa"/>
              <w:left w:w="108" w:type="dxa"/>
              <w:bottom w:w="0" w:type="dxa"/>
              <w:right w:w="108" w:type="dxa"/>
            </w:tcMar>
            <w:hideMark/>
          </w:tcPr>
          <w:p w14:paraId="23135B54" w14:textId="77777777" w:rsidR="00D307FA" w:rsidRPr="00D307FA" w:rsidRDefault="00D307FA" w:rsidP="001F56D4">
            <w:pPr>
              <w:spacing w:after="0" w:line="240" w:lineRule="auto"/>
              <w:ind w:left="142" w:hanging="142"/>
              <w:rPr>
                <w:rFonts w:cs="Arial"/>
                <w:sz w:val="24"/>
                <w:szCs w:val="24"/>
                <w:lang w:val="en-US"/>
              </w:rPr>
            </w:pPr>
          </w:p>
        </w:tc>
      </w:tr>
      <w:tr w:rsidR="00D307FA" w:rsidRPr="00D307FA" w14:paraId="7AA8605C" w14:textId="77777777" w:rsidTr="00341B52">
        <w:tc>
          <w:tcPr>
            <w:tcW w:w="6238" w:type="dxa"/>
            <w:tcMar>
              <w:top w:w="0" w:type="dxa"/>
              <w:left w:w="108" w:type="dxa"/>
              <w:bottom w:w="0" w:type="dxa"/>
              <w:right w:w="108" w:type="dxa"/>
            </w:tcMar>
            <w:hideMark/>
          </w:tcPr>
          <w:p w14:paraId="71A4AB63" w14:textId="77777777" w:rsidR="00D307FA" w:rsidRPr="00D307FA" w:rsidRDefault="00033C6D" w:rsidP="00033C6D">
            <w:pPr>
              <w:spacing w:after="0" w:line="240" w:lineRule="auto"/>
              <w:ind w:left="142" w:hanging="142"/>
              <w:rPr>
                <w:rFonts w:cs="Arial"/>
                <w:sz w:val="24"/>
                <w:szCs w:val="24"/>
                <w:lang w:val="en-US"/>
              </w:rPr>
            </w:pPr>
            <w:r>
              <w:rPr>
                <w:rFonts w:cs="Arial"/>
                <w:sz w:val="24"/>
                <w:szCs w:val="24"/>
                <w:lang w:val="en-US"/>
              </w:rPr>
              <w:t>Paddy Hughes</w:t>
            </w:r>
          </w:p>
        </w:tc>
        <w:tc>
          <w:tcPr>
            <w:tcW w:w="3407" w:type="dxa"/>
            <w:tcMar>
              <w:top w:w="0" w:type="dxa"/>
              <w:left w:w="108" w:type="dxa"/>
              <w:bottom w:w="0" w:type="dxa"/>
              <w:right w:w="108" w:type="dxa"/>
            </w:tcMar>
            <w:hideMark/>
          </w:tcPr>
          <w:tbl>
            <w:tblPr>
              <w:tblW w:w="0" w:type="auto"/>
              <w:tblLook w:val="01E0" w:firstRow="1" w:lastRow="1" w:firstColumn="1" w:lastColumn="1" w:noHBand="0" w:noVBand="0"/>
            </w:tblPr>
            <w:tblGrid>
              <w:gridCol w:w="2502"/>
            </w:tblGrid>
            <w:tr w:rsidR="00D307FA" w:rsidRPr="00D307FA" w14:paraId="738F31A1" w14:textId="77777777" w:rsidTr="00341B52">
              <w:tc>
                <w:tcPr>
                  <w:tcW w:w="2502" w:type="dxa"/>
                </w:tcPr>
                <w:p w14:paraId="554FDAF1" w14:textId="77777777" w:rsidR="00D307FA" w:rsidRPr="00033C6D" w:rsidRDefault="00033C6D" w:rsidP="00033C6D">
                  <w:pPr>
                    <w:autoSpaceDE w:val="0"/>
                    <w:autoSpaceDN w:val="0"/>
                    <w:adjustRightInd w:val="0"/>
                    <w:spacing w:after="0" w:line="240" w:lineRule="auto"/>
                    <w:ind w:hanging="142"/>
                    <w:rPr>
                      <w:rFonts w:cstheme="minorHAnsi"/>
                      <w:sz w:val="24"/>
                      <w:szCs w:val="24"/>
                      <w:lang w:val="en-IE"/>
                    </w:rPr>
                  </w:pPr>
                  <w:r w:rsidRPr="00033C6D">
                    <w:rPr>
                      <w:rFonts w:cstheme="minorHAnsi"/>
                      <w:color w:val="000000"/>
                      <w:sz w:val="24"/>
                      <w:szCs w:val="24"/>
                      <w:lang w:eastAsia="en-GB"/>
                    </w:rPr>
                    <w:t>+353 87 616 7811</w:t>
                  </w:r>
                </w:p>
              </w:tc>
            </w:tr>
          </w:tbl>
          <w:p w14:paraId="576FE4C6" w14:textId="77777777" w:rsidR="00D307FA" w:rsidRPr="00D307FA" w:rsidRDefault="00D307FA" w:rsidP="001F56D4">
            <w:pPr>
              <w:spacing w:after="0" w:line="240" w:lineRule="auto"/>
              <w:ind w:left="142" w:hanging="142"/>
              <w:rPr>
                <w:rFonts w:cs="Arial"/>
                <w:sz w:val="24"/>
                <w:szCs w:val="24"/>
                <w:lang w:val="en-US"/>
              </w:rPr>
            </w:pPr>
          </w:p>
        </w:tc>
      </w:tr>
    </w:tbl>
    <w:p w14:paraId="2885A0DC" w14:textId="77777777" w:rsidR="00D307FA" w:rsidRPr="00D307FA" w:rsidRDefault="00D307FA" w:rsidP="001F56D4">
      <w:pPr>
        <w:spacing w:after="0" w:line="240" w:lineRule="auto"/>
        <w:ind w:hanging="142"/>
        <w:jc w:val="both"/>
        <w:rPr>
          <w:rFonts w:cs="Arial"/>
          <w:sz w:val="24"/>
          <w:szCs w:val="24"/>
          <w:lang w:val="en-US"/>
        </w:rPr>
      </w:pPr>
    </w:p>
    <w:p w14:paraId="2978E014" w14:textId="77777777" w:rsidR="00D307FA" w:rsidRPr="00341B52" w:rsidRDefault="00D307FA" w:rsidP="00D307FA">
      <w:pPr>
        <w:spacing w:after="0" w:line="240" w:lineRule="auto"/>
        <w:jc w:val="both"/>
        <w:rPr>
          <w:rFonts w:cs="Arial"/>
          <w:b/>
          <w:bCs/>
          <w:color w:val="000000"/>
          <w:sz w:val="24"/>
          <w:szCs w:val="24"/>
          <w:lang w:val="en-US"/>
        </w:rPr>
      </w:pPr>
      <w:r w:rsidRPr="00341B52">
        <w:rPr>
          <w:rFonts w:cs="Arial"/>
          <w:b/>
          <w:bCs/>
          <w:color w:val="000000"/>
          <w:sz w:val="24"/>
          <w:szCs w:val="24"/>
          <w:lang w:val="en-US"/>
        </w:rPr>
        <w:t xml:space="preserve">About FBD Holdings plc </w:t>
      </w:r>
    </w:p>
    <w:p w14:paraId="1D393609" w14:textId="77777777" w:rsidR="00D307FA" w:rsidRDefault="004B052D" w:rsidP="00D307FA">
      <w:pPr>
        <w:spacing w:after="0" w:line="240" w:lineRule="auto"/>
        <w:jc w:val="both"/>
        <w:rPr>
          <w:rFonts w:cs="Arial"/>
          <w:color w:val="000000"/>
          <w:sz w:val="24"/>
          <w:szCs w:val="24"/>
          <w:lang w:val="en-US"/>
        </w:rPr>
      </w:pPr>
      <w:r>
        <w:rPr>
          <w:rFonts w:cs="Arial"/>
          <w:color w:val="000000"/>
          <w:sz w:val="24"/>
          <w:szCs w:val="24"/>
          <w:lang w:val="en-US"/>
        </w:rPr>
        <w:lastRenderedPageBreak/>
        <w:t>FBD is one of Ireland’s largest property and casualty insurers, looking after the insurance needs of farmers, consumers and business owners. E</w:t>
      </w:r>
      <w:r w:rsidR="00D307FA" w:rsidRPr="00341B52">
        <w:rPr>
          <w:rFonts w:cs="Arial"/>
          <w:color w:val="000000"/>
          <w:sz w:val="24"/>
          <w:szCs w:val="24"/>
          <w:lang w:val="en-US"/>
        </w:rPr>
        <w:t xml:space="preserve">stablished in the 1960s </w:t>
      </w:r>
      <w:r>
        <w:rPr>
          <w:rFonts w:cs="Arial"/>
          <w:color w:val="000000"/>
          <w:sz w:val="24"/>
          <w:szCs w:val="24"/>
          <w:lang w:val="en-US"/>
        </w:rPr>
        <w:t>by farmers for farmers, FBD has built on those roots in agriculture to become a leading general insurer serving the needs of its direct agricultural, small business and consumer customers throughout Ireland. It has a network of 34 branches nationwide</w:t>
      </w:r>
      <w:r w:rsidR="00D307FA" w:rsidRPr="00341B52">
        <w:rPr>
          <w:rFonts w:cs="Arial"/>
          <w:color w:val="000000"/>
          <w:sz w:val="24"/>
          <w:szCs w:val="24"/>
          <w:lang w:val="en-US"/>
        </w:rPr>
        <w:t xml:space="preserve">. </w:t>
      </w:r>
    </w:p>
    <w:p w14:paraId="36DAB7C9" w14:textId="77777777" w:rsidR="00341B52" w:rsidRPr="00341B52" w:rsidRDefault="00341B52" w:rsidP="00D307FA">
      <w:pPr>
        <w:spacing w:after="0" w:line="240" w:lineRule="auto"/>
        <w:jc w:val="both"/>
        <w:rPr>
          <w:rFonts w:cs="Arial"/>
          <w:color w:val="000000"/>
          <w:sz w:val="24"/>
          <w:szCs w:val="24"/>
          <w:lang w:val="en-US"/>
        </w:rPr>
      </w:pPr>
    </w:p>
    <w:p w14:paraId="7FC95C8D" w14:textId="77777777" w:rsidR="00D307FA" w:rsidRPr="00341B52" w:rsidRDefault="00D307FA" w:rsidP="00D307FA">
      <w:pPr>
        <w:spacing w:after="0" w:line="240" w:lineRule="auto"/>
        <w:jc w:val="both"/>
        <w:rPr>
          <w:rFonts w:cs="Arial"/>
          <w:b/>
          <w:bCs/>
          <w:color w:val="000000"/>
          <w:sz w:val="24"/>
          <w:szCs w:val="24"/>
          <w:lang w:val="en-US"/>
        </w:rPr>
      </w:pPr>
      <w:r w:rsidRPr="00341B52">
        <w:rPr>
          <w:rFonts w:cs="Arial"/>
          <w:b/>
          <w:bCs/>
          <w:color w:val="000000"/>
          <w:sz w:val="24"/>
          <w:szCs w:val="24"/>
          <w:lang w:val="en-US"/>
        </w:rPr>
        <w:t>Forward Looking Statements</w:t>
      </w:r>
    </w:p>
    <w:p w14:paraId="6AF098D0" w14:textId="77777777" w:rsidR="00D307FA" w:rsidRPr="00341B52" w:rsidRDefault="00D307FA" w:rsidP="00D307FA">
      <w:pPr>
        <w:spacing w:after="0" w:line="240" w:lineRule="auto"/>
        <w:jc w:val="both"/>
        <w:rPr>
          <w:rFonts w:cs="Arial"/>
          <w:color w:val="000000"/>
          <w:sz w:val="24"/>
          <w:szCs w:val="24"/>
          <w:lang w:val="en-US"/>
        </w:rPr>
      </w:pPr>
      <w:r w:rsidRPr="00D307FA">
        <w:rPr>
          <w:rFonts w:cs="Arial"/>
          <w:sz w:val="24"/>
          <w:szCs w:val="24"/>
          <w:lang w:val="en-US"/>
        </w:rPr>
        <w:t xml:space="preserve">Some statements in this announcement are forward-looking.  They represent expectations for the Group's </w:t>
      </w:r>
      <w:proofErr w:type="gramStart"/>
      <w:r w:rsidRPr="00D307FA">
        <w:rPr>
          <w:rFonts w:cs="Arial"/>
          <w:sz w:val="24"/>
          <w:szCs w:val="24"/>
          <w:lang w:val="en-US"/>
        </w:rPr>
        <w:t>business, and</w:t>
      </w:r>
      <w:proofErr w:type="gramEnd"/>
      <w:r w:rsidRPr="00D307FA">
        <w:rPr>
          <w:rFonts w:cs="Arial"/>
          <w:sz w:val="24"/>
          <w:szCs w:val="24"/>
          <w:lang w:val="en-US"/>
        </w:rPr>
        <w:t xml:space="preserve"> involve risks and uncertainties.  These forward-looking statements are based on current expectations and projections about future events.  The Group believes that current expectations and assumptions with respect to these forward-looking statements are reasonable.  However, because they involve known and unknown risks, uncertainties and other factors, which are in some cases beyond the Group's control, actual results or performance may differ materially from </w:t>
      </w:r>
      <w:r w:rsidRPr="00341B52">
        <w:rPr>
          <w:rFonts w:cs="Arial"/>
          <w:color w:val="000000"/>
          <w:sz w:val="24"/>
          <w:szCs w:val="24"/>
          <w:lang w:val="en-US"/>
        </w:rPr>
        <w:t xml:space="preserve">those expressed or implied by such forward-looking statements. </w:t>
      </w:r>
    </w:p>
    <w:p w14:paraId="2B234CB0" w14:textId="77777777" w:rsidR="00D307FA" w:rsidRPr="00341B52" w:rsidRDefault="00D307FA" w:rsidP="00D307FA">
      <w:pPr>
        <w:spacing w:after="0" w:line="240" w:lineRule="auto"/>
        <w:jc w:val="both"/>
        <w:rPr>
          <w:rFonts w:cs="Arial"/>
          <w:color w:val="000000"/>
          <w:sz w:val="24"/>
          <w:szCs w:val="24"/>
          <w:lang w:val="en-US"/>
        </w:rPr>
      </w:pPr>
    </w:p>
    <w:p w14:paraId="0441CFC9" w14:textId="77777777" w:rsidR="00D307FA" w:rsidRPr="00341B52" w:rsidRDefault="00D307FA" w:rsidP="00D307FA">
      <w:pPr>
        <w:spacing w:after="0" w:line="240" w:lineRule="auto"/>
        <w:jc w:val="both"/>
        <w:rPr>
          <w:rFonts w:cs="Arial"/>
          <w:color w:val="000000"/>
          <w:sz w:val="24"/>
          <w:szCs w:val="24"/>
          <w:lang w:val="en-US"/>
        </w:rPr>
      </w:pPr>
      <w:r w:rsidRPr="00341B52">
        <w:rPr>
          <w:rFonts w:cs="Arial"/>
          <w:color w:val="000000"/>
          <w:sz w:val="24"/>
          <w:szCs w:val="24"/>
          <w:lang w:val="en-US"/>
        </w:rPr>
        <w:t>The following details relate to FBD's ordinary shares of €0.60 each which are publicly traded:</w:t>
      </w:r>
    </w:p>
    <w:p w14:paraId="6BCD0F4F" w14:textId="77777777" w:rsidR="00D307FA" w:rsidRPr="00341B52" w:rsidRDefault="00D307FA" w:rsidP="00D307FA">
      <w:pPr>
        <w:spacing w:after="0" w:line="240" w:lineRule="auto"/>
        <w:jc w:val="both"/>
        <w:rPr>
          <w:rFonts w:cs="Arial"/>
          <w:color w:val="000000"/>
          <w:sz w:val="24"/>
          <w:szCs w:val="24"/>
          <w:lang w:val="en-US"/>
        </w:rPr>
      </w:pPr>
    </w:p>
    <w:tbl>
      <w:tblPr>
        <w:tblW w:w="9645" w:type="dxa"/>
        <w:tblInd w:w="-34" w:type="dxa"/>
        <w:tblCellMar>
          <w:left w:w="0" w:type="dxa"/>
          <w:right w:w="0" w:type="dxa"/>
        </w:tblCellMar>
        <w:tblLook w:val="04A0" w:firstRow="1" w:lastRow="0" w:firstColumn="1" w:lastColumn="0" w:noHBand="0" w:noVBand="1"/>
      </w:tblPr>
      <w:tblGrid>
        <w:gridCol w:w="3036"/>
        <w:gridCol w:w="3184"/>
        <w:gridCol w:w="3425"/>
      </w:tblGrid>
      <w:tr w:rsidR="00D307FA" w:rsidRPr="00D307FA" w14:paraId="49E0839C" w14:textId="77777777" w:rsidTr="00341B52">
        <w:tc>
          <w:tcPr>
            <w:tcW w:w="3046" w:type="dxa"/>
            <w:tcMar>
              <w:top w:w="0" w:type="dxa"/>
              <w:left w:w="108" w:type="dxa"/>
              <w:bottom w:w="0" w:type="dxa"/>
              <w:right w:w="108" w:type="dxa"/>
            </w:tcMar>
            <w:hideMark/>
          </w:tcPr>
          <w:p w14:paraId="34D139DE"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Listing</w:t>
            </w:r>
          </w:p>
        </w:tc>
        <w:tc>
          <w:tcPr>
            <w:tcW w:w="3165" w:type="dxa"/>
            <w:tcMar>
              <w:top w:w="0" w:type="dxa"/>
              <w:left w:w="108" w:type="dxa"/>
              <w:bottom w:w="0" w:type="dxa"/>
              <w:right w:w="108" w:type="dxa"/>
            </w:tcMar>
            <w:hideMark/>
          </w:tcPr>
          <w:p w14:paraId="59A5D057" w14:textId="77777777" w:rsidR="00D307FA" w:rsidRPr="00D307FA" w:rsidRDefault="004B052D" w:rsidP="004B052D">
            <w:pPr>
              <w:spacing w:after="0" w:line="240" w:lineRule="auto"/>
              <w:ind w:left="142"/>
              <w:rPr>
                <w:rFonts w:cs="Arial"/>
                <w:sz w:val="24"/>
                <w:szCs w:val="24"/>
                <w:lang w:val="en-US"/>
              </w:rPr>
            </w:pPr>
            <w:r>
              <w:rPr>
                <w:rFonts w:cs="Arial"/>
                <w:sz w:val="24"/>
                <w:szCs w:val="24"/>
                <w:lang w:val="en-US"/>
              </w:rPr>
              <w:t>Euronext Dublin</w:t>
            </w:r>
          </w:p>
        </w:tc>
        <w:tc>
          <w:tcPr>
            <w:tcW w:w="3434" w:type="dxa"/>
            <w:tcMar>
              <w:top w:w="0" w:type="dxa"/>
              <w:left w:w="108" w:type="dxa"/>
              <w:bottom w:w="0" w:type="dxa"/>
              <w:right w:w="108" w:type="dxa"/>
            </w:tcMar>
            <w:hideMark/>
          </w:tcPr>
          <w:p w14:paraId="49367983" w14:textId="77777777" w:rsidR="00D307FA" w:rsidRPr="00D307FA" w:rsidRDefault="00F929FC" w:rsidP="00D307FA">
            <w:pPr>
              <w:spacing w:after="0" w:line="240" w:lineRule="auto"/>
              <w:ind w:left="142"/>
              <w:rPr>
                <w:rFonts w:cs="Arial"/>
                <w:sz w:val="24"/>
                <w:szCs w:val="24"/>
                <w:lang w:val="en-US"/>
              </w:rPr>
            </w:pPr>
            <w:r>
              <w:rPr>
                <w:rFonts w:cs="Arial"/>
                <w:sz w:val="24"/>
                <w:szCs w:val="24"/>
                <w:lang w:val="en-US"/>
              </w:rPr>
              <w:t>Financial Conduct Authority</w:t>
            </w:r>
          </w:p>
        </w:tc>
      </w:tr>
      <w:tr w:rsidR="00D307FA" w:rsidRPr="00D307FA" w14:paraId="7363B8F6" w14:textId="77777777" w:rsidTr="00341B52">
        <w:tc>
          <w:tcPr>
            <w:tcW w:w="3046" w:type="dxa"/>
            <w:tcMar>
              <w:top w:w="0" w:type="dxa"/>
              <w:left w:w="108" w:type="dxa"/>
              <w:bottom w:w="0" w:type="dxa"/>
              <w:right w:w="108" w:type="dxa"/>
            </w:tcMar>
            <w:hideMark/>
          </w:tcPr>
          <w:p w14:paraId="4525DC86"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Listing Category</w:t>
            </w:r>
          </w:p>
        </w:tc>
        <w:tc>
          <w:tcPr>
            <w:tcW w:w="3165" w:type="dxa"/>
            <w:tcMar>
              <w:top w:w="0" w:type="dxa"/>
              <w:left w:w="108" w:type="dxa"/>
              <w:bottom w:w="0" w:type="dxa"/>
              <w:right w:w="108" w:type="dxa"/>
            </w:tcMar>
            <w:hideMark/>
          </w:tcPr>
          <w:p w14:paraId="5889ED40"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Premium</w:t>
            </w:r>
          </w:p>
        </w:tc>
        <w:tc>
          <w:tcPr>
            <w:tcW w:w="3434" w:type="dxa"/>
            <w:tcMar>
              <w:top w:w="0" w:type="dxa"/>
              <w:left w:w="108" w:type="dxa"/>
              <w:bottom w:w="0" w:type="dxa"/>
              <w:right w:w="108" w:type="dxa"/>
            </w:tcMar>
            <w:hideMark/>
          </w:tcPr>
          <w:p w14:paraId="3E5F91A8"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Premium (Equity)</w:t>
            </w:r>
          </w:p>
        </w:tc>
      </w:tr>
      <w:tr w:rsidR="00D307FA" w:rsidRPr="00D307FA" w14:paraId="64BEE9A1" w14:textId="77777777" w:rsidTr="00341B52">
        <w:tc>
          <w:tcPr>
            <w:tcW w:w="3046" w:type="dxa"/>
            <w:tcMar>
              <w:top w:w="0" w:type="dxa"/>
              <w:left w:w="108" w:type="dxa"/>
              <w:bottom w:w="0" w:type="dxa"/>
              <w:right w:w="108" w:type="dxa"/>
            </w:tcMar>
            <w:hideMark/>
          </w:tcPr>
          <w:p w14:paraId="53BBBAE3"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Trading Venue</w:t>
            </w:r>
          </w:p>
        </w:tc>
        <w:tc>
          <w:tcPr>
            <w:tcW w:w="3165" w:type="dxa"/>
            <w:tcMar>
              <w:top w:w="0" w:type="dxa"/>
              <w:left w:w="108" w:type="dxa"/>
              <w:bottom w:w="0" w:type="dxa"/>
              <w:right w:w="108" w:type="dxa"/>
            </w:tcMar>
            <w:hideMark/>
          </w:tcPr>
          <w:p w14:paraId="63FD8AAD" w14:textId="77777777" w:rsidR="00D307FA" w:rsidRPr="00D307FA" w:rsidRDefault="004B052D" w:rsidP="004B052D">
            <w:pPr>
              <w:spacing w:after="0" w:line="240" w:lineRule="auto"/>
              <w:ind w:left="142"/>
              <w:rPr>
                <w:rFonts w:cs="Arial"/>
                <w:sz w:val="24"/>
                <w:szCs w:val="24"/>
                <w:lang w:val="en-US"/>
              </w:rPr>
            </w:pPr>
            <w:r>
              <w:rPr>
                <w:rFonts w:cs="Arial"/>
                <w:sz w:val="24"/>
                <w:szCs w:val="24"/>
                <w:lang w:val="en-US"/>
              </w:rPr>
              <w:t>Euronext Dublin</w:t>
            </w:r>
          </w:p>
        </w:tc>
        <w:tc>
          <w:tcPr>
            <w:tcW w:w="3434" w:type="dxa"/>
            <w:tcMar>
              <w:top w:w="0" w:type="dxa"/>
              <w:left w:w="108" w:type="dxa"/>
              <w:bottom w:w="0" w:type="dxa"/>
              <w:right w:w="108" w:type="dxa"/>
            </w:tcMar>
            <w:hideMark/>
          </w:tcPr>
          <w:p w14:paraId="10BE047D"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London Stock Exchange</w:t>
            </w:r>
          </w:p>
        </w:tc>
      </w:tr>
      <w:tr w:rsidR="00D307FA" w:rsidRPr="00D307FA" w14:paraId="17E0963C" w14:textId="77777777" w:rsidTr="00341B52">
        <w:tc>
          <w:tcPr>
            <w:tcW w:w="3046" w:type="dxa"/>
            <w:tcMar>
              <w:top w:w="0" w:type="dxa"/>
              <w:left w:w="108" w:type="dxa"/>
              <w:bottom w:w="0" w:type="dxa"/>
              <w:right w:w="108" w:type="dxa"/>
            </w:tcMar>
            <w:hideMark/>
          </w:tcPr>
          <w:p w14:paraId="0B15A480"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Market</w:t>
            </w:r>
          </w:p>
        </w:tc>
        <w:tc>
          <w:tcPr>
            <w:tcW w:w="3165" w:type="dxa"/>
            <w:tcMar>
              <w:top w:w="0" w:type="dxa"/>
              <w:left w:w="108" w:type="dxa"/>
              <w:bottom w:w="0" w:type="dxa"/>
              <w:right w:w="108" w:type="dxa"/>
            </w:tcMar>
            <w:hideMark/>
          </w:tcPr>
          <w:p w14:paraId="58548243"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Main Securities Market</w:t>
            </w:r>
          </w:p>
        </w:tc>
        <w:tc>
          <w:tcPr>
            <w:tcW w:w="3434" w:type="dxa"/>
            <w:tcMar>
              <w:top w:w="0" w:type="dxa"/>
              <w:left w:w="108" w:type="dxa"/>
              <w:bottom w:w="0" w:type="dxa"/>
              <w:right w:w="108" w:type="dxa"/>
            </w:tcMar>
            <w:hideMark/>
          </w:tcPr>
          <w:p w14:paraId="3D163449"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Main Market</w:t>
            </w:r>
          </w:p>
        </w:tc>
      </w:tr>
      <w:tr w:rsidR="00D307FA" w:rsidRPr="00D307FA" w14:paraId="481AC6FE" w14:textId="77777777" w:rsidTr="00341B52">
        <w:tc>
          <w:tcPr>
            <w:tcW w:w="3046" w:type="dxa"/>
            <w:tcMar>
              <w:top w:w="0" w:type="dxa"/>
              <w:left w:w="108" w:type="dxa"/>
              <w:bottom w:w="0" w:type="dxa"/>
              <w:right w:w="108" w:type="dxa"/>
            </w:tcMar>
            <w:hideMark/>
          </w:tcPr>
          <w:p w14:paraId="1DF03ABD"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ISIN</w:t>
            </w:r>
          </w:p>
        </w:tc>
        <w:tc>
          <w:tcPr>
            <w:tcW w:w="3165" w:type="dxa"/>
            <w:tcMar>
              <w:top w:w="0" w:type="dxa"/>
              <w:left w:w="108" w:type="dxa"/>
              <w:bottom w:w="0" w:type="dxa"/>
              <w:right w:w="108" w:type="dxa"/>
            </w:tcMar>
            <w:hideMark/>
          </w:tcPr>
          <w:p w14:paraId="240A2E51"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IE0003290289</w:t>
            </w:r>
          </w:p>
        </w:tc>
        <w:tc>
          <w:tcPr>
            <w:tcW w:w="3434" w:type="dxa"/>
            <w:tcMar>
              <w:top w:w="0" w:type="dxa"/>
              <w:left w:w="108" w:type="dxa"/>
              <w:bottom w:w="0" w:type="dxa"/>
              <w:right w:w="108" w:type="dxa"/>
            </w:tcMar>
            <w:hideMark/>
          </w:tcPr>
          <w:p w14:paraId="359FA21B"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IE0003290289</w:t>
            </w:r>
          </w:p>
        </w:tc>
      </w:tr>
      <w:tr w:rsidR="00D307FA" w:rsidRPr="00D307FA" w14:paraId="22990163" w14:textId="77777777" w:rsidTr="00341B52">
        <w:tc>
          <w:tcPr>
            <w:tcW w:w="3046" w:type="dxa"/>
            <w:tcMar>
              <w:top w:w="0" w:type="dxa"/>
              <w:left w:w="108" w:type="dxa"/>
              <w:bottom w:w="0" w:type="dxa"/>
              <w:right w:w="108" w:type="dxa"/>
            </w:tcMar>
            <w:hideMark/>
          </w:tcPr>
          <w:p w14:paraId="4650C84D"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Ticker</w:t>
            </w:r>
          </w:p>
        </w:tc>
        <w:tc>
          <w:tcPr>
            <w:tcW w:w="3165" w:type="dxa"/>
            <w:tcMar>
              <w:top w:w="0" w:type="dxa"/>
              <w:left w:w="108" w:type="dxa"/>
              <w:bottom w:w="0" w:type="dxa"/>
              <w:right w:w="108" w:type="dxa"/>
            </w:tcMar>
            <w:hideMark/>
          </w:tcPr>
          <w:p w14:paraId="24211D7F"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FBD.I or EG7.IR</w:t>
            </w:r>
          </w:p>
        </w:tc>
        <w:tc>
          <w:tcPr>
            <w:tcW w:w="3434" w:type="dxa"/>
            <w:tcMar>
              <w:top w:w="0" w:type="dxa"/>
              <w:left w:w="108" w:type="dxa"/>
              <w:bottom w:w="0" w:type="dxa"/>
              <w:right w:w="108" w:type="dxa"/>
            </w:tcMar>
            <w:hideMark/>
          </w:tcPr>
          <w:p w14:paraId="25755DB7"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FBH.L</w:t>
            </w:r>
          </w:p>
        </w:tc>
      </w:tr>
      <w:tr w:rsidR="00D307FA" w:rsidRPr="00D307FA" w14:paraId="2A46527D" w14:textId="77777777" w:rsidTr="00341B52">
        <w:tc>
          <w:tcPr>
            <w:tcW w:w="6238" w:type="dxa"/>
            <w:gridSpan w:val="2"/>
            <w:tcMar>
              <w:top w:w="0" w:type="dxa"/>
              <w:left w:w="108" w:type="dxa"/>
              <w:bottom w:w="0" w:type="dxa"/>
              <w:right w:w="108" w:type="dxa"/>
            </w:tcMar>
            <w:hideMark/>
          </w:tcPr>
          <w:p w14:paraId="62D6E684" w14:textId="77777777" w:rsidR="00D307FA" w:rsidRPr="00D307FA" w:rsidRDefault="00D307FA" w:rsidP="00D307FA">
            <w:pPr>
              <w:spacing w:after="0" w:line="240" w:lineRule="auto"/>
              <w:ind w:left="142"/>
              <w:rPr>
                <w:rFonts w:cs="Arial"/>
                <w:sz w:val="24"/>
                <w:szCs w:val="24"/>
                <w:lang w:val="en-US"/>
              </w:rPr>
            </w:pPr>
          </w:p>
        </w:tc>
        <w:tc>
          <w:tcPr>
            <w:tcW w:w="3407" w:type="dxa"/>
            <w:tcMar>
              <w:top w:w="0" w:type="dxa"/>
              <w:left w:w="108" w:type="dxa"/>
              <w:bottom w:w="0" w:type="dxa"/>
              <w:right w:w="108" w:type="dxa"/>
            </w:tcMar>
            <w:hideMark/>
          </w:tcPr>
          <w:p w14:paraId="69562E97" w14:textId="77777777" w:rsidR="00D307FA" w:rsidRPr="00D307FA" w:rsidRDefault="00D307FA" w:rsidP="00D307FA">
            <w:pPr>
              <w:spacing w:after="0" w:line="240" w:lineRule="auto"/>
              <w:ind w:left="142"/>
              <w:rPr>
                <w:rFonts w:cs="Arial"/>
                <w:sz w:val="24"/>
                <w:szCs w:val="24"/>
                <w:lang w:val="en-US"/>
              </w:rPr>
            </w:pPr>
          </w:p>
        </w:tc>
      </w:tr>
    </w:tbl>
    <w:p w14:paraId="66D75402" w14:textId="77777777" w:rsidR="00D307FA" w:rsidRPr="00D307FA" w:rsidRDefault="00D307FA" w:rsidP="00D307FA">
      <w:pPr>
        <w:spacing w:after="0" w:line="240" w:lineRule="auto"/>
        <w:jc w:val="center"/>
        <w:rPr>
          <w:rFonts w:cs="Arial"/>
          <w:sz w:val="24"/>
          <w:szCs w:val="24"/>
          <w:lang w:val="en-US"/>
        </w:rPr>
      </w:pPr>
      <w:r w:rsidRPr="00D307FA">
        <w:rPr>
          <w:rFonts w:cs="Arial"/>
          <w:sz w:val="24"/>
          <w:szCs w:val="24"/>
          <w:lang w:val="en-US"/>
        </w:rPr>
        <w:br/>
        <w:t>FBD Holdings plc, FBD House, Bluebell, Dublin 12</w:t>
      </w:r>
      <w:r w:rsidRPr="00D307FA">
        <w:rPr>
          <w:rFonts w:cs="Arial"/>
          <w:sz w:val="24"/>
          <w:szCs w:val="24"/>
          <w:lang w:val="en-US"/>
        </w:rPr>
        <w:br/>
        <w:t>Registered in Dublin, Ireland Registered Number 135882</w:t>
      </w:r>
    </w:p>
    <w:p w14:paraId="6DBEBF51" w14:textId="77777777" w:rsidR="00140146" w:rsidRPr="00341B52" w:rsidRDefault="00140146">
      <w:pPr>
        <w:rPr>
          <w:sz w:val="24"/>
          <w:szCs w:val="24"/>
        </w:rPr>
      </w:pPr>
    </w:p>
    <w:sectPr w:rsidR="00140146" w:rsidRPr="00341B52" w:rsidSect="00341B52">
      <w:headerReference w:type="even" r:id="rId8"/>
      <w:headerReference w:type="default" r:id="rId9"/>
      <w:headerReference w:type="first" r:id="rId10"/>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91740" w14:textId="77777777" w:rsidR="00420C91" w:rsidRDefault="00420C91">
      <w:pPr>
        <w:spacing w:after="0" w:line="240" w:lineRule="auto"/>
      </w:pPr>
      <w:r>
        <w:separator/>
      </w:r>
    </w:p>
  </w:endnote>
  <w:endnote w:type="continuationSeparator" w:id="0">
    <w:p w14:paraId="5C808E95" w14:textId="77777777" w:rsidR="00420C91" w:rsidRDefault="00420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9614F" w14:textId="77777777" w:rsidR="00420C91" w:rsidRDefault="00420C91">
      <w:pPr>
        <w:spacing w:after="0" w:line="240" w:lineRule="auto"/>
      </w:pPr>
      <w:r>
        <w:separator/>
      </w:r>
    </w:p>
  </w:footnote>
  <w:footnote w:type="continuationSeparator" w:id="0">
    <w:p w14:paraId="0AB8B6D0" w14:textId="77777777" w:rsidR="00420C91" w:rsidRDefault="00420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CA217" w14:textId="77777777" w:rsidR="00B875DB" w:rsidRDefault="00B875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536AB" w14:textId="77777777" w:rsidR="00B26F9E" w:rsidRDefault="00B26F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DE3A6" w14:textId="77777777" w:rsidR="00B875DB" w:rsidRDefault="00B875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83A34"/>
    <w:multiLevelType w:val="hybridMultilevel"/>
    <w:tmpl w:val="453675C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328702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7FA"/>
    <w:rsid w:val="00025EC2"/>
    <w:rsid w:val="00033C6D"/>
    <w:rsid w:val="00037E64"/>
    <w:rsid w:val="0005642F"/>
    <w:rsid w:val="000903C0"/>
    <w:rsid w:val="000C7424"/>
    <w:rsid w:val="000D227A"/>
    <w:rsid w:val="000F2FAF"/>
    <w:rsid w:val="000F6704"/>
    <w:rsid w:val="00122B42"/>
    <w:rsid w:val="00124F4F"/>
    <w:rsid w:val="00137713"/>
    <w:rsid w:val="00140146"/>
    <w:rsid w:val="001403BF"/>
    <w:rsid w:val="001542B8"/>
    <w:rsid w:val="00172E96"/>
    <w:rsid w:val="00173237"/>
    <w:rsid w:val="001750E2"/>
    <w:rsid w:val="00186281"/>
    <w:rsid w:val="00187894"/>
    <w:rsid w:val="0019743B"/>
    <w:rsid w:val="001C7185"/>
    <w:rsid w:val="001E2E80"/>
    <w:rsid w:val="001F56D4"/>
    <w:rsid w:val="001F7873"/>
    <w:rsid w:val="001F7A31"/>
    <w:rsid w:val="00210A3E"/>
    <w:rsid w:val="0025218C"/>
    <w:rsid w:val="00266A2C"/>
    <w:rsid w:val="0027298D"/>
    <w:rsid w:val="0029509A"/>
    <w:rsid w:val="002A0028"/>
    <w:rsid w:val="002D7443"/>
    <w:rsid w:val="002E4BAD"/>
    <w:rsid w:val="003234C7"/>
    <w:rsid w:val="00334F10"/>
    <w:rsid w:val="00341B52"/>
    <w:rsid w:val="00355334"/>
    <w:rsid w:val="00363F64"/>
    <w:rsid w:val="0038500C"/>
    <w:rsid w:val="003A1678"/>
    <w:rsid w:val="003E5CAA"/>
    <w:rsid w:val="003E6343"/>
    <w:rsid w:val="003F5193"/>
    <w:rsid w:val="004014C4"/>
    <w:rsid w:val="004070CB"/>
    <w:rsid w:val="00420C91"/>
    <w:rsid w:val="0043452C"/>
    <w:rsid w:val="00440B66"/>
    <w:rsid w:val="004469EC"/>
    <w:rsid w:val="004762DB"/>
    <w:rsid w:val="0048117A"/>
    <w:rsid w:val="004B052D"/>
    <w:rsid w:val="004D7EDB"/>
    <w:rsid w:val="004E5782"/>
    <w:rsid w:val="004E7842"/>
    <w:rsid w:val="004F0E28"/>
    <w:rsid w:val="00500710"/>
    <w:rsid w:val="00542FE5"/>
    <w:rsid w:val="005515B4"/>
    <w:rsid w:val="00564EA4"/>
    <w:rsid w:val="0056530D"/>
    <w:rsid w:val="005A40A4"/>
    <w:rsid w:val="005B530B"/>
    <w:rsid w:val="005C372B"/>
    <w:rsid w:val="005D3C91"/>
    <w:rsid w:val="005F3683"/>
    <w:rsid w:val="0060118E"/>
    <w:rsid w:val="006221D4"/>
    <w:rsid w:val="00623E5A"/>
    <w:rsid w:val="00632AB1"/>
    <w:rsid w:val="00636DA3"/>
    <w:rsid w:val="00656895"/>
    <w:rsid w:val="00662747"/>
    <w:rsid w:val="006772D5"/>
    <w:rsid w:val="00702EF9"/>
    <w:rsid w:val="00717067"/>
    <w:rsid w:val="0073101D"/>
    <w:rsid w:val="00741804"/>
    <w:rsid w:val="00750E8C"/>
    <w:rsid w:val="00764935"/>
    <w:rsid w:val="00766A85"/>
    <w:rsid w:val="00786820"/>
    <w:rsid w:val="00786E99"/>
    <w:rsid w:val="00797DD4"/>
    <w:rsid w:val="007C001C"/>
    <w:rsid w:val="007C7482"/>
    <w:rsid w:val="007D6685"/>
    <w:rsid w:val="007D7600"/>
    <w:rsid w:val="007E065D"/>
    <w:rsid w:val="007E6F36"/>
    <w:rsid w:val="007F228E"/>
    <w:rsid w:val="008013F6"/>
    <w:rsid w:val="00801F11"/>
    <w:rsid w:val="00823CA4"/>
    <w:rsid w:val="00832ADC"/>
    <w:rsid w:val="0084268E"/>
    <w:rsid w:val="00867D0A"/>
    <w:rsid w:val="008B398C"/>
    <w:rsid w:val="008B514B"/>
    <w:rsid w:val="009216EB"/>
    <w:rsid w:val="009438F6"/>
    <w:rsid w:val="00961B8B"/>
    <w:rsid w:val="0097687C"/>
    <w:rsid w:val="009A23E6"/>
    <w:rsid w:val="009B349D"/>
    <w:rsid w:val="009E2999"/>
    <w:rsid w:val="009F3085"/>
    <w:rsid w:val="00A00086"/>
    <w:rsid w:val="00A137EB"/>
    <w:rsid w:val="00A272C5"/>
    <w:rsid w:val="00A53D68"/>
    <w:rsid w:val="00A60272"/>
    <w:rsid w:val="00A62E6D"/>
    <w:rsid w:val="00A80BF7"/>
    <w:rsid w:val="00AC3A60"/>
    <w:rsid w:val="00AC4CE5"/>
    <w:rsid w:val="00AE1790"/>
    <w:rsid w:val="00B02C61"/>
    <w:rsid w:val="00B2586E"/>
    <w:rsid w:val="00B26F9E"/>
    <w:rsid w:val="00B74710"/>
    <w:rsid w:val="00B875DB"/>
    <w:rsid w:val="00BB7046"/>
    <w:rsid w:val="00BC584E"/>
    <w:rsid w:val="00BD67BC"/>
    <w:rsid w:val="00BD6CC8"/>
    <w:rsid w:val="00C00D45"/>
    <w:rsid w:val="00C234F9"/>
    <w:rsid w:val="00C3072F"/>
    <w:rsid w:val="00C32EB3"/>
    <w:rsid w:val="00C945DD"/>
    <w:rsid w:val="00CE3328"/>
    <w:rsid w:val="00CE5E26"/>
    <w:rsid w:val="00CF6FA9"/>
    <w:rsid w:val="00D300F4"/>
    <w:rsid w:val="00D307FA"/>
    <w:rsid w:val="00D3744C"/>
    <w:rsid w:val="00D52FEF"/>
    <w:rsid w:val="00D609E9"/>
    <w:rsid w:val="00D8328C"/>
    <w:rsid w:val="00DA4861"/>
    <w:rsid w:val="00DA79C4"/>
    <w:rsid w:val="00DE2C6B"/>
    <w:rsid w:val="00E5340B"/>
    <w:rsid w:val="00E67F59"/>
    <w:rsid w:val="00E764B9"/>
    <w:rsid w:val="00E85875"/>
    <w:rsid w:val="00EB60D1"/>
    <w:rsid w:val="00EB6A19"/>
    <w:rsid w:val="00EC0812"/>
    <w:rsid w:val="00EE15E8"/>
    <w:rsid w:val="00EF29F6"/>
    <w:rsid w:val="00EF4686"/>
    <w:rsid w:val="00F555D2"/>
    <w:rsid w:val="00F72D74"/>
    <w:rsid w:val="00F83EC6"/>
    <w:rsid w:val="00F9213D"/>
    <w:rsid w:val="00F929FC"/>
    <w:rsid w:val="00FA4E7B"/>
    <w:rsid w:val="00FA5107"/>
    <w:rsid w:val="00FA5B85"/>
    <w:rsid w:val="00FC3021"/>
    <w:rsid w:val="00FD11B5"/>
    <w:rsid w:val="00FD20EE"/>
    <w:rsid w:val="00FE2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A0C46"/>
  <w15:docId w15:val="{1FC8A46F-D6A6-446D-821E-D0AA6760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7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7FA"/>
  </w:style>
  <w:style w:type="paragraph" w:styleId="BalloonText">
    <w:name w:val="Balloon Text"/>
    <w:basedOn w:val="Normal"/>
    <w:link w:val="BalloonTextChar"/>
    <w:uiPriority w:val="99"/>
    <w:semiHidden/>
    <w:unhideWhenUsed/>
    <w:rsid w:val="00AE1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790"/>
    <w:rPr>
      <w:rFonts w:ascii="Tahoma" w:hAnsi="Tahoma" w:cs="Tahoma"/>
      <w:sz w:val="16"/>
      <w:szCs w:val="16"/>
    </w:rPr>
  </w:style>
  <w:style w:type="paragraph" w:styleId="NoSpacing">
    <w:name w:val="No Spacing"/>
    <w:uiPriority w:val="1"/>
    <w:qFormat/>
    <w:rsid w:val="00C32EB3"/>
    <w:pPr>
      <w:spacing w:after="0" w:line="240" w:lineRule="auto"/>
    </w:pPr>
    <w:rPr>
      <w:lang w:val="en-US"/>
    </w:rPr>
  </w:style>
  <w:style w:type="character" w:customStyle="1" w:styleId="aq">
    <w:name w:val="aq"/>
    <w:basedOn w:val="DefaultParagraphFont"/>
    <w:rsid w:val="00C00D45"/>
  </w:style>
  <w:style w:type="character" w:customStyle="1" w:styleId="an">
    <w:name w:val="an"/>
    <w:basedOn w:val="DefaultParagraphFont"/>
    <w:rsid w:val="00C00D45"/>
  </w:style>
  <w:style w:type="paragraph" w:styleId="Footer">
    <w:name w:val="footer"/>
    <w:basedOn w:val="Normal"/>
    <w:link w:val="FooterChar"/>
    <w:uiPriority w:val="99"/>
    <w:unhideWhenUsed/>
    <w:rsid w:val="00B875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75DB"/>
  </w:style>
  <w:style w:type="character" w:styleId="CommentReference">
    <w:name w:val="annotation reference"/>
    <w:basedOn w:val="DefaultParagraphFont"/>
    <w:uiPriority w:val="99"/>
    <w:semiHidden/>
    <w:unhideWhenUsed/>
    <w:rsid w:val="00F929FC"/>
    <w:rPr>
      <w:sz w:val="16"/>
      <w:szCs w:val="16"/>
    </w:rPr>
  </w:style>
  <w:style w:type="paragraph" w:styleId="CommentText">
    <w:name w:val="annotation text"/>
    <w:basedOn w:val="Normal"/>
    <w:link w:val="CommentTextChar"/>
    <w:uiPriority w:val="99"/>
    <w:unhideWhenUsed/>
    <w:rsid w:val="00F929FC"/>
    <w:pPr>
      <w:spacing w:line="240" w:lineRule="auto"/>
    </w:pPr>
    <w:rPr>
      <w:sz w:val="20"/>
      <w:szCs w:val="20"/>
    </w:rPr>
  </w:style>
  <w:style w:type="character" w:customStyle="1" w:styleId="CommentTextChar">
    <w:name w:val="Comment Text Char"/>
    <w:basedOn w:val="DefaultParagraphFont"/>
    <w:link w:val="CommentText"/>
    <w:uiPriority w:val="99"/>
    <w:rsid w:val="00F929FC"/>
    <w:rPr>
      <w:sz w:val="20"/>
      <w:szCs w:val="20"/>
    </w:rPr>
  </w:style>
  <w:style w:type="paragraph" w:styleId="CommentSubject">
    <w:name w:val="annotation subject"/>
    <w:basedOn w:val="CommentText"/>
    <w:next w:val="CommentText"/>
    <w:link w:val="CommentSubjectChar"/>
    <w:uiPriority w:val="99"/>
    <w:semiHidden/>
    <w:unhideWhenUsed/>
    <w:rsid w:val="00F929FC"/>
    <w:rPr>
      <w:b/>
      <w:bCs/>
    </w:rPr>
  </w:style>
  <w:style w:type="character" w:customStyle="1" w:styleId="CommentSubjectChar">
    <w:name w:val="Comment Subject Char"/>
    <w:basedOn w:val="CommentTextChar"/>
    <w:link w:val="CommentSubject"/>
    <w:uiPriority w:val="99"/>
    <w:semiHidden/>
    <w:rsid w:val="00F929FC"/>
    <w:rPr>
      <w:b/>
      <w:bCs/>
      <w:sz w:val="20"/>
      <w:szCs w:val="20"/>
    </w:rPr>
  </w:style>
  <w:style w:type="paragraph" w:styleId="Revision">
    <w:name w:val="Revision"/>
    <w:hidden/>
    <w:uiPriority w:val="99"/>
    <w:semiHidden/>
    <w:rsid w:val="00F929FC"/>
    <w:pPr>
      <w:spacing w:after="0" w:line="240" w:lineRule="auto"/>
    </w:pPr>
  </w:style>
  <w:style w:type="paragraph" w:styleId="ListParagraph">
    <w:name w:val="List Paragraph"/>
    <w:basedOn w:val="Normal"/>
    <w:uiPriority w:val="34"/>
    <w:qFormat/>
    <w:rsid w:val="00D300F4"/>
    <w:pPr>
      <w:spacing w:after="0" w:line="240" w:lineRule="auto"/>
      <w:ind w:left="720"/>
    </w:pPr>
    <w:rPr>
      <w:rFonts w:ascii="Calibri" w:hAnsi="Calibri" w:cs="Calibri"/>
      <w:lang w:val="en-IE"/>
      <w14:ligatures w14:val="standardContextual"/>
    </w:rPr>
  </w:style>
  <w:style w:type="character" w:customStyle="1" w:styleId="ui-provider">
    <w:name w:val="ui-provider"/>
    <w:basedOn w:val="DefaultParagraphFont"/>
    <w:rsid w:val="00D30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22904">
      <w:bodyDiv w:val="1"/>
      <w:marLeft w:val="0"/>
      <w:marRight w:val="0"/>
      <w:marTop w:val="0"/>
      <w:marBottom w:val="0"/>
      <w:divBdr>
        <w:top w:val="none" w:sz="0" w:space="0" w:color="auto"/>
        <w:left w:val="none" w:sz="0" w:space="0" w:color="auto"/>
        <w:bottom w:val="none" w:sz="0" w:space="0" w:color="auto"/>
        <w:right w:val="none" w:sz="0" w:space="0" w:color="auto"/>
      </w:divBdr>
    </w:div>
    <w:div w:id="369578060">
      <w:bodyDiv w:val="1"/>
      <w:marLeft w:val="0"/>
      <w:marRight w:val="0"/>
      <w:marTop w:val="0"/>
      <w:marBottom w:val="0"/>
      <w:divBdr>
        <w:top w:val="none" w:sz="0" w:space="0" w:color="auto"/>
        <w:left w:val="none" w:sz="0" w:space="0" w:color="auto"/>
        <w:bottom w:val="none" w:sz="0" w:space="0" w:color="auto"/>
        <w:right w:val="none" w:sz="0" w:space="0" w:color="auto"/>
      </w:divBdr>
    </w:div>
    <w:div w:id="846866939">
      <w:bodyDiv w:val="1"/>
      <w:marLeft w:val="0"/>
      <w:marRight w:val="0"/>
      <w:marTop w:val="0"/>
      <w:marBottom w:val="0"/>
      <w:divBdr>
        <w:top w:val="none" w:sz="0" w:space="0" w:color="auto"/>
        <w:left w:val="none" w:sz="0" w:space="0" w:color="auto"/>
        <w:bottom w:val="none" w:sz="0" w:space="0" w:color="auto"/>
        <w:right w:val="none" w:sz="0" w:space="0" w:color="auto"/>
      </w:divBdr>
    </w:div>
    <w:div w:id="1585723840">
      <w:bodyDiv w:val="1"/>
      <w:marLeft w:val="0"/>
      <w:marRight w:val="0"/>
      <w:marTop w:val="0"/>
      <w:marBottom w:val="0"/>
      <w:divBdr>
        <w:top w:val="none" w:sz="0" w:space="0" w:color="auto"/>
        <w:left w:val="none" w:sz="0" w:space="0" w:color="auto"/>
        <w:bottom w:val="none" w:sz="0" w:space="0" w:color="auto"/>
        <w:right w:val="none" w:sz="0" w:space="0" w:color="auto"/>
      </w:divBdr>
    </w:div>
    <w:div w:id="193724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2024-05-09T06:05:25+00:00</DateReceived>
    <TaxCatchAll xmlns="801a3cf6-255d-4ff5-98fe-b4415afa84b5" xsi:nil="true"/>
  </documentManagement>
</p:properties>
</file>

<file path=customXml/itemProps1.xml><?xml version="1.0" encoding="utf-8"?>
<ds:datastoreItem xmlns:ds="http://schemas.openxmlformats.org/officeDocument/2006/customXml" ds:itemID="{8D198814-D183-4BB5-A32D-3F3852E402D0}">
  <ds:schemaRefs>
    <ds:schemaRef ds:uri="http://schemas.openxmlformats.org/officeDocument/2006/bibliography"/>
  </ds:schemaRefs>
</ds:datastoreItem>
</file>

<file path=customXml/itemProps2.xml><?xml version="1.0" encoding="utf-8"?>
<ds:datastoreItem xmlns:ds="http://schemas.openxmlformats.org/officeDocument/2006/customXml" ds:itemID="{A9771D55-8E6B-4F97-A23B-C4746B9C121C}"/>
</file>

<file path=customXml/itemProps3.xml><?xml version="1.0" encoding="utf-8"?>
<ds:datastoreItem xmlns:ds="http://schemas.openxmlformats.org/officeDocument/2006/customXml" ds:itemID="{40C2A65D-130F-4AEF-84A5-E1845173241E}"/>
</file>

<file path=customXml/itemProps4.xml><?xml version="1.0" encoding="utf-8"?>
<ds:datastoreItem xmlns:ds="http://schemas.openxmlformats.org/officeDocument/2006/customXml" ds:itemID="{75CA6A6D-907F-4ABF-B754-4679F58E8FA0}"/>
</file>

<file path=docProps/app.xml><?xml version="1.0" encoding="utf-8"?>
<Properties xmlns="http://schemas.openxmlformats.org/officeDocument/2006/extended-properties" xmlns:vt="http://schemas.openxmlformats.org/officeDocument/2006/docPropsVTypes">
  <Template>Normal</Template>
  <TotalTime>2</TotalTime>
  <Pages>2</Pages>
  <Words>605</Words>
  <Characters>3455</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Higgins</dc:creator>
  <cp:lastModifiedBy>Kate Tobin</cp:lastModifiedBy>
  <cp:revision>2</cp:revision>
  <cp:lastPrinted>2018-05-03T12:49:00Z</cp:lastPrinted>
  <dcterms:created xsi:type="dcterms:W3CDTF">2024-05-03T15:23:00Z</dcterms:created>
  <dcterms:modified xsi:type="dcterms:W3CDTF">2024-05-03T15:23:00Z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