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8E96B" w14:textId="20DC939C" w:rsidR="0003619A" w:rsidRDefault="00C81285" w:rsidP="00C81285">
      <w:pPr>
        <w:jc w:val="center"/>
      </w:pPr>
      <w:r>
        <w:rPr>
          <w:noProof/>
          <w:lang w:eastAsia="en-GB"/>
        </w:rPr>
        <w:drawing>
          <wp:inline distT="0" distB="0" distL="0" distR="0" wp14:anchorId="7C19EDC2" wp14:editId="21FF6C32">
            <wp:extent cx="1990820" cy="38862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542" cy="4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BA41" w14:textId="1BF194FE" w:rsidR="009D34F1" w:rsidRDefault="006E4E07" w:rsidP="009D34F1">
      <w:pPr>
        <w:jc w:val="right"/>
        <w:rPr>
          <w:b/>
        </w:rPr>
      </w:pPr>
      <w:r>
        <w:rPr>
          <w:b/>
        </w:rPr>
        <w:t>1</w:t>
      </w:r>
      <w:r w:rsidR="009D34F1">
        <w:rPr>
          <w:b/>
        </w:rPr>
        <w:t xml:space="preserve"> </w:t>
      </w:r>
      <w:r w:rsidR="00C81285">
        <w:rPr>
          <w:b/>
        </w:rPr>
        <w:t>February</w:t>
      </w:r>
      <w:r w:rsidR="009D34F1">
        <w:rPr>
          <w:b/>
        </w:rPr>
        <w:t xml:space="preserve"> 201</w:t>
      </w:r>
      <w:r>
        <w:rPr>
          <w:b/>
        </w:rPr>
        <w:t>9</w:t>
      </w:r>
    </w:p>
    <w:p w14:paraId="07DD6FF3" w14:textId="551C7267" w:rsidR="0064615F" w:rsidRDefault="0064615F" w:rsidP="009D34F1">
      <w:pPr>
        <w:jc w:val="center"/>
        <w:rPr>
          <w:b/>
        </w:rPr>
      </w:pPr>
      <w:r w:rsidRPr="0064615F">
        <w:rPr>
          <w:b/>
        </w:rPr>
        <w:t>Paddy Power Betfair plc (the “Group”)</w:t>
      </w:r>
    </w:p>
    <w:p w14:paraId="56923A4F" w14:textId="4D4490E6" w:rsidR="009D34F1" w:rsidRDefault="009D34F1" w:rsidP="009D34F1">
      <w:pPr>
        <w:jc w:val="center"/>
        <w:rPr>
          <w:b/>
        </w:rPr>
      </w:pPr>
      <w:r w:rsidRPr="009D34F1">
        <w:rPr>
          <w:b/>
        </w:rPr>
        <w:t xml:space="preserve">Acquisition of </w:t>
      </w:r>
      <w:proofErr w:type="spellStart"/>
      <w:r w:rsidR="002B516E">
        <w:rPr>
          <w:b/>
        </w:rPr>
        <w:t>Adjarabet</w:t>
      </w:r>
      <w:proofErr w:type="spellEnd"/>
      <w:r w:rsidR="002B516E">
        <w:rPr>
          <w:b/>
        </w:rPr>
        <w:t>, Georgian online market-leader</w:t>
      </w:r>
      <w:r w:rsidR="00C81285">
        <w:rPr>
          <w:b/>
        </w:rPr>
        <w:t xml:space="preserve"> </w:t>
      </w:r>
    </w:p>
    <w:p w14:paraId="2F7A2088" w14:textId="77777777" w:rsidR="00195C09" w:rsidRPr="00DB5C14" w:rsidRDefault="00195C09" w:rsidP="009D34F1">
      <w:pPr>
        <w:jc w:val="center"/>
        <w:rPr>
          <w:b/>
          <w:sz w:val="18"/>
          <w:szCs w:val="18"/>
        </w:rPr>
      </w:pPr>
    </w:p>
    <w:p w14:paraId="05E68EEE" w14:textId="0BCE047B" w:rsidR="00FF4E05" w:rsidRDefault="00DB5C14" w:rsidP="00DB5C14">
      <w:pPr>
        <w:pStyle w:val="ListParagraph"/>
        <w:numPr>
          <w:ilvl w:val="0"/>
          <w:numId w:val="1"/>
        </w:numPr>
        <w:ind w:left="567" w:hanging="283"/>
        <w:rPr>
          <w:b/>
        </w:rPr>
      </w:pPr>
      <w:r>
        <w:rPr>
          <w:b/>
        </w:rPr>
        <w:t>S</w:t>
      </w:r>
      <w:r w:rsidR="00FF4E05">
        <w:rPr>
          <w:b/>
        </w:rPr>
        <w:t xml:space="preserve">ecures </w:t>
      </w:r>
      <w:r w:rsidR="002B516E">
        <w:rPr>
          <w:b/>
        </w:rPr>
        <w:t xml:space="preserve">number one </w:t>
      </w:r>
      <w:r w:rsidR="00FF4E05">
        <w:rPr>
          <w:b/>
        </w:rPr>
        <w:t xml:space="preserve">position in </w:t>
      </w:r>
      <w:r w:rsidR="002B516E">
        <w:rPr>
          <w:b/>
        </w:rPr>
        <w:t xml:space="preserve">the </w:t>
      </w:r>
      <w:r w:rsidR="00FF4E05">
        <w:rPr>
          <w:b/>
        </w:rPr>
        <w:t>fast-growing, regulated</w:t>
      </w:r>
      <w:r>
        <w:rPr>
          <w:b/>
        </w:rPr>
        <w:t xml:space="preserve"> online</w:t>
      </w:r>
      <w:r w:rsidR="00FF4E05">
        <w:rPr>
          <w:b/>
        </w:rPr>
        <w:t xml:space="preserve"> </w:t>
      </w:r>
      <w:r w:rsidR="002B516E">
        <w:rPr>
          <w:b/>
        </w:rPr>
        <w:t xml:space="preserve">Georgian </w:t>
      </w:r>
      <w:r>
        <w:rPr>
          <w:b/>
        </w:rPr>
        <w:t>market</w:t>
      </w:r>
    </w:p>
    <w:p w14:paraId="4FE5D941" w14:textId="388E518D" w:rsidR="00AD0084" w:rsidRDefault="002B516E" w:rsidP="00DB5C14">
      <w:pPr>
        <w:pStyle w:val="ListParagraph"/>
        <w:numPr>
          <w:ilvl w:val="0"/>
          <w:numId w:val="1"/>
        </w:numPr>
        <w:ind w:left="567" w:hanging="283"/>
        <w:rPr>
          <w:b/>
        </w:rPr>
      </w:pPr>
      <w:r>
        <w:rPr>
          <w:b/>
        </w:rPr>
        <w:t>D</w:t>
      </w:r>
      <w:r w:rsidR="00FF4E05">
        <w:rPr>
          <w:b/>
        </w:rPr>
        <w:t xml:space="preserve">ominant </w:t>
      </w:r>
      <w:r w:rsidR="00B434DE">
        <w:rPr>
          <w:b/>
        </w:rPr>
        <w:t xml:space="preserve">online </w:t>
      </w:r>
      <w:r w:rsidR="00FF4E05">
        <w:rPr>
          <w:b/>
        </w:rPr>
        <w:t xml:space="preserve">brand </w:t>
      </w:r>
      <w:r>
        <w:rPr>
          <w:b/>
        </w:rPr>
        <w:t xml:space="preserve">with </w:t>
      </w:r>
      <w:r w:rsidR="00FF4E05">
        <w:rPr>
          <w:b/>
        </w:rPr>
        <w:t>unique marketing assets</w:t>
      </w:r>
    </w:p>
    <w:p w14:paraId="20D25B03" w14:textId="327A5468" w:rsidR="002B516E" w:rsidRPr="002B516E" w:rsidRDefault="00DB5C14" w:rsidP="00DB5C14">
      <w:pPr>
        <w:pStyle w:val="ListParagraph"/>
        <w:numPr>
          <w:ilvl w:val="0"/>
          <w:numId w:val="1"/>
        </w:numPr>
        <w:ind w:left="567" w:hanging="283"/>
        <w:rPr>
          <w:b/>
        </w:rPr>
      </w:pPr>
      <w:r>
        <w:rPr>
          <w:b/>
        </w:rPr>
        <w:t>Enhances diversification of the Group’s European online business</w:t>
      </w:r>
      <w:r w:rsidR="002B516E" w:rsidRPr="002B516E">
        <w:rPr>
          <w:b/>
        </w:rPr>
        <w:t xml:space="preserve"> </w:t>
      </w:r>
    </w:p>
    <w:p w14:paraId="42D3DBB7" w14:textId="77777777" w:rsidR="009D34F1" w:rsidRPr="00DB5C14" w:rsidRDefault="009D34F1">
      <w:pPr>
        <w:rPr>
          <w:sz w:val="16"/>
          <w:szCs w:val="16"/>
        </w:rPr>
      </w:pPr>
    </w:p>
    <w:p w14:paraId="63246586" w14:textId="27F42153" w:rsidR="00BB3D89" w:rsidRDefault="0064615F" w:rsidP="009B3113">
      <w:pPr>
        <w:pStyle w:val="BodyText"/>
        <w:spacing w:before="52" w:after="120" w:line="266" w:lineRule="exact"/>
        <w:ind w:left="142" w:right="113"/>
        <w:jc w:val="both"/>
        <w:rPr>
          <w:spacing w:val="-2"/>
        </w:rPr>
      </w:pPr>
      <w:r>
        <w:t>T</w:t>
      </w:r>
      <w:r w:rsidR="009D34F1">
        <w:t>he</w:t>
      </w:r>
      <w:r w:rsidR="009D34F1">
        <w:rPr>
          <w:spacing w:val="-7"/>
        </w:rPr>
        <w:t xml:space="preserve"> </w:t>
      </w:r>
      <w:r w:rsidR="009D34F1">
        <w:rPr>
          <w:rFonts w:cs="Calibri"/>
        </w:rPr>
        <w:t>G</w:t>
      </w:r>
      <w:r w:rsidR="009D34F1">
        <w:rPr>
          <w:rFonts w:cs="Calibri"/>
          <w:spacing w:val="-3"/>
        </w:rPr>
        <w:t>r</w:t>
      </w:r>
      <w:r w:rsidR="009D34F1">
        <w:rPr>
          <w:rFonts w:cs="Calibri"/>
          <w:spacing w:val="1"/>
        </w:rPr>
        <w:t>o</w:t>
      </w:r>
      <w:r w:rsidR="009D34F1">
        <w:rPr>
          <w:rFonts w:cs="Calibri"/>
          <w:spacing w:val="-1"/>
        </w:rPr>
        <w:t>up</w:t>
      </w:r>
      <w:r w:rsidR="009D34F1">
        <w:rPr>
          <w:rFonts w:cs="Calibri"/>
          <w:spacing w:val="-6"/>
        </w:rPr>
        <w:t xml:space="preserve"> </w:t>
      </w:r>
      <w:r w:rsidR="009D34F1">
        <w:rPr>
          <w:spacing w:val="-2"/>
        </w:rPr>
        <w:t>t</w:t>
      </w:r>
      <w:r w:rsidR="009D34F1">
        <w:rPr>
          <w:spacing w:val="1"/>
        </w:rPr>
        <w:t>o</w:t>
      </w:r>
      <w:r w:rsidR="009D34F1">
        <w:rPr>
          <w:spacing w:val="-1"/>
        </w:rPr>
        <w:t>d</w:t>
      </w:r>
      <w:r w:rsidR="009D34F1">
        <w:t>ay</w:t>
      </w:r>
      <w:r w:rsidR="009D34F1">
        <w:rPr>
          <w:spacing w:val="-6"/>
        </w:rPr>
        <w:t xml:space="preserve"> </w:t>
      </w:r>
      <w:r w:rsidR="009D34F1">
        <w:t>a</w:t>
      </w:r>
      <w:r w:rsidR="009D34F1">
        <w:rPr>
          <w:spacing w:val="-1"/>
        </w:rPr>
        <w:t>nn</w:t>
      </w:r>
      <w:r w:rsidR="009D34F1">
        <w:rPr>
          <w:spacing w:val="1"/>
        </w:rPr>
        <w:t>o</w:t>
      </w:r>
      <w:r w:rsidR="009D34F1">
        <w:rPr>
          <w:spacing w:val="-1"/>
        </w:rPr>
        <w:t>un</w:t>
      </w:r>
      <w:r w:rsidR="009D34F1">
        <w:rPr>
          <w:spacing w:val="-3"/>
        </w:rPr>
        <w:t>c</w:t>
      </w:r>
      <w:r w:rsidR="009D34F1">
        <w:rPr>
          <w:spacing w:val="-2"/>
        </w:rPr>
        <w:t>e</w:t>
      </w:r>
      <w:r w:rsidR="009D34F1">
        <w:t>s</w:t>
      </w:r>
      <w:r w:rsidR="009D34F1">
        <w:rPr>
          <w:spacing w:val="-5"/>
        </w:rPr>
        <w:t xml:space="preserve"> </w:t>
      </w:r>
      <w:r w:rsidR="004709DC">
        <w:t xml:space="preserve">the acquisition of </w:t>
      </w:r>
      <w:r w:rsidR="00DB0C95">
        <w:t>a</w:t>
      </w:r>
      <w:r w:rsidR="00BB3D89">
        <w:t>n</w:t>
      </w:r>
      <w:r w:rsidR="00DB0C95">
        <w:t xml:space="preserve"> </w:t>
      </w:r>
      <w:r w:rsidR="00BB3D89">
        <w:t xml:space="preserve">initial </w:t>
      </w:r>
      <w:r w:rsidR="00DB0C95">
        <w:t xml:space="preserve">51% </w:t>
      </w:r>
      <w:r w:rsidR="00BB3D89">
        <w:t xml:space="preserve">controlling </w:t>
      </w:r>
      <w:r w:rsidR="00DB0C95">
        <w:t xml:space="preserve">stake in </w:t>
      </w:r>
      <w:r w:rsidR="004709DC">
        <w:t>Adjarabet</w:t>
      </w:r>
      <w:r w:rsidR="009D34F1" w:rsidRPr="009F6CFB">
        <w:rPr>
          <w:spacing w:val="-2"/>
          <w:vertAlign w:val="superscript"/>
        </w:rPr>
        <w:t>1</w:t>
      </w:r>
      <w:r w:rsidR="00AA1FAE" w:rsidRPr="00AA1FAE">
        <w:rPr>
          <w:spacing w:val="-2"/>
        </w:rPr>
        <w:t>,</w:t>
      </w:r>
      <w:r w:rsidR="00AA1FAE">
        <w:rPr>
          <w:spacing w:val="-2"/>
        </w:rPr>
        <w:t xml:space="preserve"> the market</w:t>
      </w:r>
      <w:r w:rsidR="00DB0C95">
        <w:rPr>
          <w:spacing w:val="-2"/>
        </w:rPr>
        <w:t xml:space="preserve"> </w:t>
      </w:r>
      <w:r w:rsidR="00AA1FAE">
        <w:rPr>
          <w:spacing w:val="-2"/>
        </w:rPr>
        <w:t xml:space="preserve">leader in </w:t>
      </w:r>
      <w:r w:rsidR="00DB0C95">
        <w:rPr>
          <w:spacing w:val="-2"/>
        </w:rPr>
        <w:t xml:space="preserve">online betting and gaming in </w:t>
      </w:r>
      <w:r w:rsidR="00AA1FAE">
        <w:rPr>
          <w:spacing w:val="-2"/>
        </w:rPr>
        <w:t>the regulated Georgian market</w:t>
      </w:r>
      <w:r w:rsidR="00463947" w:rsidRPr="00D260DD">
        <w:rPr>
          <w:spacing w:val="-2"/>
        </w:rPr>
        <w:t>.</w:t>
      </w:r>
      <w:r w:rsidR="00170ECC" w:rsidRPr="00D260DD">
        <w:rPr>
          <w:spacing w:val="-2"/>
        </w:rPr>
        <w:t xml:space="preserve"> </w:t>
      </w:r>
      <w:r w:rsidR="00D260DD">
        <w:rPr>
          <w:rFonts w:eastAsia="Times New Roman"/>
        </w:rPr>
        <w:t>Th</w:t>
      </w:r>
      <w:r w:rsidR="00D260DD" w:rsidRPr="00D260DD">
        <w:rPr>
          <w:rFonts w:eastAsia="Times New Roman"/>
        </w:rPr>
        <w:t xml:space="preserve">e </w:t>
      </w:r>
      <w:r w:rsidR="00D260DD">
        <w:rPr>
          <w:rFonts w:eastAsia="Times New Roman"/>
        </w:rPr>
        <w:t>Group</w:t>
      </w:r>
      <w:r w:rsidR="00F82005">
        <w:rPr>
          <w:rFonts w:eastAsia="Times New Roman"/>
        </w:rPr>
        <w:t>,</w:t>
      </w:r>
      <w:r w:rsidR="00D260DD">
        <w:rPr>
          <w:rFonts w:eastAsia="Times New Roman"/>
        </w:rPr>
        <w:t xml:space="preserve"> </w:t>
      </w:r>
      <w:r w:rsidR="00F82005">
        <w:rPr>
          <w:rFonts w:eastAsia="Times New Roman"/>
        </w:rPr>
        <w:t>through agreed</w:t>
      </w:r>
      <w:r w:rsidR="00F82005" w:rsidRPr="00D260DD">
        <w:rPr>
          <w:rFonts w:eastAsia="Times New Roman"/>
        </w:rPr>
        <w:t xml:space="preserve"> option arrangements</w:t>
      </w:r>
      <w:r w:rsidR="00F82005">
        <w:rPr>
          <w:rFonts w:eastAsia="Times New Roman"/>
        </w:rPr>
        <w:t>,</w:t>
      </w:r>
      <w:r w:rsidR="00F82005" w:rsidRPr="00D260DD">
        <w:rPr>
          <w:rFonts w:eastAsia="Times New Roman"/>
        </w:rPr>
        <w:t xml:space="preserve"> </w:t>
      </w:r>
      <w:r w:rsidR="00D260DD" w:rsidRPr="00D260DD">
        <w:rPr>
          <w:rFonts w:eastAsia="Times New Roman"/>
        </w:rPr>
        <w:t>expect</w:t>
      </w:r>
      <w:r w:rsidR="00D260DD">
        <w:rPr>
          <w:rFonts w:eastAsia="Times New Roman"/>
        </w:rPr>
        <w:t>s</w:t>
      </w:r>
      <w:r w:rsidR="00D260DD" w:rsidRPr="00D260DD">
        <w:rPr>
          <w:rFonts w:eastAsia="Times New Roman"/>
        </w:rPr>
        <w:t xml:space="preserve"> to acquire the remaining 49% after three years.</w:t>
      </w:r>
    </w:p>
    <w:p w14:paraId="7AC1E064" w14:textId="2938EBB2" w:rsidR="00DB0C95" w:rsidRDefault="00DB0C95" w:rsidP="00DB0C95">
      <w:pPr>
        <w:pStyle w:val="BodyText"/>
        <w:spacing w:before="52" w:after="120" w:line="266" w:lineRule="exact"/>
        <w:ind w:left="142" w:right="113"/>
        <w:jc w:val="both"/>
        <w:rPr>
          <w:spacing w:val="-2"/>
        </w:rPr>
      </w:pPr>
      <w:proofErr w:type="spellStart"/>
      <w:r>
        <w:rPr>
          <w:spacing w:val="-2"/>
        </w:rPr>
        <w:t>Adjarabet</w:t>
      </w:r>
      <w:proofErr w:type="spellEnd"/>
      <w:r>
        <w:rPr>
          <w:spacing w:val="-2"/>
        </w:rPr>
        <w:t xml:space="preserve"> </w:t>
      </w:r>
      <w:r w:rsidRPr="00B92F75">
        <w:rPr>
          <w:spacing w:val="-2"/>
        </w:rPr>
        <w:t xml:space="preserve">is licensed to offer a full suite of online betting and gaming products in Georgia including casino, sports, poker and peer-to-peer games. </w:t>
      </w:r>
      <w:r w:rsidR="001D6C9E" w:rsidRPr="00B92F75">
        <w:rPr>
          <w:spacing w:val="-2"/>
        </w:rPr>
        <w:t>It is the market leader with an estimated 40%</w:t>
      </w:r>
      <w:r w:rsidR="001D6C9E" w:rsidRPr="00B92F75">
        <w:rPr>
          <w:spacing w:val="-2"/>
          <w:vertAlign w:val="superscript"/>
        </w:rPr>
        <w:t>2</w:t>
      </w:r>
      <w:r w:rsidR="001D6C9E" w:rsidRPr="00B92F75">
        <w:rPr>
          <w:spacing w:val="-2"/>
        </w:rPr>
        <w:t xml:space="preserve"> share of total online revenues. A key component of this leadership position is the strength of the </w:t>
      </w:r>
      <w:proofErr w:type="spellStart"/>
      <w:r w:rsidR="001D6C9E" w:rsidRPr="00B92F75">
        <w:rPr>
          <w:spacing w:val="-2"/>
        </w:rPr>
        <w:t>Adjarabet</w:t>
      </w:r>
      <w:proofErr w:type="spellEnd"/>
      <w:r w:rsidR="001D6C9E" w:rsidRPr="00B92F75">
        <w:rPr>
          <w:spacing w:val="-2"/>
        </w:rPr>
        <w:t xml:space="preserve"> brand</w:t>
      </w:r>
      <w:r w:rsidR="00B92F75" w:rsidRPr="00B92F75">
        <w:rPr>
          <w:spacing w:val="-2"/>
        </w:rPr>
        <w:t xml:space="preserve"> which has a </w:t>
      </w:r>
      <w:r w:rsidR="001D6C9E" w:rsidRPr="00B92F75">
        <w:rPr>
          <w:spacing w:val="-2"/>
        </w:rPr>
        <w:t>c.</w:t>
      </w:r>
      <w:r w:rsidR="008038D6">
        <w:rPr>
          <w:spacing w:val="-2"/>
        </w:rPr>
        <w:t>86</w:t>
      </w:r>
      <w:r w:rsidR="001D6C9E" w:rsidRPr="00B92F75">
        <w:rPr>
          <w:spacing w:val="-2"/>
        </w:rPr>
        <w:t>%</w:t>
      </w:r>
      <w:r w:rsidR="00856CF3" w:rsidRPr="00856CF3">
        <w:rPr>
          <w:spacing w:val="-2"/>
          <w:vertAlign w:val="superscript"/>
        </w:rPr>
        <w:t>3</w:t>
      </w:r>
      <w:r w:rsidR="001D6C9E" w:rsidRPr="00B92F75">
        <w:rPr>
          <w:spacing w:val="-2"/>
        </w:rPr>
        <w:t xml:space="preserve"> </w:t>
      </w:r>
      <w:r w:rsidR="008038D6">
        <w:rPr>
          <w:spacing w:val="-2"/>
        </w:rPr>
        <w:t xml:space="preserve">spontaneous </w:t>
      </w:r>
      <w:r w:rsidR="001D6C9E" w:rsidRPr="00B92F75">
        <w:rPr>
          <w:spacing w:val="-2"/>
        </w:rPr>
        <w:t xml:space="preserve">brand </w:t>
      </w:r>
      <w:r w:rsidRPr="00B92F75">
        <w:rPr>
          <w:spacing w:val="-2"/>
        </w:rPr>
        <w:t>awareness</w:t>
      </w:r>
      <w:r w:rsidR="00B92F75" w:rsidRPr="00B92F75">
        <w:rPr>
          <w:spacing w:val="-2"/>
        </w:rPr>
        <w:t xml:space="preserve"> amongst the Georgian population</w:t>
      </w:r>
      <w:r w:rsidR="00B92F75">
        <w:rPr>
          <w:spacing w:val="-2"/>
        </w:rPr>
        <w:t>, significantly higher than competing brands</w:t>
      </w:r>
      <w:r w:rsidR="00B92F75" w:rsidRPr="00B92F75">
        <w:rPr>
          <w:spacing w:val="-2"/>
        </w:rPr>
        <w:t>.</w:t>
      </w:r>
      <w:r w:rsidR="00DB5C14">
        <w:rPr>
          <w:spacing w:val="-2"/>
        </w:rPr>
        <w:t xml:space="preserve"> </w:t>
      </w:r>
      <w:r w:rsidR="00B92F75">
        <w:rPr>
          <w:spacing w:val="-2"/>
        </w:rPr>
        <w:t>This brand presence is driven in part by the</w:t>
      </w:r>
      <w:r w:rsidR="00B92F75" w:rsidRPr="00B92F75">
        <w:rPr>
          <w:spacing w:val="-2"/>
        </w:rPr>
        <w:t xml:space="preserve"> business</w:t>
      </w:r>
      <w:r w:rsidR="00B92F75">
        <w:rPr>
          <w:spacing w:val="-2"/>
        </w:rPr>
        <w:t>’</w:t>
      </w:r>
      <w:r w:rsidR="00B92F75" w:rsidRPr="00B92F75">
        <w:rPr>
          <w:spacing w:val="-2"/>
        </w:rPr>
        <w:t xml:space="preserve"> exclusive</w:t>
      </w:r>
      <w:r w:rsidR="006A1862">
        <w:rPr>
          <w:spacing w:val="-2"/>
        </w:rPr>
        <w:t xml:space="preserve"> long-term</w:t>
      </w:r>
      <w:r w:rsidR="00B92F75" w:rsidRPr="00B92F75">
        <w:rPr>
          <w:spacing w:val="-2"/>
        </w:rPr>
        <w:t xml:space="preserve"> marketing relationship with</w:t>
      </w:r>
      <w:r w:rsidR="00170ECC">
        <w:rPr>
          <w:spacing w:val="-2"/>
        </w:rPr>
        <w:t xml:space="preserve"> </w:t>
      </w:r>
      <w:proofErr w:type="spellStart"/>
      <w:r w:rsidR="00B92F75" w:rsidRPr="00B92F75">
        <w:rPr>
          <w:i/>
          <w:spacing w:val="-2"/>
        </w:rPr>
        <w:t>Adjaranet</w:t>
      </w:r>
      <w:proofErr w:type="spellEnd"/>
      <w:r w:rsidR="00B92F75" w:rsidRPr="00B92F75">
        <w:rPr>
          <w:spacing w:val="-2"/>
        </w:rPr>
        <w:t xml:space="preserve">, </w:t>
      </w:r>
      <w:r w:rsidR="006A1862">
        <w:rPr>
          <w:spacing w:val="-2"/>
        </w:rPr>
        <w:t xml:space="preserve">the leading </w:t>
      </w:r>
      <w:r w:rsidR="00B92F75" w:rsidRPr="00B92F75">
        <w:rPr>
          <w:spacing w:val="-2"/>
        </w:rPr>
        <w:t>Georgia</w:t>
      </w:r>
      <w:r w:rsidR="006A1862">
        <w:rPr>
          <w:spacing w:val="-2"/>
        </w:rPr>
        <w:t>n</w:t>
      </w:r>
      <w:r w:rsidR="00B92F75" w:rsidRPr="00B92F75">
        <w:rPr>
          <w:spacing w:val="-2"/>
        </w:rPr>
        <w:t xml:space="preserve"> </w:t>
      </w:r>
      <w:r w:rsidR="006A1862">
        <w:rPr>
          <w:spacing w:val="-2"/>
        </w:rPr>
        <w:t xml:space="preserve">media </w:t>
      </w:r>
      <w:r w:rsidR="00B92F75" w:rsidRPr="00B92F75">
        <w:rPr>
          <w:spacing w:val="-2"/>
        </w:rPr>
        <w:t>website</w:t>
      </w:r>
      <w:r w:rsidRPr="00B92F75">
        <w:rPr>
          <w:spacing w:val="-2"/>
        </w:rPr>
        <w:t>.</w:t>
      </w:r>
      <w:r w:rsidR="001D6C9E">
        <w:rPr>
          <w:spacing w:val="-2"/>
        </w:rPr>
        <w:t xml:space="preserve"> </w:t>
      </w:r>
      <w:r w:rsidR="00B92F75">
        <w:rPr>
          <w:spacing w:val="-2"/>
        </w:rPr>
        <w:t>During 2017</w:t>
      </w:r>
      <w:r w:rsidR="00EE0F0D">
        <w:rPr>
          <w:spacing w:val="-2"/>
        </w:rPr>
        <w:t>,</w:t>
      </w:r>
      <w:r>
        <w:rPr>
          <w:spacing w:val="-2"/>
        </w:rPr>
        <w:t xml:space="preserve"> the </w:t>
      </w:r>
      <w:r w:rsidR="00EE0F0D">
        <w:rPr>
          <w:spacing w:val="-2"/>
        </w:rPr>
        <w:t xml:space="preserve">business </w:t>
      </w:r>
      <w:r>
        <w:rPr>
          <w:spacing w:val="-2"/>
        </w:rPr>
        <w:t xml:space="preserve">launched </w:t>
      </w:r>
      <w:r w:rsidR="00B92F75">
        <w:rPr>
          <w:spacing w:val="-2"/>
        </w:rPr>
        <w:t>in</w:t>
      </w:r>
      <w:r>
        <w:rPr>
          <w:spacing w:val="-2"/>
        </w:rPr>
        <w:t xml:space="preserve"> the developing </w:t>
      </w:r>
      <w:r w:rsidR="00EE0F0D">
        <w:rPr>
          <w:spacing w:val="-2"/>
        </w:rPr>
        <w:t xml:space="preserve">regulated </w:t>
      </w:r>
      <w:r>
        <w:rPr>
          <w:spacing w:val="-2"/>
        </w:rPr>
        <w:t xml:space="preserve">Armenian </w:t>
      </w:r>
      <w:r w:rsidR="00DB5C14">
        <w:rPr>
          <w:spacing w:val="-2"/>
        </w:rPr>
        <w:t xml:space="preserve">online </w:t>
      </w:r>
      <w:r>
        <w:rPr>
          <w:spacing w:val="-2"/>
        </w:rPr>
        <w:t xml:space="preserve">market, winning </w:t>
      </w:r>
      <w:r w:rsidR="00DB5C14">
        <w:rPr>
          <w:spacing w:val="-2"/>
        </w:rPr>
        <w:t>c.</w:t>
      </w:r>
      <w:r>
        <w:rPr>
          <w:spacing w:val="-2"/>
        </w:rPr>
        <w:t>10%</w:t>
      </w:r>
      <w:r w:rsidR="00DB5C14">
        <w:rPr>
          <w:spacing w:val="-2"/>
          <w:vertAlign w:val="superscript"/>
        </w:rPr>
        <w:t>4</w:t>
      </w:r>
      <w:r>
        <w:rPr>
          <w:spacing w:val="-2"/>
        </w:rPr>
        <w:t xml:space="preserve"> share of that market </w:t>
      </w:r>
      <w:r w:rsidR="00DB5C14">
        <w:rPr>
          <w:spacing w:val="-2"/>
        </w:rPr>
        <w:t>by the end of 2018</w:t>
      </w:r>
      <w:r>
        <w:rPr>
          <w:spacing w:val="-2"/>
        </w:rPr>
        <w:t xml:space="preserve">. </w:t>
      </w:r>
    </w:p>
    <w:p w14:paraId="761801D5" w14:textId="0AFD0B56" w:rsidR="008A072E" w:rsidRPr="005C0B67" w:rsidRDefault="00493D91" w:rsidP="00B843F8">
      <w:pPr>
        <w:pStyle w:val="BodyText"/>
        <w:spacing w:before="52" w:after="120" w:line="266" w:lineRule="exact"/>
        <w:ind w:left="142" w:right="113"/>
        <w:jc w:val="both"/>
        <w:rPr>
          <w:rFonts w:asciiTheme="minorHAnsi" w:hAnsiTheme="minorHAnsi" w:cstheme="minorHAnsi"/>
          <w:spacing w:val="-2"/>
        </w:rPr>
      </w:pPr>
      <w:r w:rsidRPr="005C0B67">
        <w:rPr>
          <w:rFonts w:asciiTheme="minorHAnsi" w:hAnsiTheme="minorHAnsi" w:cstheme="minorHAnsi"/>
          <w:spacing w:val="-2"/>
        </w:rPr>
        <w:t xml:space="preserve">In 2018, </w:t>
      </w:r>
      <w:proofErr w:type="spellStart"/>
      <w:r w:rsidRPr="005C0B67">
        <w:rPr>
          <w:rFonts w:asciiTheme="minorHAnsi" w:hAnsiTheme="minorHAnsi" w:cstheme="minorHAnsi"/>
          <w:spacing w:val="-2"/>
        </w:rPr>
        <w:t>Adjarabet</w:t>
      </w:r>
      <w:proofErr w:type="spellEnd"/>
      <w:r w:rsidRPr="005C0B67">
        <w:rPr>
          <w:rFonts w:asciiTheme="minorHAnsi" w:hAnsiTheme="minorHAnsi" w:cstheme="minorHAnsi"/>
          <w:spacing w:val="-2"/>
        </w:rPr>
        <w:t xml:space="preserve"> generated </w:t>
      </w:r>
      <w:r w:rsidR="00B843F8" w:rsidRPr="005C0B67">
        <w:rPr>
          <w:rFonts w:asciiTheme="minorHAnsi" w:hAnsiTheme="minorHAnsi" w:cstheme="minorHAnsi"/>
          <w:spacing w:val="-2"/>
        </w:rPr>
        <w:t xml:space="preserve">revenues of </w:t>
      </w:r>
      <w:r w:rsidR="00BB3D89" w:rsidRPr="005C0B67">
        <w:rPr>
          <w:rFonts w:asciiTheme="minorHAnsi" w:hAnsiTheme="minorHAnsi" w:cstheme="minorHAnsi"/>
          <w:spacing w:val="-2"/>
        </w:rPr>
        <w:t>21</w:t>
      </w:r>
      <w:r w:rsidR="00FE62A9" w:rsidRPr="005C0B67">
        <w:rPr>
          <w:rFonts w:asciiTheme="minorHAnsi" w:hAnsiTheme="minorHAnsi" w:cstheme="minorHAnsi"/>
          <w:spacing w:val="-2"/>
        </w:rPr>
        <w:t>5</w:t>
      </w:r>
      <w:r w:rsidR="00B843F8" w:rsidRPr="005C0B67">
        <w:rPr>
          <w:rFonts w:asciiTheme="minorHAnsi" w:hAnsiTheme="minorHAnsi" w:cstheme="minorHAnsi"/>
          <w:spacing w:val="-2"/>
        </w:rPr>
        <w:t xml:space="preserve">m Georgian </w:t>
      </w:r>
      <w:proofErr w:type="spellStart"/>
      <w:r w:rsidR="00B843F8" w:rsidRPr="005C0B67">
        <w:rPr>
          <w:rFonts w:asciiTheme="minorHAnsi" w:hAnsiTheme="minorHAnsi" w:cstheme="minorHAnsi"/>
          <w:spacing w:val="-2"/>
        </w:rPr>
        <w:t>L</w:t>
      </w:r>
      <w:r w:rsidR="00BB3D89" w:rsidRPr="005C0B67">
        <w:rPr>
          <w:rFonts w:asciiTheme="minorHAnsi" w:hAnsiTheme="minorHAnsi" w:cstheme="minorHAnsi"/>
          <w:spacing w:val="-2"/>
        </w:rPr>
        <w:t>a</w:t>
      </w:r>
      <w:r w:rsidR="00B843F8" w:rsidRPr="005C0B67">
        <w:rPr>
          <w:rFonts w:asciiTheme="minorHAnsi" w:hAnsiTheme="minorHAnsi" w:cstheme="minorHAnsi"/>
          <w:spacing w:val="-2"/>
        </w:rPr>
        <w:t>r</w:t>
      </w:r>
      <w:r w:rsidR="00BB3D89" w:rsidRPr="005C0B67">
        <w:rPr>
          <w:rFonts w:asciiTheme="minorHAnsi" w:hAnsiTheme="minorHAnsi" w:cstheme="minorHAnsi"/>
          <w:spacing w:val="-2"/>
        </w:rPr>
        <w:t>i</w:t>
      </w:r>
      <w:proofErr w:type="spellEnd"/>
      <w:r w:rsidR="00B843F8" w:rsidRPr="005C0B67">
        <w:rPr>
          <w:rFonts w:asciiTheme="minorHAnsi" w:hAnsiTheme="minorHAnsi" w:cstheme="minorHAnsi"/>
          <w:spacing w:val="-2"/>
        </w:rPr>
        <w:t xml:space="preserve"> (</w:t>
      </w:r>
      <w:r w:rsidRPr="005C0B67">
        <w:rPr>
          <w:rFonts w:asciiTheme="minorHAnsi" w:hAnsiTheme="minorHAnsi" w:cstheme="minorHAnsi"/>
          <w:spacing w:val="-2"/>
        </w:rPr>
        <w:t>GEL</w:t>
      </w:r>
      <w:r w:rsidR="00B843F8" w:rsidRPr="005C0B67">
        <w:rPr>
          <w:rFonts w:asciiTheme="minorHAnsi" w:hAnsiTheme="minorHAnsi" w:cstheme="minorHAnsi"/>
          <w:spacing w:val="-2"/>
        </w:rPr>
        <w:t xml:space="preserve">) </w:t>
      </w:r>
      <w:r w:rsidRPr="005C0B67">
        <w:rPr>
          <w:rFonts w:asciiTheme="minorHAnsi" w:hAnsiTheme="minorHAnsi" w:cstheme="minorHAnsi"/>
          <w:spacing w:val="-2"/>
        </w:rPr>
        <w:t>(£</w:t>
      </w:r>
      <w:r w:rsidR="009A6126" w:rsidRPr="005C0B67">
        <w:rPr>
          <w:rFonts w:asciiTheme="minorHAnsi" w:hAnsiTheme="minorHAnsi" w:cstheme="minorHAnsi"/>
          <w:spacing w:val="-2"/>
        </w:rPr>
        <w:t>64</w:t>
      </w:r>
      <w:r w:rsidRPr="005C0B67">
        <w:rPr>
          <w:rFonts w:asciiTheme="minorHAnsi" w:hAnsiTheme="minorHAnsi" w:cstheme="minorHAnsi"/>
          <w:spacing w:val="-2"/>
        </w:rPr>
        <w:t xml:space="preserve">m) and </w:t>
      </w:r>
      <w:r w:rsidR="00B843F8" w:rsidRPr="005C0B67">
        <w:rPr>
          <w:rFonts w:asciiTheme="minorHAnsi" w:hAnsiTheme="minorHAnsi" w:cstheme="minorHAnsi"/>
          <w:spacing w:val="-2"/>
        </w:rPr>
        <w:t xml:space="preserve">EBITDA of </w:t>
      </w:r>
      <w:r w:rsidRPr="005C0B67">
        <w:rPr>
          <w:rFonts w:asciiTheme="minorHAnsi" w:hAnsiTheme="minorHAnsi" w:cstheme="minorHAnsi"/>
          <w:spacing w:val="-2"/>
        </w:rPr>
        <w:t>GEL</w:t>
      </w:r>
      <w:r w:rsidR="005C0B67" w:rsidRPr="005C0B67">
        <w:rPr>
          <w:rFonts w:asciiTheme="minorHAnsi" w:hAnsiTheme="minorHAnsi" w:cstheme="minorHAnsi"/>
          <w:spacing w:val="-2"/>
        </w:rPr>
        <w:t>68</w:t>
      </w:r>
      <w:r w:rsidRPr="005C0B67">
        <w:rPr>
          <w:rFonts w:asciiTheme="minorHAnsi" w:hAnsiTheme="minorHAnsi" w:cstheme="minorHAnsi"/>
          <w:spacing w:val="-2"/>
        </w:rPr>
        <w:t>m (£2</w:t>
      </w:r>
      <w:r w:rsidR="002F51A2" w:rsidRPr="005C0B67">
        <w:rPr>
          <w:rFonts w:asciiTheme="minorHAnsi" w:hAnsiTheme="minorHAnsi" w:cstheme="minorHAnsi"/>
          <w:spacing w:val="-2"/>
        </w:rPr>
        <w:t>0</w:t>
      </w:r>
      <w:r w:rsidRPr="005C0B67">
        <w:rPr>
          <w:rFonts w:asciiTheme="minorHAnsi" w:hAnsiTheme="minorHAnsi" w:cstheme="minorHAnsi"/>
          <w:spacing w:val="-2"/>
        </w:rPr>
        <w:t>m)</w:t>
      </w:r>
      <w:r w:rsidR="00DB5C14">
        <w:rPr>
          <w:rFonts w:asciiTheme="minorHAnsi" w:hAnsiTheme="minorHAnsi" w:cstheme="minorHAnsi"/>
          <w:spacing w:val="-2"/>
          <w:vertAlign w:val="superscript"/>
        </w:rPr>
        <w:t>5</w:t>
      </w:r>
      <w:r w:rsidRPr="005C0B67">
        <w:rPr>
          <w:rFonts w:asciiTheme="minorHAnsi" w:hAnsiTheme="minorHAnsi" w:cstheme="minorHAnsi"/>
          <w:spacing w:val="-2"/>
        </w:rPr>
        <w:t>.</w:t>
      </w:r>
      <w:r w:rsidR="008866AD" w:rsidRPr="005C0B67">
        <w:rPr>
          <w:rFonts w:asciiTheme="minorHAnsi" w:hAnsiTheme="minorHAnsi" w:cstheme="minorHAnsi"/>
          <w:spacing w:val="-2"/>
        </w:rPr>
        <w:t xml:space="preserve"> </w:t>
      </w:r>
      <w:r w:rsidR="008A072E" w:rsidRPr="005C0B67">
        <w:rPr>
          <w:rFonts w:asciiTheme="minorHAnsi" w:hAnsiTheme="minorHAnsi" w:cstheme="minorHAnsi"/>
          <w:spacing w:val="-2"/>
        </w:rPr>
        <w:t xml:space="preserve">The initial cash consideration </w:t>
      </w:r>
      <w:r w:rsidRPr="005C0B67">
        <w:rPr>
          <w:rFonts w:asciiTheme="minorHAnsi" w:hAnsiTheme="minorHAnsi" w:cstheme="minorHAnsi"/>
          <w:spacing w:val="-2"/>
        </w:rPr>
        <w:t xml:space="preserve">being </w:t>
      </w:r>
      <w:r w:rsidR="008A072E" w:rsidRPr="005C0B67">
        <w:rPr>
          <w:rFonts w:asciiTheme="minorHAnsi" w:hAnsiTheme="minorHAnsi" w:cstheme="minorHAnsi"/>
          <w:spacing w:val="-2"/>
        </w:rPr>
        <w:t>paid</w:t>
      </w:r>
      <w:r w:rsidR="00170ECC" w:rsidRPr="005C0B67">
        <w:rPr>
          <w:rFonts w:asciiTheme="minorHAnsi" w:hAnsiTheme="minorHAnsi" w:cstheme="minorHAnsi"/>
          <w:spacing w:val="-2"/>
        </w:rPr>
        <w:t xml:space="preserve"> by the Group for the 51% stake </w:t>
      </w:r>
      <w:r w:rsidRPr="005C0B67">
        <w:rPr>
          <w:rFonts w:asciiTheme="minorHAnsi" w:hAnsiTheme="minorHAnsi" w:cstheme="minorHAnsi"/>
          <w:spacing w:val="-2"/>
        </w:rPr>
        <w:t xml:space="preserve">is </w:t>
      </w:r>
      <w:r w:rsidR="008A072E" w:rsidRPr="005C0B67">
        <w:rPr>
          <w:rFonts w:asciiTheme="minorHAnsi" w:hAnsiTheme="minorHAnsi" w:cstheme="minorHAnsi"/>
          <w:spacing w:val="-2"/>
        </w:rPr>
        <w:t>£</w:t>
      </w:r>
      <w:r w:rsidR="00BF1684" w:rsidRPr="005C0B67">
        <w:rPr>
          <w:rFonts w:asciiTheme="minorHAnsi" w:hAnsiTheme="minorHAnsi" w:cstheme="minorHAnsi"/>
          <w:spacing w:val="-2"/>
        </w:rPr>
        <w:t>10</w:t>
      </w:r>
      <w:r w:rsidR="00640937" w:rsidRPr="005C0B67">
        <w:rPr>
          <w:rFonts w:asciiTheme="minorHAnsi" w:hAnsiTheme="minorHAnsi" w:cstheme="minorHAnsi"/>
          <w:spacing w:val="-2"/>
        </w:rPr>
        <w:t>1</w:t>
      </w:r>
      <w:r w:rsidR="00170ECC" w:rsidRPr="005C0B67">
        <w:rPr>
          <w:rFonts w:asciiTheme="minorHAnsi" w:hAnsiTheme="minorHAnsi" w:cstheme="minorHAnsi"/>
          <w:spacing w:val="-2"/>
        </w:rPr>
        <w:t>m</w:t>
      </w:r>
      <w:r w:rsidR="008A072E" w:rsidRPr="005C0B67">
        <w:rPr>
          <w:rFonts w:asciiTheme="minorHAnsi" w:hAnsiTheme="minorHAnsi" w:cstheme="minorHAnsi"/>
          <w:spacing w:val="-2"/>
        </w:rPr>
        <w:t xml:space="preserve">. </w:t>
      </w:r>
      <w:r w:rsidR="006A1862" w:rsidRPr="005C0B67">
        <w:rPr>
          <w:rFonts w:asciiTheme="minorHAnsi" w:hAnsiTheme="minorHAnsi" w:cstheme="minorHAnsi"/>
          <w:spacing w:val="-2"/>
        </w:rPr>
        <w:t>A mechanism has also been agreed, consisting of call and put options, which enables the</w:t>
      </w:r>
      <w:r w:rsidR="008A072E" w:rsidRPr="005C0B67">
        <w:rPr>
          <w:rFonts w:asciiTheme="minorHAnsi" w:hAnsiTheme="minorHAnsi" w:cstheme="minorHAnsi"/>
          <w:spacing w:val="-2"/>
        </w:rPr>
        <w:t xml:space="preserve"> Group </w:t>
      </w:r>
      <w:r w:rsidRPr="005C0B67">
        <w:rPr>
          <w:rFonts w:asciiTheme="minorHAnsi" w:hAnsiTheme="minorHAnsi" w:cstheme="minorHAnsi"/>
          <w:spacing w:val="-2"/>
        </w:rPr>
        <w:t xml:space="preserve">to </w:t>
      </w:r>
      <w:r w:rsidR="008A072E" w:rsidRPr="005C0B67">
        <w:rPr>
          <w:rFonts w:asciiTheme="minorHAnsi" w:hAnsiTheme="minorHAnsi" w:cstheme="minorHAnsi"/>
          <w:spacing w:val="-2"/>
        </w:rPr>
        <w:t xml:space="preserve">acquire the remaining 49% </w:t>
      </w:r>
      <w:r w:rsidR="00856CF3" w:rsidRPr="005C0B67">
        <w:rPr>
          <w:rFonts w:asciiTheme="minorHAnsi" w:hAnsiTheme="minorHAnsi" w:cstheme="minorHAnsi"/>
          <w:spacing w:val="-2"/>
        </w:rPr>
        <w:t>after three years</w:t>
      </w:r>
      <w:r w:rsidR="008A072E" w:rsidRPr="005C0B67">
        <w:rPr>
          <w:rFonts w:asciiTheme="minorHAnsi" w:hAnsiTheme="minorHAnsi" w:cstheme="minorHAnsi"/>
          <w:spacing w:val="-2"/>
        </w:rPr>
        <w:t xml:space="preserve"> at a valuation </w:t>
      </w:r>
      <w:r w:rsidR="00B843F8" w:rsidRPr="005C0B67">
        <w:rPr>
          <w:rFonts w:asciiTheme="minorHAnsi" w:hAnsiTheme="minorHAnsi" w:cstheme="minorHAnsi"/>
          <w:spacing w:val="-2"/>
        </w:rPr>
        <w:t xml:space="preserve">equivalent to </w:t>
      </w:r>
      <w:r w:rsidR="008A072E" w:rsidRPr="005C0B67">
        <w:rPr>
          <w:rFonts w:asciiTheme="minorHAnsi" w:hAnsiTheme="minorHAnsi" w:cstheme="minorHAnsi"/>
          <w:spacing w:val="-2"/>
        </w:rPr>
        <w:t xml:space="preserve">7 times 2021 EBITDA. </w:t>
      </w:r>
      <w:r w:rsidR="00DF0FD7" w:rsidRPr="005C0B67">
        <w:rPr>
          <w:rFonts w:asciiTheme="minorHAnsi" w:hAnsiTheme="minorHAnsi" w:cstheme="minorHAnsi"/>
          <w:spacing w:val="-2"/>
        </w:rPr>
        <w:t xml:space="preserve">The </w:t>
      </w:r>
      <w:r w:rsidR="00DF0FD7" w:rsidRPr="005C0B67">
        <w:rPr>
          <w:rFonts w:asciiTheme="minorHAnsi" w:hAnsiTheme="minorHAnsi" w:cstheme="minorHAnsi"/>
        </w:rPr>
        <w:t>call</w:t>
      </w:r>
      <w:r w:rsidR="00797F6A">
        <w:rPr>
          <w:rFonts w:asciiTheme="minorHAnsi" w:hAnsiTheme="minorHAnsi" w:cstheme="minorHAnsi"/>
        </w:rPr>
        <w:t>/put</w:t>
      </w:r>
      <w:r w:rsidR="00DF0FD7" w:rsidRPr="005C0B67">
        <w:rPr>
          <w:rFonts w:asciiTheme="minorHAnsi" w:hAnsiTheme="minorHAnsi" w:cstheme="minorHAnsi"/>
        </w:rPr>
        <w:t xml:space="preserve"> option consi</w:t>
      </w:r>
      <w:r w:rsidR="00C43BE0" w:rsidRPr="005C0B67">
        <w:rPr>
          <w:rFonts w:asciiTheme="minorHAnsi" w:hAnsiTheme="minorHAnsi" w:cstheme="minorHAnsi"/>
        </w:rPr>
        <w:t xml:space="preserve">deration can be settled, at </w:t>
      </w:r>
      <w:r w:rsidR="00DB5C14">
        <w:rPr>
          <w:rFonts w:asciiTheme="minorHAnsi" w:hAnsiTheme="minorHAnsi" w:cstheme="minorHAnsi"/>
        </w:rPr>
        <w:t>the Group’s</w:t>
      </w:r>
      <w:r w:rsidR="00DF0FD7" w:rsidRPr="005C0B67">
        <w:rPr>
          <w:rFonts w:asciiTheme="minorHAnsi" w:hAnsiTheme="minorHAnsi" w:cstheme="minorHAnsi"/>
        </w:rPr>
        <w:t xml:space="preserve"> election, in cash or shares.</w:t>
      </w:r>
    </w:p>
    <w:p w14:paraId="1B652F8E" w14:textId="44F158B5" w:rsidR="004B05B1" w:rsidRPr="009D34F1" w:rsidRDefault="004B05B1" w:rsidP="00DB5C14">
      <w:pPr>
        <w:pStyle w:val="BodyText"/>
        <w:spacing w:before="52" w:after="480" w:line="266" w:lineRule="exact"/>
        <w:ind w:left="142" w:right="113"/>
        <w:jc w:val="both"/>
      </w:pPr>
      <w:r>
        <w:rPr>
          <w:spacing w:val="-2"/>
        </w:rPr>
        <w:t>This</w:t>
      </w:r>
      <w:r w:rsidRPr="00454F8D">
        <w:rPr>
          <w:spacing w:val="-2"/>
        </w:rPr>
        <w:t xml:space="preserve"> acquisition </w:t>
      </w:r>
      <w:r>
        <w:rPr>
          <w:spacing w:val="-2"/>
        </w:rPr>
        <w:t>provides</w:t>
      </w:r>
      <w:r w:rsidRPr="00454F8D">
        <w:rPr>
          <w:spacing w:val="-2"/>
        </w:rPr>
        <w:t xml:space="preserve"> </w:t>
      </w:r>
      <w:r>
        <w:rPr>
          <w:spacing w:val="-2"/>
        </w:rPr>
        <w:t>the Group</w:t>
      </w:r>
      <w:r w:rsidRPr="00454F8D">
        <w:rPr>
          <w:spacing w:val="-2"/>
        </w:rPr>
        <w:t xml:space="preserve"> </w:t>
      </w:r>
      <w:r>
        <w:rPr>
          <w:spacing w:val="-2"/>
        </w:rPr>
        <w:t xml:space="preserve">with exposure to </w:t>
      </w:r>
      <w:r w:rsidR="00493D91">
        <w:rPr>
          <w:spacing w:val="-2"/>
        </w:rPr>
        <w:t xml:space="preserve">two </w:t>
      </w:r>
      <w:r w:rsidR="00B843F8">
        <w:rPr>
          <w:spacing w:val="-2"/>
        </w:rPr>
        <w:t xml:space="preserve">attractive, </w:t>
      </w:r>
      <w:r>
        <w:rPr>
          <w:spacing w:val="-2"/>
        </w:rPr>
        <w:t>fast-</w:t>
      </w:r>
      <w:r w:rsidRPr="00454F8D">
        <w:rPr>
          <w:spacing w:val="-2"/>
        </w:rPr>
        <w:t>growing</w:t>
      </w:r>
      <w:r w:rsidR="00B843F8">
        <w:rPr>
          <w:spacing w:val="-2"/>
        </w:rPr>
        <w:t>,</w:t>
      </w:r>
      <w:r w:rsidRPr="00454F8D">
        <w:rPr>
          <w:spacing w:val="-2"/>
        </w:rPr>
        <w:t xml:space="preserve"> </w:t>
      </w:r>
      <w:r>
        <w:rPr>
          <w:spacing w:val="-2"/>
        </w:rPr>
        <w:t xml:space="preserve">regulated </w:t>
      </w:r>
      <w:r w:rsidRPr="00454F8D">
        <w:rPr>
          <w:spacing w:val="-2"/>
        </w:rPr>
        <w:t>market</w:t>
      </w:r>
      <w:r w:rsidR="00493D91">
        <w:rPr>
          <w:spacing w:val="-2"/>
        </w:rPr>
        <w:t>s.</w:t>
      </w:r>
      <w:r w:rsidR="00B81211">
        <w:rPr>
          <w:spacing w:val="-2"/>
        </w:rPr>
        <w:t xml:space="preserve"> The online Georgian market is estimated to have grown at a CAGR of 40% from 2016 to 2018 to an estimated £180m</w:t>
      </w:r>
      <w:r w:rsidR="00DB5C14" w:rsidRPr="00DB5C14">
        <w:rPr>
          <w:spacing w:val="-2"/>
          <w:vertAlign w:val="superscript"/>
        </w:rPr>
        <w:t>2</w:t>
      </w:r>
      <w:r w:rsidR="00B81211">
        <w:rPr>
          <w:spacing w:val="-2"/>
        </w:rPr>
        <w:t xml:space="preserve"> of gross gaming revenue with the nascent Armenian market providing </w:t>
      </w:r>
      <w:r w:rsidR="009A6126">
        <w:rPr>
          <w:spacing w:val="-2"/>
        </w:rPr>
        <w:t xml:space="preserve">a </w:t>
      </w:r>
      <w:r w:rsidR="00B81211">
        <w:rPr>
          <w:spacing w:val="-2"/>
        </w:rPr>
        <w:t xml:space="preserve">further growth opportunity. </w:t>
      </w:r>
      <w:r w:rsidR="00B843F8">
        <w:rPr>
          <w:spacing w:val="-2"/>
        </w:rPr>
        <w:t xml:space="preserve">We believe </w:t>
      </w:r>
      <w:r w:rsidR="00EE0F0D">
        <w:rPr>
          <w:spacing w:val="-2"/>
        </w:rPr>
        <w:t xml:space="preserve">that </w:t>
      </w:r>
      <w:r w:rsidR="00B843F8">
        <w:rPr>
          <w:spacing w:val="-2"/>
        </w:rPr>
        <w:t xml:space="preserve">the </w:t>
      </w:r>
      <w:r w:rsidR="00F2391E">
        <w:rPr>
          <w:spacing w:val="-2"/>
        </w:rPr>
        <w:t xml:space="preserve">combination of </w:t>
      </w:r>
      <w:r w:rsidR="00B81211">
        <w:rPr>
          <w:spacing w:val="-2"/>
        </w:rPr>
        <w:t>the</w:t>
      </w:r>
      <w:r w:rsidR="00B843F8">
        <w:rPr>
          <w:spacing w:val="-2"/>
        </w:rPr>
        <w:t xml:space="preserve"> </w:t>
      </w:r>
      <w:r w:rsidR="00F2391E">
        <w:rPr>
          <w:spacing w:val="-2"/>
        </w:rPr>
        <w:t>market-leading brand</w:t>
      </w:r>
      <w:r w:rsidR="00EE0F0D">
        <w:rPr>
          <w:spacing w:val="-2"/>
        </w:rPr>
        <w:t xml:space="preserve"> and </w:t>
      </w:r>
      <w:r w:rsidR="00D34F8D">
        <w:rPr>
          <w:spacing w:val="-2"/>
        </w:rPr>
        <w:t xml:space="preserve">local operational expertise </w:t>
      </w:r>
      <w:r w:rsidR="00EE0F0D">
        <w:rPr>
          <w:spacing w:val="-2"/>
        </w:rPr>
        <w:t xml:space="preserve">with </w:t>
      </w:r>
      <w:r w:rsidR="00B843F8">
        <w:rPr>
          <w:spacing w:val="-2"/>
        </w:rPr>
        <w:t xml:space="preserve">Paddy Power Betfair’s </w:t>
      </w:r>
      <w:r w:rsidR="00F2391E">
        <w:rPr>
          <w:spacing w:val="-2"/>
        </w:rPr>
        <w:t>technolog</w:t>
      </w:r>
      <w:r w:rsidR="00DB5C14">
        <w:rPr>
          <w:spacing w:val="-2"/>
        </w:rPr>
        <w:t>y</w:t>
      </w:r>
      <w:r w:rsidR="00F2391E">
        <w:rPr>
          <w:spacing w:val="-2"/>
        </w:rPr>
        <w:t xml:space="preserve"> and leading sports capabilities</w:t>
      </w:r>
      <w:r w:rsidR="00B843F8">
        <w:rPr>
          <w:spacing w:val="-2"/>
        </w:rPr>
        <w:t xml:space="preserve"> </w:t>
      </w:r>
      <w:r w:rsidR="00B81211">
        <w:rPr>
          <w:spacing w:val="-2"/>
        </w:rPr>
        <w:t xml:space="preserve">positions </w:t>
      </w:r>
      <w:proofErr w:type="spellStart"/>
      <w:r w:rsidR="00B81211">
        <w:rPr>
          <w:spacing w:val="-2"/>
        </w:rPr>
        <w:t>Adjarabet</w:t>
      </w:r>
      <w:proofErr w:type="spellEnd"/>
      <w:r w:rsidR="00B843F8">
        <w:rPr>
          <w:spacing w:val="-2"/>
        </w:rPr>
        <w:t xml:space="preserve"> very well </w:t>
      </w:r>
      <w:r w:rsidR="00F2391E">
        <w:rPr>
          <w:spacing w:val="-2"/>
        </w:rPr>
        <w:t xml:space="preserve">to capitalise on </w:t>
      </w:r>
      <w:r w:rsidR="00B81211">
        <w:rPr>
          <w:spacing w:val="-2"/>
        </w:rPr>
        <w:t>this opportunity</w:t>
      </w:r>
      <w:r w:rsidR="00F2391E">
        <w:rPr>
          <w:spacing w:val="-2"/>
        </w:rPr>
        <w:t>.</w:t>
      </w:r>
      <w:r w:rsidRPr="00454F8D">
        <w:rPr>
          <w:spacing w:val="-2"/>
        </w:rPr>
        <w:t xml:space="preserve"> </w:t>
      </w:r>
      <w:r w:rsidR="00F2391E">
        <w:rPr>
          <w:spacing w:val="-2"/>
        </w:rPr>
        <w:t xml:space="preserve"> </w:t>
      </w:r>
    </w:p>
    <w:p w14:paraId="1BD65359" w14:textId="1B8B3B9A" w:rsidR="009D34F1" w:rsidRPr="00DB3AA4" w:rsidRDefault="00C81285" w:rsidP="009D34F1">
      <w:pPr>
        <w:pStyle w:val="Heading2"/>
        <w:spacing w:before="240"/>
        <w:ind w:left="102" w:right="3646"/>
        <w:jc w:val="both"/>
        <w:rPr>
          <w:b w:val="0"/>
        </w:rPr>
      </w:pPr>
      <w:r>
        <w:t>Peter Jackson</w:t>
      </w:r>
      <w:r w:rsidR="009D34F1" w:rsidRPr="00DB3AA4">
        <w:t>,</w:t>
      </w:r>
      <w:r w:rsidR="009D34F1" w:rsidRPr="00DB3AA4">
        <w:rPr>
          <w:spacing w:val="-2"/>
        </w:rPr>
        <w:t xml:space="preserve"> </w:t>
      </w:r>
      <w:r w:rsidR="009D34F1" w:rsidRPr="00DB3AA4">
        <w:t>C</w:t>
      </w:r>
      <w:r w:rsidR="009D34F1" w:rsidRPr="00DB3AA4">
        <w:rPr>
          <w:spacing w:val="-1"/>
        </w:rPr>
        <w:t>h</w:t>
      </w:r>
      <w:r w:rsidR="009D34F1" w:rsidRPr="00DB3AA4">
        <w:t>i</w:t>
      </w:r>
      <w:r w:rsidR="009D34F1" w:rsidRPr="00DB3AA4">
        <w:rPr>
          <w:spacing w:val="-1"/>
        </w:rPr>
        <w:t>e</w:t>
      </w:r>
      <w:r w:rsidR="009D34F1" w:rsidRPr="00DB3AA4">
        <w:t>f Ex</w:t>
      </w:r>
      <w:r w:rsidR="009D34F1" w:rsidRPr="00DB3AA4">
        <w:rPr>
          <w:spacing w:val="-4"/>
        </w:rPr>
        <w:t>e</w:t>
      </w:r>
      <w:r w:rsidR="009D34F1" w:rsidRPr="00DB3AA4">
        <w:rPr>
          <w:spacing w:val="1"/>
        </w:rPr>
        <w:t>c</w:t>
      </w:r>
      <w:r w:rsidR="009D34F1" w:rsidRPr="00DB3AA4">
        <w:rPr>
          <w:spacing w:val="-1"/>
        </w:rPr>
        <w:t>u</w:t>
      </w:r>
      <w:r w:rsidR="009D34F1" w:rsidRPr="00DB3AA4">
        <w:t>t</w:t>
      </w:r>
      <w:r w:rsidR="009D34F1" w:rsidRPr="00DB3AA4">
        <w:rPr>
          <w:spacing w:val="-2"/>
        </w:rPr>
        <w:t>i</w:t>
      </w:r>
      <w:r w:rsidR="009D34F1" w:rsidRPr="00DB3AA4">
        <w:t>v</w:t>
      </w:r>
      <w:r w:rsidR="009D34F1" w:rsidRPr="00DB3AA4">
        <w:rPr>
          <w:spacing w:val="-1"/>
        </w:rPr>
        <w:t>e</w:t>
      </w:r>
      <w:r w:rsidR="009D34F1" w:rsidRPr="00DB3AA4">
        <w:t xml:space="preserve">, </w:t>
      </w:r>
      <w:r w:rsidR="009D34F1" w:rsidRPr="00DB3AA4">
        <w:rPr>
          <w:spacing w:val="1"/>
        </w:rPr>
        <w:t>c</w:t>
      </w:r>
      <w:r w:rsidR="009D34F1" w:rsidRPr="00DB3AA4">
        <w:rPr>
          <w:spacing w:val="-1"/>
        </w:rPr>
        <w:t>o</w:t>
      </w:r>
      <w:r w:rsidR="009D34F1" w:rsidRPr="00DB3AA4">
        <w:t>mm</w:t>
      </w:r>
      <w:r w:rsidR="009D34F1" w:rsidRPr="00DB3AA4">
        <w:rPr>
          <w:spacing w:val="-1"/>
        </w:rPr>
        <w:t>en</w:t>
      </w:r>
      <w:r w:rsidR="009D34F1" w:rsidRPr="00DB3AA4">
        <w:t>te</w:t>
      </w:r>
      <w:r w:rsidR="009D34F1" w:rsidRPr="00DB3AA4">
        <w:rPr>
          <w:spacing w:val="-2"/>
        </w:rPr>
        <w:t>d</w:t>
      </w:r>
      <w:r w:rsidR="009D34F1" w:rsidRPr="00DB3AA4">
        <w:t>:</w:t>
      </w:r>
    </w:p>
    <w:p w14:paraId="08483755" w14:textId="77777777" w:rsidR="009D34F1" w:rsidRDefault="009D34F1" w:rsidP="009D34F1">
      <w:pPr>
        <w:spacing w:line="120" w:lineRule="exact"/>
        <w:rPr>
          <w:sz w:val="12"/>
          <w:szCs w:val="12"/>
        </w:rPr>
      </w:pPr>
    </w:p>
    <w:p w14:paraId="557F5B9E" w14:textId="2D7BFD7E" w:rsidR="009D34F1" w:rsidRDefault="009D34F1" w:rsidP="00DB5C14">
      <w:pPr>
        <w:widowControl/>
        <w:spacing w:after="360"/>
        <w:ind w:left="142"/>
        <w:jc w:val="both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“</w:t>
      </w:r>
      <w:r w:rsidR="005B04C9">
        <w:rPr>
          <w:rFonts w:ascii="Calibri" w:eastAsia="Times New Roman" w:hAnsi="Calibri" w:cs="Times New Roman"/>
          <w:i/>
        </w:rPr>
        <w:t xml:space="preserve">This bolt-on acquisition is in line with our strategy of establishing podium positions in attractive online markets. </w:t>
      </w:r>
      <w:proofErr w:type="spellStart"/>
      <w:r w:rsidR="00EE0F0D">
        <w:rPr>
          <w:rFonts w:ascii="Calibri" w:eastAsia="Times New Roman" w:hAnsi="Calibri" w:cs="Times New Roman"/>
          <w:i/>
        </w:rPr>
        <w:t>Adjarabet’s</w:t>
      </w:r>
      <w:proofErr w:type="spellEnd"/>
      <w:r w:rsidR="00EE0F0D">
        <w:rPr>
          <w:rFonts w:ascii="Calibri" w:eastAsia="Times New Roman" w:hAnsi="Calibri" w:cs="Times New Roman"/>
          <w:i/>
        </w:rPr>
        <w:t xml:space="preserve"> </w:t>
      </w:r>
      <w:r w:rsidR="00D037DB">
        <w:rPr>
          <w:rFonts w:ascii="Calibri" w:eastAsia="Times New Roman" w:hAnsi="Calibri" w:cs="Times New Roman"/>
          <w:i/>
        </w:rPr>
        <w:t xml:space="preserve">leading brand presence and strong management team has established </w:t>
      </w:r>
      <w:r w:rsidR="00EE0F0D">
        <w:rPr>
          <w:rFonts w:ascii="Calibri" w:eastAsia="Times New Roman" w:hAnsi="Calibri" w:cs="Times New Roman"/>
          <w:i/>
        </w:rPr>
        <w:t xml:space="preserve">it </w:t>
      </w:r>
      <w:r w:rsidR="00D037DB">
        <w:rPr>
          <w:rFonts w:ascii="Calibri" w:eastAsia="Times New Roman" w:hAnsi="Calibri" w:cs="Times New Roman"/>
          <w:i/>
        </w:rPr>
        <w:t>as</w:t>
      </w:r>
      <w:r w:rsidR="005B04C9">
        <w:rPr>
          <w:rFonts w:ascii="Calibri" w:eastAsia="Times New Roman" w:hAnsi="Calibri" w:cs="Times New Roman"/>
          <w:i/>
        </w:rPr>
        <w:t xml:space="preserve"> the</w:t>
      </w:r>
      <w:r w:rsidR="00D037DB">
        <w:rPr>
          <w:rFonts w:ascii="Calibri" w:eastAsia="Times New Roman" w:hAnsi="Calibri" w:cs="Times New Roman"/>
          <w:i/>
        </w:rPr>
        <w:t xml:space="preserve"> clear number</w:t>
      </w:r>
      <w:r w:rsidR="005B04C9">
        <w:rPr>
          <w:rFonts w:ascii="Calibri" w:eastAsia="Times New Roman" w:hAnsi="Calibri" w:cs="Times New Roman"/>
          <w:i/>
        </w:rPr>
        <w:t xml:space="preserve"> 1 in the </w:t>
      </w:r>
      <w:r w:rsidR="00D037DB">
        <w:rPr>
          <w:rFonts w:ascii="Calibri" w:eastAsia="Times New Roman" w:hAnsi="Calibri" w:cs="Times New Roman"/>
          <w:i/>
        </w:rPr>
        <w:t xml:space="preserve">fast-growing, </w:t>
      </w:r>
      <w:r w:rsidR="005B04C9">
        <w:rPr>
          <w:rFonts w:ascii="Calibri" w:eastAsia="Times New Roman" w:hAnsi="Calibri" w:cs="Times New Roman"/>
          <w:i/>
        </w:rPr>
        <w:t>regulated</w:t>
      </w:r>
      <w:r w:rsidR="00D037DB">
        <w:rPr>
          <w:rFonts w:ascii="Calibri" w:eastAsia="Times New Roman" w:hAnsi="Calibri" w:cs="Times New Roman"/>
          <w:i/>
        </w:rPr>
        <w:t xml:space="preserve"> online</w:t>
      </w:r>
      <w:r w:rsidR="005B04C9">
        <w:rPr>
          <w:rFonts w:ascii="Calibri" w:eastAsia="Times New Roman" w:hAnsi="Calibri" w:cs="Times New Roman"/>
          <w:i/>
        </w:rPr>
        <w:t xml:space="preserve"> Georgian market</w:t>
      </w:r>
      <w:r w:rsidR="00D037DB">
        <w:rPr>
          <w:rFonts w:ascii="Calibri" w:eastAsia="Times New Roman" w:hAnsi="Calibri" w:cs="Times New Roman"/>
          <w:i/>
        </w:rPr>
        <w:t>.</w:t>
      </w:r>
      <w:r w:rsidR="00E25D87">
        <w:rPr>
          <w:rFonts w:ascii="Calibri" w:eastAsia="Times New Roman" w:hAnsi="Calibri" w:cs="Times New Roman"/>
          <w:i/>
        </w:rPr>
        <w:t xml:space="preserve"> </w:t>
      </w:r>
      <w:r w:rsidR="00D037DB">
        <w:rPr>
          <w:rFonts w:ascii="Calibri" w:eastAsia="Times New Roman" w:hAnsi="Calibri" w:cs="Times New Roman"/>
          <w:i/>
        </w:rPr>
        <w:t xml:space="preserve">Together with our Group’s technology and sports capabilities, </w:t>
      </w:r>
      <w:r w:rsidR="00EE0F0D">
        <w:rPr>
          <w:rFonts w:ascii="Calibri" w:eastAsia="Times New Roman" w:hAnsi="Calibri" w:cs="Times New Roman"/>
          <w:i/>
        </w:rPr>
        <w:t xml:space="preserve">we are confident that </w:t>
      </w:r>
      <w:proofErr w:type="spellStart"/>
      <w:r w:rsidR="00D037DB">
        <w:rPr>
          <w:rFonts w:ascii="Calibri" w:eastAsia="Times New Roman" w:hAnsi="Calibri" w:cs="Times New Roman"/>
          <w:i/>
        </w:rPr>
        <w:t>Adjarabet</w:t>
      </w:r>
      <w:proofErr w:type="spellEnd"/>
      <w:r w:rsidR="00D037DB">
        <w:rPr>
          <w:rFonts w:ascii="Calibri" w:eastAsia="Times New Roman" w:hAnsi="Calibri" w:cs="Times New Roman"/>
          <w:i/>
        </w:rPr>
        <w:t xml:space="preserve"> </w:t>
      </w:r>
      <w:r w:rsidR="00EE0F0D">
        <w:rPr>
          <w:rFonts w:ascii="Calibri" w:eastAsia="Times New Roman" w:hAnsi="Calibri" w:cs="Times New Roman"/>
          <w:i/>
        </w:rPr>
        <w:t xml:space="preserve">will be </w:t>
      </w:r>
      <w:r w:rsidR="00E25D87">
        <w:rPr>
          <w:rFonts w:ascii="Calibri" w:eastAsia="Times New Roman" w:hAnsi="Calibri" w:cs="Times New Roman"/>
          <w:i/>
        </w:rPr>
        <w:t>strongly positioned to continue to build on this success”</w:t>
      </w:r>
      <w:r>
        <w:rPr>
          <w:rFonts w:ascii="Calibri" w:eastAsia="Times New Roman" w:hAnsi="Calibri" w:cs="Times New Roman"/>
          <w:i/>
        </w:rPr>
        <w:t>.</w:t>
      </w:r>
    </w:p>
    <w:p w14:paraId="2E7B939B" w14:textId="12409A17" w:rsidR="00923062" w:rsidRDefault="00923062" w:rsidP="009D34F1">
      <w:pPr>
        <w:widowControl/>
        <w:spacing w:after="160"/>
        <w:ind w:left="142"/>
        <w:jc w:val="both"/>
        <w:rPr>
          <w:rFonts w:ascii="Calibri" w:eastAsia="Times New Roman" w:hAnsi="Calibri" w:cs="Times New Roman"/>
          <w:i/>
        </w:rPr>
      </w:pPr>
    </w:p>
    <w:p w14:paraId="28CB8DBA" w14:textId="3D41BE2E" w:rsidR="009D34F1" w:rsidRPr="00DB5C14" w:rsidRDefault="00BF1684" w:rsidP="005F640E">
      <w:pPr>
        <w:spacing w:before="6" w:after="80" w:line="220" w:lineRule="exact"/>
        <w:ind w:left="284" w:hanging="142"/>
        <w:rPr>
          <w:sz w:val="18"/>
          <w:szCs w:val="18"/>
        </w:rPr>
      </w:pPr>
      <w:r w:rsidRPr="00DB5C14">
        <w:rPr>
          <w:sz w:val="18"/>
          <w:szCs w:val="18"/>
        </w:rPr>
        <w:t>Notes:</w:t>
      </w:r>
    </w:p>
    <w:p w14:paraId="6CE4E716" w14:textId="4FB9D6AC" w:rsidR="009D34F1" w:rsidRDefault="009D34F1" w:rsidP="005F640E">
      <w:pPr>
        <w:pStyle w:val="BodyText"/>
        <w:spacing w:after="40"/>
        <w:ind w:left="102" w:right="113"/>
        <w:jc w:val="both"/>
        <w:rPr>
          <w:sz w:val="18"/>
          <w:szCs w:val="18"/>
        </w:rPr>
      </w:pPr>
      <w:r w:rsidRPr="009F6CFB">
        <w:rPr>
          <w:sz w:val="18"/>
          <w:szCs w:val="18"/>
          <w:vertAlign w:val="superscript"/>
        </w:rPr>
        <w:t xml:space="preserve">1 </w:t>
      </w:r>
      <w:proofErr w:type="spellStart"/>
      <w:r w:rsidR="00FE62A9">
        <w:rPr>
          <w:sz w:val="18"/>
          <w:szCs w:val="18"/>
        </w:rPr>
        <w:t>Adjarabet</w:t>
      </w:r>
      <w:proofErr w:type="spellEnd"/>
      <w:r w:rsidR="00FE62A9">
        <w:rPr>
          <w:sz w:val="18"/>
          <w:szCs w:val="18"/>
        </w:rPr>
        <w:t xml:space="preserve"> is the operating brand of Atlas LLC</w:t>
      </w:r>
      <w:r w:rsidR="00B624BD">
        <w:rPr>
          <w:sz w:val="18"/>
          <w:szCs w:val="18"/>
        </w:rPr>
        <w:t xml:space="preserve">. </w:t>
      </w:r>
      <w:r w:rsidR="00B624BD" w:rsidRPr="00B624BD">
        <w:rPr>
          <w:sz w:val="18"/>
          <w:szCs w:val="18"/>
        </w:rPr>
        <w:t>The business is being acquired from City Loft LLC</w:t>
      </w:r>
      <w:r w:rsidR="00DB5C14">
        <w:rPr>
          <w:sz w:val="18"/>
          <w:szCs w:val="18"/>
        </w:rPr>
        <w:t>, a Georgian investment vehicle</w:t>
      </w:r>
      <w:r w:rsidR="00B624BD" w:rsidRPr="00B624BD">
        <w:rPr>
          <w:sz w:val="18"/>
          <w:szCs w:val="18"/>
        </w:rPr>
        <w:t xml:space="preserve"> </w:t>
      </w:r>
      <w:r w:rsidR="00FE62A9">
        <w:rPr>
          <w:sz w:val="18"/>
          <w:szCs w:val="18"/>
        </w:rPr>
        <w:t xml:space="preserve"> </w:t>
      </w:r>
    </w:p>
    <w:p w14:paraId="19D3B559" w14:textId="297C22B7" w:rsidR="00AA1FAE" w:rsidRDefault="00AA1FAE" w:rsidP="005F640E">
      <w:pPr>
        <w:pStyle w:val="BodyText"/>
        <w:spacing w:after="40"/>
        <w:ind w:left="102" w:right="113"/>
        <w:jc w:val="both"/>
        <w:rPr>
          <w:sz w:val="18"/>
          <w:szCs w:val="18"/>
        </w:rPr>
      </w:pPr>
      <w:r w:rsidRPr="00FE62A9">
        <w:rPr>
          <w:sz w:val="18"/>
          <w:szCs w:val="18"/>
          <w:vertAlign w:val="superscript"/>
        </w:rPr>
        <w:t>2</w:t>
      </w:r>
      <w:r w:rsidRPr="00FE62A9">
        <w:rPr>
          <w:sz w:val="18"/>
          <w:szCs w:val="18"/>
        </w:rPr>
        <w:t xml:space="preserve"> </w:t>
      </w:r>
      <w:r w:rsidR="00080435" w:rsidRPr="00FE62A9">
        <w:rPr>
          <w:sz w:val="18"/>
          <w:szCs w:val="18"/>
        </w:rPr>
        <w:t>Based on market</w:t>
      </w:r>
      <w:r w:rsidR="00FE62A9" w:rsidRPr="00FE62A9">
        <w:rPr>
          <w:sz w:val="18"/>
          <w:szCs w:val="18"/>
        </w:rPr>
        <w:t xml:space="preserve"> customer</w:t>
      </w:r>
      <w:r w:rsidR="00080435" w:rsidRPr="00FE62A9">
        <w:rPr>
          <w:sz w:val="18"/>
          <w:szCs w:val="18"/>
        </w:rPr>
        <w:t xml:space="preserve"> </w:t>
      </w:r>
      <w:r w:rsidR="00FE62A9">
        <w:rPr>
          <w:sz w:val="18"/>
          <w:szCs w:val="18"/>
        </w:rPr>
        <w:t xml:space="preserve">deposit </w:t>
      </w:r>
      <w:r w:rsidR="00080435" w:rsidRPr="00FE62A9">
        <w:rPr>
          <w:sz w:val="18"/>
          <w:szCs w:val="18"/>
        </w:rPr>
        <w:t>data</w:t>
      </w:r>
      <w:r w:rsidR="00785B40">
        <w:rPr>
          <w:sz w:val="18"/>
          <w:szCs w:val="18"/>
        </w:rPr>
        <w:t xml:space="preserve"> </w:t>
      </w:r>
    </w:p>
    <w:p w14:paraId="19482C1E" w14:textId="49981FAC" w:rsidR="00856CF3" w:rsidRDefault="00856CF3" w:rsidP="005F640E">
      <w:pPr>
        <w:pStyle w:val="BodyText"/>
        <w:spacing w:after="40"/>
        <w:ind w:left="102" w:right="113"/>
        <w:jc w:val="both"/>
      </w:pPr>
      <w:r w:rsidRPr="00130CC2"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Internal </w:t>
      </w:r>
      <w:r w:rsidR="00DB5C14">
        <w:rPr>
          <w:sz w:val="18"/>
          <w:szCs w:val="18"/>
        </w:rPr>
        <w:t>market</w:t>
      </w:r>
      <w:r>
        <w:rPr>
          <w:sz w:val="18"/>
          <w:szCs w:val="18"/>
        </w:rPr>
        <w:t xml:space="preserve"> research</w:t>
      </w:r>
    </w:p>
    <w:p w14:paraId="1ACC03E1" w14:textId="50D4775D" w:rsidR="00FE62A9" w:rsidRDefault="00856CF3" w:rsidP="005F640E">
      <w:pPr>
        <w:pStyle w:val="BodyText"/>
        <w:spacing w:after="40"/>
        <w:ind w:left="102" w:right="113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130CC2">
        <w:rPr>
          <w:sz w:val="18"/>
          <w:szCs w:val="18"/>
        </w:rPr>
        <w:t xml:space="preserve"> </w:t>
      </w:r>
      <w:r w:rsidR="00DB5C14">
        <w:rPr>
          <w:sz w:val="18"/>
          <w:szCs w:val="18"/>
        </w:rPr>
        <w:t>Internal management estimates</w:t>
      </w:r>
    </w:p>
    <w:p w14:paraId="37B8ACFC" w14:textId="4A2FBF51" w:rsidR="00FE62A9" w:rsidRDefault="00FE62A9" w:rsidP="00FE62A9">
      <w:pPr>
        <w:pStyle w:val="BodyText"/>
        <w:spacing w:after="80"/>
        <w:ind w:left="102" w:right="113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Pr="00FE62A9">
        <w:rPr>
          <w:sz w:val="18"/>
          <w:szCs w:val="18"/>
        </w:rPr>
        <w:t xml:space="preserve"> </w:t>
      </w:r>
      <w:r w:rsidR="00DB5C14" w:rsidRPr="00DB5C14">
        <w:rPr>
          <w:sz w:val="18"/>
          <w:szCs w:val="18"/>
        </w:rPr>
        <w:t xml:space="preserve">In the year ended 31 December 2017, </w:t>
      </w:r>
      <w:proofErr w:type="spellStart"/>
      <w:r w:rsidR="00DB5C14" w:rsidRPr="00DB5C14">
        <w:rPr>
          <w:sz w:val="18"/>
          <w:szCs w:val="18"/>
        </w:rPr>
        <w:t>Adjarabet</w:t>
      </w:r>
      <w:proofErr w:type="spellEnd"/>
      <w:r w:rsidR="00DB5C14" w:rsidRPr="00DB5C14">
        <w:rPr>
          <w:sz w:val="18"/>
          <w:szCs w:val="18"/>
        </w:rPr>
        <w:t xml:space="preserve"> had revenues of GEL157m (£49m), profit before tax of GEL40m (£12m) and gross assets of GEL44m (£13m)</w:t>
      </w:r>
      <w:r w:rsidR="00F939D3">
        <w:rPr>
          <w:sz w:val="18"/>
          <w:szCs w:val="18"/>
        </w:rPr>
        <w:t xml:space="preserve"> at 31 December 2017</w:t>
      </w:r>
      <w:bookmarkStart w:id="0" w:name="_GoBack"/>
      <w:bookmarkEnd w:id="0"/>
    </w:p>
    <w:p w14:paraId="0383740F" w14:textId="77777777" w:rsidR="00DB5C14" w:rsidRDefault="00DB5C14" w:rsidP="00DB5C14">
      <w:pPr>
        <w:ind w:left="142"/>
        <w:jc w:val="both"/>
        <w:rPr>
          <w:spacing w:val="-2"/>
        </w:rPr>
      </w:pPr>
      <w:r w:rsidRPr="009D34F1">
        <w:rPr>
          <w:spacing w:val="-2"/>
        </w:rPr>
        <w:lastRenderedPageBreak/>
        <w:t>Contacts:</w:t>
      </w:r>
    </w:p>
    <w:tbl>
      <w:tblPr>
        <w:tblW w:w="8789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4598"/>
      </w:tblGrid>
      <w:tr w:rsidR="00DB5C14" w14:paraId="1EC2DAE2" w14:textId="77777777" w:rsidTr="00036C00">
        <w:trPr>
          <w:trHeight w:hRule="exact" w:val="279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65081D24" w14:textId="77777777" w:rsidR="00DB5C14" w:rsidRDefault="00DB5C14" w:rsidP="00036C00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Ivan Kelly,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0352E90A" w14:textId="77777777" w:rsidR="00DB5C14" w:rsidRDefault="00DB5C14" w:rsidP="00036C00">
            <w:pPr>
              <w:pStyle w:val="TableParagraph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+ 353</w:t>
            </w:r>
            <w:r>
              <w:rPr>
                <w:rFonts w:ascii="Calibri" w:eastAsia="Calibri" w:hAnsi="Calibri" w:cs="Calibri"/>
                <w:spacing w:val="-2"/>
              </w:rPr>
              <w:t xml:space="preserve"> 87 7944 99</w:t>
            </w:r>
            <w:r>
              <w:rPr>
                <w:rFonts w:ascii="Calibri" w:eastAsia="Calibri" w:hAnsi="Calibri" w:cs="Calibri"/>
              </w:rPr>
              <w:t>9 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</w:rPr>
              <w:t>53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1262</w:t>
            </w:r>
          </w:p>
        </w:tc>
      </w:tr>
      <w:tr w:rsidR="00DB5C14" w14:paraId="155F63F3" w14:textId="77777777" w:rsidTr="00036C00">
        <w:trPr>
          <w:trHeight w:hRule="exact" w:val="279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3453D710" w14:textId="77777777" w:rsidR="00DB5C14" w:rsidRDefault="00DB5C14" w:rsidP="00036C00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David Jennings, Investor Relations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0F6E4BD2" w14:textId="77777777" w:rsidR="00DB5C14" w:rsidRDefault="00DB5C14" w:rsidP="00036C00">
            <w:pPr>
              <w:pStyle w:val="TableParagraph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+ 353 87 951 3560 / + 353 1 905 0953</w:t>
            </w:r>
          </w:p>
        </w:tc>
      </w:tr>
      <w:tr w:rsidR="00DB5C14" w14:paraId="3682C623" w14:textId="77777777" w:rsidTr="00036C00">
        <w:trPr>
          <w:trHeight w:hRule="exact" w:val="284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078A1EA6" w14:textId="77777777" w:rsidR="00DB5C14" w:rsidRDefault="00DB5C14" w:rsidP="00036C00">
            <w:pPr>
              <w:pStyle w:val="TableParagraph"/>
              <w:spacing w:line="249" w:lineRule="exact"/>
              <w:ind w:left="230" w:right="-5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ames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mer,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8C670B7" w14:textId="77777777" w:rsidR="00DB5C14" w:rsidRDefault="00DB5C14" w:rsidP="00036C00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34</w:t>
            </w:r>
            <w:r>
              <w:rPr>
                <w:rFonts w:ascii="Calibri" w:eastAsia="Calibri" w:hAnsi="Calibri" w:cs="Calibri"/>
                <w:spacing w:val="-2"/>
              </w:rPr>
              <w:t xml:space="preserve"> 6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 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</w:rPr>
              <w:t>53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03</w:t>
            </w:r>
            <w:r>
              <w:rPr>
                <w:rFonts w:ascii="Calibri" w:eastAsia="Calibri" w:hAnsi="Calibri" w:cs="Calibri"/>
                <w:spacing w:val="-2"/>
              </w:rPr>
              <w:t xml:space="preserve"> 9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06</w:t>
            </w:r>
          </w:p>
          <w:p w14:paraId="4FDEEEFA" w14:textId="77777777" w:rsidR="00DB5C14" w:rsidRDefault="00DB5C14" w:rsidP="00036C00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</w:rPr>
            </w:pPr>
          </w:p>
        </w:tc>
      </w:tr>
      <w:tr w:rsidR="00DB5C14" w14:paraId="2423F37C" w14:textId="77777777" w:rsidTr="00036C00">
        <w:trPr>
          <w:trHeight w:hRule="exact" w:val="692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51F7F3F9" w14:textId="77777777" w:rsidR="00DB5C14" w:rsidRDefault="00DB5C14" w:rsidP="00036C00">
            <w:pPr>
              <w:pStyle w:val="TableParagraph"/>
              <w:spacing w:line="249" w:lineRule="exact"/>
              <w:ind w:left="230" w:right="-57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James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Murgatroyd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, Finsbury 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30576755" w14:textId="77777777" w:rsidR="00DB5C14" w:rsidRDefault="00DB5C14" w:rsidP="00036C00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+ 44 20 7251 3801</w:t>
            </w:r>
          </w:p>
        </w:tc>
      </w:tr>
    </w:tbl>
    <w:p w14:paraId="1B6EC4E0" w14:textId="77777777" w:rsidR="00DB5C14" w:rsidRDefault="00DB5C14" w:rsidP="00FE62A9">
      <w:pPr>
        <w:pStyle w:val="BodyText"/>
        <w:spacing w:after="80"/>
        <w:ind w:left="102" w:right="113"/>
        <w:jc w:val="both"/>
      </w:pPr>
    </w:p>
    <w:sectPr w:rsidR="00DB5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32D5E"/>
    <w:multiLevelType w:val="hybridMultilevel"/>
    <w:tmpl w:val="30023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F1"/>
    <w:rsid w:val="0003619A"/>
    <w:rsid w:val="00045927"/>
    <w:rsid w:val="000542B8"/>
    <w:rsid w:val="00080435"/>
    <w:rsid w:val="00090E24"/>
    <w:rsid w:val="00130CC2"/>
    <w:rsid w:val="00145AED"/>
    <w:rsid w:val="00170ECC"/>
    <w:rsid w:val="00195C09"/>
    <w:rsid w:val="001D6C9E"/>
    <w:rsid w:val="002459D1"/>
    <w:rsid w:val="00254148"/>
    <w:rsid w:val="002B516E"/>
    <w:rsid w:val="002F51A2"/>
    <w:rsid w:val="00363201"/>
    <w:rsid w:val="00387DB3"/>
    <w:rsid w:val="00463947"/>
    <w:rsid w:val="004709DC"/>
    <w:rsid w:val="004825AE"/>
    <w:rsid w:val="00493D91"/>
    <w:rsid w:val="004A270B"/>
    <w:rsid w:val="004B05B1"/>
    <w:rsid w:val="004F1BD9"/>
    <w:rsid w:val="00526CA0"/>
    <w:rsid w:val="005A406E"/>
    <w:rsid w:val="005B04C9"/>
    <w:rsid w:val="005B322F"/>
    <w:rsid w:val="005B7BD0"/>
    <w:rsid w:val="005C0B67"/>
    <w:rsid w:val="005F640E"/>
    <w:rsid w:val="00640937"/>
    <w:rsid w:val="0064615F"/>
    <w:rsid w:val="006A1862"/>
    <w:rsid w:val="006E4E07"/>
    <w:rsid w:val="00785B40"/>
    <w:rsid w:val="00797F6A"/>
    <w:rsid w:val="008038D6"/>
    <w:rsid w:val="008266DA"/>
    <w:rsid w:val="00843218"/>
    <w:rsid w:val="00856CF3"/>
    <w:rsid w:val="008640EA"/>
    <w:rsid w:val="008866AD"/>
    <w:rsid w:val="008A072E"/>
    <w:rsid w:val="008F3CA3"/>
    <w:rsid w:val="00923062"/>
    <w:rsid w:val="00952871"/>
    <w:rsid w:val="009A6126"/>
    <w:rsid w:val="009B1D13"/>
    <w:rsid w:val="009B3113"/>
    <w:rsid w:val="009C44F5"/>
    <w:rsid w:val="009D34F1"/>
    <w:rsid w:val="00A00567"/>
    <w:rsid w:val="00A50425"/>
    <w:rsid w:val="00AA1FAE"/>
    <w:rsid w:val="00AB086C"/>
    <w:rsid w:val="00AC4804"/>
    <w:rsid w:val="00AD0084"/>
    <w:rsid w:val="00B21E1D"/>
    <w:rsid w:val="00B434DE"/>
    <w:rsid w:val="00B624BD"/>
    <w:rsid w:val="00B81211"/>
    <w:rsid w:val="00B843F8"/>
    <w:rsid w:val="00B92F75"/>
    <w:rsid w:val="00BA5C9E"/>
    <w:rsid w:val="00BB3D89"/>
    <w:rsid w:val="00BD7C1B"/>
    <w:rsid w:val="00BF1684"/>
    <w:rsid w:val="00C43BE0"/>
    <w:rsid w:val="00C70D07"/>
    <w:rsid w:val="00C81285"/>
    <w:rsid w:val="00CD5419"/>
    <w:rsid w:val="00CD6D7E"/>
    <w:rsid w:val="00D037DB"/>
    <w:rsid w:val="00D07D94"/>
    <w:rsid w:val="00D260DD"/>
    <w:rsid w:val="00D34F8D"/>
    <w:rsid w:val="00DB0C95"/>
    <w:rsid w:val="00DB5C14"/>
    <w:rsid w:val="00DD196F"/>
    <w:rsid w:val="00DE56A1"/>
    <w:rsid w:val="00DF0FD7"/>
    <w:rsid w:val="00E25D87"/>
    <w:rsid w:val="00E8327A"/>
    <w:rsid w:val="00EE0F0D"/>
    <w:rsid w:val="00F2391E"/>
    <w:rsid w:val="00F265CE"/>
    <w:rsid w:val="00F82005"/>
    <w:rsid w:val="00F939D3"/>
    <w:rsid w:val="00FC5787"/>
    <w:rsid w:val="00FD4C84"/>
    <w:rsid w:val="00FE62A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D36D"/>
  <w15:chartTrackingRefBased/>
  <w15:docId w15:val="{4078EDE0-F8A6-4227-B269-C668871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D34F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D34F1"/>
    <w:pPr>
      <w:ind w:left="10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D34F1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D34F1"/>
    <w:pPr>
      <w:ind w:left="101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D34F1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9D34F1"/>
  </w:style>
  <w:style w:type="character" w:styleId="Hyperlink">
    <w:name w:val="Hyperlink"/>
    <w:basedOn w:val="DefaultParagraphFont"/>
    <w:uiPriority w:val="99"/>
    <w:unhideWhenUsed/>
    <w:rsid w:val="009D34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C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0C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2019-02-01T10:54:06+00:00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4605EE1-75C7-4D90-8183-BCE3E6EB2C17}"/>
</file>

<file path=customXml/itemProps2.xml><?xml version="1.0" encoding="utf-8"?>
<ds:datastoreItem xmlns:ds="http://schemas.openxmlformats.org/officeDocument/2006/customXml" ds:itemID="{25C37E47-EEFD-49F7-A6FD-255533608447}"/>
</file>

<file path=customXml/itemProps3.xml><?xml version="1.0" encoding="utf-8"?>
<ds:datastoreItem xmlns:ds="http://schemas.openxmlformats.org/officeDocument/2006/customXml" ds:itemID="{87581104-A23E-43FE-A487-E6B56DA99C8B}"/>
</file>

<file path=customXml/itemProps4.xml><?xml version="1.0" encoding="utf-8"?>
<ds:datastoreItem xmlns:ds="http://schemas.openxmlformats.org/officeDocument/2006/customXml" ds:itemID="{5C310B23-229B-4878-8808-F5850202E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Rushton</dc:creator>
  <cp:keywords/>
  <dc:description/>
  <cp:lastModifiedBy>Pritti Patel</cp:lastModifiedBy>
  <cp:revision>2</cp:revision>
  <dcterms:created xsi:type="dcterms:W3CDTF">2019-01-31T17:53:00Z</dcterms:created>
  <dcterms:modified xsi:type="dcterms:W3CDTF">2019-01-31T17:53:00Z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