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1A" w:rsidRPr="00035AE3" w:rsidRDefault="00A570EA" w:rsidP="00B00F1A">
      <w:pPr>
        <w:jc w:val="right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11 March 2019</w:t>
      </w:r>
    </w:p>
    <w:p w:rsidR="00850921" w:rsidRDefault="00850921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Paddy Power Betfair plc (the “Company”)</w:t>
      </w:r>
    </w:p>
    <w:p w:rsidR="00850921" w:rsidRDefault="00850921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Director/PDMR Shareholding</w:t>
      </w:r>
    </w:p>
    <w:p w:rsidR="00CF528A" w:rsidRDefault="005D2580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035AE3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Notification and public disclosure of transactions by persons discharging managerial responsibilities and persons closely associated with them</w:t>
      </w:r>
    </w:p>
    <w:p w:rsidR="001D110E" w:rsidRDefault="001D110E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2582"/>
        <w:gridCol w:w="3887"/>
      </w:tblGrid>
      <w:tr w:rsidR="001D110E" w:rsidRPr="00035AE3" w:rsidTr="00486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:rsidR="001D110E" w:rsidRPr="00035AE3" w:rsidRDefault="001D110E" w:rsidP="00B81720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1D110E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1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035AE3" w:rsidRDefault="007A3576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Peter Jackson</w:t>
            </w:r>
          </w:p>
        </w:tc>
      </w:tr>
      <w:tr w:rsidR="001D110E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1D110E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1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562104" w:rsidRDefault="00B00F1A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Chief Executive Officer</w:t>
            </w:r>
          </w:p>
        </w:tc>
      </w:tr>
      <w:tr w:rsidR="001D110E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1" w:type="pct"/>
            <w:gridSpan w:val="2"/>
          </w:tcPr>
          <w:p w:rsidR="001D110E" w:rsidRPr="00562104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1D110E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1D110E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1" w:type="pct"/>
            <w:gridSpan w:val="2"/>
          </w:tcPr>
          <w:p w:rsidR="001D110E" w:rsidRPr="00035AE3" w:rsidRDefault="001D110E" w:rsidP="00136A9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</w:t>
            </w:r>
            <w:r w:rsidR="00136A9F"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1D110E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1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035AE3" w:rsidRDefault="00B00F1A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1D110E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D110E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1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00F1A" w:rsidRDefault="006343ED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:rsidR="006343ED" w:rsidRDefault="006343ED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1D110E" w:rsidRPr="00035AE3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1D110E" w:rsidRPr="00035AE3" w:rsidTr="00486CEC">
        <w:tc>
          <w:tcPr>
            <w:tcW w:w="301" w:type="pct"/>
          </w:tcPr>
          <w:p w:rsidR="001D110E" w:rsidRPr="00035AE3" w:rsidRDefault="001D110E" w:rsidP="00B81720">
            <w:pPr>
              <w:pStyle w:val="BodyText"/>
              <w:keepNext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</w:tcPr>
          <w:p w:rsidR="001D110E" w:rsidRPr="00035AE3" w:rsidRDefault="001D110E" w:rsidP="00B81720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1" w:type="pct"/>
            <w:gridSpan w:val="2"/>
          </w:tcPr>
          <w:p w:rsidR="007A3576" w:rsidRDefault="00B00F1A" w:rsidP="00D922BD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Grant of</w:t>
            </w:r>
            <w:r w:rsidR="00AB286D">
              <w:rPr>
                <w:rFonts w:ascii="Tahoma" w:hAnsi="Tahoma" w:cs="Tahoma"/>
                <w:color w:val="auto"/>
                <w:sz w:val="20"/>
                <w:szCs w:val="20"/>
              </w:rPr>
              <w:t xml:space="preserve"> nil </w:t>
            </w:r>
            <w:r w:rsidR="00D922BD">
              <w:rPr>
                <w:rFonts w:ascii="Tahoma" w:hAnsi="Tahoma" w:cs="Tahoma"/>
                <w:color w:val="auto"/>
                <w:sz w:val="20"/>
                <w:szCs w:val="20"/>
              </w:rPr>
              <w:t>value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AB286D">
              <w:rPr>
                <w:rFonts w:ascii="Tahoma" w:hAnsi="Tahoma" w:cs="Tahoma"/>
                <w:color w:val="auto"/>
                <w:sz w:val="20"/>
                <w:szCs w:val="20"/>
              </w:rPr>
              <w:t xml:space="preserve">share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options </w:t>
            </w:r>
            <w:r w:rsidR="006343ED">
              <w:rPr>
                <w:rFonts w:ascii="Tahoma" w:hAnsi="Tahoma" w:cs="Tahoma"/>
                <w:color w:val="auto"/>
                <w:sz w:val="20"/>
                <w:szCs w:val="20"/>
              </w:rPr>
              <w:t xml:space="preserve">over Paddy Power Betfair plc ordinary shares of EUR0.09 each </w:t>
            </w:r>
            <w:r w:rsidR="007A3576">
              <w:rPr>
                <w:rFonts w:ascii="Tahoma" w:hAnsi="Tahoma" w:cs="Tahoma"/>
                <w:color w:val="auto"/>
                <w:sz w:val="20"/>
                <w:szCs w:val="20"/>
              </w:rPr>
              <w:t xml:space="preserve">under the </w:t>
            </w:r>
            <w:r w:rsidR="00AB286D">
              <w:rPr>
                <w:rFonts w:ascii="Tahoma" w:hAnsi="Tahoma" w:cs="Tahoma"/>
                <w:color w:val="auto"/>
                <w:sz w:val="20"/>
                <w:szCs w:val="20"/>
              </w:rPr>
              <w:t xml:space="preserve">Paddy Power Betfair plc 2015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Long Term Incentive Plan (“LTIP”); and </w:t>
            </w:r>
          </w:p>
          <w:p w:rsidR="001D110E" w:rsidRPr="00035AE3" w:rsidRDefault="00A570EA" w:rsidP="00D922BD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Grant of nil value share options over Paddy Power Betfair plc ordinary shares of EUR0.09 each under the Paddy Power Betfair plc 2015 </w:t>
            </w:r>
            <w:r w:rsidRPr="001D30FF">
              <w:rPr>
                <w:rFonts w:ascii="Tahoma" w:hAnsi="Tahoma" w:cs="Tahoma"/>
                <w:color w:val="auto"/>
                <w:sz w:val="20"/>
                <w:szCs w:val="20"/>
              </w:rPr>
              <w:t>Deferred Share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Incentive Plan (“DSIP”)</w:t>
            </w:r>
            <w:r w:rsidR="007F5134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1D110E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1169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1D110E" w:rsidRPr="00035AE3" w:rsidRDefault="001D110E" w:rsidP="00B8172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1409" w:type="pct"/>
            <w:tcBorders>
              <w:top w:val="none" w:sz="0" w:space="0" w:color="auto"/>
              <w:bottom w:val="none" w:sz="0" w:space="0" w:color="auto"/>
            </w:tcBorders>
          </w:tcPr>
          <w:p w:rsidR="001D110E" w:rsidRPr="00D74569" w:rsidRDefault="001D110E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212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1D110E" w:rsidRPr="00D74569" w:rsidRDefault="001D110E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1D110E" w:rsidRPr="00035AE3" w:rsidTr="00486CEC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</w:tcPr>
          <w:p w:rsidR="001D110E" w:rsidRPr="00035AE3" w:rsidRDefault="001D110E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</w:tcPr>
          <w:p w:rsidR="001D110E" w:rsidRPr="00035AE3" w:rsidRDefault="001D110E" w:rsidP="00B81720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409" w:type="pct"/>
          </w:tcPr>
          <w:p w:rsidR="00AB286D" w:rsidRPr="009E68FA" w:rsidRDefault="00AB286D" w:rsidP="009805C0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286D"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 w:rsidR="009805C0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2122" w:type="pct"/>
          </w:tcPr>
          <w:p w:rsidR="001D110E" w:rsidRPr="009E68FA" w:rsidRDefault="00A570EA" w:rsidP="00AB286D">
            <w:pPr>
              <w:pStyle w:val="BodyText"/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37,983</w:t>
            </w:r>
            <w:r w:rsidR="00AB286D" w:rsidRPr="00AB286D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1D110E" w:rsidRPr="009E68FA">
              <w:rPr>
                <w:rFonts w:ascii="Tahoma" w:hAnsi="Tahoma" w:cs="Tahoma"/>
                <w:color w:val="auto"/>
                <w:sz w:val="20"/>
                <w:szCs w:val="20"/>
              </w:rPr>
              <w:t>(LTIP)</w:t>
            </w:r>
          </w:p>
        </w:tc>
      </w:tr>
      <w:tr w:rsidR="001D110E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</w:tcPr>
          <w:p w:rsidR="001D110E" w:rsidRPr="00035AE3" w:rsidRDefault="001D110E" w:rsidP="00B81720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none" w:sz="0" w:space="0" w:color="auto"/>
              <w:bottom w:val="single" w:sz="4" w:space="0" w:color="auto"/>
            </w:tcBorders>
          </w:tcPr>
          <w:p w:rsidR="001D110E" w:rsidRPr="00035AE3" w:rsidRDefault="001D110E" w:rsidP="00B8172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409" w:type="pct"/>
            <w:tcBorders>
              <w:top w:val="none" w:sz="0" w:space="0" w:color="auto"/>
              <w:bottom w:val="single" w:sz="4" w:space="0" w:color="auto"/>
            </w:tcBorders>
          </w:tcPr>
          <w:p w:rsidR="0073696B" w:rsidRPr="009E68FA" w:rsidRDefault="00AB286D" w:rsidP="009805C0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286D"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 w:rsidR="009805C0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2122" w:type="pct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:rsidR="001D110E" w:rsidRPr="009E68FA" w:rsidRDefault="00A570EA" w:rsidP="00AB286D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64D70">
              <w:rPr>
                <w:rFonts w:ascii="Tahoma" w:hAnsi="Tahoma" w:cs="Tahoma"/>
                <w:color w:val="auto"/>
                <w:sz w:val="20"/>
                <w:szCs w:val="20"/>
              </w:rPr>
              <w:t>3,545</w:t>
            </w:r>
            <w:r w:rsidR="00AB286D" w:rsidRPr="00464D70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1D110E" w:rsidRPr="00464D70"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r w:rsidRPr="00464D70">
              <w:rPr>
                <w:rFonts w:ascii="Tahoma" w:hAnsi="Tahoma" w:cs="Tahoma"/>
                <w:color w:val="auto"/>
                <w:sz w:val="20"/>
                <w:szCs w:val="20"/>
              </w:rPr>
              <w:t>DSIP</w:t>
            </w:r>
            <w:r w:rsidR="001D110E" w:rsidRPr="009E68F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1D110E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bottom w:val="single" w:sz="4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bottom w:val="single" w:sz="4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1" w:type="pct"/>
            <w:gridSpan w:val="2"/>
            <w:tcBorders>
              <w:bottom w:val="single" w:sz="4" w:space="0" w:color="auto"/>
            </w:tcBorders>
          </w:tcPr>
          <w:p w:rsidR="001D110E" w:rsidRPr="009E68FA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73696B" w:rsidRDefault="0073696B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1D110E" w:rsidRPr="009E68FA" w:rsidRDefault="00A570EA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41,528</w:t>
            </w:r>
            <w:r w:rsidR="001D110E">
              <w:rPr>
                <w:rFonts w:ascii="Tahoma" w:hAnsi="Tahoma" w:cs="Tahoma"/>
                <w:color w:val="auto"/>
                <w:sz w:val="20"/>
                <w:szCs w:val="20"/>
              </w:rPr>
              <w:t xml:space="preserve"> shares</w:t>
            </w:r>
          </w:p>
          <w:p w:rsidR="001D110E" w:rsidRPr="009E68FA" w:rsidRDefault="00AB286D" w:rsidP="009805C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B286D"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 w:rsidR="009805C0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</w:tr>
      <w:tr w:rsidR="001D110E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0E" w:rsidRPr="009E68FA" w:rsidRDefault="00A570E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2019-11</w:t>
            </w:r>
            <w:r w:rsidR="00B00F1A">
              <w:rPr>
                <w:rFonts w:ascii="Tahoma" w:hAnsi="Tahoma" w:cs="Tahoma"/>
                <w:color w:val="auto"/>
                <w:sz w:val="20"/>
                <w:szCs w:val="20"/>
              </w:rPr>
              <w:t>-03</w:t>
            </w:r>
          </w:p>
        </w:tc>
      </w:tr>
      <w:tr w:rsidR="001D110E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110E" w:rsidRPr="009E68FA" w:rsidRDefault="001B4D64" w:rsidP="00B8172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4D64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1D110E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110E" w:rsidRPr="00035AE3" w:rsidRDefault="001D110E" w:rsidP="00B81720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:rsidR="001D110E" w:rsidRPr="00035AE3" w:rsidRDefault="001D110E" w:rsidP="00B81720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E0" w:rsidRDefault="00D922BD" w:rsidP="00127DE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3696B">
              <w:rPr>
                <w:rFonts w:ascii="Tahoma" w:hAnsi="Tahoma" w:cs="Tahoma"/>
                <w:b/>
                <w:color w:val="auto"/>
                <w:sz w:val="20"/>
                <w:szCs w:val="20"/>
              </w:rPr>
              <w:t>LTIP</w:t>
            </w:r>
          </w:p>
          <w:p w:rsidR="0073696B" w:rsidRDefault="00EC2459" w:rsidP="00127DE0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This</w:t>
            </w:r>
            <w:r w:rsidR="0073696B">
              <w:rPr>
                <w:rFonts w:ascii="Tahoma" w:hAnsi="Tahoma" w:cs="Tahoma"/>
                <w:color w:val="auto"/>
                <w:sz w:val="20"/>
                <w:szCs w:val="20"/>
              </w:rPr>
              <w:t xml:space="preserve"> award will vest on the third anniversary of the date of the grant thereof, subject to meeting the performance conditions and continued employment. </w:t>
            </w:r>
          </w:p>
          <w:p w:rsidR="0073696B" w:rsidRDefault="0073696B" w:rsidP="0073696B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6343ED" w:rsidRPr="00D922BD" w:rsidRDefault="0073696B" w:rsidP="0073696B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Vested LTIP awards then normally remain exercisable until 7 years from grant.</w:t>
            </w:r>
          </w:p>
          <w:p w:rsidR="00D922BD" w:rsidRDefault="00D922BD" w:rsidP="0073696B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A570EA" w:rsidRPr="0073696B" w:rsidRDefault="00A570EA" w:rsidP="00A570EA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3696B">
              <w:rPr>
                <w:rFonts w:ascii="Tahoma" w:hAnsi="Tahoma" w:cs="Tahoma"/>
                <w:b/>
                <w:color w:val="auto"/>
                <w:sz w:val="20"/>
                <w:szCs w:val="20"/>
              </w:rPr>
              <w:t>DSIP</w:t>
            </w:r>
          </w:p>
          <w:p w:rsidR="00A570EA" w:rsidRDefault="00A570EA" w:rsidP="00A570EA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This award will normally vest 50% after 1 year and 50% after 2 years from the date of grant, subject to continued employment. </w:t>
            </w:r>
          </w:p>
          <w:p w:rsidR="00A570EA" w:rsidRDefault="00A570EA" w:rsidP="00A570EA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D74569" w:rsidRPr="009E68FA" w:rsidRDefault="00A570EA" w:rsidP="003F60E9">
            <w:pPr>
              <w:pStyle w:val="BodyText"/>
              <w:keepNext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Vested DSIP awards then normally remain exercisable until 7 years from grant.</w:t>
            </w:r>
          </w:p>
        </w:tc>
      </w:tr>
    </w:tbl>
    <w:p w:rsidR="001D110E" w:rsidRDefault="001D110E" w:rsidP="00EC18EE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</w:p>
    <w:p w:rsidR="00486CEC" w:rsidRDefault="00486CEC">
      <w:pPr>
        <w:spacing w:after="160" w:line="259" w:lineRule="auto"/>
        <w:rPr>
          <w:rFonts w:ascii="Tahoma" w:hAnsi="Tahoma" w:cs="Tahoma"/>
          <w:b/>
          <w:color w:val="auto"/>
          <w:sz w:val="20"/>
          <w:szCs w:val="20"/>
          <w:u w:val="single"/>
        </w:rPr>
      </w:pPr>
      <w:r>
        <w:rPr>
          <w:rFonts w:ascii="Tahoma" w:hAnsi="Tahoma" w:cs="Tahoma"/>
          <w:b/>
          <w:color w:val="auto"/>
          <w:sz w:val="20"/>
          <w:szCs w:val="20"/>
          <w:u w:val="single"/>
        </w:rPr>
        <w:br w:type="page"/>
      </w:r>
    </w:p>
    <w:p w:rsidR="00D922BD" w:rsidRDefault="00D922BD">
      <w:pPr>
        <w:spacing w:after="160" w:line="259" w:lineRule="auto"/>
        <w:rPr>
          <w:rFonts w:ascii="Tahoma" w:hAnsi="Tahoma" w:cs="Tahoma"/>
          <w:b/>
          <w:color w:val="auto"/>
          <w:sz w:val="20"/>
          <w:szCs w:val="20"/>
          <w:u w:val="single"/>
        </w:rPr>
      </w:pPr>
    </w:p>
    <w:tbl>
      <w:tblPr>
        <w:tblStyle w:val="LightList-Accent1"/>
        <w:tblW w:w="93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42"/>
        <w:gridCol w:w="3076"/>
        <w:gridCol w:w="3571"/>
      </w:tblGrid>
      <w:tr w:rsidR="00AE7738" w:rsidRPr="00035AE3" w:rsidTr="00486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auto"/>
          </w:tcPr>
          <w:p w:rsidR="00CF528A" w:rsidRPr="00035AE3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CF528A" w:rsidRPr="00035AE3" w:rsidRDefault="00CF528A" w:rsidP="001224A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AE7738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142" w:type="dxa"/>
            <w:tcBorders>
              <w:top w:val="none" w:sz="0" w:space="0" w:color="auto"/>
              <w:bottom w:val="none" w:sz="0" w:space="0" w:color="auto"/>
            </w:tcBorders>
          </w:tcPr>
          <w:p w:rsidR="00CF528A" w:rsidRPr="00035AE3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664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F528A" w:rsidRPr="00035AE3" w:rsidRDefault="00A570E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Jonathan Hill</w:t>
            </w:r>
            <w:r w:rsidR="009E68FA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  <w:tr w:rsidR="00AE7738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CF528A" w:rsidRPr="00035AE3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8789" w:type="dxa"/>
            <w:gridSpan w:val="3"/>
          </w:tcPr>
          <w:p w:rsidR="00CF528A" w:rsidRPr="00035AE3" w:rsidRDefault="00CF528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AE7738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142" w:type="dxa"/>
            <w:tcBorders>
              <w:top w:val="none" w:sz="0" w:space="0" w:color="auto"/>
              <w:bottom w:val="none" w:sz="0" w:space="0" w:color="auto"/>
            </w:tcBorders>
          </w:tcPr>
          <w:p w:rsidR="00CF528A" w:rsidRPr="00035AE3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664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F528A" w:rsidRPr="00562104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Chief Financial Officer</w:t>
            </w:r>
          </w:p>
        </w:tc>
      </w:tr>
      <w:tr w:rsidR="00AE7738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142" w:type="dxa"/>
          </w:tcPr>
          <w:p w:rsidR="00CF528A" w:rsidRPr="00035AE3" w:rsidRDefault="00CF528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6647" w:type="dxa"/>
            <w:gridSpan w:val="2"/>
          </w:tcPr>
          <w:p w:rsidR="00CF528A" w:rsidRPr="00562104" w:rsidRDefault="009E68F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AE7738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F528A" w:rsidRPr="00035AE3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8789" w:type="dxa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F528A" w:rsidRPr="00035AE3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AE7738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2142" w:type="dxa"/>
          </w:tcPr>
          <w:p w:rsidR="00CF528A" w:rsidRPr="00035AE3" w:rsidRDefault="00CF528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6647" w:type="dxa"/>
            <w:gridSpan w:val="2"/>
          </w:tcPr>
          <w:p w:rsidR="00CF528A" w:rsidRPr="00035AE3" w:rsidRDefault="00136A9F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</w:t>
            </w:r>
            <w:r w:rsidR="009E68FA"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AE7738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2142" w:type="dxa"/>
            <w:tcBorders>
              <w:top w:val="none" w:sz="0" w:space="0" w:color="auto"/>
              <w:bottom w:val="none" w:sz="0" w:space="0" w:color="auto"/>
            </w:tcBorders>
          </w:tcPr>
          <w:p w:rsidR="00CF528A" w:rsidRPr="00035AE3" w:rsidRDefault="00CF528A" w:rsidP="00A3718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664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F528A" w:rsidRPr="00035AE3" w:rsidRDefault="00B00F1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AE7738" w:rsidRPr="00035AE3" w:rsidTr="003F60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4" w:space="0" w:color="auto"/>
            </w:tcBorders>
          </w:tcPr>
          <w:p w:rsidR="00CF528A" w:rsidRPr="00035AE3" w:rsidRDefault="00CF528A" w:rsidP="001224A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8789" w:type="dxa"/>
            <w:gridSpan w:val="3"/>
            <w:tcBorders>
              <w:bottom w:val="single" w:sz="4" w:space="0" w:color="auto"/>
            </w:tcBorders>
          </w:tcPr>
          <w:p w:rsidR="00CF528A" w:rsidRPr="00035AE3" w:rsidRDefault="00CF528A" w:rsidP="001224A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AE7738" w:rsidRPr="00035AE3" w:rsidTr="00486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F528A" w:rsidRPr="00035AE3" w:rsidRDefault="00CF528A" w:rsidP="001224A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2142" w:type="dxa"/>
            <w:tcBorders>
              <w:top w:val="none" w:sz="0" w:space="0" w:color="auto"/>
              <w:bottom w:val="none" w:sz="0" w:space="0" w:color="auto"/>
            </w:tcBorders>
          </w:tcPr>
          <w:p w:rsidR="00CF528A" w:rsidRPr="00035AE3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:rsidR="00CF528A" w:rsidRPr="00035AE3" w:rsidRDefault="00CF528A" w:rsidP="001224A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664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73696B" w:rsidRDefault="0073696B" w:rsidP="0073696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Paddy Power Betfair 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  <w:p w:rsidR="00B00F1A" w:rsidRPr="00035AE3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B87CDB" w:rsidRPr="00035AE3" w:rsidRDefault="00B00F1A" w:rsidP="00B00F1A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B00F1A" w:rsidRPr="00035AE3" w:rsidTr="00486CEC">
        <w:tc>
          <w:tcPr>
            <w:tcW w:w="562" w:type="dxa"/>
            <w:tcBorders>
              <w:bottom w:val="single" w:sz="4" w:space="0" w:color="auto"/>
            </w:tcBorders>
          </w:tcPr>
          <w:p w:rsidR="00B00F1A" w:rsidRPr="00035AE3" w:rsidRDefault="00B00F1A" w:rsidP="00B00F1A">
            <w:pPr>
              <w:pStyle w:val="BodyText"/>
              <w:keepNext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:rsidR="00B00F1A" w:rsidRPr="00035AE3" w:rsidRDefault="00B00F1A" w:rsidP="00B00F1A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6647" w:type="dxa"/>
            <w:gridSpan w:val="2"/>
            <w:tcBorders>
              <w:bottom w:val="single" w:sz="4" w:space="0" w:color="auto"/>
            </w:tcBorders>
          </w:tcPr>
          <w:p w:rsidR="00A570EA" w:rsidRDefault="00A570EA" w:rsidP="00A570EA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Grant of nil value share options over Paddy Power Betfair plc ordinary shares of EUR0.09 each under the Paddy Power Betfair plc 2015 Lon</w:t>
            </w:r>
            <w:r w:rsidR="007F5134">
              <w:rPr>
                <w:rFonts w:ascii="Tahoma" w:hAnsi="Tahoma" w:cs="Tahoma"/>
                <w:color w:val="auto"/>
                <w:sz w:val="20"/>
                <w:szCs w:val="20"/>
              </w:rPr>
              <w:t>g Term Incentive Plan (“LTIP”).</w:t>
            </w:r>
          </w:p>
          <w:p w:rsidR="00B00F1A" w:rsidRPr="00035AE3" w:rsidRDefault="00B00F1A" w:rsidP="00A570EA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3F60E9" w:rsidRPr="00035AE3" w:rsidTr="003F6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c)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E9" w:rsidRPr="00D74569" w:rsidRDefault="003F60E9" w:rsidP="003F60E9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35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E9" w:rsidRPr="00D74569" w:rsidRDefault="003F60E9" w:rsidP="003F60E9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74569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3F60E9" w:rsidRPr="00035AE3" w:rsidTr="003F60E9"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keepNext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keepNext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:rsidR="003F60E9" w:rsidRPr="009E68FA" w:rsidRDefault="007F5134" w:rsidP="003F60E9">
            <w:pPr>
              <w:pStyle w:val="BodyText"/>
              <w:keepNext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 w:rsidR="003F60E9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  <w:tc>
          <w:tcPr>
            <w:tcW w:w="3571" w:type="dxa"/>
            <w:tcBorders>
              <w:bottom w:val="single" w:sz="4" w:space="0" w:color="auto"/>
            </w:tcBorders>
          </w:tcPr>
          <w:p w:rsidR="003F60E9" w:rsidRPr="009E68FA" w:rsidRDefault="00A570EA" w:rsidP="003F60E9">
            <w:pPr>
              <w:pStyle w:val="BodyText"/>
              <w:keepNext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20,361</w:t>
            </w:r>
          </w:p>
        </w:tc>
      </w:tr>
      <w:tr w:rsidR="003F60E9" w:rsidRPr="00035AE3" w:rsidTr="003F6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:rsidR="003F60E9" w:rsidRPr="00035AE3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:rsidR="003F60E9" w:rsidRPr="00035AE3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E9" w:rsidRPr="009E68FA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3F60E9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3F60E9" w:rsidRPr="009E68FA" w:rsidRDefault="00A570EA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20,361</w:t>
            </w:r>
            <w:r w:rsidR="003F60E9">
              <w:rPr>
                <w:rFonts w:ascii="Tahoma" w:hAnsi="Tahoma" w:cs="Tahoma"/>
                <w:color w:val="auto"/>
                <w:sz w:val="20"/>
                <w:szCs w:val="20"/>
              </w:rPr>
              <w:t xml:space="preserve"> shares</w:t>
            </w:r>
          </w:p>
          <w:p w:rsidR="003F60E9" w:rsidRPr="009E68FA" w:rsidRDefault="007F5134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£</w:t>
            </w:r>
            <w:r w:rsidR="003F60E9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</w:p>
        </w:tc>
      </w:tr>
      <w:tr w:rsidR="003F60E9" w:rsidRPr="00035AE3" w:rsidTr="00486C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E9" w:rsidRPr="009E68FA" w:rsidRDefault="00A570EA" w:rsidP="003F60E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2019-11</w:t>
            </w:r>
            <w:r w:rsidR="003F60E9">
              <w:rPr>
                <w:rFonts w:ascii="Tahoma" w:hAnsi="Tahoma" w:cs="Tahoma"/>
                <w:color w:val="auto"/>
                <w:sz w:val="20"/>
                <w:szCs w:val="20"/>
              </w:rPr>
              <w:t>-03</w:t>
            </w:r>
          </w:p>
        </w:tc>
      </w:tr>
      <w:tr w:rsidR="003F60E9" w:rsidRPr="00035AE3" w:rsidTr="003F60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E9" w:rsidRPr="009E68FA" w:rsidRDefault="003F60E9" w:rsidP="003F60E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4D64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3F60E9" w:rsidRPr="00035AE3" w:rsidTr="00486C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</w:tcPr>
          <w:p w:rsidR="003F60E9" w:rsidRPr="00035AE3" w:rsidRDefault="003F60E9" w:rsidP="003F60E9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66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0EA" w:rsidRDefault="00A570EA" w:rsidP="00A570EA">
            <w:pPr>
              <w:pStyle w:val="BodyText"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This award will vest on the third anniversary of the date of the grant thereof, subject to meeting the performance conditions and continued employment. </w:t>
            </w:r>
          </w:p>
          <w:p w:rsidR="00A570EA" w:rsidRDefault="00A570EA" w:rsidP="00A570EA">
            <w:pPr>
              <w:pStyle w:val="BodyText"/>
              <w:keepNext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7F5134" w:rsidRPr="009E68FA" w:rsidRDefault="00A570EA" w:rsidP="00A570EA">
            <w:pPr>
              <w:pStyle w:val="BodyText"/>
              <w:keepNext/>
              <w:spacing w:after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Vested LTIP awards then normally remain exercisable until 7 years from grant.</w:t>
            </w:r>
          </w:p>
        </w:tc>
      </w:tr>
    </w:tbl>
    <w:p w:rsidR="00035AE3" w:rsidRPr="00035AE3" w:rsidRDefault="00035AE3" w:rsidP="00486CEC">
      <w:pPr>
        <w:rPr>
          <w:rFonts w:ascii="Tahoma" w:hAnsi="Tahoma" w:cs="Tahoma"/>
          <w:color w:val="auto"/>
          <w:sz w:val="20"/>
          <w:szCs w:val="20"/>
        </w:rPr>
      </w:pPr>
    </w:p>
    <w:sectPr w:rsidR="00035AE3" w:rsidRPr="00035AE3" w:rsidSect="00486CEC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5B4" w:rsidRDefault="001735B4" w:rsidP="00CF528A">
      <w:pPr>
        <w:spacing w:after="0" w:line="240" w:lineRule="auto"/>
      </w:pPr>
      <w:r>
        <w:separator/>
      </w:r>
    </w:p>
  </w:endnote>
  <w:endnote w:type="continuationSeparator" w:id="0">
    <w:p w:rsidR="001735B4" w:rsidRDefault="001735B4" w:rsidP="00CF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eHaasUnicaPro-Bold">
    <w:altName w:val="Neue Haas Unica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eHaasUnicaPro-Light">
    <w:altName w:val="Neue Haas Unica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5B4" w:rsidRDefault="001735B4" w:rsidP="00CF528A">
      <w:pPr>
        <w:spacing w:after="0" w:line="240" w:lineRule="auto"/>
      </w:pPr>
      <w:r>
        <w:separator/>
      </w:r>
    </w:p>
  </w:footnote>
  <w:footnote w:type="continuationSeparator" w:id="0">
    <w:p w:rsidR="001735B4" w:rsidRDefault="001735B4" w:rsidP="00CF5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8A"/>
    <w:rsid w:val="00035AE3"/>
    <w:rsid w:val="00083FB6"/>
    <w:rsid w:val="000F4D8A"/>
    <w:rsid w:val="00127DE0"/>
    <w:rsid w:val="00136A9F"/>
    <w:rsid w:val="001735B4"/>
    <w:rsid w:val="001B4D64"/>
    <w:rsid w:val="001D110E"/>
    <w:rsid w:val="001D30FF"/>
    <w:rsid w:val="0026679D"/>
    <w:rsid w:val="0027419A"/>
    <w:rsid w:val="003F60E9"/>
    <w:rsid w:val="00426C16"/>
    <w:rsid w:val="00464D70"/>
    <w:rsid w:val="00486CEC"/>
    <w:rsid w:val="004F1AC3"/>
    <w:rsid w:val="00544E1C"/>
    <w:rsid w:val="00562104"/>
    <w:rsid w:val="005D2580"/>
    <w:rsid w:val="006343ED"/>
    <w:rsid w:val="0073696B"/>
    <w:rsid w:val="007A3576"/>
    <w:rsid w:val="007F5134"/>
    <w:rsid w:val="00804B17"/>
    <w:rsid w:val="00850921"/>
    <w:rsid w:val="00860438"/>
    <w:rsid w:val="009805C0"/>
    <w:rsid w:val="009A3C27"/>
    <w:rsid w:val="009E68FA"/>
    <w:rsid w:val="00A3718B"/>
    <w:rsid w:val="00A570EA"/>
    <w:rsid w:val="00AA0F5B"/>
    <w:rsid w:val="00AB286D"/>
    <w:rsid w:val="00AE7738"/>
    <w:rsid w:val="00B00F1A"/>
    <w:rsid w:val="00B87CDB"/>
    <w:rsid w:val="00C95351"/>
    <w:rsid w:val="00CF528A"/>
    <w:rsid w:val="00D53B6D"/>
    <w:rsid w:val="00D74569"/>
    <w:rsid w:val="00D81C20"/>
    <w:rsid w:val="00D922BD"/>
    <w:rsid w:val="00DC61DD"/>
    <w:rsid w:val="00EC18EE"/>
    <w:rsid w:val="00EC2459"/>
    <w:rsid w:val="00EE00A9"/>
    <w:rsid w:val="00F54257"/>
    <w:rsid w:val="00FC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FEE09"/>
  <w15:chartTrackingRefBased/>
  <w15:docId w15:val="{54DC764A-E098-4BFE-AEF9-1D1CD865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28A"/>
    <w:pPr>
      <w:spacing w:after="120" w:line="240" w:lineRule="exact"/>
    </w:pPr>
    <w:rPr>
      <w:rFonts w:ascii="Georgia" w:hAnsi="Georgia"/>
      <w:color w:val="5B9BD5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F528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CF528A"/>
    <w:rPr>
      <w:rFonts w:ascii="Georgia" w:hAnsi="Georgia"/>
      <w:color w:val="5B9BD5" w:themeColor="accent1"/>
      <w:sz w:val="18"/>
    </w:rPr>
  </w:style>
  <w:style w:type="character" w:styleId="FootnoteReference">
    <w:name w:val="footnote reference"/>
    <w:basedOn w:val="DefaultParagraphFont"/>
    <w:uiPriority w:val="7"/>
    <w:unhideWhenUsed/>
    <w:rsid w:val="00CF528A"/>
    <w:rPr>
      <w:position w:val="0"/>
      <w:sz w:val="20"/>
      <w:vertAlign w:val="superscript"/>
    </w:rPr>
  </w:style>
  <w:style w:type="paragraph" w:styleId="FootnoteText">
    <w:name w:val="footnote text"/>
    <w:basedOn w:val="BodyText"/>
    <w:link w:val="FootnoteTextChar"/>
    <w:uiPriority w:val="7"/>
    <w:rsid w:val="00CF528A"/>
    <w:pPr>
      <w:spacing w:after="60" w:line="240" w:lineRule="auto"/>
      <w:ind w:left="357" w:hanging="357"/>
      <w:contextualSpacing/>
    </w:pPr>
    <w:rPr>
      <w:rFonts w:ascii="Times New Roman" w:eastAsiaTheme="majorEastAsia" w:hAnsi="Times New Roman" w:cs="Times New Roman"/>
      <w:i/>
      <w:sz w:val="16"/>
      <w:szCs w:val="20"/>
      <w:lang w:val="es-ES_tradnl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F528A"/>
    <w:rPr>
      <w:rFonts w:ascii="Times New Roman" w:eastAsiaTheme="majorEastAsia" w:hAnsi="Times New Roman" w:cs="Times New Roman"/>
      <w:i/>
      <w:color w:val="5B9BD5" w:themeColor="accent1"/>
      <w:sz w:val="16"/>
      <w:szCs w:val="20"/>
      <w:lang w:val="es-ES_tradnl"/>
    </w:rPr>
  </w:style>
  <w:style w:type="table" w:styleId="LightList-Accent1">
    <w:name w:val="Light List Accent 1"/>
    <w:basedOn w:val="TableNormal"/>
    <w:uiPriority w:val="61"/>
    <w:rsid w:val="00CF528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00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0A9"/>
    <w:rPr>
      <w:rFonts w:ascii="Segoe UI" w:hAnsi="Segoe UI" w:cs="Segoe UI"/>
      <w:color w:val="5B9BD5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F1A"/>
    <w:rPr>
      <w:rFonts w:ascii="Georgia" w:hAnsi="Georgia"/>
      <w:color w:val="5B9BD5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B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F1A"/>
    <w:rPr>
      <w:rFonts w:ascii="Georgia" w:hAnsi="Georgia"/>
      <w:color w:val="5B9BD5" w:themeColor="accent1"/>
      <w:sz w:val="18"/>
    </w:rPr>
  </w:style>
  <w:style w:type="paragraph" w:customStyle="1" w:styleId="ef">
    <w:name w:val="ef"/>
    <w:basedOn w:val="Normal"/>
    <w:rsid w:val="0063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dp">
    <w:name w:val="dp"/>
    <w:basedOn w:val="DefaultParagraphFont"/>
    <w:rsid w:val="006343ED"/>
  </w:style>
  <w:style w:type="paragraph" w:customStyle="1" w:styleId="NoParagraphStyle">
    <w:name w:val="[No Paragraph Style]"/>
    <w:rsid w:val="00D922B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customStyle="1" w:styleId="AccountsSmallHeadingsTopCentred">
    <w:name w:val="AccountsSmallHeadingsTopCentred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center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">
    <w:name w:val="AccountsSmallHeadingsTop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160" w:lineRule="atLeast"/>
      <w:ind w:right="120"/>
      <w:jc w:val="right"/>
      <w:textAlignment w:val="center"/>
    </w:pPr>
    <w:rPr>
      <w:rFonts w:ascii="Calibri" w:eastAsiaTheme="minorEastAsia" w:hAnsi="Calibri" w:cs="NeueHaasUnicaPro-Regular"/>
      <w:bCs/>
      <w:color w:val="32912F"/>
      <w:sz w:val="13"/>
      <w:szCs w:val="13"/>
      <w:lang w:eastAsia="ja-JP"/>
    </w:rPr>
  </w:style>
  <w:style w:type="paragraph" w:customStyle="1" w:styleId="AccountsSmallHeadingsTopLeft">
    <w:name w:val="AccountsSmallHeadingsTopLeft"/>
    <w:basedOn w:val="AccountsSmallHeadingsTop"/>
    <w:uiPriority w:val="99"/>
    <w:rsid w:val="00D922BD"/>
    <w:pPr>
      <w:jc w:val="left"/>
    </w:pPr>
  </w:style>
  <w:style w:type="paragraph" w:customStyle="1" w:styleId="TextSubHeading2">
    <w:name w:val="TextSubHeading2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Calibri" w:eastAsiaTheme="minorEastAsia" w:hAnsi="Calibri" w:cs="NeueHaasUnicaPro-Bold"/>
      <w:b/>
      <w:bCs/>
      <w:color w:val="000000"/>
      <w:sz w:val="17"/>
      <w:szCs w:val="17"/>
      <w:lang w:eastAsia="ja-JP"/>
    </w:rPr>
  </w:style>
  <w:style w:type="paragraph" w:customStyle="1" w:styleId="Accounts">
    <w:name w:val="Accounts"/>
    <w:basedOn w:val="Normal"/>
    <w:uiPriority w:val="99"/>
    <w:rsid w:val="00D922BD"/>
    <w:pPr>
      <w:widowControl w:val="0"/>
      <w:tabs>
        <w:tab w:val="left" w:pos="240"/>
        <w:tab w:val="left" w:pos="480"/>
      </w:tabs>
      <w:suppressAutoHyphens/>
      <w:autoSpaceDE w:val="0"/>
      <w:autoSpaceDN w:val="0"/>
      <w:adjustRightInd w:val="0"/>
      <w:spacing w:after="0" w:line="240" w:lineRule="atLeast"/>
      <w:ind w:right="120"/>
      <w:jc w:val="right"/>
      <w:textAlignment w:val="center"/>
    </w:pPr>
    <w:rPr>
      <w:rFonts w:ascii="Calibri" w:eastAsiaTheme="minorEastAsia" w:hAnsi="Calibri" w:cs="NeueHaasUnicaPro-Light"/>
      <w:color w:val="000000"/>
      <w:sz w:val="17"/>
      <w:szCs w:val="17"/>
      <w:lang w:eastAsia="ja-JP"/>
    </w:rPr>
  </w:style>
  <w:style w:type="paragraph" w:customStyle="1" w:styleId="TextBodyCopy">
    <w:name w:val="TextBodyCopy"/>
    <w:basedOn w:val="NoParagraphStyle"/>
    <w:uiPriority w:val="99"/>
    <w:rsid w:val="00D922BD"/>
    <w:pPr>
      <w:tabs>
        <w:tab w:val="left" w:pos="240"/>
        <w:tab w:val="left" w:pos="480"/>
      </w:tabs>
      <w:suppressAutoHyphens/>
      <w:spacing w:line="240" w:lineRule="atLeast"/>
    </w:pPr>
    <w:rPr>
      <w:rFonts w:ascii="Calibri" w:hAnsi="Calibri" w:cs="NeueHaasUnicaPro-Ligh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2019-03-11T18:39:25+00:00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8C938-2B6C-4716-B4FD-3B7FC07AB927}"/>
</file>

<file path=customXml/itemProps2.xml><?xml version="1.0" encoding="utf-8"?>
<ds:datastoreItem xmlns:ds="http://schemas.openxmlformats.org/officeDocument/2006/customXml" ds:itemID="{E1D9128F-43B4-44F6-B90D-1E782A53FD29}"/>
</file>

<file path=customXml/itemProps3.xml><?xml version="1.0" encoding="utf-8"?>
<ds:datastoreItem xmlns:ds="http://schemas.openxmlformats.org/officeDocument/2006/customXml" ds:itemID="{7F03D1B8-1E8D-49CD-A44D-E35B8524DF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Pritti Patel</dc:creator>
  <cp:keywords/>
  <dc:description/>
  <cp:lastModifiedBy>Pritti Patel</cp:lastModifiedBy>
  <cp:revision>3</cp:revision>
  <cp:lastPrinted>2016-10-04T15:19:00Z</cp:lastPrinted>
  <dcterms:created xsi:type="dcterms:W3CDTF">2019-03-11T14:10:00Z</dcterms:created>
  <dcterms:modified xsi:type="dcterms:W3CDTF">2019-03-11T15:00:00Z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